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79746">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63439996">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14:paraId="163756A7">
      <w:pPr>
        <w:pageBreakBefore w:val="0"/>
        <w:tabs>
          <w:tab w:val="left" w:pos="1134"/>
          <w:tab w:val="left" w:pos="5160"/>
        </w:tabs>
        <w:kinsoku/>
        <w:wordWrap/>
        <w:overflowPunct/>
        <w:topLinePunct w:val="0"/>
        <w:bidi w:val="0"/>
        <w:jc w:val="center"/>
        <w:rPr>
          <w:rFonts w:hint="eastAsia" w:asciiTheme="minorEastAsia" w:hAnsiTheme="minorEastAsia" w:eastAsiaTheme="minorEastAsia" w:cstheme="minorEastAsia"/>
          <w:b/>
          <w:bCs/>
          <w:color w:val="auto"/>
          <w:spacing w:val="0"/>
          <w:position w:val="0"/>
          <w:sz w:val="52"/>
          <w:szCs w:val="52"/>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60288" behindDoc="1" locked="0" layoutInCell="1" allowOverlap="1">
            <wp:simplePos x="0" y="0"/>
            <wp:positionH relativeFrom="column">
              <wp:posOffset>1567180</wp:posOffset>
            </wp:positionH>
            <wp:positionV relativeFrom="paragraph">
              <wp:posOffset>125730</wp:posOffset>
            </wp:positionV>
            <wp:extent cx="1939925" cy="1523365"/>
            <wp:effectExtent l="0" t="0" r="10795" b="63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1939925" cy="1523365"/>
                    </a:xfrm>
                    <a:prstGeom prst="rect">
                      <a:avLst/>
                    </a:prstGeom>
                    <a:noFill/>
                    <a:ln>
                      <a:noFill/>
                    </a:ln>
                  </pic:spPr>
                </pic:pic>
              </a:graphicData>
            </a:graphic>
          </wp:anchor>
        </w:drawing>
      </w:r>
    </w:p>
    <w:p w14:paraId="21965B78">
      <w:pPr>
        <w:pStyle w:val="16"/>
        <w:pageBreakBefore w:val="0"/>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p>
    <w:p w14:paraId="496A9443">
      <w:pPr>
        <w:pStyle w:val="12"/>
        <w:pageBreakBefore w:val="0"/>
        <w:kinsoku/>
        <w:wordWrap/>
        <w:overflowPunct/>
        <w:topLinePunct w:val="0"/>
        <w:bidi w:val="0"/>
        <w:spacing w:line="360" w:lineRule="auto"/>
        <w:ind w:firstLine="964" w:firstLineChars="300"/>
        <w:rPr>
          <w:rFonts w:hint="eastAsia" w:asciiTheme="minorEastAsia" w:hAnsiTheme="minorEastAsia" w:eastAsiaTheme="minorEastAsia" w:cstheme="minorEastAsia"/>
          <w:b/>
          <w:bCs/>
          <w:color w:val="auto"/>
          <w:spacing w:val="0"/>
          <w:position w:val="0"/>
          <w:highlight w:val="none"/>
        </w:rPr>
      </w:pPr>
    </w:p>
    <w:p w14:paraId="38B8E467">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50E448D4">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项目名称：2025年度大巴扎安检口安保服务项目</w:t>
      </w:r>
    </w:p>
    <w:p w14:paraId="4C123835">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招标编号：XJCC-ZB-2025-001</w:t>
      </w:r>
    </w:p>
    <w:p w14:paraId="2858F3E0">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14:paraId="1E8BDB09">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rPr>
        <w:t>采购人</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eastAsia="zh-CN"/>
        </w:rPr>
        <w:t>乌鲁木齐大巴扎景区综合服务中心</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624352D5">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联系人：</w:t>
      </w:r>
      <w:r>
        <w:rPr>
          <w:rFonts w:hint="eastAsia" w:asciiTheme="minorEastAsia" w:hAnsiTheme="minorEastAsia" w:eastAsiaTheme="minorEastAsia" w:cstheme="minorEastAsia"/>
          <w:b/>
          <w:bCs/>
          <w:color w:val="auto"/>
          <w:spacing w:val="0"/>
          <w:position w:val="0"/>
          <w:sz w:val="28"/>
          <w:szCs w:val="28"/>
          <w:highlight w:val="none"/>
          <w:lang w:val="en-US" w:eastAsia="zh-CN"/>
        </w:rPr>
        <w:t>张岩        联</w:t>
      </w:r>
      <w:r>
        <w:rPr>
          <w:rFonts w:hint="eastAsia" w:asciiTheme="minorEastAsia" w:hAnsiTheme="minorEastAsia" w:eastAsiaTheme="minorEastAsia" w:cstheme="minorEastAsia"/>
          <w:b/>
          <w:bCs/>
          <w:color w:val="auto"/>
          <w:spacing w:val="0"/>
          <w:position w:val="0"/>
          <w:sz w:val="28"/>
          <w:szCs w:val="28"/>
          <w:highlight w:val="none"/>
          <w:lang w:eastAsia="zh-CN"/>
        </w:rPr>
        <w:t>系电话：</w:t>
      </w:r>
      <w:r>
        <w:rPr>
          <w:rFonts w:hint="eastAsia" w:asciiTheme="minorEastAsia" w:hAnsiTheme="minorEastAsia" w:eastAsiaTheme="minorEastAsia" w:cstheme="minorEastAsia"/>
          <w:b/>
          <w:bCs/>
          <w:color w:val="auto"/>
          <w:spacing w:val="0"/>
          <w:position w:val="0"/>
          <w:sz w:val="28"/>
          <w:szCs w:val="28"/>
          <w:highlight w:val="none"/>
          <w:lang w:val="en-US" w:eastAsia="zh-CN"/>
        </w:rPr>
        <w:t>18699028216</w:t>
      </w:r>
    </w:p>
    <w:p w14:paraId="4E6C9A42">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联系地址：乌鲁木齐市天山区大巴扎景区</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4047A270">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p>
    <w:p w14:paraId="79D70257">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u w:val="single"/>
          <w:lang w:eastAsia="zh-CN"/>
        </w:rPr>
      </w:pPr>
      <w:r>
        <w:rPr>
          <w:rFonts w:hint="eastAsia" w:asciiTheme="minorEastAsia" w:hAnsiTheme="minorEastAsia" w:eastAsiaTheme="minorEastAsia" w:cstheme="minorEastAsia"/>
          <w:b/>
          <w:bCs/>
          <w:color w:val="auto"/>
          <w:spacing w:val="0"/>
          <w:position w:val="0"/>
          <w:sz w:val="28"/>
          <w:szCs w:val="28"/>
          <w:highlight w:val="none"/>
        </w:rPr>
        <w:t>采购代理机构</w:t>
      </w:r>
      <w:r>
        <w:rPr>
          <w:rFonts w:hint="eastAsia" w:asciiTheme="minorEastAsia" w:hAnsiTheme="minorEastAsia" w:eastAsiaTheme="minorEastAsia" w:cstheme="minorEastAsia"/>
          <w:b/>
          <w:bCs/>
          <w:color w:val="auto"/>
          <w:spacing w:val="0"/>
          <w:position w:val="0"/>
          <w:sz w:val="28"/>
          <w:szCs w:val="28"/>
          <w:highlight w:val="none"/>
          <w:lang w:eastAsia="zh-CN"/>
        </w:rPr>
        <w:t>（盖章）</w:t>
      </w:r>
      <w:r>
        <w:rPr>
          <w:rFonts w:hint="eastAsia" w:asciiTheme="minorEastAsia" w:hAnsiTheme="minorEastAsia" w:eastAsiaTheme="minorEastAsia" w:cstheme="minorEastAsia"/>
          <w:b/>
          <w:bCs/>
          <w:color w:val="auto"/>
          <w:spacing w:val="0"/>
          <w:position w:val="0"/>
          <w:sz w:val="28"/>
          <w:szCs w:val="28"/>
          <w:highlight w:val="none"/>
        </w:rPr>
        <w:t>：</w:t>
      </w:r>
      <w:r>
        <w:rPr>
          <w:rFonts w:hint="eastAsia" w:asciiTheme="minorEastAsia" w:hAnsiTheme="minorEastAsia" w:eastAsiaTheme="minorEastAsia" w:cstheme="minorEastAsia"/>
          <w:b/>
          <w:bCs/>
          <w:color w:val="auto"/>
          <w:spacing w:val="0"/>
          <w:position w:val="0"/>
          <w:sz w:val="28"/>
          <w:szCs w:val="28"/>
          <w:highlight w:val="none"/>
          <w:lang w:eastAsia="zh-CN"/>
        </w:rPr>
        <w:t>新疆诚成工程项目管理有限公司</w:t>
      </w:r>
    </w:p>
    <w:p w14:paraId="422BC424">
      <w:pPr>
        <w:pStyle w:val="12"/>
        <w:pageBreakBefore w:val="0"/>
        <w:kinsoku/>
        <w:wordWrap/>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28"/>
          <w:szCs w:val="28"/>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联系人：马琴、李颖</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p>
    <w:p w14:paraId="42966DF1">
      <w:pPr>
        <w:pStyle w:val="12"/>
        <w:pageBreakBefore w:val="0"/>
        <w:kinsoku/>
        <w:wordWrap/>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28"/>
          <w:szCs w:val="28"/>
          <w:highlight w:val="none"/>
          <w:lang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t>联系电话：13199858738、18690136275</w:t>
      </w:r>
    </w:p>
    <w:p w14:paraId="76853AE1">
      <w:pPr>
        <w:pStyle w:val="12"/>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lang w:eastAsia="zh-CN"/>
        </w:rPr>
        <w:t>联系地址：乌鲁木齐市水磨沟区红光山路2588号绿地中心领海大厦1806</w:t>
      </w:r>
    </w:p>
    <w:p w14:paraId="626FA4DA">
      <w:pPr>
        <w:pStyle w:val="12"/>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28"/>
          <w:szCs w:val="28"/>
          <w:highlight w:val="none"/>
          <w:lang w:eastAsia="zh-CN"/>
        </w:rPr>
        <w:t>2025年</w:t>
      </w:r>
      <w:r>
        <w:rPr>
          <w:rFonts w:hint="eastAsia" w:asciiTheme="minorEastAsia" w:hAnsiTheme="minorEastAsia" w:eastAsiaTheme="minorEastAsia" w:cstheme="minorEastAsia"/>
          <w:b/>
          <w:bCs/>
          <w:color w:val="auto"/>
          <w:spacing w:val="0"/>
          <w:position w:val="0"/>
          <w:sz w:val="28"/>
          <w:szCs w:val="28"/>
          <w:highlight w:val="none"/>
          <w:lang w:val="en-US" w:eastAsia="zh-CN"/>
        </w:rPr>
        <w:t>01</w:t>
      </w:r>
      <w:r>
        <w:rPr>
          <w:rFonts w:hint="eastAsia" w:asciiTheme="minorEastAsia" w:hAnsiTheme="minorEastAsia" w:eastAsiaTheme="minorEastAsia" w:cstheme="minorEastAsia"/>
          <w:b/>
          <w:bCs/>
          <w:color w:val="auto"/>
          <w:spacing w:val="0"/>
          <w:position w:val="0"/>
          <w:sz w:val="28"/>
          <w:szCs w:val="28"/>
          <w:highlight w:val="none"/>
        </w:rPr>
        <w:t>月</w:t>
      </w:r>
      <w:bookmarkEnd w:id="0"/>
    </w:p>
    <w:p w14:paraId="79F04670">
      <w:pPr>
        <w:pStyle w:val="54"/>
        <w:pageBreakBefore w:val="0"/>
        <w:widowControl/>
        <w:tabs>
          <w:tab w:val="right" w:leader="dot" w:pos="8312"/>
        </w:tabs>
        <w:kinsoku/>
        <w:wordWrap/>
        <w:overflowPunct/>
        <w:topLinePunct w:val="0"/>
        <w:bidi w:val="0"/>
        <w:snapToGrid/>
        <w:spacing w:before="0" w:beforeAutospacing="0" w:after="0" w:afterAutospacing="0" w:line="240" w:lineRule="auto"/>
        <w:ind w:left="840" w:leftChars="400"/>
        <w:jc w:val="both"/>
        <w:textAlignment w:val="baseline"/>
        <w:rPr>
          <w:rStyle w:val="31"/>
          <w:rFonts w:hint="eastAsia" w:asciiTheme="minorEastAsia" w:hAnsiTheme="minorEastAsia" w:eastAsiaTheme="minorEastAsia" w:cstheme="minorEastAsia"/>
          <w:b w:val="0"/>
          <w:i w:val="0"/>
          <w:caps w:val="0"/>
          <w:color w:val="auto"/>
          <w:spacing w:val="0"/>
          <w:w w:val="100"/>
          <w:position w:val="0"/>
          <w:sz w:val="21"/>
          <w:highlight w:val="none"/>
        </w:rPr>
      </w:pPr>
    </w:p>
    <w:p w14:paraId="0DB6A671">
      <w:pPr>
        <w:rPr>
          <w:rStyle w:val="31"/>
          <w:rFonts w:hint="eastAsia" w:asciiTheme="minorEastAsia" w:hAnsiTheme="minorEastAsia" w:eastAsiaTheme="minorEastAsia" w:cstheme="minorEastAsia"/>
          <w:b w:val="0"/>
          <w:i w:val="0"/>
          <w:caps w:val="0"/>
          <w:color w:val="auto"/>
          <w:spacing w:val="0"/>
          <w:w w:val="100"/>
          <w:position w:val="0"/>
          <w:sz w:val="21"/>
          <w:highlight w:val="none"/>
        </w:rPr>
      </w:pPr>
    </w:p>
    <w:p w14:paraId="3F1D2086">
      <w:pPr>
        <w:spacing w:line="360" w:lineRule="auto"/>
        <w:rPr>
          <w:rStyle w:val="31"/>
          <w:rFonts w:hint="eastAsia" w:asciiTheme="minorEastAsia" w:hAnsiTheme="minorEastAsia" w:eastAsiaTheme="minorEastAsia" w:cstheme="minorEastAsia"/>
          <w:b w:val="0"/>
          <w:i w:val="0"/>
          <w:caps w:val="0"/>
          <w:color w:val="auto"/>
          <w:spacing w:val="0"/>
          <w:w w:val="100"/>
          <w:position w:val="0"/>
          <w:sz w:val="24"/>
          <w:szCs w:val="24"/>
          <w:highlight w:val="none"/>
        </w:rPr>
      </w:pPr>
    </w:p>
    <w:p w14:paraId="42D52E08">
      <w:pPr>
        <w:pageBreakBefore w:val="0"/>
        <w:kinsoku/>
        <w:wordWrap/>
        <w:overflowPunct/>
        <w:topLinePunct w:val="0"/>
        <w:bidi w:val="0"/>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目</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rPr>
        <w:t>录</w:t>
      </w:r>
    </w:p>
    <w:p w14:paraId="772E06AB">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fldChar w:fldCharType="begin"/>
      </w: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instrText xml:space="preserve">TOC \o "1-1" \h \u </w:instrText>
      </w: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_Toc25153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第一部分  招标公告</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fldChar w:fldCharType="begin"/>
      </w:r>
      <w:r>
        <w:rPr>
          <w:rFonts w:hint="eastAsia" w:asciiTheme="minorEastAsia" w:hAnsiTheme="minorEastAsia" w:eastAsiaTheme="minorEastAsia" w:cstheme="minorEastAsia"/>
          <w:color w:val="auto"/>
          <w:spacing w:val="0"/>
          <w:position w:val="0"/>
          <w:sz w:val="24"/>
          <w:szCs w:val="24"/>
          <w:highlight w:val="none"/>
        </w:rPr>
        <w:instrText xml:space="preserve"> PAGEREF _Toc25153 \h </w:instrText>
      </w:r>
      <w:r>
        <w:rPr>
          <w:rFonts w:hint="eastAsia" w:asciiTheme="minorEastAsia" w:hAnsiTheme="minorEastAsia" w:eastAsiaTheme="minorEastAsia" w:cstheme="minorEastAsia"/>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51EEA349">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_Toc2495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第二部分  供应商须知</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6</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57880FAE">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_Toc24662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第三部分  采购需求</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fldChar w:fldCharType="begin"/>
      </w:r>
      <w:r>
        <w:rPr>
          <w:rFonts w:hint="eastAsia" w:asciiTheme="minorEastAsia" w:hAnsiTheme="minorEastAsia" w:eastAsiaTheme="minorEastAsia" w:cstheme="minorEastAsia"/>
          <w:color w:val="auto"/>
          <w:spacing w:val="0"/>
          <w:position w:val="0"/>
          <w:sz w:val="24"/>
          <w:szCs w:val="24"/>
          <w:highlight w:val="none"/>
        </w:rPr>
        <w:instrText xml:space="preserve"> PAGEREF _Toc24662 \h </w:instrText>
      </w:r>
      <w:r>
        <w:rPr>
          <w:rFonts w:hint="eastAsia" w:asciiTheme="minorEastAsia" w:hAnsiTheme="minorEastAsia" w:eastAsiaTheme="minorEastAsia" w:cstheme="minorEastAsia"/>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val="en-US" w:eastAsia="zh-CN"/>
        </w:rPr>
        <w:t>3</w:t>
      </w:r>
      <w:r>
        <w:rPr>
          <w:rFonts w:hint="eastAsia" w:asciiTheme="minorEastAsia" w:hAnsiTheme="minorEastAsia" w:eastAsiaTheme="minorEastAsia" w:cstheme="minorEastAsia"/>
          <w:color w:val="auto"/>
          <w:spacing w:val="0"/>
          <w:position w:val="0"/>
          <w:sz w:val="24"/>
          <w:szCs w:val="24"/>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1F00836F">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_Toc24396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第四部分  评审方法（综合评分法）</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8</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2</w:t>
      </w:r>
    </w:p>
    <w:p w14:paraId="45499DC4">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_Toc23658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第五部分  政府采购合同</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8</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7</w:t>
      </w:r>
    </w:p>
    <w:p w14:paraId="20AFAA29">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instrText xml:space="preserve"> HYPERLINK \l _Toc12417 </w:instrTex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4"/>
          <w:szCs w:val="24"/>
          <w:highlight w:val="none"/>
          <w:lang w:val="en-US" w:eastAsia="zh-CN" w:bidi="ar-SA"/>
        </w:rPr>
        <w:t>第六部分  投标文件格式</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9</w:t>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en-US" w:eastAsia="zh-CN" w:bidi="ar-SA"/>
        </w:rPr>
        <w:t>0</w:t>
      </w:r>
    </w:p>
    <w:p w14:paraId="68E91084">
      <w:pPr>
        <w:pStyle w:val="189"/>
        <w:pageBreakBefore w:val="0"/>
        <w:tabs>
          <w:tab w:val="right" w:leader="dot" w:pos="8312"/>
        </w:tabs>
        <w:kinsoku/>
        <w:wordWrap/>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p w14:paraId="2515E2AB">
      <w:pPr>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pPr>
      <w: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fldChar w:fldCharType="end"/>
      </w:r>
    </w:p>
    <w:p w14:paraId="0EFEDB23">
      <w:pPr>
        <w:pStyle w:val="5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sectPr>
          <w:headerReference r:id="rId3" w:type="default"/>
          <w:footerReference r:id="rId5" w:type="default"/>
          <w:headerReference r:id="rId4" w:type="even"/>
          <w:pgSz w:w="11906" w:h="16838"/>
          <w:pgMar w:top="1440" w:right="1800" w:bottom="1440" w:left="1800" w:header="851" w:footer="992" w:gutter="0"/>
          <w:lnNumType w:countBy="0"/>
          <w:cols w:space="720" w:num="1"/>
          <w:titlePg/>
          <w:docGrid w:type="lines" w:linePitch="312" w:charSpace="0"/>
        </w:sectPr>
      </w:pPr>
      <w:bookmarkStart w:id="1" w:name="_Toc25153"/>
    </w:p>
    <w:bookmarkEnd w:id="1"/>
    <w:p w14:paraId="1C19394C">
      <w:pPr>
        <w:pStyle w:val="5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第一部分  招标公告</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4F46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1C27C0B5">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028A3373">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2025年度大巴扎安检口安保服务项目</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获取（下载）招标文件，并于</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2025年02月06日11：00</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F61EEA9">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7544D259">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XJCC-ZB-2025-001</w:t>
      </w:r>
      <w:r>
        <w:rPr>
          <w:rFonts w:hint="eastAsia" w:asciiTheme="minorEastAsia" w:hAnsiTheme="minorEastAsia" w:eastAsiaTheme="minorEastAsia" w:cstheme="minorEastAsia"/>
          <w:color w:val="auto"/>
          <w:spacing w:val="0"/>
          <w:position w:val="0"/>
          <w:highlight w:val="none"/>
        </w:rPr>
        <w:t> </w:t>
      </w:r>
    </w:p>
    <w:p w14:paraId="3D1D2D62">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2025年度大巴扎安检口安保服务项目</w:t>
      </w:r>
      <w:r>
        <w:rPr>
          <w:rFonts w:hint="eastAsia" w:asciiTheme="minorEastAsia" w:hAnsiTheme="minorEastAsia" w:eastAsiaTheme="minorEastAsia" w:cstheme="minorEastAsia"/>
          <w:color w:val="auto"/>
          <w:spacing w:val="0"/>
          <w:position w:val="0"/>
          <w:highlight w:val="none"/>
        </w:rPr>
        <w:t> </w:t>
      </w:r>
    </w:p>
    <w:p w14:paraId="3A5A86FC">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12750000.00元</w:t>
      </w:r>
      <w:r>
        <w:rPr>
          <w:rFonts w:hint="eastAsia" w:asciiTheme="minorEastAsia" w:hAnsiTheme="minorEastAsia" w:eastAsiaTheme="minorEastAsia" w:cstheme="minorEastAsia"/>
          <w:color w:val="auto"/>
          <w:spacing w:val="0"/>
          <w:position w:val="0"/>
          <w:highlight w:val="none"/>
        </w:rPr>
        <w:t xml:space="preserve"> </w:t>
      </w:r>
    </w:p>
    <w:p w14:paraId="3AE5A98A">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2200D451">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6ED08E83">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35E49670">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：2025年度大巴扎安检口安保服务项目</w:t>
      </w:r>
    </w:p>
    <w:p w14:paraId="5E64754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5461B6FD">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：12750000.00元</w:t>
      </w:r>
    </w:p>
    <w:p w14:paraId="4848416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简要规格描述或项目基本概况介绍、用途：具体要求详见招标文件</w:t>
      </w:r>
      <w:r>
        <w:rPr>
          <w:rFonts w:hint="eastAsia" w:asciiTheme="minorEastAsia" w:hAnsiTheme="minorEastAsia" w:eastAsiaTheme="minorEastAsia" w:cstheme="minorEastAsia"/>
          <w:color w:val="auto"/>
          <w:spacing w:val="0"/>
          <w:position w:val="0"/>
          <w:highlight w:val="none"/>
          <w:lang w:eastAsia="zh-CN"/>
        </w:rPr>
        <w:t>。</w:t>
      </w:r>
    </w:p>
    <w:p w14:paraId="7D0686EA">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24542CEE">
      <w:pPr>
        <w:pStyle w:val="28"/>
        <w:ind w:left="0" w:leftChars="0" w:firstLine="0" w:firstLineChars="0"/>
        <w:rPr>
          <w:rFonts w:hint="eastAsia" w:asciiTheme="minorEastAsia" w:hAnsiTheme="minorEastAsia" w:eastAsiaTheme="minorEastAsia" w:cstheme="minorEastAsia"/>
          <w:color w:val="auto"/>
          <w:highlight w:val="none"/>
        </w:rPr>
      </w:pPr>
    </w:p>
    <w:p w14:paraId="19756266">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val="en-US" w:eastAsia="zh-CN"/>
        </w:rPr>
        <w:t>一年</w:t>
      </w:r>
    </w:p>
    <w:p w14:paraId="7009CE40">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6AE2EC79">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6A3D4CA6">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329272F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2.落实政府采购政策需满足的资格要求：供应商为中小企业。 </w:t>
      </w:r>
    </w:p>
    <w:p w14:paraId="5C1A0A1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3.本项目的特定资格要求：供应商须具备公安机关颁发的《保安服务许可证》</w:t>
      </w:r>
      <w:r>
        <w:rPr>
          <w:rFonts w:hint="eastAsia" w:asciiTheme="minorEastAsia" w:hAnsiTheme="minorEastAsia" w:eastAsiaTheme="minorEastAsia" w:cstheme="minorEastAsia"/>
          <w:color w:val="auto"/>
          <w:spacing w:val="0"/>
          <w:position w:val="0"/>
          <w:sz w:val="24"/>
          <w:szCs w:val="24"/>
          <w:highlight w:val="none"/>
          <w:lang w:eastAsia="zh-CN"/>
        </w:rPr>
        <w:t>。</w:t>
      </w:r>
    </w:p>
    <w:p w14:paraId="265CA286">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7FA21E0F">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时间：2025年01月17日至2025年01月24日，每天上午00:00至12:00，下午12:00至23:59（北京时间，法定节假日除外）</w:t>
      </w:r>
    </w:p>
    <w:p w14:paraId="48032917">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55363EB6">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48DD8E4B">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0C8234">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提交投标文件截止时间：2025年02月06日11:00（北京时间）</w:t>
      </w:r>
    </w:p>
    <w:p w14:paraId="277CC9D3">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20F643A1">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开标时间：2025年02月06日11:00（北京时间）</w:t>
      </w:r>
    </w:p>
    <w:p w14:paraId="05B92B39">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开标地点：政采云线上平台 </w:t>
      </w:r>
    </w:p>
    <w:p w14:paraId="1F840E1B">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3AF0EEFF">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52F88B5E">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1E94099">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51CFE5B4">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36996CD3">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0A9D929B">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6933544">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A800D84">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 xml:space="preserve"> 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5B060A3">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DF1015E">
      <w:pPr>
        <w:pStyle w:val="6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61D89440">
      <w:pPr>
        <w:pStyle w:val="6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7577B74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4A505E0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乌鲁木齐大巴扎景区综合服务中心</w:t>
      </w:r>
    </w:p>
    <w:p w14:paraId="604C23F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乌鲁木齐市天山区大巴扎景区</w:t>
      </w:r>
    </w:p>
    <w:p w14:paraId="7323715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w:t>
      </w:r>
      <w:r>
        <w:rPr>
          <w:rFonts w:hint="eastAsia" w:asciiTheme="minorEastAsia" w:hAnsiTheme="minorEastAsia" w:eastAsiaTheme="minorEastAsia" w:cstheme="minorEastAsia"/>
          <w:color w:val="auto"/>
          <w:spacing w:val="0"/>
          <w:position w:val="0"/>
          <w:sz w:val="24"/>
          <w:szCs w:val="24"/>
          <w:highlight w:val="none"/>
          <w:u w:val="none"/>
          <w:lang w:eastAsia="zh-CN"/>
        </w:rPr>
        <w:t>张岩</w:t>
      </w:r>
    </w:p>
    <w:p w14:paraId="4425E6B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BCF3B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4D128735">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乌鲁木齐市水磨沟区红光山路2588号绿地中心领海大厦1806</w:t>
      </w:r>
    </w:p>
    <w:p w14:paraId="62CBEF4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w:t>
      </w:r>
      <w:r>
        <w:rPr>
          <w:rFonts w:hint="eastAsia" w:asciiTheme="minorEastAsia" w:hAnsiTheme="minorEastAsia" w:eastAsiaTheme="minorEastAsia" w:cstheme="minorEastAsia"/>
          <w:color w:val="auto"/>
          <w:spacing w:val="0"/>
          <w:position w:val="0"/>
          <w:sz w:val="24"/>
          <w:szCs w:val="24"/>
          <w:highlight w:val="none"/>
          <w:u w:val="none"/>
          <w:lang w:eastAsia="zh-CN"/>
        </w:rPr>
        <w:t>13199858738、18690136275</w:t>
      </w:r>
    </w:p>
    <w:p w14:paraId="78717B7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1DDE193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项目联系人：</w:t>
      </w:r>
      <w:r>
        <w:rPr>
          <w:rFonts w:hint="eastAsia" w:asciiTheme="minorEastAsia" w:hAnsiTheme="minorEastAsia" w:eastAsiaTheme="minorEastAsia" w:cstheme="minorEastAsia"/>
          <w:color w:val="auto"/>
          <w:spacing w:val="0"/>
          <w:position w:val="0"/>
          <w:sz w:val="24"/>
          <w:szCs w:val="24"/>
          <w:highlight w:val="none"/>
          <w:u w:val="none"/>
          <w:lang w:eastAsia="zh-CN"/>
        </w:rPr>
        <w:t>马琴、李颖</w:t>
      </w:r>
    </w:p>
    <w:p w14:paraId="21CAD87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电话：</w:t>
      </w:r>
      <w:r>
        <w:rPr>
          <w:rFonts w:hint="eastAsia" w:asciiTheme="minorEastAsia" w:hAnsiTheme="minorEastAsia" w:eastAsiaTheme="minorEastAsia" w:cstheme="minorEastAsia"/>
          <w:color w:val="auto"/>
          <w:spacing w:val="0"/>
          <w:position w:val="0"/>
          <w:sz w:val="24"/>
          <w:szCs w:val="24"/>
          <w:highlight w:val="none"/>
          <w:u w:val="none"/>
          <w:lang w:eastAsia="zh-CN"/>
        </w:rPr>
        <w:t>13199858738、18690136275</w:t>
      </w:r>
    </w:p>
    <w:p w14:paraId="75839D80">
      <w:pPr>
        <w:bidi w:val="0"/>
        <w:rPr>
          <w:rFonts w:hint="eastAsia"/>
          <w:lang w:val="en-US" w:eastAsia="zh-CN"/>
        </w:rPr>
      </w:pPr>
    </w:p>
    <w:p w14:paraId="2B1AF4A5">
      <w:pPr>
        <w:bidi w:val="0"/>
        <w:rPr>
          <w:rFonts w:hint="eastAsia"/>
          <w:lang w:val="en-US" w:eastAsia="zh-CN"/>
        </w:rPr>
      </w:pPr>
      <w:bookmarkStart w:id="2" w:name="_Toc2495"/>
    </w:p>
    <w:p w14:paraId="76910A1A">
      <w:pPr>
        <w:bidi w:val="0"/>
        <w:rPr>
          <w:rFonts w:hint="eastAsia"/>
          <w:lang w:val="en-US" w:eastAsia="zh-CN"/>
        </w:rPr>
      </w:pPr>
    </w:p>
    <w:p w14:paraId="1AC96F3B">
      <w:pPr>
        <w:bidi w:val="0"/>
        <w:rPr>
          <w:rFonts w:hint="eastAsia"/>
          <w:lang w:val="en-US" w:eastAsia="zh-CN"/>
        </w:rPr>
      </w:pPr>
    </w:p>
    <w:p w14:paraId="3C915C2D">
      <w:pPr>
        <w:bidi w:val="0"/>
        <w:rPr>
          <w:rFonts w:hint="eastAsia"/>
          <w:lang w:val="en-US" w:eastAsia="zh-CN"/>
        </w:rPr>
      </w:pPr>
    </w:p>
    <w:p w14:paraId="1A0DFB51">
      <w:pPr>
        <w:bidi w:val="0"/>
        <w:rPr>
          <w:rFonts w:hint="eastAsia"/>
          <w:lang w:val="en-US" w:eastAsia="zh-CN"/>
        </w:rPr>
      </w:pPr>
    </w:p>
    <w:p w14:paraId="08C20C1E">
      <w:pPr>
        <w:pStyle w:val="2"/>
        <w:rPr>
          <w:rFonts w:hint="eastAsia"/>
          <w:lang w:val="en-US" w:eastAsia="zh-CN"/>
        </w:rPr>
      </w:pPr>
    </w:p>
    <w:p w14:paraId="22042009">
      <w:pPr>
        <w:pStyle w:val="3"/>
        <w:rPr>
          <w:rFonts w:hint="eastAsia"/>
          <w:lang w:val="en-US" w:eastAsia="zh-CN"/>
        </w:rPr>
      </w:pPr>
    </w:p>
    <w:p w14:paraId="135DD017">
      <w:pPr>
        <w:rPr>
          <w:rFonts w:hint="eastAsia"/>
          <w:lang w:val="en-US" w:eastAsia="zh-CN"/>
        </w:rPr>
      </w:pPr>
    </w:p>
    <w:p w14:paraId="0B9AC09D">
      <w:pPr>
        <w:pStyle w:val="2"/>
        <w:rPr>
          <w:rFonts w:hint="eastAsia"/>
          <w:lang w:val="en-US" w:eastAsia="zh-CN"/>
        </w:rPr>
      </w:pPr>
    </w:p>
    <w:p w14:paraId="03AA01DB">
      <w:pPr>
        <w:pStyle w:val="3"/>
        <w:rPr>
          <w:rFonts w:hint="eastAsia"/>
          <w:lang w:val="en-US" w:eastAsia="zh-CN"/>
        </w:rPr>
      </w:pPr>
    </w:p>
    <w:p w14:paraId="4FF96E16">
      <w:pPr>
        <w:bidi w:val="0"/>
        <w:rPr>
          <w:rFonts w:hint="eastAsia"/>
          <w:lang w:val="en-US" w:eastAsia="zh-CN"/>
        </w:rPr>
      </w:pPr>
    </w:p>
    <w:p w14:paraId="08B9D934">
      <w:pPr>
        <w:bidi w:val="0"/>
        <w:rPr>
          <w:rFonts w:hint="eastAsia"/>
          <w:lang w:val="en-US" w:eastAsia="zh-CN"/>
        </w:rPr>
      </w:pPr>
    </w:p>
    <w:p w14:paraId="0CA3E236">
      <w:pPr>
        <w:bidi w:val="0"/>
        <w:rPr>
          <w:rFonts w:hint="eastAsia"/>
          <w:lang w:val="en-US" w:eastAsia="zh-CN"/>
        </w:rPr>
      </w:pPr>
    </w:p>
    <w:p w14:paraId="6C861237">
      <w:pPr>
        <w:bidi w:val="0"/>
        <w:rPr>
          <w:rFonts w:hint="eastAsia"/>
          <w:lang w:val="en-US" w:eastAsia="zh-CN"/>
        </w:rPr>
      </w:pPr>
    </w:p>
    <w:p w14:paraId="7B596EAA">
      <w:pPr>
        <w:pStyle w:val="5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第二部分  供应商须知</w:t>
      </w:r>
      <w:bookmarkEnd w:id="2"/>
    </w:p>
    <w:p w14:paraId="71A7C7DE">
      <w:pPr>
        <w:pageBreakBefore w:val="0"/>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供应商须知前附表</w:t>
      </w:r>
    </w:p>
    <w:tbl>
      <w:tblPr>
        <w:tblStyle w:val="22"/>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285"/>
        <w:gridCol w:w="6992"/>
      </w:tblGrid>
      <w:tr w14:paraId="413C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33712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序号</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416F4C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内容</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3AE10A74">
            <w:pPr>
              <w:pStyle w:val="69"/>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说明与要求</w:t>
            </w:r>
          </w:p>
        </w:tc>
      </w:tr>
      <w:tr w14:paraId="0212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restart"/>
            <w:tcBorders>
              <w:top w:val="single" w:color="000000" w:sz="4" w:space="0"/>
              <w:left w:val="single" w:color="000000" w:sz="4" w:space="0"/>
              <w:right w:val="single" w:color="000000" w:sz="4" w:space="0"/>
            </w:tcBorders>
            <w:noWrap w:val="0"/>
            <w:vAlign w:val="center"/>
          </w:tcPr>
          <w:p w14:paraId="4524D3C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B60F40D">
            <w:pPr>
              <w:pStyle w:val="69"/>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项目名称</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7EA3A7CF">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2025年度大巴扎安检口安保服务项目</w:t>
            </w:r>
          </w:p>
        </w:tc>
      </w:tr>
      <w:tr w14:paraId="3220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left w:val="single" w:color="000000" w:sz="4" w:space="0"/>
              <w:right w:val="single" w:color="000000" w:sz="4" w:space="0"/>
            </w:tcBorders>
            <w:noWrap w:val="0"/>
            <w:vAlign w:val="center"/>
          </w:tcPr>
          <w:p w14:paraId="4B85F94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5535355">
            <w:pPr>
              <w:pStyle w:val="69"/>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标项名称</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15968B95">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2025年度大巴扎安检口安保服务项目</w:t>
            </w:r>
          </w:p>
        </w:tc>
      </w:tr>
      <w:tr w14:paraId="60AA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7650F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167A9F7">
            <w:pPr>
              <w:pStyle w:val="69"/>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采购人</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1F817AE4">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名称：乌鲁木齐大巴扎景区综合服务中心</w:t>
            </w:r>
          </w:p>
          <w:p w14:paraId="11F856CB">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地址：乌鲁木齐市天山区大巴扎景区</w:t>
            </w:r>
          </w:p>
          <w:p w14:paraId="48720476">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项目联系人：张岩</w:t>
            </w:r>
          </w:p>
          <w:p w14:paraId="7DF9D57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项目联系方式：18699028216</w:t>
            </w:r>
          </w:p>
        </w:tc>
      </w:tr>
      <w:tr w14:paraId="5A1B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F4634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3</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7D562BA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采购代理机构</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6F4CA880">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名称：新疆诚成工程项目管理有限公司 　　　　　　　　　　　</w:t>
            </w:r>
          </w:p>
          <w:p w14:paraId="53EAFDD9">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乌鲁木齐市水磨沟区红光山路2588号绿地中心领海大厦1806</w:t>
            </w:r>
          </w:p>
          <w:p w14:paraId="657787AB">
            <w:pPr>
              <w:pStyle w:val="193"/>
              <w:keepNext w:val="0"/>
              <w:keepLines w:val="0"/>
              <w:pageBreakBefore w:val="0"/>
              <w:kinsoku/>
              <w:wordWrap/>
              <w:overflowPunct/>
              <w:topLinePunct w:val="0"/>
              <w:bidi w:val="0"/>
              <w:snapToGrid w:val="0"/>
              <w:spacing w:line="440" w:lineRule="exact"/>
              <w:ind w:left="0" w:right="0" w:rightChars="0" w:firstLine="0" w:firstLineChars="0"/>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联系人：马琴、李颖  　　　　　　　　　　　</w:t>
            </w:r>
          </w:p>
          <w:p w14:paraId="7E49941E">
            <w:pPr>
              <w:pStyle w:val="193"/>
              <w:keepNext w:val="0"/>
              <w:keepLines w:val="0"/>
              <w:pageBreakBefore w:val="0"/>
              <w:kinsoku/>
              <w:wordWrap/>
              <w:overflowPunct/>
              <w:topLinePunct w:val="0"/>
              <w:bidi w:val="0"/>
              <w:snapToGrid w:val="0"/>
              <w:spacing w:line="440" w:lineRule="exact"/>
              <w:ind w:left="0" w:right="0" w:rightChars="0" w:firstLine="0" w:firstLineChars="0"/>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联系方式：13199858738、18690136275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c>
      </w:tr>
      <w:tr w14:paraId="7E98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2CED4F">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4</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151204C5">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预算金额</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44A2457E">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val="0"/>
                <w:bCs/>
                <w:color w:val="auto"/>
                <w:spacing w:val="0"/>
                <w:position w:val="0"/>
                <w:sz w:val="24"/>
                <w:szCs w:val="24"/>
                <w:highlight w:val="none"/>
                <w:u w:val="none"/>
                <w:lang w:val="zh-CN"/>
              </w:rPr>
              <w:t>12750000.00元</w:t>
            </w:r>
          </w:p>
        </w:tc>
      </w:tr>
      <w:tr w14:paraId="472CB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8D5D06">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5</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2DFC208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供应商资格要求</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703D53E9">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1.满足《中华人民共和国政府采购法》第二十二条规定；</w:t>
            </w:r>
          </w:p>
          <w:p w14:paraId="0545B75A">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2.落实政府采购政策需满足的资格要求：供应商为中小企业。 </w:t>
            </w:r>
          </w:p>
          <w:p w14:paraId="33E11B8A">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3.本项目的特定资格要求：供应商须具备公安机关颁发的《保安服务许可证》。</w:t>
            </w:r>
          </w:p>
        </w:tc>
      </w:tr>
      <w:tr w14:paraId="09CB3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179AA0">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6</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58E8611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是否允许联合体投标</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03A459F1">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否   </w:t>
            </w:r>
          </w:p>
        </w:tc>
      </w:tr>
      <w:tr w14:paraId="452EB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85665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7</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0927FE9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是否允许投报进口产品</w:t>
            </w:r>
          </w:p>
        </w:tc>
        <w:tc>
          <w:tcPr>
            <w:tcW w:w="6992" w:type="dxa"/>
            <w:tcBorders>
              <w:top w:val="single" w:color="000000" w:sz="4" w:space="0"/>
              <w:left w:val="single" w:color="000000" w:sz="4" w:space="0"/>
              <w:bottom w:val="single" w:color="000000" w:sz="4" w:space="0"/>
              <w:right w:val="single" w:color="000000" w:sz="4" w:space="0"/>
            </w:tcBorders>
            <w:noWrap w:val="0"/>
            <w:vAlign w:val="center"/>
          </w:tcPr>
          <w:p w14:paraId="02F66DDB">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否</w:t>
            </w:r>
          </w:p>
        </w:tc>
      </w:tr>
      <w:tr w14:paraId="5B60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BA146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6E69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踏勘现场</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6D5E6">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自行踏勘  </w:t>
            </w:r>
          </w:p>
        </w:tc>
      </w:tr>
      <w:tr w14:paraId="13A8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5D454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2761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投标有效期</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EC769">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zh-CN" w:eastAsia="zh-CN" w:bidi="ar-SA"/>
              </w:rPr>
              <w:t>自投标截止之日起90日历天。</w:t>
            </w:r>
          </w:p>
        </w:tc>
      </w:tr>
      <w:tr w14:paraId="49A9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19A31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F9F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投标截止时间（开标时间）</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86A3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截止时间：2025年02月06日11:00（北京时间）</w:t>
            </w:r>
          </w:p>
        </w:tc>
      </w:tr>
      <w:tr w14:paraId="3F4B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B45C1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697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供应商在投标截止</w:t>
            </w:r>
          </w:p>
          <w:p w14:paraId="3FE1E8A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时间前提交的文件</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648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投标文件（具体要求见本表第15项）</w:t>
            </w:r>
          </w:p>
        </w:tc>
      </w:tr>
      <w:tr w14:paraId="6B7D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2FF29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C92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投标文件份数</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87FE4">
            <w:pPr>
              <w:pStyle w:val="184"/>
              <w:pageBreakBefore w:val="0"/>
              <w:numPr>
                <w:ilvl w:val="0"/>
                <w:numId w:val="0"/>
              </w:numPr>
              <w:kinsoku/>
              <w:wordWrap/>
              <w:overflowPunct/>
              <w:topLinePunct w:val="0"/>
              <w:bidi w:val="0"/>
              <w:snapToGrid/>
              <w:spacing w:before="0" w:beforeAutospacing="0" w:after="0" w:afterAutospacing="0" w:line="440" w:lineRule="exact"/>
              <w:ind w:leftChars="0" w:right="0" w:rightChars="0" w:firstLine="0" w:firstLineChars="0"/>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加密的电子投标文件，在投标截止时间前上传新疆政府采购网（http://www.ccgp-xinjiang.gov.cn）政采云线上平台；</w:t>
            </w:r>
          </w:p>
          <w:p w14:paraId="6B6272D0">
            <w:pPr>
              <w:pStyle w:val="184"/>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注：加密的电子投标文件为使用政采云提供的电子投标文件制作工具制作生成的加密版投标文件。</w:t>
            </w:r>
          </w:p>
          <w:p w14:paraId="18C87C10">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备注：因供应商自身原因导致解密失败的，将导致其投标被拒绝且投标文件被退回。</w:t>
            </w:r>
          </w:p>
        </w:tc>
      </w:tr>
      <w:tr w14:paraId="7D8C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020CC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4BEF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开标时间及地点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013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开标时间：同投标截止时间</w:t>
            </w:r>
          </w:p>
          <w:p w14:paraId="04F622A6">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开标地点：新疆政府采购网（http://www.ccgp-xinjiang.gov.cn）政采云线上平台</w:t>
            </w:r>
          </w:p>
        </w:tc>
      </w:tr>
      <w:tr w14:paraId="6F36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3530D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F24F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评标委员会的组成</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D31FD">
            <w:pPr>
              <w:spacing w:line="440" w:lineRule="exact"/>
              <w:rPr>
                <w:rStyle w:val="31"/>
                <w:rFonts w:hint="eastAsia" w:asciiTheme="minorEastAsia" w:hAnsiTheme="minorEastAsia" w:eastAsiaTheme="minorEastAsia" w:cstheme="minorEastAsia"/>
                <w:b w:val="0"/>
                <w:color w:val="auto"/>
                <w:sz w:val="24"/>
                <w:szCs w:val="24"/>
                <w:highlight w:val="none"/>
              </w:rPr>
            </w:pPr>
            <w:r>
              <w:rPr>
                <w:rStyle w:val="31"/>
                <w:rFonts w:hint="eastAsia" w:asciiTheme="minorEastAsia" w:hAnsiTheme="minorEastAsia" w:eastAsiaTheme="minorEastAsia" w:cstheme="minorEastAsia"/>
                <w:b w:val="0"/>
                <w:color w:val="auto"/>
                <w:sz w:val="24"/>
                <w:szCs w:val="24"/>
                <w:highlight w:val="none"/>
              </w:rPr>
              <w:t>评标委员会由招标人代表和有关技术、经济等方面的专家组成，成员人数为</w:t>
            </w:r>
            <w:r>
              <w:rPr>
                <w:rStyle w:val="31"/>
                <w:rFonts w:hint="eastAsia" w:asciiTheme="minorEastAsia" w:hAnsiTheme="minorEastAsia" w:eastAsiaTheme="minorEastAsia" w:cstheme="minorEastAsia"/>
                <w:b w:val="0"/>
                <w:color w:val="auto"/>
                <w:sz w:val="24"/>
                <w:szCs w:val="24"/>
                <w:highlight w:val="none"/>
                <w:lang w:val="en-US" w:eastAsia="zh-CN"/>
              </w:rPr>
              <w:t>7</w:t>
            </w:r>
            <w:r>
              <w:rPr>
                <w:rStyle w:val="31"/>
                <w:rFonts w:hint="eastAsia" w:asciiTheme="minorEastAsia" w:hAnsiTheme="minorEastAsia" w:eastAsiaTheme="minorEastAsia" w:cstheme="minorEastAsia"/>
                <w:b w:val="0"/>
                <w:color w:val="auto"/>
                <w:sz w:val="24"/>
                <w:szCs w:val="24"/>
                <w:highlight w:val="none"/>
              </w:rPr>
              <w:t>人</w:t>
            </w:r>
            <w:r>
              <w:rPr>
                <w:rStyle w:val="31"/>
                <w:rFonts w:hint="eastAsia" w:asciiTheme="minorEastAsia" w:hAnsiTheme="minorEastAsia" w:eastAsiaTheme="minorEastAsia" w:cstheme="minorEastAsia"/>
                <w:b w:val="0"/>
                <w:color w:val="auto"/>
                <w:sz w:val="24"/>
                <w:szCs w:val="24"/>
                <w:highlight w:val="none"/>
                <w:lang w:val="en-US" w:eastAsia="zh-CN"/>
              </w:rPr>
              <w:t>或7人</w:t>
            </w:r>
            <w:r>
              <w:rPr>
                <w:rStyle w:val="31"/>
                <w:rFonts w:hint="eastAsia" w:asciiTheme="minorEastAsia" w:hAnsiTheme="minorEastAsia" w:eastAsiaTheme="minorEastAsia" w:cstheme="minorEastAsia"/>
                <w:b w:val="0"/>
                <w:color w:val="auto"/>
                <w:sz w:val="24"/>
                <w:szCs w:val="24"/>
                <w:highlight w:val="none"/>
              </w:rPr>
              <w:t>以上单数，其中技术、经济等方面的专家不得少于成员总数的2/3。</w:t>
            </w:r>
          </w:p>
          <w:p w14:paraId="5251E89C">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color w:val="auto"/>
                <w:sz w:val="24"/>
                <w:szCs w:val="24"/>
                <w:highlight w:val="none"/>
              </w:rPr>
              <w:t>评委确定方式：</w:t>
            </w:r>
            <w:r>
              <w:rPr>
                <w:rStyle w:val="31"/>
                <w:rFonts w:hint="eastAsia" w:asciiTheme="minorEastAsia" w:hAnsiTheme="minorEastAsia" w:eastAsiaTheme="minorEastAsia" w:cstheme="minorEastAsia"/>
                <w:color w:val="auto"/>
                <w:sz w:val="24"/>
                <w:szCs w:val="24"/>
                <w:highlight w:val="none"/>
              </w:rPr>
              <w:t>开标前于政采云专家库随机抽取</w:t>
            </w:r>
          </w:p>
        </w:tc>
      </w:tr>
      <w:tr w14:paraId="2387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05A8C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15</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5F3A7">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投标保证金</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64BB">
            <w:pPr>
              <w:spacing w:line="440" w:lineRule="exact"/>
              <w:jc w:val="left"/>
              <w:rPr>
                <w:rStyle w:val="31"/>
                <w:rFonts w:hint="default" w:asciiTheme="minorEastAsia" w:hAnsiTheme="minorEastAsia" w:eastAsiaTheme="minorEastAsia" w:cstheme="minorEastAsia"/>
                <w:b w:val="0"/>
                <w:color w:val="auto"/>
                <w:sz w:val="24"/>
                <w:szCs w:val="24"/>
                <w:highlight w:val="none"/>
                <w:lang w:val="en-US" w:eastAsia="zh-CN"/>
              </w:rPr>
            </w:pPr>
            <w:r>
              <w:rPr>
                <w:rStyle w:val="31"/>
                <w:rFonts w:hint="eastAsia" w:asciiTheme="minorEastAsia" w:hAnsiTheme="minorEastAsia" w:eastAsiaTheme="minorEastAsia" w:cstheme="minorEastAsia"/>
                <w:b w:val="0"/>
                <w:color w:val="auto"/>
                <w:kern w:val="0"/>
                <w:sz w:val="24"/>
                <w:szCs w:val="24"/>
                <w:highlight w:val="none"/>
              </w:rPr>
              <w:t>投标保证金额为：</w:t>
            </w:r>
            <w:r>
              <w:rPr>
                <w:rStyle w:val="31"/>
                <w:rFonts w:hint="eastAsia" w:asciiTheme="minorEastAsia" w:hAnsiTheme="minorEastAsia" w:eastAsiaTheme="minorEastAsia" w:cstheme="minorEastAsia"/>
                <w:b w:val="0"/>
                <w:color w:val="auto"/>
                <w:kern w:val="0"/>
                <w:sz w:val="24"/>
                <w:szCs w:val="24"/>
                <w:highlight w:val="none"/>
                <w:lang w:eastAsia="zh-CN"/>
              </w:rPr>
              <w:t>小写</w:t>
            </w:r>
            <w:r>
              <w:rPr>
                <w:rStyle w:val="31"/>
                <w:rFonts w:hint="eastAsia" w:asciiTheme="minorEastAsia" w:hAnsiTheme="minorEastAsia" w:eastAsiaTheme="minorEastAsia" w:cstheme="minorEastAsia"/>
                <w:b w:val="0"/>
                <w:color w:val="auto"/>
                <w:kern w:val="0"/>
                <w:sz w:val="24"/>
                <w:szCs w:val="24"/>
                <w:highlight w:val="none"/>
                <w:lang w:val="en-US" w:eastAsia="zh-CN"/>
              </w:rPr>
              <w:t>：20000</w:t>
            </w:r>
            <w:r>
              <w:rPr>
                <w:rStyle w:val="31"/>
                <w:rFonts w:hint="eastAsia" w:asciiTheme="minorEastAsia" w:hAnsiTheme="minorEastAsia" w:eastAsiaTheme="minorEastAsia" w:cstheme="minorEastAsia"/>
                <w:b w:val="0"/>
                <w:color w:val="auto"/>
                <w:kern w:val="0"/>
                <w:sz w:val="24"/>
                <w:szCs w:val="24"/>
                <w:highlight w:val="none"/>
              </w:rPr>
              <w:t>.00元</w:t>
            </w:r>
            <w:r>
              <w:rPr>
                <w:rStyle w:val="31"/>
                <w:rFonts w:hint="eastAsia" w:asciiTheme="minorEastAsia" w:hAnsiTheme="minorEastAsia" w:eastAsiaTheme="minorEastAsia" w:cstheme="minorEastAsia"/>
                <w:b w:val="0"/>
                <w:color w:val="auto"/>
                <w:sz w:val="24"/>
                <w:szCs w:val="24"/>
                <w:highlight w:val="none"/>
                <w:lang w:val="en-US" w:eastAsia="zh-CN"/>
              </w:rPr>
              <w:t xml:space="preserve">  </w:t>
            </w:r>
            <w:r>
              <w:rPr>
                <w:rStyle w:val="31"/>
                <w:rFonts w:hint="eastAsia" w:asciiTheme="minorEastAsia" w:hAnsiTheme="minorEastAsia" w:eastAsiaTheme="minorEastAsia" w:cstheme="minorEastAsia"/>
                <w:b w:val="0"/>
                <w:color w:val="auto"/>
                <w:sz w:val="24"/>
                <w:szCs w:val="24"/>
                <w:highlight w:val="none"/>
              </w:rPr>
              <w:t xml:space="preserve"> </w:t>
            </w:r>
            <w:r>
              <w:rPr>
                <w:rStyle w:val="31"/>
                <w:rFonts w:hint="eastAsia" w:asciiTheme="minorEastAsia" w:hAnsiTheme="minorEastAsia" w:eastAsiaTheme="minorEastAsia" w:cstheme="minorEastAsia"/>
                <w:b w:val="0"/>
                <w:color w:val="auto"/>
                <w:sz w:val="24"/>
                <w:szCs w:val="24"/>
                <w:highlight w:val="none"/>
                <w:lang w:eastAsia="zh-CN"/>
              </w:rPr>
              <w:t>大写：</w:t>
            </w:r>
            <w:r>
              <w:rPr>
                <w:rStyle w:val="31"/>
                <w:rFonts w:hint="eastAsia" w:asciiTheme="minorEastAsia" w:hAnsiTheme="minorEastAsia" w:eastAsiaTheme="minorEastAsia" w:cstheme="minorEastAsia"/>
                <w:b w:val="0"/>
                <w:color w:val="auto"/>
                <w:sz w:val="24"/>
                <w:szCs w:val="24"/>
                <w:highlight w:val="none"/>
                <w:lang w:val="en-US" w:eastAsia="zh-CN"/>
              </w:rPr>
              <w:t>贰万元整</w:t>
            </w:r>
          </w:p>
          <w:p w14:paraId="6379AFFC">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投标保证金缴纳方式：银行汇票、银行电汇、转账、本票或者金融机构、担保机构出具的保函等非现金形式提交。</w:t>
            </w:r>
          </w:p>
          <w:p w14:paraId="4CEEBF7A">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1、若采用银行汇票、银行电汇、转账、本票时，投标保证金于2025年02月06日11:00（北京时间，以到帐时间为准）之前从供应商账户汇至新疆诚成工程项目管理有限公司账户，否则其投标文件将被拒绝评审，供应商提交投标保证金应充分考虑资金在途时间。</w:t>
            </w:r>
          </w:p>
          <w:p w14:paraId="1DE4D471">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注：供应商向银行办理投标保证金汇（转）款时，应在用途栏（备注栏）准确注明"本项目招标编号（例如：XJCC-ZB-202</w:t>
            </w:r>
            <w:r>
              <w:rPr>
                <w:rStyle w:val="31"/>
                <w:rFonts w:hint="eastAsia" w:asciiTheme="minorEastAsia" w:hAnsiTheme="minorEastAsia" w:eastAsiaTheme="minorEastAsia" w:cstheme="minorEastAsia"/>
                <w:b w:val="0"/>
                <w:color w:val="auto"/>
                <w:kern w:val="0"/>
                <w:sz w:val="24"/>
                <w:szCs w:val="24"/>
                <w:highlight w:val="none"/>
                <w:lang w:val="en-US" w:eastAsia="zh-CN"/>
              </w:rPr>
              <w:t>5</w:t>
            </w:r>
            <w:r>
              <w:rPr>
                <w:rStyle w:val="31"/>
                <w:rFonts w:hint="eastAsia" w:asciiTheme="minorEastAsia" w:hAnsiTheme="minorEastAsia" w:eastAsiaTheme="minorEastAsia" w:cstheme="minorEastAsia"/>
                <w:b w:val="0"/>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XX</w:t>
            </w:r>
            <w:r>
              <w:rPr>
                <w:rStyle w:val="31"/>
                <w:rFonts w:hint="eastAsia" w:asciiTheme="minorEastAsia" w:hAnsiTheme="minorEastAsia" w:eastAsiaTheme="minorEastAsia" w:cstheme="minorEastAsia"/>
                <w:b w:val="0"/>
                <w:color w:val="auto"/>
                <w:kern w:val="0"/>
                <w:sz w:val="24"/>
                <w:szCs w:val="24"/>
                <w:highlight w:val="none"/>
              </w:rPr>
              <w:t>投标保证金）"字样（每个标段应分别汇款），由于未按要求准确注明信息而导致的一切后果由供应商承担。</w:t>
            </w:r>
          </w:p>
          <w:p w14:paraId="0B2D252E">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户名：新疆诚成工程项目管理有限公司</w:t>
            </w:r>
          </w:p>
          <w:p w14:paraId="764DCF81">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开户行名称：乌鲁木齐银行新华南路支行</w:t>
            </w:r>
          </w:p>
          <w:p w14:paraId="2B651BD3">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账号：0000001211121500053685</w:t>
            </w:r>
          </w:p>
          <w:p w14:paraId="3229237F">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开户行号：313881000176</w:t>
            </w:r>
          </w:p>
          <w:p w14:paraId="6CEAD1D8">
            <w:pPr>
              <w:numPr>
                <w:ilvl w:val="0"/>
                <w:numId w:val="3"/>
              </w:num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若采用金融机构、担保机构出具的保函形式递交时，须出具对本项目（项目名称）的保函，提供原件的扫描件于投标文件中，否则视为无效。保函有效期不少于投标有效期。</w:t>
            </w:r>
          </w:p>
          <w:p w14:paraId="67BBBDE7">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3、如采用电子保函方式缴纳可按照新疆政府采购网-电子保函模块。采用电子保函形式应按以下要求办理：</w:t>
            </w:r>
          </w:p>
          <w:p w14:paraId="6F1CACAC">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（1）电子保函按照“一分包一保函”的原则。</w:t>
            </w:r>
          </w:p>
          <w:p w14:paraId="04E50C0B">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（2）电子保函须在招标文件规定的投标截止时间前办理完成。</w:t>
            </w:r>
          </w:p>
          <w:p w14:paraId="795FA132">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（3）具体办理流程详见政采云平台《关于办理电子保函操作指南》。</w:t>
            </w:r>
          </w:p>
          <w:p w14:paraId="53BE526C">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lang w:eastAsia="zh-CN"/>
              </w:rPr>
              <w:t>供应商</w:t>
            </w:r>
            <w:r>
              <w:rPr>
                <w:rStyle w:val="31"/>
                <w:rFonts w:hint="eastAsia" w:asciiTheme="minorEastAsia" w:hAnsiTheme="minorEastAsia" w:eastAsiaTheme="minorEastAsia" w:cstheme="minorEastAsia"/>
                <w:b w:val="0"/>
                <w:color w:val="auto"/>
                <w:kern w:val="0"/>
                <w:sz w:val="24"/>
                <w:szCs w:val="24"/>
                <w:highlight w:val="none"/>
              </w:rPr>
              <w:t>以保函形式缴纳投标保证金的，应通过“政采云电子交易金融服务平台”，使用其企业CA 证书申请购买电子投标保函。向担保保证人购买电子投标保函所支付的费用应从</w:t>
            </w:r>
            <w:r>
              <w:rPr>
                <w:rStyle w:val="31"/>
                <w:rFonts w:hint="eastAsia" w:asciiTheme="minorEastAsia" w:hAnsiTheme="minorEastAsia" w:eastAsiaTheme="minorEastAsia" w:cstheme="minorEastAsia"/>
                <w:b w:val="0"/>
                <w:color w:val="auto"/>
                <w:kern w:val="0"/>
                <w:sz w:val="24"/>
                <w:szCs w:val="24"/>
                <w:highlight w:val="none"/>
                <w:lang w:eastAsia="zh-CN"/>
              </w:rPr>
              <w:t>供应商</w:t>
            </w:r>
            <w:r>
              <w:rPr>
                <w:rStyle w:val="31"/>
                <w:rFonts w:hint="eastAsia" w:asciiTheme="minorEastAsia" w:hAnsiTheme="minorEastAsia" w:eastAsiaTheme="minorEastAsia" w:cstheme="minorEastAsia"/>
                <w:b w:val="0"/>
                <w:color w:val="auto"/>
                <w:kern w:val="0"/>
                <w:sz w:val="24"/>
                <w:szCs w:val="24"/>
                <w:highlight w:val="none"/>
              </w:rPr>
              <w:t>的企业账户汇出(个体工商户除外)，同时将支付电子投标保函费用的银行转账回单作为电子投标文件组成部分在投标时一并提交。</w:t>
            </w:r>
          </w:p>
          <w:p w14:paraId="2EDB7194">
            <w:pPr>
              <w:adjustRightInd w:val="0"/>
              <w:snapToGrid w:val="0"/>
              <w:spacing w:line="312" w:lineRule="auto"/>
              <w:jc w:val="left"/>
              <w:rPr>
                <w:rStyle w:val="31"/>
                <w:rFonts w:hint="eastAsia" w:asciiTheme="minorEastAsia" w:hAnsiTheme="minorEastAsia" w:eastAsiaTheme="minorEastAsia" w:cstheme="minorEastAsia"/>
                <w:b w:val="0"/>
                <w:color w:val="auto"/>
                <w:kern w:val="0"/>
                <w:sz w:val="24"/>
                <w:szCs w:val="24"/>
                <w:highlight w:val="none"/>
              </w:rPr>
            </w:pPr>
            <w:r>
              <w:rPr>
                <w:rStyle w:val="31"/>
                <w:rFonts w:hint="eastAsia" w:asciiTheme="minorEastAsia" w:hAnsiTheme="minorEastAsia" w:eastAsiaTheme="minorEastAsia" w:cstheme="minorEastAsia"/>
                <w:b w:val="0"/>
                <w:color w:val="auto"/>
                <w:kern w:val="0"/>
                <w:sz w:val="24"/>
                <w:szCs w:val="24"/>
                <w:highlight w:val="none"/>
              </w:rPr>
              <w:t xml:space="preserve">（备注：如采用电子保函形式缴纳的，在投标截止日之前须从电子保函服务支撑管理平台中确认是否生效。电子保函服务管理平台技术人员联系方式：400-800-5100；0991-8844613） </w:t>
            </w:r>
          </w:p>
          <w:p w14:paraId="78F10B88">
            <w:pPr>
              <w:keepNext w:val="0"/>
              <w:keepLines w:val="0"/>
              <w:pageBreakBefore w:val="0"/>
              <w:kinsoku/>
              <w:wordWrap/>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color w:val="auto"/>
                <w:kern w:val="0"/>
                <w:sz w:val="24"/>
                <w:szCs w:val="24"/>
                <w:highlight w:val="none"/>
              </w:rPr>
              <w:t>★备注：（1）投标保证金缴纳截止时间同开标时间一致。（2）供应商未按照采购文件上述要求提交投标保证金的，投标将被否决。</w:t>
            </w:r>
          </w:p>
        </w:tc>
      </w:tr>
      <w:tr w14:paraId="06A3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77BBE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16</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B350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节能、环保要求</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8B63A">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无</w:t>
            </w:r>
          </w:p>
        </w:tc>
      </w:tr>
      <w:tr w14:paraId="0530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C7F53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4F9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中小微型企业</w:t>
            </w:r>
          </w:p>
          <w:p w14:paraId="2ECE308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有关政策</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59E05">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17.1（本项目专门面向中小企业，各供应商须提供《中小企业申明函》，否则视为无效投标。）</w:t>
            </w:r>
          </w:p>
          <w:p w14:paraId="2B4574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17.2根据工信部等部委发布的《关于印发中小企业划型标准规定的通知》（工信部联企业〔2011〕300号）、财政部、工业和信息化部《政府采购促进中小企业发展管理办法 》（财库[2020]46号文）规定，本次采购标的所属行业为</w:t>
            </w: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u w:val="thick"/>
                <w:lang w:val="en-US" w:eastAsia="zh-CN" w:bidi="ar-SA"/>
              </w:rPr>
              <w:t>租赁与商务服务业</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，符合条件的中小微型企业应按照招标文件格式要求提供《中小企业声明函》。</w:t>
            </w:r>
          </w:p>
        </w:tc>
      </w:tr>
      <w:tr w14:paraId="72AA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AF5B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CBF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评审方法</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1917A">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资格后审         </w:t>
            </w:r>
          </w:p>
          <w:p w14:paraId="30D5E6A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综合评分法       </w:t>
            </w:r>
          </w:p>
          <w:p w14:paraId="08086497">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w:t>
            </w:r>
          </w:p>
          <w:p w14:paraId="4C38C1E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6594FA7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得分相同的，报价较低的一方为中标人。得分且投标报价相同的，技术指标较优的一方为中标人。</w:t>
            </w:r>
          </w:p>
        </w:tc>
      </w:tr>
      <w:tr w14:paraId="7138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40FD4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F66A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履约保证金</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CE076">
            <w:pPr>
              <w:pStyle w:val="85"/>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不交纳</w:t>
            </w:r>
          </w:p>
        </w:tc>
      </w:tr>
      <w:tr w14:paraId="26EA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545BE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BDB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代理服务费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07A7">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采购人将不另行支付。</w:t>
            </w:r>
          </w:p>
        </w:tc>
      </w:tr>
      <w:tr w14:paraId="546B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597C3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B890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场地服务费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C203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不交纳 </w:t>
            </w:r>
          </w:p>
        </w:tc>
      </w:tr>
      <w:tr w14:paraId="7351F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D8FA7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9A8D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付款途径</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87BBD">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电汇或网银</w:t>
            </w:r>
          </w:p>
        </w:tc>
      </w:tr>
      <w:tr w14:paraId="2078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9A0D8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593C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付款方式</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37887">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具体依照双方签订的合同履行</w:t>
            </w:r>
          </w:p>
        </w:tc>
      </w:tr>
      <w:tr w14:paraId="0B2B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454CD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25</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EAC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服务期限</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3F3AB">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一年</w:t>
            </w:r>
          </w:p>
        </w:tc>
      </w:tr>
      <w:tr w14:paraId="3688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C92CC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26</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B671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交付地点</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520D6">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甲方指定地点</w:t>
            </w:r>
          </w:p>
        </w:tc>
      </w:tr>
      <w:tr w14:paraId="08C2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AE046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7F9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争议的解决</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D610A">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乙方交付甲方货物时，如出现损坏、遗失等其他严重问题的，乙方需无条件赔偿对甲方造成的全部损失。</w:t>
            </w:r>
          </w:p>
        </w:tc>
      </w:tr>
      <w:tr w14:paraId="7F8B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82A1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6BEA1">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是否需要提交样品</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2CD5E">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zh-CN" w:eastAsia="zh-CN" w:bidi="ar-SA"/>
              </w:rPr>
              <w:t xml:space="preserve">不需要 </w:t>
            </w:r>
          </w:p>
        </w:tc>
      </w:tr>
      <w:tr w14:paraId="7985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79385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29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1C3D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现场陈述</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A1F22">
            <w:pPr>
              <w:pStyle w:val="196"/>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textAlignment w:val="auto"/>
              <w:rPr>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zh-CN"/>
              </w:rPr>
              <w:t>不需要</w:t>
            </w:r>
          </w:p>
        </w:tc>
      </w:tr>
      <w:tr w14:paraId="066CA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1E546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30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3E33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其他</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F7EF7">
            <w:pPr>
              <w:pageBreakBefore w:val="0"/>
              <w:numPr>
                <w:ilvl w:val="0"/>
                <w:numId w:val="0"/>
              </w:numP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本项目的招标投标活动以及相关当事人须接受财政监督部门依法实施的监督。</w:t>
            </w:r>
          </w:p>
        </w:tc>
      </w:tr>
      <w:tr w14:paraId="01A3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0C43B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31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5F9D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报价要求</w:t>
            </w:r>
          </w:p>
        </w:tc>
        <w:tc>
          <w:tcPr>
            <w:tcW w:w="6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E8017">
            <w:pPr>
              <w:pageBreakBefore w:val="0"/>
              <w:numPr>
                <w:ilvl w:val="0"/>
                <w:numId w:val="0"/>
              </w:numP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zh-CN" w:eastAsia="zh-CN"/>
              </w:rPr>
              <w:t>本项目为固定报价，即4250元/人/月，供应商不得修改，如报价增加或减少均视为投标无效。</w:t>
            </w:r>
          </w:p>
        </w:tc>
      </w:tr>
      <w:tr w14:paraId="23B7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699E5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注意事项</w:t>
            </w:r>
          </w:p>
        </w:tc>
        <w:tc>
          <w:tcPr>
            <w:tcW w:w="9277" w:type="dxa"/>
            <w:gridSpan w:val="2"/>
            <w:tcBorders>
              <w:top w:val="single" w:color="000000" w:sz="4" w:space="0"/>
              <w:left w:val="single" w:color="000000" w:sz="4" w:space="0"/>
              <w:bottom w:val="single" w:color="000000" w:sz="4" w:space="0"/>
              <w:right w:val="single" w:color="000000" w:sz="4" w:space="0"/>
            </w:tcBorders>
            <w:noWrap w:val="0"/>
            <w:vAlign w:val="center"/>
          </w:tcPr>
          <w:p w14:paraId="13FF0562">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注：</w:t>
            </w:r>
          </w:p>
          <w:p w14:paraId="4EFA0AA6">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1、本公告在新疆政府采购网发布。</w:t>
            </w:r>
          </w:p>
          <w:p w14:paraId="2AB204F9">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2、请投标单位随时关注本项目的澄清、答疑、变更事项。</w:t>
            </w:r>
          </w:p>
          <w:p w14:paraId="5DF467DB">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3621EC2F">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BEFEC5D">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601DE4E9">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 xml:space="preserve">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 </w:t>
            </w:r>
          </w:p>
          <w:p w14:paraId="3018CFAE">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D45EDA6">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r w14:paraId="2F1F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D70827">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w:t>
            </w:r>
          </w:p>
        </w:tc>
        <w:tc>
          <w:tcPr>
            <w:tcW w:w="9277" w:type="dxa"/>
            <w:gridSpan w:val="2"/>
            <w:tcBorders>
              <w:top w:val="single" w:color="000000" w:sz="4" w:space="0"/>
              <w:left w:val="single" w:color="000000" w:sz="4" w:space="0"/>
              <w:bottom w:val="single" w:color="000000" w:sz="4" w:space="0"/>
              <w:right w:val="single" w:color="000000" w:sz="4" w:space="0"/>
            </w:tcBorders>
            <w:noWrap w:val="0"/>
            <w:vAlign w:val="center"/>
          </w:tcPr>
          <w:p w14:paraId="61BF12E9">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tc>
      </w:tr>
    </w:tbl>
    <w:p w14:paraId="7E7EEA97">
      <w:pPr>
        <w:pageBreakBefore w:val="0"/>
        <w:kinsoku/>
        <w:wordWrap/>
        <w:overflowPunct/>
        <w:topLinePunct w:val="0"/>
        <w:bidi w:val="0"/>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2EC4B059">
      <w:pPr>
        <w:pageBreakBefore w:val="0"/>
        <w:kinsoku/>
        <w:wordWrap/>
        <w:overflowPunct/>
        <w:topLinePunct w:val="0"/>
        <w:bidi w:val="0"/>
        <w:snapToGrid w:val="0"/>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01AF9FA">
      <w:pPr>
        <w:pageBreakBefore w:val="0"/>
        <w:kinsoku/>
        <w:wordWrap/>
        <w:overflowPunct/>
        <w:topLinePunct w:val="0"/>
        <w:bidi w:val="0"/>
        <w:snapToGrid w:val="0"/>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94A94C6">
      <w:pPr>
        <w:pStyle w:val="2"/>
        <w:rPr>
          <w:rFonts w:hint="eastAsia"/>
          <w:color w:val="auto"/>
          <w:highlight w:val="none"/>
          <w:lang w:val="en-US" w:eastAsia="zh-CN"/>
        </w:rPr>
      </w:pPr>
    </w:p>
    <w:p w14:paraId="57D41F49">
      <w:pPr>
        <w:pStyle w:val="15"/>
        <w:rPr>
          <w:rFonts w:hint="eastAsia"/>
          <w:color w:val="auto"/>
          <w:highlight w:val="none"/>
          <w:lang w:val="en-US" w:eastAsia="zh-CN"/>
        </w:rPr>
      </w:pPr>
    </w:p>
    <w:p w14:paraId="4F7BCAE5">
      <w:pPr>
        <w:rPr>
          <w:rFonts w:hint="eastAsia"/>
          <w:lang w:val="en-US" w:eastAsia="zh-CN"/>
        </w:rPr>
      </w:pPr>
    </w:p>
    <w:p w14:paraId="01DA4434">
      <w:pPr>
        <w:pStyle w:val="2"/>
        <w:rPr>
          <w:rFonts w:hint="eastAsia"/>
          <w:lang w:val="en-US" w:eastAsia="zh-CN"/>
        </w:rPr>
      </w:pPr>
    </w:p>
    <w:p w14:paraId="6B781ACC">
      <w:pPr>
        <w:rPr>
          <w:rFonts w:hint="eastAsia"/>
          <w:color w:val="auto"/>
          <w:highlight w:val="none"/>
          <w:lang w:val="en-US" w:eastAsia="zh-CN"/>
        </w:rPr>
      </w:pPr>
    </w:p>
    <w:p w14:paraId="4AD40659">
      <w:pPr>
        <w:pStyle w:val="2"/>
        <w:rPr>
          <w:rFonts w:hint="eastAsia"/>
          <w:color w:val="auto"/>
          <w:highlight w:val="none"/>
          <w:lang w:val="en-US" w:eastAsia="zh-CN"/>
        </w:rPr>
      </w:pPr>
    </w:p>
    <w:p w14:paraId="36CFFE9C">
      <w:pPr>
        <w:pageBreakBefore w:val="0"/>
        <w:kinsoku/>
        <w:wordWrap/>
        <w:overflowPunct/>
        <w:topLinePunct w:val="0"/>
        <w:bidi w:val="0"/>
        <w:snapToGrid w:val="0"/>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供应商须知正文部分</w:t>
      </w:r>
    </w:p>
    <w:p w14:paraId="58BCADE2">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一、总则</w:t>
      </w:r>
    </w:p>
    <w:p w14:paraId="1CB340E5">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1.说明</w:t>
      </w:r>
    </w:p>
    <w:p w14:paraId="0D6E5F5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1.1本招标文件适用于本次招标采购项目的招标投标。</w:t>
      </w:r>
    </w:p>
    <w:p w14:paraId="176108B8">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2.定义</w:t>
      </w:r>
    </w:p>
    <w:p w14:paraId="6243981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14:paraId="305458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14:paraId="26C3E8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14:paraId="27676D1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2.4“潜在供应商”指符合招标文件各项规定的供应商。</w:t>
      </w:r>
    </w:p>
    <w:p w14:paraId="16DD303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2.5“供应商”指符合招标文件规定并参加投标的供应商。</w:t>
      </w:r>
    </w:p>
    <w:p w14:paraId="023B02E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14:paraId="646D64F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462AEFE4">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3.合格供应商的条件</w:t>
      </w:r>
    </w:p>
    <w:p w14:paraId="53D714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563576F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14:paraId="1F5033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1)具有独立承担民事责任的能力； </w:t>
      </w:r>
    </w:p>
    <w:p w14:paraId="054416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2)具有良好的商业信誉和健全的财务会计制度；</w:t>
      </w:r>
    </w:p>
    <w:p w14:paraId="44363E1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3)具有履行合同所必需的设备和专业技术能力；</w:t>
      </w:r>
    </w:p>
    <w:p w14:paraId="335414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4)具有依法缴纳税收和社会保障资金的良好记录；</w:t>
      </w:r>
    </w:p>
    <w:p w14:paraId="3EF666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14:paraId="60BBC1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6820484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14:paraId="2D15F02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14:paraId="3D2BB8A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3.3.1法定代表人为同一个人的两个及两个以上法人；</w:t>
      </w:r>
    </w:p>
    <w:p w14:paraId="670BA41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3.3.2母公司、全资子公司及其控股公司；</w:t>
      </w:r>
    </w:p>
    <w:p w14:paraId="251F905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3.3.3参加投标的其他组织之间存在特殊的利害关系的；</w:t>
      </w:r>
    </w:p>
    <w:p w14:paraId="12C3CA1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3.3.4法律和行政法规规定的其他情形。</w:t>
      </w:r>
    </w:p>
    <w:p w14:paraId="541B634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3.4供应商须持有《法定代表人授权委托书》。</w:t>
      </w:r>
    </w:p>
    <w:p w14:paraId="35C3E1C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电子采购文件</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23534B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3.6供应商按时足额交纳投标保证金。</w:t>
      </w:r>
    </w:p>
    <w:p w14:paraId="1DDB8D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3.7本次招标是否允许由两个以上供应商组成一个联合体以一个供应商身份共同投标，按照招标文件第二部分“供应商须知前附表”中第7项的规定。如果允许，除均应符合上述规定外，还应符合下列要求：</w:t>
      </w:r>
    </w:p>
    <w:p w14:paraId="13A5925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346CA2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14:paraId="4FE1FBC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14:paraId="704351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76465FC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14:paraId="136CA7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41B846E2">
      <w:pPr>
        <w:pStyle w:val="53"/>
        <w:pageBreakBefore w:val="0"/>
        <w:tabs>
          <w:tab w:val="left" w:pos="1146"/>
        </w:tabs>
        <w:kinsoku/>
        <w:wordWrap/>
        <w:overflowPunct/>
        <w:topLinePunct w:val="0"/>
        <w:bidi w:val="0"/>
        <w:snapToGrid w:val="0"/>
        <w:spacing w:before="0" w:beforeAutospacing="0" w:after="0" w:afterAutospacing="0" w:line="360" w:lineRule="auto"/>
        <w:ind w:left="480" w:leftChars="0" w:hanging="200"/>
        <w:jc w:val="both"/>
        <w:textAlignment w:val="baseline"/>
        <w:rPr>
          <w:rStyle w:val="31"/>
          <w:rFonts w:hint="eastAsia" w:asciiTheme="minorEastAsia" w:hAnsiTheme="minorEastAsia" w:eastAsiaTheme="minorEastAsia" w:cstheme="minorEastAsia"/>
          <w:b w:val="0"/>
          <w:i w:val="0"/>
          <w:caps w:val="0"/>
          <w:color w:val="auto"/>
          <w:spacing w:val="0"/>
          <w:w w:val="100"/>
          <w:position w:val="0"/>
          <w:sz w:val="24"/>
          <w:szCs w:val="24"/>
          <w:highlight w:val="none"/>
        </w:rPr>
      </w:pPr>
      <w:r>
        <w:rPr>
          <w:rStyle w:val="31"/>
          <w:rFonts w:hint="eastAsia" w:asciiTheme="minorEastAsia" w:hAnsiTheme="minorEastAsia" w:eastAsiaTheme="minorEastAsia" w:cstheme="minorEastAsia"/>
          <w:b w:val="0"/>
          <w:i w:val="0"/>
          <w:caps w:val="0"/>
          <w:color w:val="auto"/>
          <w:spacing w:val="0"/>
          <w:w w:val="100"/>
          <w:position w:val="0"/>
          <w:sz w:val="24"/>
          <w:szCs w:val="24"/>
          <w:highlight w:val="none"/>
        </w:rPr>
        <w:t>3.7</w:t>
      </w:r>
      <w:r>
        <w:rPr>
          <w:rStyle w:val="31"/>
          <w:rFonts w:hint="eastAsia" w:asciiTheme="minorEastAsia" w:hAnsiTheme="minorEastAsia" w:eastAsiaTheme="minorEastAsia" w:cstheme="minorEastAsia"/>
          <w:b w:val="0"/>
          <w:i w:val="0"/>
          <w:caps w:val="0"/>
          <w:color w:val="auto"/>
          <w:spacing w:val="0"/>
          <w:w w:val="100"/>
          <w:position w:val="0"/>
          <w:sz w:val="24"/>
          <w:szCs w:val="24"/>
          <w:highlight w:val="none"/>
          <w:lang w:eastAsia="zh-CN"/>
        </w:rPr>
        <w:t>供应商</w:t>
      </w:r>
      <w:r>
        <w:rPr>
          <w:rStyle w:val="31"/>
          <w:rFonts w:hint="eastAsia" w:asciiTheme="minorEastAsia" w:hAnsiTheme="minorEastAsia" w:eastAsiaTheme="minorEastAsia" w:cstheme="minorEastAsia"/>
          <w:b w:val="0"/>
          <w:i w:val="0"/>
          <w:caps w:val="0"/>
          <w:color w:val="auto"/>
          <w:spacing w:val="0"/>
          <w:w w:val="100"/>
          <w:position w:val="0"/>
          <w:sz w:val="24"/>
          <w:szCs w:val="24"/>
          <w:highlight w:val="none"/>
        </w:rPr>
        <w:t>不得与采购人、采购代理机构等有利害关系。</w:t>
      </w:r>
    </w:p>
    <w:p w14:paraId="42A39700">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4.投标费用</w:t>
      </w:r>
    </w:p>
    <w:p w14:paraId="52B4CC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4.1供应商应承担所有与准备和参加投标有关的费用。</w:t>
      </w:r>
    </w:p>
    <w:p w14:paraId="5A4F3636">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5.纪律</w:t>
      </w:r>
    </w:p>
    <w:p w14:paraId="71EB79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5.1供应商的投标行为应遵守中国的有关法律、法规和规章。</w:t>
      </w:r>
    </w:p>
    <w:p w14:paraId="55F3ED3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14:paraId="469138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5.2.1有下列情形之一的，属于供应商相互串通投标：</w:t>
      </w:r>
    </w:p>
    <w:p w14:paraId="64D705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5.2.1.1供应商之间协商投标报价等投标文件的实质性内容；</w:t>
      </w:r>
    </w:p>
    <w:p w14:paraId="15906B0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5.2.1.2供应商之间约定中标人；</w:t>
      </w:r>
    </w:p>
    <w:p w14:paraId="1CC88C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5.2.1.3供应商之间约定部分供应商放弃投标或者中标；</w:t>
      </w:r>
    </w:p>
    <w:p w14:paraId="0E10A6C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14:paraId="7DF815C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14:paraId="123FFE8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5.2.2有下列情形之一的，视为供应商相互串通投标：</w:t>
      </w:r>
    </w:p>
    <w:p w14:paraId="360B059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5.2.2.1不同供应商的投标文件由同一单位或者个人编制；</w:t>
      </w:r>
    </w:p>
    <w:p w14:paraId="2978C1A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14:paraId="5E86C03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5.2.2.3不同供应商的投标文件载明的项目管理成员为同一人；</w:t>
      </w:r>
    </w:p>
    <w:p w14:paraId="7DC8D1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14:paraId="7C5D6E0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5.2.2.5不同供应商的投标文件相互混装；</w:t>
      </w:r>
    </w:p>
    <w:p w14:paraId="3665F2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14:paraId="376039F4">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6.通知</w:t>
      </w:r>
    </w:p>
    <w:p w14:paraId="02BE35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6AA19ABA">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二、招标文件</w:t>
      </w:r>
    </w:p>
    <w:p w14:paraId="257BC3EA">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7.招标文件组成</w:t>
      </w:r>
    </w:p>
    <w:p w14:paraId="6359A9C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7.1招标文件由招标文件目录所列内容组成。</w:t>
      </w:r>
    </w:p>
    <w:p w14:paraId="6C8DA3CE">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8.踏勘现场</w:t>
      </w:r>
    </w:p>
    <w:p w14:paraId="5686AC9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8.1本项目是否统一组织供应商踏勘现场见招标文件第二部分“供应商须知前附表”中第8项的规定。无论是否统一组织，供应商应对供货现场和周围环境进行勘察，以获取编制投标文件所需的资料。</w:t>
      </w:r>
    </w:p>
    <w:p w14:paraId="3D7B4FE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10D8038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14:paraId="2EF338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14:paraId="632A7505">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9.知识产权</w:t>
      </w:r>
    </w:p>
    <w:p w14:paraId="46397C1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79FDF0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14:paraId="4F7AA631">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10.答疑及招标文件的澄清和修改</w:t>
      </w:r>
    </w:p>
    <w:p w14:paraId="2B609E6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第10项规定向采购代理机构提出。提出后，请供应商及时通过交易平台“答疑文件下载”栏目查看答疑文件或澄清文件。必要时，采购代理机构将组织相关专家召开答疑会，如召开，答疑会安排另行通知。</w:t>
      </w:r>
    </w:p>
    <w:p w14:paraId="7C3A99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14:paraId="084C33C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14:paraId="643EBDB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14:paraId="41DE84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0F3889F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132193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10.5澄清、修改文件发出后，供应商必须使用最新的答疑、澄清文件制作电子投标文件，否则将无法完成上传。</w:t>
      </w:r>
    </w:p>
    <w:p w14:paraId="79F120FE">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三、投标文件</w:t>
      </w:r>
    </w:p>
    <w:p w14:paraId="7746B218">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11.投标文件的语言及计量单位</w:t>
      </w:r>
    </w:p>
    <w:p w14:paraId="7A3092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14:paraId="09D34DF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5F9882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4AFECB7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14:paraId="4FF7A9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14:paraId="4DB2A672">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12.投标文件组成及编制</w:t>
      </w:r>
    </w:p>
    <w:p w14:paraId="32B5990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12.1投标文件分为资格审查资料、商务文件、技术文件和服务文件。</w:t>
      </w:r>
    </w:p>
    <w:p w14:paraId="3742A58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二部分“供应商须知前附表”中第6项规定提交资格审查资料、商务文件、技术文件和服务文件，其中加☆项目若有缺失或无效，将导致投标被拒绝且不允许在开标后补正。</w:t>
      </w:r>
    </w:p>
    <w:p w14:paraId="0C257CF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12.2供应商递交的投标文件及相关要求按照招标文件第二部分“供应商须知前附表”中第14、15项的规定。</w:t>
      </w:r>
    </w:p>
    <w:p w14:paraId="1E59F67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12.2.1电子投标文件的编制</w:t>
      </w:r>
    </w:p>
    <w:p w14:paraId="69F829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0F9F7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14:paraId="3DD0433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7B9E2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12.2.1.4电子投标文件制作工具在生成加密投标文件时，同时生成非加密投标文件一份。未加密的电子投标文件由供应商使用U盘制作（供应商须保证启用光盘时能正常读取）。 </w:t>
      </w:r>
    </w:p>
    <w:p w14:paraId="1920441C">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13.投标报价</w:t>
      </w:r>
    </w:p>
    <w:p w14:paraId="2E1056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104C71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6D07A89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4527AE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13.4本项目是否接受进口产品按照招标文件第二部分“供应商须知前附表中”中第8项的规定。</w:t>
      </w:r>
    </w:p>
    <w:p w14:paraId="77E0986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第9项的规定。如允许，供应商根据采购项目的实际情况，拟在中标后将中标项目的非主体、非关键性工作交由他人完成，须在技术文件中载明。</w:t>
      </w:r>
    </w:p>
    <w:p w14:paraId="384D37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14:paraId="6E8EA18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13.7供应商对投标报价若有说明应在投标文件中显著处注明。</w:t>
      </w:r>
    </w:p>
    <w:p w14:paraId="62C7BA9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14:paraId="0E080B0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04BD7A1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13.9最低报价不能作为中标的保证。</w:t>
      </w:r>
    </w:p>
    <w:p w14:paraId="79254997">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14.投标有效期</w:t>
      </w:r>
    </w:p>
    <w:p w14:paraId="484BED5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14.1本项目的投标有效期按照招标文件第二部分“供应商须知前附表中”中第12项的规定。投标有效期自开标之日起计算，短于规定期限的投标将按无效投标处理。</w:t>
      </w:r>
    </w:p>
    <w:p w14:paraId="1D0342E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14:paraId="77EC5724">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15.投标内容填写说明</w:t>
      </w:r>
    </w:p>
    <w:p w14:paraId="6A0211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14:paraId="2FECCA7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0E66AAB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15.3开标一览表为在开标仪式上唱标的内容，要求按格式统一填写，不得自行增减内容。</w:t>
      </w:r>
    </w:p>
    <w:p w14:paraId="688A9BF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6466279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14:paraId="40060C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E9CD848">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四、投标保证金</w:t>
      </w:r>
    </w:p>
    <w:p w14:paraId="344A990C">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 xml:space="preserve">16.投标保证金 </w:t>
      </w:r>
    </w:p>
    <w:p w14:paraId="6A724614">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16.1供应商应按照招标文件第二部分“供应商须知前附表”中的规定交纳。投标保证金须于到账截止时间前到帐。</w:t>
      </w:r>
    </w:p>
    <w:p w14:paraId="22340AD7">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16.2未按要求提交投标保证金的，将被视为无效投标。</w:t>
      </w:r>
    </w:p>
    <w:p w14:paraId="267C9110">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2956A127">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16.4投标保证金退还一律采用网上银行转帐方式退还至供应商的汇款帐户，资金原路返回。</w:t>
      </w:r>
    </w:p>
    <w:p w14:paraId="503055C7">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五、投标文件的递交</w:t>
      </w:r>
    </w:p>
    <w:p w14:paraId="25ECAA76">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466A2FD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277DA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2957A73B">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2D43F46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供应商应当在招标文件要求提交投标文件的截止时间前网上投标。</w:t>
      </w:r>
    </w:p>
    <w:p w14:paraId="262E5A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3EFCA941">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258D1A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供应商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6586CE6A">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19.投标文件的修改和撤回</w:t>
      </w:r>
    </w:p>
    <w:p w14:paraId="0D0D124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14:paraId="2E7E7256">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六、开标</w:t>
      </w:r>
    </w:p>
    <w:p w14:paraId="6D15F2B0">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20.开标</w:t>
      </w:r>
    </w:p>
    <w:p w14:paraId="73FAE652">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20.1招标人在规定的投标截止时间（开标时间）和供应商须知前附表规定的地点开标。供应商的法定代表人或其委托代理人无需到达开标现场，仅需在任意地点通过政采云开标系统，使用CA密钥完成远程解密、提疑澄清、开标唱标确认、结果公布等交互环节。</w:t>
      </w:r>
    </w:p>
    <w:p w14:paraId="1216A4A8">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20.2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7E2918AD">
      <w:pPr>
        <w:pStyle w:val="35"/>
        <w:keepNext/>
        <w:keepLines/>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七、评标步骤和要求</w:t>
      </w:r>
    </w:p>
    <w:p w14:paraId="3059641E">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21.组建评标委员会</w:t>
      </w:r>
    </w:p>
    <w:p w14:paraId="2CFC8A8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43A7CDB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14:paraId="57F6C631">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22、资格审查</w:t>
      </w:r>
    </w:p>
    <w:p w14:paraId="7FA83E0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w:t>
      </w:r>
    </w:p>
    <w:tbl>
      <w:tblPr>
        <w:tblStyle w:val="22"/>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2057"/>
        <w:gridCol w:w="5662"/>
        <w:gridCol w:w="592"/>
        <w:gridCol w:w="743"/>
      </w:tblGrid>
      <w:tr w14:paraId="2363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59C42">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20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3434">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56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04BD7">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8F4866A">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4800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987B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2F616">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6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2D44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67FEC81">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2F4B39B">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5E75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restart"/>
            <w:tcBorders>
              <w:top w:val="single" w:color="000000" w:sz="4" w:space="0"/>
              <w:left w:val="single" w:color="000000" w:sz="4" w:space="0"/>
              <w:right w:val="single" w:color="000000" w:sz="4" w:space="0"/>
            </w:tcBorders>
            <w:noWrap w:val="0"/>
            <w:vAlign w:val="center"/>
          </w:tcPr>
          <w:p w14:paraId="08464BD6">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资格检查</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26CC4D2">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具有独立承担民事责任的能力</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18C8EAFA">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是否具备有效在中华人民共和国境内注册的法人或其他组织或自然人的营业执照副本或事业法人登记证或执业许可证或身份证等相关证明原件扫描件</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EAB282E">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9F67B10">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979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27796992">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7FBCBE8">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具有良好的商业信誉和健全的财务会计制度</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72F9D17A">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firstLine="0" w:firstLineChars="0"/>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具有良好的商业信誉和健全的财务会计制度（须提供近两年度（任意一年）经审计的</w:t>
            </w:r>
            <w:r>
              <w:rPr>
                <w:rFonts w:hint="eastAsia" w:asciiTheme="minorEastAsia" w:hAnsiTheme="minorEastAsia" w:eastAsiaTheme="minorEastAsia" w:cstheme="minorEastAsia"/>
                <w:b w:val="0"/>
                <w:bCs w:val="0"/>
                <w:color w:val="auto"/>
                <w:sz w:val="24"/>
                <w:szCs w:val="24"/>
                <w:highlight w:val="none"/>
                <w:lang w:val="en-US" w:eastAsia="zh-CN"/>
              </w:rPr>
              <w:t>完整的</w:t>
            </w:r>
            <w:r>
              <w:rPr>
                <w:rFonts w:hint="eastAsia" w:asciiTheme="minorEastAsia" w:hAnsiTheme="minorEastAsia" w:eastAsiaTheme="minorEastAsia" w:cstheme="minorEastAsia"/>
                <w:b w:val="0"/>
                <w:bCs w:val="0"/>
                <w:color w:val="auto"/>
                <w:sz w:val="24"/>
                <w:szCs w:val="24"/>
                <w:highlight w:val="none"/>
              </w:rPr>
              <w:t>财务审计报告复印件，或银行在开标日期前三个月内开具的资信证明）</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74FD17DB">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472E9F6">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3B95B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693746F5">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84C6249">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具有履行合同所必需的设备和专业技术能力</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3BFF574D">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提供具有履行合同所必需的设备和专业技术能力的书面声明</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2E767F10">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659835A">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6BA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53" w:type="dxa"/>
            <w:vMerge w:val="continue"/>
            <w:tcBorders>
              <w:left w:val="single" w:color="000000" w:sz="4" w:space="0"/>
              <w:right w:val="single" w:color="000000" w:sz="4" w:space="0"/>
            </w:tcBorders>
            <w:noWrap w:val="0"/>
            <w:vAlign w:val="center"/>
          </w:tcPr>
          <w:p w14:paraId="7D6FA6CF">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DE42473">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有依法缴纳税收和社会保障资金的良好记录</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7C2FED42">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提供近半年内任意一月依法缴纳税收证明，当月新成立公司不需提供；无需纳税或免税的也需提供相应证明材料；提供依法缴纳社会保障资金证明（近半年内任意一月缴纳社会保障资金证明，当月新成立公司不需提供）</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8AB01BA">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000000" w:sz="4" w:space="0"/>
              <w:left w:val="single" w:color="000000" w:sz="4" w:space="0"/>
              <w:bottom w:val="single" w:color="auto" w:sz="4" w:space="0"/>
              <w:right w:val="single" w:color="000000" w:sz="4" w:space="0"/>
            </w:tcBorders>
            <w:noWrap w:val="0"/>
            <w:vAlign w:val="center"/>
          </w:tcPr>
          <w:p w14:paraId="48BC89FB">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247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7596EA72">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AC7C5B0">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Fonts w:hint="eastAsia" w:asciiTheme="minorEastAsia" w:hAnsiTheme="minorEastAsia" w:eastAsiaTheme="minorEastAsia" w:cstheme="minorEastAsia"/>
                <w:b w:val="0"/>
                <w:bCs w:val="0"/>
                <w:color w:val="auto"/>
                <w:kern w:val="0"/>
                <w:sz w:val="24"/>
                <w:szCs w:val="24"/>
                <w:highlight w:val="none"/>
              </w:rPr>
              <w:t>参加政府采购活动前三年内，在经营活动中没有重大违法记录</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0103356F">
            <w:pPr>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Fonts w:hint="eastAsia" w:asciiTheme="minorEastAsia" w:hAnsiTheme="minorEastAsia" w:eastAsiaTheme="minorEastAsia" w:cstheme="minorEastAsia"/>
                <w:b w:val="0"/>
                <w:bCs w:val="0"/>
                <w:color w:val="auto"/>
                <w:kern w:val="0"/>
                <w:sz w:val="24"/>
                <w:szCs w:val="24"/>
                <w:highlight w:val="none"/>
                <w:lang w:val="en-US" w:eastAsia="en-US" w:bidi="en-US"/>
              </w:rPr>
              <w:t>提供</w:t>
            </w:r>
            <w:r>
              <w:rPr>
                <w:rFonts w:hint="eastAsia" w:asciiTheme="minorEastAsia" w:hAnsiTheme="minorEastAsia" w:eastAsiaTheme="minorEastAsia" w:cstheme="minorEastAsia"/>
                <w:b w:val="0"/>
                <w:bCs w:val="0"/>
                <w:color w:val="auto"/>
                <w:kern w:val="0"/>
                <w:sz w:val="24"/>
                <w:szCs w:val="24"/>
                <w:highlight w:val="none"/>
                <w:lang w:val="en-US" w:eastAsia="zh-CN" w:bidi="en-US"/>
              </w:rPr>
              <w:t>近三年</w:t>
            </w:r>
            <w:r>
              <w:rPr>
                <w:rFonts w:hint="eastAsia" w:asciiTheme="minorEastAsia" w:hAnsiTheme="minorEastAsia" w:eastAsiaTheme="minorEastAsia" w:cstheme="minorEastAsia"/>
                <w:b w:val="0"/>
                <w:bCs w:val="0"/>
                <w:color w:val="auto"/>
                <w:kern w:val="0"/>
                <w:sz w:val="24"/>
                <w:szCs w:val="24"/>
                <w:highlight w:val="none"/>
                <w:lang w:val="en-US" w:eastAsia="en-US" w:bidi="en-US"/>
              </w:rPr>
              <w:t>无重大违法记录声明书</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2DD20A9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bottom w:val="single" w:color="auto" w:sz="4" w:space="0"/>
              <w:right w:val="single" w:color="000000" w:sz="4" w:space="0"/>
            </w:tcBorders>
            <w:noWrap w:val="0"/>
            <w:vAlign w:val="center"/>
          </w:tcPr>
          <w:p w14:paraId="5348D67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EEF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74B7CFD9">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46434C1">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rPr>
              <w:t>资质证书</w:t>
            </w:r>
          </w:p>
        </w:tc>
        <w:tc>
          <w:tcPr>
            <w:tcW w:w="5662" w:type="dxa"/>
            <w:tcBorders>
              <w:top w:val="single" w:color="000000" w:sz="4" w:space="0"/>
              <w:left w:val="single" w:color="000000" w:sz="4" w:space="0"/>
              <w:bottom w:val="single" w:color="000000" w:sz="4" w:space="0"/>
              <w:right w:val="single" w:color="000000" w:sz="4" w:space="0"/>
            </w:tcBorders>
            <w:noWrap w:val="0"/>
            <w:vAlign w:val="center"/>
          </w:tcPr>
          <w:p w14:paraId="31533518">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kern w:val="0"/>
                <w:sz w:val="24"/>
                <w:szCs w:val="24"/>
                <w:highlight w:val="none"/>
                <w:lang w:val="en-US" w:eastAsia="en-US" w:bidi="en-US"/>
              </w:rPr>
              <w:t>供应商须具备公安机关颁发的《保安服务许可证》</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47533726">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bottom w:val="single" w:color="auto" w:sz="4" w:space="0"/>
              <w:right w:val="single" w:color="000000" w:sz="4" w:space="0"/>
            </w:tcBorders>
            <w:noWrap w:val="0"/>
            <w:vAlign w:val="center"/>
          </w:tcPr>
          <w:p w14:paraId="20D8DAE5">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E73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253" w:type="dxa"/>
            <w:vMerge w:val="continue"/>
            <w:tcBorders>
              <w:left w:val="single" w:color="000000" w:sz="4" w:space="0"/>
              <w:right w:val="single" w:color="000000" w:sz="4" w:space="0"/>
            </w:tcBorders>
            <w:noWrap w:val="0"/>
            <w:vAlign w:val="center"/>
          </w:tcPr>
          <w:p w14:paraId="4286C74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057" w:type="dxa"/>
            <w:tcBorders>
              <w:top w:val="single" w:color="000000" w:sz="4" w:space="0"/>
              <w:left w:val="single" w:color="000000" w:sz="4" w:space="0"/>
              <w:right w:val="single" w:color="000000" w:sz="4" w:space="0"/>
            </w:tcBorders>
            <w:noWrap w:val="0"/>
            <w:vAlign w:val="center"/>
          </w:tcPr>
          <w:p w14:paraId="3ADFA26C">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落实政府采购政策需满足的资格要求</w:t>
            </w:r>
          </w:p>
        </w:tc>
        <w:tc>
          <w:tcPr>
            <w:tcW w:w="5662" w:type="dxa"/>
            <w:tcBorders>
              <w:top w:val="single" w:color="000000" w:sz="4" w:space="0"/>
              <w:left w:val="single" w:color="000000" w:sz="4" w:space="0"/>
              <w:right w:val="single" w:color="000000" w:sz="4" w:space="0"/>
            </w:tcBorders>
            <w:noWrap w:val="0"/>
            <w:vAlign w:val="center"/>
          </w:tcPr>
          <w:p w14:paraId="6974334A">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Fonts w:hint="eastAsia" w:asciiTheme="minorEastAsia" w:hAnsiTheme="minorEastAsia" w:eastAsiaTheme="minorEastAsia" w:cstheme="minorEastAsia"/>
                <w:b w:val="0"/>
                <w:bCs w:val="0"/>
                <w:color w:val="auto"/>
                <w:sz w:val="24"/>
                <w:szCs w:val="24"/>
                <w:highlight w:val="none"/>
              </w:rPr>
              <w:t>请根据要求单独上传《中小企业声明函》。格式以采购文件要求为准。</w:t>
            </w:r>
          </w:p>
        </w:tc>
        <w:tc>
          <w:tcPr>
            <w:tcW w:w="592" w:type="dxa"/>
            <w:tcBorders>
              <w:top w:val="single" w:color="000000" w:sz="4" w:space="0"/>
              <w:left w:val="single" w:color="000000" w:sz="4" w:space="0"/>
              <w:right w:val="single" w:color="000000" w:sz="4" w:space="0"/>
            </w:tcBorders>
            <w:noWrap w:val="0"/>
            <w:vAlign w:val="center"/>
          </w:tcPr>
          <w:p w14:paraId="78E024AB">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43" w:type="dxa"/>
            <w:tcBorders>
              <w:top w:val="single" w:color="auto" w:sz="4" w:space="0"/>
              <w:left w:val="single" w:color="000000" w:sz="4" w:space="0"/>
              <w:right w:val="single" w:color="000000" w:sz="4" w:space="0"/>
            </w:tcBorders>
            <w:noWrap w:val="0"/>
            <w:vAlign w:val="center"/>
          </w:tcPr>
          <w:p w14:paraId="59454AFF">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49B55201">
      <w:pPr>
        <w:pStyle w:val="8"/>
        <w:rPr>
          <w:rFonts w:hint="eastAsia" w:asciiTheme="minorEastAsia" w:hAnsiTheme="minorEastAsia" w:eastAsiaTheme="minorEastAsia" w:cstheme="minorEastAsia"/>
          <w:color w:val="auto"/>
          <w:highlight w:val="none"/>
          <w:lang w:val="en-US" w:eastAsia="zh-CN"/>
        </w:rPr>
      </w:pPr>
    </w:p>
    <w:p w14:paraId="5378AC6E">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23.初步评审</w:t>
      </w:r>
    </w:p>
    <w:p w14:paraId="6BCF06D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5E47AD1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03A5D28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209F68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供应商的竞争地位产生不公正的影响。包括但不限于：</w:t>
      </w:r>
    </w:p>
    <w:p w14:paraId="37F8F539">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A、投标文件未按招标文件的规定签章的；</w:t>
      </w:r>
    </w:p>
    <w:p w14:paraId="6B8B9E4A">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B、未按投标文件份数要求提交投标文件的；</w:t>
      </w:r>
    </w:p>
    <w:p w14:paraId="50EE403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C、招标文件带“☆”号部分任意一款不满足要求的；</w:t>
      </w:r>
    </w:p>
    <w:p w14:paraId="485463B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D、报价超过项目预算或经评标委员会认定低于成本的；</w:t>
      </w:r>
    </w:p>
    <w:p w14:paraId="3ECAE622">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E、投标有效期不足的；</w:t>
      </w:r>
    </w:p>
    <w:p w14:paraId="5F3F675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F、联合体投标文件未附联合体投标协议书的；</w:t>
      </w:r>
    </w:p>
    <w:p w14:paraId="3F2CB79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G、不符合招标文件中有关分包规定的；</w:t>
      </w:r>
    </w:p>
    <w:p w14:paraId="5743B8A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H、有串通投标或弄虚作假或有其他违法行为的；</w:t>
      </w:r>
    </w:p>
    <w:p w14:paraId="4ABE8B2C">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I、供应商递交的电子投标文件（加密电子投标文件和未加密电子投标文件）均无法满足正常开标、评标使用功能的；</w:t>
      </w:r>
    </w:p>
    <w:p w14:paraId="575CE89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J、供应商名称或组织结构与报名时不一致且无有效变更证明的；</w:t>
      </w:r>
    </w:p>
    <w:p w14:paraId="38142E68">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K、不符合招标文件中规定的其他实质性要求。</w:t>
      </w:r>
    </w:p>
    <w:p w14:paraId="4D5E9C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14:paraId="4B39C5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51B46F5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6938C3A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188F23C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2E35928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14:paraId="1B3DC0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0F8206D7">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24.投标的澄清</w:t>
      </w:r>
    </w:p>
    <w:p w14:paraId="1E39581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14:paraId="54DCCF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5C2CCE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14:paraId="16768BF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24.4公开招标采购项目开标结束后，采购人或者采购代理机构应当依法对供应商的资格进行审查。合格供应商不足3家的，不得评标。</w:t>
      </w:r>
    </w:p>
    <w:p w14:paraId="3920C73D">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25.详细评审</w:t>
      </w:r>
    </w:p>
    <w:p w14:paraId="4E7B64A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25.1评标委员会只对实质上响应招标文件的投标进行评价和比较；评审应严格按照招标文件第二部分“供应商须知前附表”中第22项规定以及招标文件的要求进行。具体要求等详见招标文件第五部分“评审方法”。</w:t>
      </w:r>
    </w:p>
    <w:p w14:paraId="43674FD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69FC8B">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26.确定中标人</w:t>
      </w:r>
    </w:p>
    <w:p w14:paraId="67BBC3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0F3EB4F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5672E2C9">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27.评标过程要求</w:t>
      </w:r>
    </w:p>
    <w:p w14:paraId="45E45C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14:paraId="1822E02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14:paraId="4B390C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27.3电子招投标的应急措施</w:t>
      </w:r>
    </w:p>
    <w:p w14:paraId="6F6344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5D1B75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（1）系统服务器发生故障，无法访问或无法使用系统；</w:t>
      </w:r>
    </w:p>
    <w:p w14:paraId="3AE5BC0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（2）系统的软件或数据库出现错误，不能进行正常操作；</w:t>
      </w:r>
    </w:p>
    <w:p w14:paraId="00B0184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（3）系统发现有安全漏洞，有潜在的泄密危险；</w:t>
      </w:r>
    </w:p>
    <w:p w14:paraId="1AAD24A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（4）病毒发作或受到外来病毒的攻击；</w:t>
      </w:r>
    </w:p>
    <w:p w14:paraId="763DD74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39DDA1A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4CE89DF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14:paraId="4B8FBDA7">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28.供应商瑕疵滞后发现的处理规则</w:t>
      </w:r>
    </w:p>
    <w:p w14:paraId="5DF5CF6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7A6DD1C3">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29.采购项目废标</w:t>
      </w:r>
    </w:p>
    <w:p w14:paraId="7E8E004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04CED4B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14:paraId="70E8A866">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2）供应商的报价均超过了采购预算；</w:t>
      </w:r>
    </w:p>
    <w:p w14:paraId="01799FF0">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3）出现影响采购公正的违法、违规行为的；</w:t>
      </w:r>
    </w:p>
    <w:p w14:paraId="598D9717">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4）因重大变故，采购任务取消的。</w:t>
      </w:r>
    </w:p>
    <w:p w14:paraId="680A21A0">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5）重要技术指标不符合招标文件要求的。</w:t>
      </w:r>
    </w:p>
    <w:p w14:paraId="7298080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除前款第四项规定的情形外，项目废标后，如未变更采购方式，采购代理机构将依法重新组织招标。</w:t>
      </w:r>
    </w:p>
    <w:p w14:paraId="4062F518">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八、履约保证金</w:t>
      </w:r>
    </w:p>
    <w:p w14:paraId="7DE51A60">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30.履约保证金</w:t>
      </w:r>
    </w:p>
    <w:p w14:paraId="2646F0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30.1履约保证金按照招标文件第二部分“供应商须知前附表”中第22项规定，在签订合同前交纳。</w:t>
      </w:r>
    </w:p>
    <w:p w14:paraId="482CAC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30.2中标人在中标公告发布后及时足额交纳履约保证金。</w:t>
      </w:r>
    </w:p>
    <w:p w14:paraId="7237DE75">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九、代理服务费</w:t>
      </w:r>
    </w:p>
    <w:p w14:paraId="611CDB39">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31.代理服务费</w:t>
      </w:r>
    </w:p>
    <w:p w14:paraId="6BA8E60D">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31.1代理服务费按照招标文件第二部分“供应商须知前附表”中第23项的规定由中标人交纳，请供应商在测算投标报价时充分考虑这一因素。</w:t>
      </w:r>
    </w:p>
    <w:p w14:paraId="3301AA5E">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十、签订、审核合同</w:t>
      </w:r>
    </w:p>
    <w:p w14:paraId="5E176A25">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32.中标通知</w:t>
      </w:r>
    </w:p>
    <w:p w14:paraId="4158AB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上述第30、31条的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3EF8BC1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14:paraId="020B43D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32.3中标通知书是合同的组成部分。</w:t>
      </w:r>
    </w:p>
    <w:p w14:paraId="58543A7E">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33.签订合同</w:t>
      </w:r>
    </w:p>
    <w:p w14:paraId="3A1689F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14:paraId="2E39A05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14:paraId="74C34F7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41C741A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7EA275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14:paraId="3BDAB5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32D9FE81">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EBC009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34.1政府采购合同于签订合同之日起3个工作日内上传至政采云交易平台进行公示。</w:t>
      </w:r>
    </w:p>
    <w:p w14:paraId="3EC8B63C">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十一、处罚、询问和质疑 </w:t>
      </w:r>
    </w:p>
    <w:p w14:paraId="0DCBE464">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35.处罚</w:t>
      </w:r>
    </w:p>
    <w:p w14:paraId="1C2CCF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14:paraId="5C4FDE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1）开标后在投标有效期内，供应商撤回其投标；</w:t>
      </w:r>
    </w:p>
    <w:p w14:paraId="3FB28AE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2）中标后无正当理由不与采购人签订合同的；</w:t>
      </w:r>
    </w:p>
    <w:p w14:paraId="6332B7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3）中标人与采购人订立背离合同实质性内容的其他协议；</w:t>
      </w:r>
    </w:p>
    <w:p w14:paraId="38F88F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14:paraId="2514495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5）存在串通投标行为的；</w:t>
      </w:r>
    </w:p>
    <w:p w14:paraId="33FDA01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6）存在弄虚作假或提供虚假材料谋取中标的；</w:t>
      </w:r>
    </w:p>
    <w:p w14:paraId="2BCFB2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14:paraId="27DCB4CC">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36．询问</w:t>
      </w:r>
    </w:p>
    <w:p w14:paraId="2E31B99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14:paraId="7CC72D1F">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37.供应商有权就招标事宜提出质疑</w:t>
      </w:r>
    </w:p>
    <w:p w14:paraId="42B83ED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14:paraId="4D4542C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14:paraId="25D70E5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2248EF9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14:paraId="26A1BB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14:paraId="613A2B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14:paraId="515034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14:paraId="7919ED0F">
      <w:pPr>
        <w:pStyle w:val="35"/>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十二、保密和披露</w:t>
      </w:r>
    </w:p>
    <w:p w14:paraId="65289881">
      <w:pPr>
        <w:pageBreakBefore w:val="0"/>
        <w:kinsoku/>
        <w:wordWrap/>
        <w:overflowPunct/>
        <w:topLinePunct w:val="0"/>
        <w:bidi w:val="0"/>
        <w:snapToGrid w:val="0"/>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38.保密和披露</w:t>
      </w:r>
    </w:p>
    <w:p w14:paraId="4211CAA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18BF2E6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14:paraId="4E9A5BA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2B81D81B">
      <w:pPr>
        <w:pStyle w:val="10"/>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52EB6FD">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C7426D2">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8C1C0F6">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464A55">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9E990A3">
      <w:pPr>
        <w:pStyle w:val="2"/>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BCE004E">
      <w:pPr>
        <w:pStyle w:val="3"/>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7E0367">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81BDE7D">
      <w:pPr>
        <w:pStyle w:val="2"/>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781A482">
      <w:pPr>
        <w:pStyle w:val="3"/>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6AE86C2">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15B96E3">
      <w:pPr>
        <w:pStyle w:val="2"/>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597AC82">
      <w:pPr>
        <w:pStyle w:val="3"/>
        <w:rPr>
          <w:rFonts w:hint="eastAsia"/>
          <w:color w:val="auto"/>
          <w:highlight w:val="none"/>
          <w:lang w:val="en-US" w:eastAsia="zh-CN"/>
        </w:rPr>
      </w:pPr>
    </w:p>
    <w:p w14:paraId="4DA0698E">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CE24CDD">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2B9D842">
      <w:pP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C60C649">
      <w:pPr>
        <w:pStyle w:val="8"/>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106F604">
      <w:pPr>
        <w:pStyle w:val="51"/>
        <w:pageBreakBefore w:val="0"/>
        <w:widowControl/>
        <w:numPr>
          <w:ilvl w:val="0"/>
          <w:numId w:val="0"/>
        </w:numPr>
        <w:tabs>
          <w:tab w:val="left" w:pos="0"/>
        </w:tabs>
        <w:kinsoku/>
        <w:wordWrap/>
        <w:overflowPunct/>
        <w:topLinePunct w:val="0"/>
        <w:bidi w:val="0"/>
        <w:snapToGrid/>
        <w:spacing w:before="0" w:beforeAutospacing="0" w:after="0" w:afterAutospacing="0" w:line="240" w:lineRule="auto"/>
        <w:ind w:left="433" w:left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3" w:name="_Toc24662"/>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第三部分  采购需求</w:t>
      </w:r>
      <w:bookmarkEnd w:id="3"/>
    </w:p>
    <w:p w14:paraId="74B21EAD">
      <w:pPr>
        <w:bidi w:val="0"/>
        <w:rPr>
          <w:rFonts w:hint="eastAsia"/>
          <w:lang w:val="en-US" w:eastAsia="zh-CN"/>
        </w:rPr>
      </w:pPr>
    </w:p>
    <w:p w14:paraId="0B5EACF7">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0"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一、采购内容：</w:t>
      </w:r>
    </w:p>
    <w:tbl>
      <w:tblPr>
        <w:tblStyle w:val="22"/>
        <w:tblW w:w="4995" w:type="pct"/>
        <w:jc w:val="center"/>
        <w:tblLayout w:type="autofit"/>
        <w:tblCellMar>
          <w:top w:w="0" w:type="dxa"/>
          <w:left w:w="0" w:type="dxa"/>
          <w:bottom w:w="0" w:type="dxa"/>
          <w:right w:w="0" w:type="dxa"/>
        </w:tblCellMar>
      </w:tblPr>
      <w:tblGrid>
        <w:gridCol w:w="841"/>
        <w:gridCol w:w="2200"/>
        <w:gridCol w:w="975"/>
        <w:gridCol w:w="977"/>
        <w:gridCol w:w="1350"/>
        <w:gridCol w:w="1985"/>
      </w:tblGrid>
      <w:tr w14:paraId="5FC4390D">
        <w:tblPrEx>
          <w:tblCellMar>
            <w:top w:w="0" w:type="dxa"/>
            <w:left w:w="0" w:type="dxa"/>
            <w:bottom w:w="0" w:type="dxa"/>
            <w:right w:w="0" w:type="dxa"/>
          </w:tblCellMar>
        </w:tblPrEx>
        <w:trPr>
          <w:trHeight w:val="567" w:hRule="atLeast"/>
          <w:jc w:val="center"/>
        </w:trPr>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0FCE0">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D2343">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5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9251C">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5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2CD00">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0FD00">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1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DA36C">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限价</w:t>
            </w:r>
          </w:p>
        </w:tc>
      </w:tr>
      <w:tr w14:paraId="0B868D07">
        <w:tblPrEx>
          <w:tblCellMar>
            <w:top w:w="0" w:type="dxa"/>
            <w:left w:w="0" w:type="dxa"/>
            <w:bottom w:w="0" w:type="dxa"/>
            <w:right w:w="0" w:type="dxa"/>
          </w:tblCellMar>
        </w:tblPrEx>
        <w:trPr>
          <w:trHeight w:val="567" w:hRule="atLeast"/>
          <w:jc w:val="center"/>
        </w:trPr>
        <w:tc>
          <w:tcPr>
            <w:tcW w:w="5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0721C">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CA195">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安保服务</w:t>
            </w:r>
          </w:p>
        </w:tc>
        <w:tc>
          <w:tcPr>
            <w:tcW w:w="58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29660">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w:t>
            </w:r>
          </w:p>
        </w:tc>
        <w:tc>
          <w:tcPr>
            <w:tcW w:w="5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35FF7">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250</w:t>
            </w:r>
          </w:p>
        </w:tc>
        <w:tc>
          <w:tcPr>
            <w:tcW w:w="8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B908B">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一年</w:t>
            </w:r>
          </w:p>
        </w:tc>
        <w:tc>
          <w:tcPr>
            <w:tcW w:w="11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A187C">
            <w:pPr>
              <w:pStyle w:val="209"/>
              <w:keepNext w:val="0"/>
              <w:keepLines w:val="0"/>
              <w:pageBreakBefore w:val="0"/>
              <w:kinsoku/>
              <w:wordWrap/>
              <w:overflowPunct/>
              <w:topLinePunct w:val="0"/>
              <w:autoSpaceDE/>
              <w:autoSpaceDN/>
              <w:bidi w:val="0"/>
              <w:adjustRightInd/>
              <w:spacing w:beforeAutospacing="0" w:afterAutospacing="0" w:line="50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4250元/人/月</w:t>
            </w:r>
          </w:p>
        </w:tc>
      </w:tr>
    </w:tbl>
    <w:p w14:paraId="32907E49">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0"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二、采购需求：</w:t>
      </w:r>
    </w:p>
    <w:p w14:paraId="650F2B5A">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所</w:t>
      </w:r>
      <w:r>
        <w:rPr>
          <w:rFonts w:hint="eastAsia" w:asciiTheme="minorEastAsia" w:hAnsiTheme="minorEastAsia" w:eastAsiaTheme="minorEastAsia" w:cstheme="minorEastAsia"/>
          <w:color w:val="auto"/>
          <w:sz w:val="24"/>
          <w:szCs w:val="24"/>
          <w:highlight w:val="none"/>
          <w:lang w:val="en-US" w:eastAsia="zh-CN"/>
        </w:rPr>
        <w:t>派遣</w:t>
      </w:r>
      <w:r>
        <w:rPr>
          <w:rFonts w:hint="eastAsia" w:asciiTheme="minorEastAsia" w:hAnsiTheme="minorEastAsia" w:eastAsiaTheme="minorEastAsia" w:cstheme="minorEastAsia"/>
          <w:color w:val="auto"/>
          <w:sz w:val="24"/>
          <w:szCs w:val="24"/>
          <w:highlight w:val="none"/>
        </w:rPr>
        <w:t>的安保人员</w:t>
      </w:r>
      <w:r>
        <w:rPr>
          <w:rFonts w:hint="eastAsia" w:asciiTheme="minorEastAsia" w:hAnsiTheme="minorEastAsia" w:eastAsiaTheme="minorEastAsia" w:cstheme="minorEastAsia"/>
          <w:color w:val="auto"/>
          <w:sz w:val="24"/>
          <w:szCs w:val="24"/>
          <w:highlight w:val="none"/>
          <w:lang w:val="en-US" w:eastAsia="zh-CN"/>
        </w:rPr>
        <w:t>优先</w:t>
      </w:r>
      <w:r>
        <w:rPr>
          <w:rFonts w:hint="eastAsia" w:asciiTheme="minorEastAsia" w:hAnsiTheme="minorEastAsia" w:eastAsiaTheme="minorEastAsia" w:cstheme="minorEastAsia"/>
          <w:color w:val="auto"/>
          <w:sz w:val="24"/>
          <w:szCs w:val="24"/>
          <w:highlight w:val="none"/>
        </w:rPr>
        <w:t>从军队和武警部队退役士兵及各大体校和武术学校毕业学生中选拨，年龄在</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岁以下，身体健康，政治思想过硬、爱岗敬业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正常使用国家通用语言及文字</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男女比例大致为3:7。</w:t>
      </w:r>
    </w:p>
    <w:p w14:paraId="0D646B5F">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2、管理人员安排：</w:t>
      </w:r>
    </w:p>
    <w:p w14:paraId="7B90A308">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①项目负责人要求：退伍军人、中共党员、大专以上学历、二级（技师）保安员证（须提供相关证书）；</w:t>
      </w:r>
    </w:p>
    <w:p w14:paraId="59EC13A2">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②三名保安队长要求：退伍军人、大专以上学历、三级（高级保安员）保安员证（须提供相关证书）；</w:t>
      </w:r>
    </w:p>
    <w:p w14:paraId="5D5EE033">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③所有人员应具有保安员上岗证（须提供相关证书）；</w:t>
      </w:r>
    </w:p>
    <w:p w14:paraId="3A8F6851">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④配备消防人员不少于4名，具有相关消防员证书（须提供相关证书）。</w:t>
      </w:r>
    </w:p>
    <w:p w14:paraId="064DB803">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、每年为大巴扎</w:t>
      </w:r>
      <w:r>
        <w:rPr>
          <w:rFonts w:hint="eastAsia" w:asciiTheme="minorEastAsia" w:hAnsiTheme="minorEastAsia" w:eastAsiaTheme="minorEastAsia" w:cstheme="minorEastAsia"/>
          <w:color w:val="auto"/>
          <w:sz w:val="24"/>
          <w:szCs w:val="24"/>
          <w:highlight w:val="none"/>
          <w:lang w:val="en-US" w:eastAsia="zh-CN"/>
        </w:rPr>
        <w:t>景区</w:t>
      </w:r>
      <w:r>
        <w:rPr>
          <w:rFonts w:hint="eastAsia" w:asciiTheme="minorEastAsia" w:hAnsiTheme="minorEastAsia" w:eastAsiaTheme="minorEastAsia" w:cstheme="minorEastAsia"/>
          <w:color w:val="auto"/>
          <w:sz w:val="24"/>
          <w:szCs w:val="24"/>
          <w:highlight w:val="none"/>
        </w:rPr>
        <w:t>安检口提供合格的安检人员，并为所有安保人员上岗前</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rPr>
        <w:t>进行为期3个月的政治思想和业务培训，并经考核合格后，</w:t>
      </w:r>
      <w:r>
        <w:rPr>
          <w:rFonts w:hint="eastAsia" w:asciiTheme="minorEastAsia" w:hAnsiTheme="minorEastAsia" w:eastAsiaTheme="minorEastAsia" w:cstheme="minorEastAsia"/>
          <w:color w:val="auto"/>
          <w:sz w:val="24"/>
          <w:szCs w:val="24"/>
          <w:highlight w:val="none"/>
          <w:lang w:val="en-US" w:eastAsia="zh-CN"/>
        </w:rPr>
        <w:t>方可上岗</w:t>
      </w:r>
      <w:r>
        <w:rPr>
          <w:rFonts w:hint="eastAsia" w:asciiTheme="minorEastAsia" w:hAnsiTheme="minorEastAsia" w:eastAsiaTheme="minorEastAsia" w:cstheme="minorEastAsia"/>
          <w:color w:val="auto"/>
          <w:sz w:val="24"/>
          <w:szCs w:val="24"/>
          <w:highlight w:val="none"/>
        </w:rPr>
        <w:t>。每年对上岗的安保人员进行不少于30天的政治思想和</w:t>
      </w:r>
      <w:r>
        <w:rPr>
          <w:rFonts w:hint="eastAsia" w:asciiTheme="minorEastAsia" w:hAnsiTheme="minorEastAsia" w:eastAsiaTheme="minorEastAsia" w:cstheme="minorEastAsia"/>
          <w:color w:val="auto"/>
          <w:sz w:val="24"/>
          <w:szCs w:val="24"/>
          <w:highlight w:val="none"/>
          <w:lang w:val="en-US" w:eastAsia="zh-CN"/>
        </w:rPr>
        <w:t>技能培训</w:t>
      </w:r>
      <w:r>
        <w:rPr>
          <w:rFonts w:hint="eastAsia" w:asciiTheme="minorEastAsia" w:hAnsiTheme="minorEastAsia" w:eastAsiaTheme="minorEastAsia" w:cstheme="minorEastAsia"/>
          <w:color w:val="auto"/>
          <w:sz w:val="24"/>
          <w:szCs w:val="24"/>
          <w:highlight w:val="none"/>
        </w:rPr>
        <w:t>。</w:t>
      </w:r>
    </w:p>
    <w:p w14:paraId="150A4A4E">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、安保服务期限：签订合同后一年。</w:t>
      </w:r>
    </w:p>
    <w:p w14:paraId="24754388">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安保人员主要承担大巴扎</w:t>
      </w:r>
      <w:r>
        <w:rPr>
          <w:rFonts w:hint="eastAsia" w:asciiTheme="minorEastAsia" w:hAnsiTheme="minorEastAsia" w:eastAsiaTheme="minorEastAsia" w:cstheme="minorEastAsia"/>
          <w:color w:val="auto"/>
          <w:sz w:val="24"/>
          <w:szCs w:val="24"/>
          <w:highlight w:val="none"/>
          <w:lang w:val="en-US" w:eastAsia="zh-CN"/>
        </w:rPr>
        <w:t>景区</w:t>
      </w:r>
      <w:r>
        <w:rPr>
          <w:rFonts w:hint="eastAsia" w:asciiTheme="minorEastAsia" w:hAnsiTheme="minorEastAsia" w:eastAsiaTheme="minorEastAsia" w:cstheme="minorEastAsia"/>
          <w:color w:val="auto"/>
          <w:sz w:val="24"/>
          <w:szCs w:val="24"/>
          <w:highlight w:val="none"/>
        </w:rPr>
        <w:t>安检口的各项安检及相关任务，严格</w:t>
      </w:r>
      <w:r>
        <w:rPr>
          <w:rFonts w:hint="eastAsia" w:asciiTheme="minorEastAsia" w:hAnsiTheme="minorEastAsia" w:eastAsiaTheme="minorEastAsia" w:cstheme="minorEastAsia"/>
          <w:color w:val="auto"/>
          <w:sz w:val="24"/>
          <w:szCs w:val="24"/>
          <w:highlight w:val="none"/>
          <w:lang w:val="en-US" w:eastAsia="zh-CN"/>
        </w:rPr>
        <w:t>遵守采购人的相关管理制度和要求，</w:t>
      </w:r>
      <w:r>
        <w:rPr>
          <w:rFonts w:hint="eastAsia" w:asciiTheme="minorEastAsia" w:hAnsiTheme="minorEastAsia" w:eastAsiaTheme="minorEastAsia" w:cstheme="minorEastAsia"/>
          <w:color w:val="auto"/>
          <w:sz w:val="24"/>
          <w:szCs w:val="24"/>
          <w:highlight w:val="none"/>
        </w:rPr>
        <w:t>严守保密规定。</w:t>
      </w:r>
    </w:p>
    <w:p w14:paraId="3D4BE978">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安保人员必须按照要求统一着装，个人仪容仪表符合制度标准。</w:t>
      </w:r>
      <w:r>
        <w:rPr>
          <w:rFonts w:hint="eastAsia" w:asciiTheme="minorEastAsia" w:hAnsiTheme="minorEastAsia" w:eastAsiaTheme="minorEastAsia" w:cstheme="minorEastAsia"/>
          <w:color w:val="auto"/>
          <w:sz w:val="24"/>
          <w:szCs w:val="24"/>
          <w:highlight w:val="none"/>
          <w:lang w:val="en-US" w:eastAsia="zh-CN"/>
        </w:rPr>
        <w:t>供应商配备安检设备（手持安检仪、防爆盾、消防设备、防刺服等）</w:t>
      </w:r>
    </w:p>
    <w:p w14:paraId="01673065">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安保人员在工作中因自身原因违反相关规定，所产生的一切事故和人身损害(含第三人及工伤)等相关</w:t>
      </w:r>
      <w:r>
        <w:rPr>
          <w:rFonts w:hint="eastAsia" w:asciiTheme="minorEastAsia" w:hAnsiTheme="minorEastAsia" w:eastAsiaTheme="minorEastAsia" w:cstheme="minorEastAsia"/>
          <w:color w:val="auto"/>
          <w:sz w:val="24"/>
          <w:szCs w:val="24"/>
          <w:highlight w:val="none"/>
          <w:lang w:val="en-US" w:eastAsia="zh-CN"/>
        </w:rPr>
        <w:t>责任</w:t>
      </w:r>
      <w:r>
        <w:rPr>
          <w:rFonts w:hint="eastAsia" w:asciiTheme="minorEastAsia" w:hAnsiTheme="minorEastAsia" w:eastAsiaTheme="minorEastAsia" w:cstheme="minorEastAsia"/>
          <w:color w:val="auto"/>
          <w:sz w:val="24"/>
          <w:szCs w:val="24"/>
          <w:highlight w:val="none"/>
        </w:rPr>
        <w:t>、损失均由乙方承担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r>
        <w:rPr>
          <w:rFonts w:hint="eastAsia" w:asciiTheme="minorEastAsia" w:hAnsiTheme="minorEastAsia" w:eastAsiaTheme="minorEastAsia" w:cstheme="minorEastAsia"/>
          <w:color w:val="auto"/>
          <w:sz w:val="24"/>
          <w:szCs w:val="24"/>
          <w:highlight w:val="none"/>
        </w:rPr>
        <w:t>。</w:t>
      </w:r>
    </w:p>
    <w:p w14:paraId="0AEFF0E7">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安保人员必须爱岗敬业、遵守职业道德。工作期间安保人员严禁</w:t>
      </w:r>
      <w:r>
        <w:rPr>
          <w:rFonts w:hint="eastAsia" w:asciiTheme="minorEastAsia" w:hAnsiTheme="minorEastAsia" w:eastAsiaTheme="minorEastAsia" w:cstheme="minorEastAsia"/>
          <w:color w:val="auto"/>
          <w:sz w:val="24"/>
          <w:szCs w:val="24"/>
          <w:highlight w:val="none"/>
          <w:lang w:val="en-US" w:eastAsia="zh-CN"/>
        </w:rPr>
        <w:t>饮酒</w:t>
      </w:r>
      <w:r>
        <w:rPr>
          <w:rFonts w:hint="eastAsia" w:asciiTheme="minorEastAsia" w:hAnsiTheme="minorEastAsia" w:eastAsiaTheme="minorEastAsia" w:cstheme="minorEastAsia"/>
          <w:color w:val="auto"/>
          <w:sz w:val="24"/>
          <w:szCs w:val="24"/>
          <w:highlight w:val="none"/>
        </w:rPr>
        <w:t>吸烟，严格遵守考勤等各项规章制度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r>
        <w:rPr>
          <w:rFonts w:hint="eastAsia" w:asciiTheme="minorEastAsia" w:hAnsiTheme="minorEastAsia" w:eastAsiaTheme="minorEastAsia" w:cstheme="minorEastAsia"/>
          <w:color w:val="auto"/>
          <w:sz w:val="24"/>
          <w:szCs w:val="24"/>
          <w:highlight w:val="none"/>
        </w:rPr>
        <w:t>。</w:t>
      </w:r>
    </w:p>
    <w:p w14:paraId="1741D7EF">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中标后全部安保人员签订合同后</w:t>
      </w:r>
      <w:r>
        <w:rPr>
          <w:rFonts w:hint="eastAsia" w:asciiTheme="minorEastAsia" w:hAnsiTheme="minorEastAsia" w:eastAsiaTheme="minorEastAsia" w:cstheme="minorEastAsia"/>
          <w:color w:val="auto"/>
          <w:sz w:val="24"/>
          <w:szCs w:val="24"/>
          <w:highlight w:val="none"/>
        </w:rPr>
        <w:t>必须</w:t>
      </w:r>
      <w:r>
        <w:rPr>
          <w:rFonts w:hint="eastAsia" w:asciiTheme="minorEastAsia" w:hAnsiTheme="minorEastAsia" w:eastAsiaTheme="minorEastAsia" w:cstheme="minorEastAsia"/>
          <w:color w:val="auto"/>
          <w:sz w:val="24"/>
          <w:szCs w:val="24"/>
          <w:highlight w:val="none"/>
          <w:lang w:val="en-US" w:eastAsia="zh-CN"/>
        </w:rPr>
        <w:t>提供近3个月</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基础</w:t>
      </w:r>
      <w:r>
        <w:rPr>
          <w:rFonts w:hint="eastAsia" w:asciiTheme="minorEastAsia" w:hAnsiTheme="minorEastAsia" w:eastAsiaTheme="minorEastAsia" w:cstheme="minorEastAsia"/>
          <w:color w:val="auto"/>
          <w:sz w:val="24"/>
          <w:szCs w:val="24"/>
          <w:highlight w:val="none"/>
        </w:rPr>
        <w:t>体检</w:t>
      </w:r>
      <w:r>
        <w:rPr>
          <w:rFonts w:hint="eastAsia" w:asciiTheme="minorEastAsia" w:hAnsiTheme="minorEastAsia" w:eastAsiaTheme="minorEastAsia" w:cstheme="minorEastAsia"/>
          <w:color w:val="auto"/>
          <w:sz w:val="24"/>
          <w:szCs w:val="24"/>
          <w:highlight w:val="none"/>
          <w:lang w:val="en-US" w:eastAsia="zh-CN"/>
        </w:rPr>
        <w:t>报告</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体检</w:t>
      </w:r>
      <w:r>
        <w:rPr>
          <w:rFonts w:hint="eastAsia" w:asciiTheme="minorEastAsia" w:hAnsiTheme="minorEastAsia" w:eastAsiaTheme="minorEastAsia" w:cstheme="minorEastAsia"/>
          <w:color w:val="auto"/>
          <w:sz w:val="24"/>
          <w:szCs w:val="24"/>
          <w:highlight w:val="none"/>
          <w:lang w:val="en-US" w:eastAsia="zh-CN"/>
        </w:rPr>
        <w:t>报告后</w:t>
      </w:r>
      <w:r>
        <w:rPr>
          <w:rFonts w:hint="eastAsia" w:asciiTheme="minorEastAsia" w:hAnsiTheme="minorEastAsia" w:eastAsiaTheme="minorEastAsia" w:cstheme="minorEastAsia"/>
          <w:color w:val="auto"/>
          <w:sz w:val="24"/>
          <w:szCs w:val="24"/>
          <w:highlight w:val="none"/>
        </w:rPr>
        <w:t>方可上岗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r>
        <w:rPr>
          <w:rFonts w:hint="eastAsia" w:asciiTheme="minorEastAsia" w:hAnsiTheme="minorEastAsia" w:eastAsiaTheme="minorEastAsia" w:cstheme="minorEastAsia"/>
          <w:color w:val="auto"/>
          <w:sz w:val="24"/>
          <w:szCs w:val="24"/>
          <w:highlight w:val="none"/>
        </w:rPr>
        <w:t>。</w:t>
      </w:r>
    </w:p>
    <w:p w14:paraId="22F48EF5">
      <w:pPr>
        <w:pStyle w:val="242"/>
        <w:keepNext w:val="0"/>
        <w:keepLines w:val="0"/>
        <w:pageBreakBefore w:val="0"/>
        <w:widowControl w:val="0"/>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负责承担派出安保人员的</w:t>
      </w:r>
      <w:r>
        <w:rPr>
          <w:rFonts w:hint="eastAsia" w:asciiTheme="minorEastAsia" w:hAnsiTheme="minorEastAsia" w:eastAsiaTheme="minorEastAsia" w:cstheme="minorEastAsia"/>
          <w:color w:val="auto"/>
          <w:sz w:val="24"/>
          <w:szCs w:val="24"/>
          <w:highlight w:val="none"/>
          <w:lang w:val="en-US" w:eastAsia="zh-CN"/>
        </w:rPr>
        <w:t>社会保险、</w:t>
      </w:r>
      <w:r>
        <w:rPr>
          <w:rFonts w:hint="eastAsia" w:asciiTheme="minorEastAsia" w:hAnsiTheme="minorEastAsia" w:eastAsiaTheme="minorEastAsia" w:cstheme="minorEastAsia"/>
          <w:color w:val="auto"/>
          <w:sz w:val="24"/>
          <w:szCs w:val="24"/>
          <w:highlight w:val="none"/>
        </w:rPr>
        <w:t>劳动报酬、福利待遇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并购买商业保险。采购人</w:t>
      </w:r>
      <w:r>
        <w:rPr>
          <w:rFonts w:hint="eastAsia" w:asciiTheme="minorEastAsia" w:hAnsiTheme="minorEastAsia" w:eastAsiaTheme="minorEastAsia" w:cstheme="minorEastAsia"/>
          <w:color w:val="auto"/>
          <w:sz w:val="24"/>
          <w:szCs w:val="24"/>
          <w:highlight w:val="none"/>
        </w:rPr>
        <w:t>按照工作时间8小时/天，4250元/人/月的标准向</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支付服务费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r>
        <w:rPr>
          <w:rFonts w:hint="eastAsia" w:asciiTheme="minorEastAsia" w:hAnsiTheme="minorEastAsia" w:eastAsiaTheme="minorEastAsia" w:cstheme="minorEastAsia"/>
          <w:color w:val="auto"/>
          <w:sz w:val="24"/>
          <w:szCs w:val="24"/>
          <w:highlight w:val="none"/>
        </w:rPr>
        <w:t>。</w:t>
      </w:r>
    </w:p>
    <w:p w14:paraId="184FA3DA">
      <w:pPr>
        <w:pStyle w:val="24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11、供应商</w:t>
      </w:r>
      <w:r>
        <w:rPr>
          <w:rFonts w:hint="eastAsia" w:asciiTheme="minorEastAsia" w:hAnsiTheme="minorEastAsia" w:eastAsiaTheme="minorEastAsia" w:cstheme="minorEastAsia"/>
          <w:color w:val="auto"/>
          <w:sz w:val="24"/>
          <w:szCs w:val="24"/>
          <w:highlight w:val="none"/>
        </w:rPr>
        <w:t>派出安保人员为</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聘用职工，与</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形成劳动关系，与采购人无关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r>
        <w:rPr>
          <w:rFonts w:hint="eastAsia" w:asciiTheme="minorEastAsia" w:hAnsiTheme="minorEastAsia" w:eastAsiaTheme="minorEastAsia" w:cstheme="minorEastAsia"/>
          <w:color w:val="auto"/>
          <w:sz w:val="24"/>
          <w:szCs w:val="24"/>
          <w:highlight w:val="none"/>
        </w:rPr>
        <w:t>。</w:t>
      </w:r>
    </w:p>
    <w:p w14:paraId="3A08422A">
      <w:pPr>
        <w:pStyle w:val="24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Autospacing="0"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12、如发生冲突、应急事件或该项目的安保要求发生变化，供应商应按照</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的要求调整人员配置，满足</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的要求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提供承诺书）。</w:t>
      </w:r>
    </w:p>
    <w:p w14:paraId="6EE051BD">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03EE96C8">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5B10277B">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8C77F53">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41BD7E47">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ED98AFB">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ADD291D">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CCAE408">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66BDCC1">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1B836A4">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F22802A">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BF70C2C">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0C232232">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B7901E9">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58C2A657">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6D76689C">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23EDD0E">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38A0C2E8">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589A7C81">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0AC317AB">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154EFDE4">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23D72D7F">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100B0E02">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4463BC1B">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4E7347A0">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3ADF09DD">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7903EE71">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06747D5E">
      <w:pPr>
        <w:pStyle w:val="28"/>
        <w:pageBreakBefore w:val="0"/>
        <w:kinsoku/>
        <w:wordWrap/>
        <w:overflowPunct/>
        <w:topLinePunct w:val="0"/>
        <w:bidi w:val="0"/>
        <w:ind w:left="0" w:leftChars="0" w:firstLine="0" w:firstLineChars="0"/>
        <w:rPr>
          <w:rFonts w:hint="eastAsia" w:asciiTheme="minorEastAsia" w:hAnsiTheme="minorEastAsia" w:eastAsiaTheme="minorEastAsia" w:cstheme="minorEastAsia"/>
          <w:color w:val="auto"/>
          <w:highlight w:val="none"/>
          <w:lang w:val="en-US" w:eastAsia="zh-CN"/>
        </w:rPr>
      </w:pPr>
    </w:p>
    <w:p w14:paraId="100D55CA">
      <w:pPr>
        <w:pStyle w:val="5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4" w:name="_Toc24396"/>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第四部分   评审方法（综合评分法）</w:t>
      </w:r>
      <w:bookmarkEnd w:id="4"/>
    </w:p>
    <w:p w14:paraId="07D52039">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本项目评审方法见招标文件第二部分“供应商须知前附表”中第21项的规定。</w:t>
      </w:r>
      <w:r>
        <w:rPr>
          <w:rStyle w:val="31"/>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如果采用综合评分法，评分细则如下：</w:t>
      </w:r>
    </w:p>
    <w:p w14:paraId="6D0C8747">
      <w:pPr>
        <w:pStyle w:val="8"/>
        <w:ind w:firstLine="480"/>
        <w:rPr>
          <w:rStyle w:val="31"/>
          <w:rFonts w:hint="eastAsia" w:asciiTheme="minorEastAsia" w:hAnsiTheme="minorEastAsia" w:eastAsiaTheme="minorEastAsia" w:cstheme="minorEastAsia"/>
          <w:b w:val="0"/>
          <w:color w:val="auto"/>
          <w:kern w:val="0"/>
          <w:sz w:val="24"/>
          <w:szCs w:val="22"/>
          <w:highlight w:val="none"/>
        </w:rPr>
      </w:pPr>
      <w:r>
        <w:rPr>
          <w:rStyle w:val="31"/>
          <w:rFonts w:hint="eastAsia" w:asciiTheme="minorEastAsia" w:hAnsiTheme="minorEastAsia" w:eastAsiaTheme="minorEastAsia" w:cstheme="minorEastAsia"/>
          <w:b w:val="0"/>
          <w:color w:val="auto"/>
          <w:kern w:val="0"/>
          <w:sz w:val="24"/>
          <w:szCs w:val="22"/>
          <w:highlight w:val="none"/>
        </w:rPr>
        <w:t>1、初步评审</w:t>
      </w:r>
    </w:p>
    <w:p w14:paraId="60595CA3">
      <w:pPr>
        <w:spacing w:line="360" w:lineRule="auto"/>
        <w:ind w:firstLine="480" w:firstLineChars="200"/>
        <w:rPr>
          <w:rStyle w:val="31"/>
          <w:rFonts w:hint="eastAsia" w:asciiTheme="minorEastAsia" w:hAnsiTheme="minorEastAsia" w:eastAsiaTheme="minorEastAsia" w:cstheme="minorEastAsia"/>
          <w:b w:val="0"/>
          <w:color w:val="auto"/>
          <w:sz w:val="24"/>
          <w:szCs w:val="22"/>
          <w:highlight w:val="none"/>
        </w:rPr>
      </w:pPr>
      <w:r>
        <w:rPr>
          <w:rStyle w:val="31"/>
          <w:rFonts w:hint="eastAsia" w:asciiTheme="minorEastAsia" w:hAnsiTheme="minorEastAsia" w:eastAsiaTheme="minorEastAsia" w:cstheme="minorEastAsia"/>
          <w:b w:val="0"/>
          <w:color w:val="auto"/>
          <w:sz w:val="24"/>
          <w:szCs w:val="22"/>
          <w:highlight w:val="none"/>
        </w:rPr>
        <w:t>评审小组根据评审办法前附表规定的评审因素和评审标准，对供应商的投标文件进行符合性检查。符合性检查不合格的供应商的响应文件作无效文件处理。</w:t>
      </w:r>
    </w:p>
    <w:tbl>
      <w:tblPr>
        <w:tblStyle w:val="22"/>
        <w:tblW w:w="10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977"/>
        <w:gridCol w:w="1964"/>
        <w:gridCol w:w="5467"/>
        <w:gridCol w:w="620"/>
        <w:gridCol w:w="631"/>
      </w:tblGrid>
      <w:tr w14:paraId="6F378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7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E3D11DA">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评分因素</w:t>
            </w:r>
          </w:p>
        </w:tc>
        <w:tc>
          <w:tcPr>
            <w:tcW w:w="1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D6660">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评分点</w:t>
            </w:r>
          </w:p>
        </w:tc>
        <w:tc>
          <w:tcPr>
            <w:tcW w:w="54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A3F36">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评分标准</w:t>
            </w: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14:paraId="3F06FF5E">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评审意见</w:t>
            </w:r>
          </w:p>
        </w:tc>
      </w:tr>
      <w:tr w14:paraId="2DCE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7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FFEEA1">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p>
        </w:tc>
        <w:tc>
          <w:tcPr>
            <w:tcW w:w="1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EC89D">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p>
        </w:tc>
        <w:tc>
          <w:tcPr>
            <w:tcW w:w="54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60C7">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8ED8BF">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是</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3A0C128">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否</w:t>
            </w:r>
          </w:p>
        </w:tc>
      </w:tr>
      <w:tr w14:paraId="03E0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restart"/>
            <w:tcBorders>
              <w:top w:val="single" w:color="000000" w:sz="4" w:space="0"/>
              <w:left w:val="single" w:color="000000" w:sz="4" w:space="0"/>
              <w:right w:val="single" w:color="000000" w:sz="4" w:space="0"/>
            </w:tcBorders>
            <w:noWrap w:val="0"/>
            <w:vAlign w:val="center"/>
          </w:tcPr>
          <w:p w14:paraId="075E2A2C">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初步评审</w:t>
            </w:r>
          </w:p>
        </w:tc>
        <w:tc>
          <w:tcPr>
            <w:tcW w:w="977" w:type="dxa"/>
            <w:vMerge w:val="restart"/>
            <w:tcBorders>
              <w:top w:val="single" w:color="000000" w:sz="4" w:space="0"/>
              <w:left w:val="single" w:color="000000" w:sz="4" w:space="0"/>
              <w:right w:val="single" w:color="000000" w:sz="4" w:space="0"/>
            </w:tcBorders>
            <w:noWrap w:val="0"/>
            <w:vAlign w:val="center"/>
          </w:tcPr>
          <w:p w14:paraId="540B86E4">
            <w:pPr>
              <w:pStyle w:val="95"/>
              <w:spacing w:line="440" w:lineRule="exact"/>
              <w:jc w:val="center"/>
              <w:rPr>
                <w:rStyle w:val="31"/>
                <w:rFonts w:hint="eastAsia" w:asciiTheme="minorEastAsia" w:hAnsiTheme="minorEastAsia" w:eastAsiaTheme="minorEastAsia" w:cstheme="minorEastAsia"/>
                <w:b w:val="0"/>
                <w:bCs/>
                <w:color w:val="auto"/>
                <w:sz w:val="24"/>
                <w:szCs w:val="24"/>
                <w:highlight w:val="none"/>
              </w:rPr>
            </w:pPr>
            <w:r>
              <w:rPr>
                <w:rStyle w:val="31"/>
                <w:rFonts w:hint="eastAsia" w:asciiTheme="minorEastAsia" w:hAnsiTheme="minorEastAsia" w:eastAsiaTheme="minorEastAsia" w:cstheme="minorEastAsia"/>
                <w:b w:val="0"/>
                <w:bCs/>
                <w:color w:val="auto"/>
                <w:sz w:val="24"/>
                <w:szCs w:val="24"/>
                <w:highlight w:val="none"/>
              </w:rPr>
              <w:t>符合性检查</w:t>
            </w:r>
          </w:p>
        </w:tc>
        <w:tc>
          <w:tcPr>
            <w:tcW w:w="1964" w:type="dxa"/>
            <w:tcBorders>
              <w:top w:val="single" w:color="000000" w:sz="4" w:space="0"/>
              <w:left w:val="single" w:color="000000" w:sz="4" w:space="0"/>
              <w:right w:val="single" w:color="000000" w:sz="4" w:space="0"/>
            </w:tcBorders>
            <w:shd w:val="clear" w:color="auto" w:fill="auto"/>
            <w:noWrap w:val="0"/>
            <w:vAlign w:val="center"/>
          </w:tcPr>
          <w:p w14:paraId="58237BD9">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67" w:type="dxa"/>
            <w:tcBorders>
              <w:top w:val="single" w:color="000000" w:sz="4" w:space="0"/>
              <w:left w:val="single" w:color="000000" w:sz="4" w:space="0"/>
              <w:right w:val="single" w:color="000000" w:sz="4" w:space="0"/>
            </w:tcBorders>
            <w:shd w:val="clear" w:color="auto" w:fill="auto"/>
            <w:noWrap w:val="0"/>
            <w:vAlign w:val="center"/>
          </w:tcPr>
          <w:p w14:paraId="3CDC46BA">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是否与营业执照、资质证书一致</w:t>
            </w:r>
          </w:p>
        </w:tc>
        <w:tc>
          <w:tcPr>
            <w:tcW w:w="620" w:type="dxa"/>
            <w:tcBorders>
              <w:top w:val="single" w:color="000000" w:sz="4" w:space="0"/>
              <w:left w:val="single" w:color="000000" w:sz="4" w:space="0"/>
              <w:right w:val="single" w:color="000000" w:sz="4" w:space="0"/>
            </w:tcBorders>
            <w:noWrap w:val="0"/>
            <w:vAlign w:val="center"/>
          </w:tcPr>
          <w:p w14:paraId="1BE2D0E8">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0F354EAE">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7C98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095ADA24">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0F5B7D32">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2A7FF">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投标文件签章</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D54D">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投标文件是否按</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招标</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文件要求签字或盖章</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AB439F">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D18553E">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1C19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9" w:type="dxa"/>
            <w:vMerge w:val="continue"/>
            <w:tcBorders>
              <w:left w:val="single" w:color="000000" w:sz="4" w:space="0"/>
              <w:right w:val="single" w:color="000000" w:sz="4" w:space="0"/>
            </w:tcBorders>
            <w:noWrap w:val="0"/>
            <w:vAlign w:val="center"/>
          </w:tcPr>
          <w:p w14:paraId="1C8F18AA">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55B96055">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3653">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FC99">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是否按要求报价，即4250元/人/月</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CC6F1F0">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559D8FE8">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09AD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9" w:type="dxa"/>
            <w:vMerge w:val="continue"/>
            <w:tcBorders>
              <w:left w:val="single" w:color="000000" w:sz="4" w:space="0"/>
              <w:right w:val="single" w:color="000000" w:sz="4" w:space="0"/>
            </w:tcBorders>
            <w:noWrap w:val="0"/>
            <w:vAlign w:val="center"/>
          </w:tcPr>
          <w:p w14:paraId="79422808">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0106408F">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7F248">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投标文件内容</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CFC0">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投标文件按照招标文件规定的</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格式</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编制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18C8ED">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4DC909D">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1C61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762A35F">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4E203BB5">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1F1C3">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投标保证金</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6BE17">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是否按招标文件规定递交投标保证金的</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4D87D3">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9E1C15D">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2675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984DFB8">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1853DF82">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2CC6">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50CD3">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投标有效期满足招标文件要求</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6FC2E7">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5BC84EC">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3CA6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23AC274C">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5EBA30F1">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AC1E5">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A9E69">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是否满足招标文件要求</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9D6ECD">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5AF692E">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r w14:paraId="75B1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39" w:type="dxa"/>
            <w:vMerge w:val="continue"/>
            <w:tcBorders>
              <w:left w:val="single" w:color="000000" w:sz="4" w:space="0"/>
              <w:right w:val="single" w:color="000000" w:sz="4" w:space="0"/>
            </w:tcBorders>
            <w:noWrap w:val="0"/>
            <w:vAlign w:val="center"/>
          </w:tcPr>
          <w:p w14:paraId="19808F33">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977" w:type="dxa"/>
            <w:vMerge w:val="continue"/>
            <w:tcBorders>
              <w:left w:val="single" w:color="000000" w:sz="4" w:space="0"/>
              <w:right w:val="single" w:color="000000" w:sz="4" w:space="0"/>
            </w:tcBorders>
            <w:noWrap w:val="0"/>
            <w:vAlign w:val="center"/>
          </w:tcPr>
          <w:p w14:paraId="7F0E9237">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92FA3">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6AFA7">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1.不存在串通投标、弄虚作假、行贿等违法行为；</w:t>
            </w:r>
          </w:p>
          <w:p w14:paraId="7E77B24F">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2.符合国家及招标文件规定的其他要求；</w:t>
            </w:r>
          </w:p>
          <w:p w14:paraId="1F10F16E">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3.不存在单位负责人为同一人或者存在直接控股、管理关系的不同</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w:t>
            </w:r>
          </w:p>
          <w:p w14:paraId="1745A4BF">
            <w:pPr>
              <w:pStyle w:val="95"/>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jc w:val="both"/>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4.未出现采购人不能接受的附加条件。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3CAFC9E">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4D775FDA">
            <w:pPr>
              <w:pStyle w:val="95"/>
              <w:spacing w:line="440" w:lineRule="exact"/>
              <w:jc w:val="both"/>
              <w:rPr>
                <w:rStyle w:val="31"/>
                <w:rFonts w:hint="eastAsia" w:asciiTheme="minorEastAsia" w:hAnsiTheme="minorEastAsia" w:eastAsiaTheme="minorEastAsia" w:cstheme="minorEastAsia"/>
                <w:b w:val="0"/>
                <w:bCs/>
                <w:color w:val="auto"/>
                <w:sz w:val="24"/>
                <w:szCs w:val="24"/>
                <w:highlight w:val="none"/>
              </w:rPr>
            </w:pPr>
          </w:p>
        </w:tc>
      </w:tr>
    </w:tbl>
    <w:p w14:paraId="76D1E822">
      <w:pPr>
        <w:rPr>
          <w:rStyle w:val="31"/>
          <w:rFonts w:hint="eastAsia" w:asciiTheme="minorEastAsia" w:hAnsiTheme="minorEastAsia" w:eastAsiaTheme="minorEastAsia" w:cstheme="minorEastAsia"/>
          <w:b w:val="0"/>
          <w:color w:val="auto"/>
          <w:sz w:val="24"/>
          <w:szCs w:val="22"/>
          <w:highlight w:val="none"/>
        </w:rPr>
      </w:pPr>
      <w:r>
        <w:rPr>
          <w:rStyle w:val="31"/>
          <w:rFonts w:hint="eastAsia" w:asciiTheme="minorEastAsia" w:hAnsiTheme="minorEastAsia" w:eastAsiaTheme="minorEastAsia" w:cstheme="minorEastAsia"/>
          <w:b w:val="0"/>
          <w:color w:val="auto"/>
          <w:sz w:val="24"/>
          <w:szCs w:val="22"/>
          <w:highlight w:val="none"/>
        </w:rPr>
        <w:br w:type="page"/>
      </w:r>
    </w:p>
    <w:p w14:paraId="5A6D30A6">
      <w:pPr>
        <w:pStyle w:val="8"/>
        <w:ind w:firstLine="480"/>
        <w:rPr>
          <w:rStyle w:val="31"/>
          <w:rFonts w:hint="eastAsia" w:asciiTheme="minorEastAsia" w:hAnsiTheme="minorEastAsia" w:eastAsiaTheme="minorEastAsia" w:cstheme="minorEastAsia"/>
          <w:b w:val="0"/>
          <w:color w:val="auto"/>
          <w:kern w:val="0"/>
          <w:sz w:val="24"/>
          <w:szCs w:val="22"/>
          <w:highlight w:val="none"/>
        </w:rPr>
      </w:pPr>
      <w:r>
        <w:rPr>
          <w:rStyle w:val="31"/>
          <w:rFonts w:hint="eastAsia" w:asciiTheme="minorEastAsia" w:hAnsiTheme="minorEastAsia" w:eastAsiaTheme="minorEastAsia" w:cstheme="minorEastAsia"/>
          <w:b w:val="0"/>
          <w:color w:val="auto"/>
          <w:kern w:val="0"/>
          <w:sz w:val="24"/>
          <w:szCs w:val="22"/>
          <w:highlight w:val="none"/>
        </w:rPr>
        <w:t>2、详细评审</w:t>
      </w:r>
    </w:p>
    <w:tbl>
      <w:tblPr>
        <w:tblStyle w:val="22"/>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9"/>
        <w:gridCol w:w="6631"/>
        <w:gridCol w:w="727"/>
      </w:tblGrid>
      <w:tr w14:paraId="7DC1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12EBAD0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4215" w:type="pct"/>
            <w:gridSpan w:val="2"/>
            <w:vAlign w:val="center"/>
          </w:tcPr>
          <w:p w14:paraId="6372360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评标标准</w:t>
            </w:r>
          </w:p>
        </w:tc>
        <w:tc>
          <w:tcPr>
            <w:tcW w:w="397" w:type="pct"/>
            <w:vAlign w:val="center"/>
          </w:tcPr>
          <w:p w14:paraId="73CB5CF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7B25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05D206D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p>
        </w:tc>
        <w:tc>
          <w:tcPr>
            <w:tcW w:w="4215" w:type="pct"/>
            <w:gridSpan w:val="2"/>
            <w:vAlign w:val="center"/>
          </w:tcPr>
          <w:p w14:paraId="2F78757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技术资信评分（100分）</w:t>
            </w:r>
          </w:p>
        </w:tc>
        <w:tc>
          <w:tcPr>
            <w:tcW w:w="397" w:type="pct"/>
            <w:vAlign w:val="center"/>
          </w:tcPr>
          <w:p w14:paraId="2F21900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2244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2D2839E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p>
        </w:tc>
        <w:tc>
          <w:tcPr>
            <w:tcW w:w="4215" w:type="pct"/>
            <w:gridSpan w:val="2"/>
            <w:vAlign w:val="center"/>
          </w:tcPr>
          <w:p w14:paraId="571FCB6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报价部分（10分）</w:t>
            </w:r>
          </w:p>
        </w:tc>
        <w:tc>
          <w:tcPr>
            <w:tcW w:w="397" w:type="pct"/>
            <w:vAlign w:val="center"/>
          </w:tcPr>
          <w:p w14:paraId="26A70E2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186A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FAA43A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594" w:type="pct"/>
            <w:vAlign w:val="center"/>
          </w:tcPr>
          <w:p w14:paraId="4820E7D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报价</w:t>
            </w:r>
          </w:p>
        </w:tc>
        <w:tc>
          <w:tcPr>
            <w:tcW w:w="3621" w:type="pct"/>
            <w:vAlign w:val="center"/>
          </w:tcPr>
          <w:p w14:paraId="083C1805">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投标报价满足招标文件要求的得10分</w:t>
            </w:r>
          </w:p>
        </w:tc>
        <w:tc>
          <w:tcPr>
            <w:tcW w:w="397" w:type="pct"/>
            <w:vAlign w:val="center"/>
          </w:tcPr>
          <w:p w14:paraId="4246D9A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w:t>
            </w:r>
          </w:p>
        </w:tc>
      </w:tr>
      <w:tr w14:paraId="31F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A0E3EE5">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p>
        </w:tc>
        <w:tc>
          <w:tcPr>
            <w:tcW w:w="4215" w:type="pct"/>
            <w:gridSpan w:val="2"/>
            <w:vAlign w:val="center"/>
          </w:tcPr>
          <w:p w14:paraId="487519D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商务评分（</w:t>
            </w:r>
            <w:r>
              <w:rPr>
                <w:rFonts w:hint="eastAsia" w:asciiTheme="minorEastAsia" w:hAnsiTheme="minorEastAsia" w:eastAsiaTheme="minorEastAsia" w:cstheme="minorEastAsia"/>
                <w:b/>
                <w:bCs/>
                <w:color w:val="auto"/>
                <w:sz w:val="24"/>
                <w:szCs w:val="24"/>
                <w:highlight w:val="none"/>
                <w:lang w:val="en-US" w:eastAsia="zh-CN"/>
              </w:rPr>
              <w:t>31</w:t>
            </w:r>
            <w:r>
              <w:rPr>
                <w:rFonts w:hint="eastAsia" w:asciiTheme="minorEastAsia" w:hAnsiTheme="minorEastAsia" w:eastAsiaTheme="minorEastAsia" w:cstheme="minorEastAsia"/>
                <w:b/>
                <w:bCs/>
                <w:color w:val="auto"/>
                <w:sz w:val="24"/>
                <w:szCs w:val="24"/>
                <w:highlight w:val="none"/>
              </w:rPr>
              <w:t>分）</w:t>
            </w:r>
          </w:p>
        </w:tc>
        <w:tc>
          <w:tcPr>
            <w:tcW w:w="397" w:type="pct"/>
            <w:vAlign w:val="center"/>
          </w:tcPr>
          <w:p w14:paraId="5305B5A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0480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35F4C66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94" w:type="pct"/>
            <w:vAlign w:val="center"/>
          </w:tcPr>
          <w:p w14:paraId="5874DFB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业绩</w:t>
            </w:r>
          </w:p>
        </w:tc>
        <w:tc>
          <w:tcPr>
            <w:tcW w:w="3621" w:type="pct"/>
            <w:vAlign w:val="center"/>
          </w:tcPr>
          <w:p w14:paraId="5ED10068">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业绩：</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年1月1日（以合同签订日期为准）以来，具有安保服务类业绩，每具有1个的，得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124A2B96">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中标通知书或</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eastAsiaTheme="minorEastAsia" w:cstheme="minorEastAsia"/>
                <w:color w:val="auto"/>
                <w:sz w:val="24"/>
                <w:szCs w:val="24"/>
                <w:highlight w:val="none"/>
                <w:lang w:val="en-US" w:eastAsia="zh-CN"/>
              </w:rPr>
              <w:t>及业主评价意见</w:t>
            </w:r>
            <w:r>
              <w:rPr>
                <w:rFonts w:hint="eastAsia" w:asciiTheme="minorEastAsia" w:hAnsiTheme="minorEastAsia" w:eastAsiaTheme="minorEastAsia" w:cstheme="minorEastAsia"/>
                <w:color w:val="auto"/>
                <w:sz w:val="24"/>
                <w:szCs w:val="24"/>
                <w:highlight w:val="none"/>
              </w:rPr>
              <w:t>复制件加盖公章。项目合同中至少包括合同的甲乙双方、项目名称、主要内容、双方签章及生效时间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发票结算彩色扫描件</w:t>
            </w:r>
            <w:r>
              <w:rPr>
                <w:rFonts w:hint="eastAsia" w:asciiTheme="minorEastAsia" w:hAnsiTheme="minorEastAsia" w:eastAsiaTheme="minorEastAsia" w:cstheme="minorEastAsia"/>
                <w:color w:val="auto"/>
                <w:sz w:val="24"/>
                <w:szCs w:val="24"/>
                <w:highlight w:val="none"/>
              </w:rPr>
              <w:t>，未提供有效业绩证明不得分。</w:t>
            </w:r>
          </w:p>
        </w:tc>
        <w:tc>
          <w:tcPr>
            <w:tcW w:w="397" w:type="pct"/>
            <w:vAlign w:val="center"/>
          </w:tcPr>
          <w:p w14:paraId="32EE7A5D">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r w14:paraId="7203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0582F60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94" w:type="pct"/>
            <w:vAlign w:val="center"/>
          </w:tcPr>
          <w:p w14:paraId="430FC712">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质量体系</w:t>
            </w:r>
          </w:p>
        </w:tc>
        <w:tc>
          <w:tcPr>
            <w:tcW w:w="3621" w:type="pct"/>
            <w:vAlign w:val="center"/>
          </w:tcPr>
          <w:p w14:paraId="672483D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管理体系：</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已取得质量管理体系认证证书、职业健康安全管理体系认证证书、环境管理体系认证证书且在有效期内。每具有1项得1分，最高的3分。提供：认证证书复制件加盖公章。</w:t>
            </w:r>
          </w:p>
        </w:tc>
        <w:tc>
          <w:tcPr>
            <w:tcW w:w="397" w:type="pct"/>
            <w:vAlign w:val="center"/>
          </w:tcPr>
          <w:p w14:paraId="680A21BE">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7AAF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restart"/>
            <w:vAlign w:val="center"/>
          </w:tcPr>
          <w:p w14:paraId="6DB2B603">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94" w:type="pct"/>
            <w:vMerge w:val="restart"/>
            <w:vAlign w:val="center"/>
          </w:tcPr>
          <w:p w14:paraId="3BD55615">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人员要求</w:t>
            </w:r>
          </w:p>
        </w:tc>
        <w:tc>
          <w:tcPr>
            <w:tcW w:w="3621" w:type="pct"/>
            <w:vAlign w:val="center"/>
          </w:tcPr>
          <w:p w14:paraId="12529D4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管理人员满足采购文件基本要求的得基本分3分。在满足采购需求项目团队人员要求的基础上每增加一名具</w:t>
            </w:r>
            <w:r>
              <w:rPr>
                <w:rFonts w:hint="eastAsia" w:asciiTheme="minorEastAsia" w:hAnsiTheme="minorEastAsia" w:eastAsiaTheme="minorEastAsia" w:cstheme="minorEastAsia"/>
                <w:color w:val="auto"/>
                <w:sz w:val="24"/>
                <w:szCs w:val="24"/>
                <w:highlight w:val="none"/>
              </w:rPr>
              <w:t>有高级保安员（三级保安员）及以上资格证书</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得1分，最高得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分。提供安保人员</w:t>
            </w:r>
            <w:r>
              <w:rPr>
                <w:rFonts w:hint="eastAsia" w:asciiTheme="minorEastAsia" w:hAnsiTheme="minorEastAsia" w:eastAsiaTheme="minorEastAsia" w:cstheme="minorEastAsia"/>
                <w:color w:val="auto"/>
                <w:sz w:val="24"/>
                <w:szCs w:val="24"/>
                <w:highlight w:val="none"/>
                <w:lang w:val="en-US" w:eastAsia="zh-CN"/>
              </w:rPr>
              <w:t>身份证、</w:t>
            </w:r>
            <w:r>
              <w:rPr>
                <w:rFonts w:hint="eastAsia" w:asciiTheme="minorEastAsia" w:hAnsiTheme="minorEastAsia" w:eastAsiaTheme="minorEastAsia" w:cstheme="minorEastAsia"/>
                <w:color w:val="auto"/>
                <w:sz w:val="24"/>
                <w:szCs w:val="24"/>
                <w:highlight w:val="none"/>
              </w:rPr>
              <w:t>高级保安员（三级保安员）、劳动合同、</w:t>
            </w:r>
            <w:r>
              <w:rPr>
                <w:rFonts w:hint="eastAsia" w:asciiTheme="minorEastAsia" w:hAnsiTheme="minorEastAsia" w:eastAsiaTheme="minorEastAsia" w:cstheme="minorEastAsia"/>
                <w:color w:val="auto"/>
                <w:sz w:val="24"/>
                <w:szCs w:val="24"/>
                <w:highlight w:val="none"/>
                <w:lang w:val="en-US" w:eastAsia="zh-CN"/>
              </w:rPr>
              <w:t>近三个月</w:t>
            </w:r>
            <w:r>
              <w:rPr>
                <w:rFonts w:hint="eastAsia" w:asciiTheme="minorEastAsia" w:hAnsiTheme="minorEastAsia" w:eastAsiaTheme="minorEastAsia" w:cstheme="minorEastAsia"/>
                <w:color w:val="auto"/>
                <w:sz w:val="24"/>
                <w:szCs w:val="24"/>
                <w:highlight w:val="none"/>
              </w:rPr>
              <w:t>个人社保证明件复制件（加盖公章），人员与证件复制件须一一对应，只提供人员名单而无证件复印件时不予认可。</w:t>
            </w:r>
          </w:p>
        </w:tc>
        <w:tc>
          <w:tcPr>
            <w:tcW w:w="397" w:type="pct"/>
            <w:vAlign w:val="center"/>
          </w:tcPr>
          <w:p w14:paraId="7BE449A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038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Merge w:val="continue"/>
            <w:vAlign w:val="center"/>
          </w:tcPr>
          <w:p w14:paraId="6D03F0AC">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c>
          <w:tcPr>
            <w:tcW w:w="594" w:type="pct"/>
            <w:vMerge w:val="continue"/>
            <w:vAlign w:val="center"/>
          </w:tcPr>
          <w:p w14:paraId="48398CC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3621" w:type="pct"/>
            <w:vAlign w:val="center"/>
          </w:tcPr>
          <w:p w14:paraId="0DCA64F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val="en-US" w:eastAsia="en-US" w:bidi="en-US"/>
              </w:rPr>
            </w:pPr>
            <w:r>
              <w:rPr>
                <w:rFonts w:hint="eastAsia" w:asciiTheme="minorEastAsia" w:hAnsiTheme="minorEastAsia" w:eastAsiaTheme="minorEastAsia" w:cstheme="minorEastAsia"/>
                <w:color w:val="auto"/>
                <w:sz w:val="24"/>
                <w:szCs w:val="24"/>
                <w:highlight w:val="none"/>
              </w:rPr>
              <w:t>项目团队中，</w:t>
            </w:r>
            <w:r>
              <w:rPr>
                <w:rFonts w:hint="eastAsia" w:asciiTheme="minorEastAsia" w:hAnsiTheme="minorEastAsia" w:eastAsiaTheme="minorEastAsia" w:cstheme="minorEastAsia"/>
                <w:color w:val="auto"/>
                <w:sz w:val="24"/>
                <w:szCs w:val="24"/>
                <w:highlight w:val="none"/>
                <w:lang w:val="en-US" w:eastAsia="zh-CN"/>
              </w:rPr>
              <w:t>每提供一名中共</w:t>
            </w:r>
            <w:r>
              <w:rPr>
                <w:rFonts w:hint="eastAsia" w:asciiTheme="minorEastAsia" w:hAnsiTheme="minorEastAsia" w:eastAsiaTheme="minorEastAsia" w:cstheme="minorEastAsia"/>
                <w:color w:val="auto"/>
                <w:sz w:val="24"/>
                <w:szCs w:val="24"/>
                <w:highlight w:val="none"/>
              </w:rPr>
              <w:t>党员的得1分，最高得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分，未提供的不得分。</w:t>
            </w:r>
            <w:r>
              <w:rPr>
                <w:rFonts w:hint="eastAsia" w:asciiTheme="minorEastAsia" w:hAnsiTheme="minorEastAsia" w:eastAsiaTheme="minorEastAsia" w:cstheme="minorEastAsia"/>
                <w:color w:val="auto"/>
                <w:sz w:val="24"/>
                <w:szCs w:val="24"/>
                <w:highlight w:val="none"/>
                <w:lang w:eastAsia="zh-CN"/>
              </w:rPr>
              <w:t>评审时以党员</w:t>
            </w:r>
            <w:r>
              <w:rPr>
                <w:rFonts w:hint="eastAsia" w:asciiTheme="minorEastAsia" w:hAnsiTheme="minorEastAsia" w:eastAsiaTheme="minorEastAsia" w:cstheme="minorEastAsia"/>
                <w:color w:val="auto"/>
                <w:sz w:val="24"/>
                <w:szCs w:val="24"/>
                <w:highlight w:val="none"/>
                <w:lang w:val="en-US" w:eastAsia="zh-CN"/>
              </w:rPr>
              <w:t>证明或党费缴纳证明</w:t>
            </w:r>
            <w:r>
              <w:rPr>
                <w:rFonts w:hint="eastAsia" w:asciiTheme="minorEastAsia" w:hAnsiTheme="minorEastAsia" w:eastAsiaTheme="minorEastAsia" w:cstheme="minorEastAsia"/>
                <w:color w:val="auto"/>
                <w:sz w:val="24"/>
                <w:szCs w:val="24"/>
                <w:highlight w:val="none"/>
                <w:lang w:eastAsia="zh-CN"/>
              </w:rPr>
              <w:t>为准，否则不得分。</w:t>
            </w:r>
          </w:p>
        </w:tc>
        <w:tc>
          <w:tcPr>
            <w:tcW w:w="397" w:type="pct"/>
            <w:vAlign w:val="center"/>
          </w:tcPr>
          <w:p w14:paraId="4C4B15E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6C0C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51371D0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94" w:type="pct"/>
            <w:vAlign w:val="center"/>
          </w:tcPr>
          <w:p w14:paraId="77E7FC16">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获奖情况</w:t>
            </w:r>
          </w:p>
        </w:tc>
        <w:tc>
          <w:tcPr>
            <w:tcW w:w="3621" w:type="pct"/>
            <w:vAlign w:val="center"/>
          </w:tcPr>
          <w:p w14:paraId="41D06573">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1、供应商获得过区县（旅团）级及以上</w:t>
            </w:r>
            <w:r>
              <w:rPr>
                <w:rFonts w:hint="eastAsia" w:asciiTheme="minorEastAsia" w:hAnsiTheme="minorEastAsia" w:eastAsiaTheme="minorEastAsia" w:cstheme="minorEastAsia"/>
                <w:color w:val="auto"/>
                <w:sz w:val="24"/>
                <w:szCs w:val="24"/>
                <w:highlight w:val="none"/>
              </w:rPr>
              <w:t>立功受奖荣誉的，每具备一</w:t>
            </w:r>
            <w:r>
              <w:rPr>
                <w:rFonts w:hint="eastAsia" w:asciiTheme="minorEastAsia" w:hAnsiTheme="minorEastAsia" w:eastAsiaTheme="minorEastAsia" w:cstheme="minorEastAsia"/>
                <w:color w:val="auto"/>
                <w:sz w:val="24"/>
                <w:szCs w:val="24"/>
                <w:highlight w:val="none"/>
                <w:lang w:val="en-US" w:eastAsia="zh-CN"/>
              </w:rPr>
              <w:t>项</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分。需提供</w:t>
            </w:r>
            <w:r>
              <w:rPr>
                <w:rFonts w:hint="eastAsia" w:asciiTheme="minorEastAsia" w:hAnsiTheme="minorEastAsia" w:eastAsiaTheme="minorEastAsia" w:cstheme="minorEastAsia"/>
                <w:color w:val="auto"/>
                <w:sz w:val="24"/>
                <w:szCs w:val="24"/>
                <w:highlight w:val="none"/>
                <w:lang w:val="en-US" w:eastAsia="zh-CN"/>
              </w:rPr>
              <w:t>区县级及以上颁发的</w:t>
            </w:r>
            <w:r>
              <w:rPr>
                <w:rFonts w:hint="eastAsia" w:asciiTheme="minorEastAsia" w:hAnsiTheme="minorEastAsia" w:eastAsiaTheme="minorEastAsia" w:cstheme="minorEastAsia"/>
                <w:color w:val="auto"/>
                <w:sz w:val="24"/>
                <w:szCs w:val="24"/>
                <w:highlight w:val="none"/>
              </w:rPr>
              <w:t>立功受奖荣誉证明文件</w:t>
            </w:r>
            <w:r>
              <w:rPr>
                <w:rFonts w:hint="eastAsia" w:asciiTheme="minorEastAsia" w:hAnsiTheme="minorEastAsia" w:eastAsiaTheme="minorEastAsia" w:cstheme="minorEastAsia"/>
                <w:color w:val="auto"/>
                <w:sz w:val="24"/>
                <w:szCs w:val="24"/>
                <w:highlight w:val="none"/>
                <w:lang w:eastAsia="zh-CN"/>
              </w:rPr>
              <w:t>。</w:t>
            </w:r>
          </w:p>
          <w:p w14:paraId="1F9DED19">
            <w:pPr>
              <w:numPr>
                <w:ilvl w:val="0"/>
                <w:numId w:val="0"/>
              </w:numPr>
              <w:spacing w:beforeAutospacing="0" w:afterAutospacing="0" w:line="440" w:lineRule="exact"/>
              <w:rPr>
                <w:rFonts w:hint="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2、项目负责人或保安队长获得过区县（旅团）级及以上</w:t>
            </w:r>
            <w:r>
              <w:rPr>
                <w:rFonts w:hint="eastAsia" w:asciiTheme="minorEastAsia" w:hAnsiTheme="minorEastAsia" w:eastAsiaTheme="minorEastAsia" w:cstheme="minorEastAsia"/>
                <w:color w:val="auto"/>
                <w:sz w:val="24"/>
                <w:szCs w:val="24"/>
                <w:highlight w:val="none"/>
              </w:rPr>
              <w:t>立功受奖荣誉的，每具备一</w:t>
            </w:r>
            <w:r>
              <w:rPr>
                <w:rFonts w:hint="eastAsia" w:asciiTheme="minorEastAsia" w:hAnsiTheme="minorEastAsia" w:eastAsiaTheme="minorEastAsia" w:cstheme="minorEastAsia"/>
                <w:color w:val="auto"/>
                <w:sz w:val="24"/>
                <w:szCs w:val="24"/>
                <w:highlight w:val="none"/>
                <w:lang w:val="en-US" w:eastAsia="zh-CN"/>
              </w:rPr>
              <w:t>项</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分。需提供</w:t>
            </w:r>
            <w:r>
              <w:rPr>
                <w:rFonts w:hint="eastAsia" w:asciiTheme="minorEastAsia" w:hAnsiTheme="minorEastAsia" w:eastAsiaTheme="minorEastAsia" w:cstheme="minorEastAsia"/>
                <w:color w:val="auto"/>
                <w:sz w:val="24"/>
                <w:szCs w:val="24"/>
                <w:highlight w:val="none"/>
                <w:lang w:val="en-US" w:eastAsia="zh-CN"/>
              </w:rPr>
              <w:t>区县级及以上颁发的</w:t>
            </w:r>
            <w:r>
              <w:rPr>
                <w:rFonts w:hint="eastAsia" w:asciiTheme="minorEastAsia" w:hAnsiTheme="minorEastAsia" w:eastAsiaTheme="minorEastAsia" w:cstheme="minorEastAsia"/>
                <w:color w:val="auto"/>
                <w:sz w:val="24"/>
                <w:szCs w:val="24"/>
                <w:highlight w:val="none"/>
              </w:rPr>
              <w:t>立功受奖荣誉证明文件</w:t>
            </w:r>
            <w:r>
              <w:rPr>
                <w:rFonts w:hint="eastAsia" w:asciiTheme="minorEastAsia" w:hAnsiTheme="minorEastAsia" w:eastAsiaTheme="minorEastAsia" w:cstheme="minorEastAsia"/>
                <w:color w:val="auto"/>
                <w:sz w:val="24"/>
                <w:szCs w:val="24"/>
                <w:highlight w:val="none"/>
                <w:lang w:eastAsia="zh-CN"/>
              </w:rPr>
              <w:t>。</w:t>
            </w:r>
          </w:p>
        </w:tc>
        <w:tc>
          <w:tcPr>
            <w:tcW w:w="397" w:type="pct"/>
            <w:vAlign w:val="center"/>
          </w:tcPr>
          <w:p w14:paraId="449F4F8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047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627AD6E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p>
        </w:tc>
        <w:tc>
          <w:tcPr>
            <w:tcW w:w="4215" w:type="pct"/>
            <w:gridSpan w:val="2"/>
            <w:vAlign w:val="center"/>
          </w:tcPr>
          <w:p w14:paraId="32F66544">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技术评分（</w:t>
            </w:r>
            <w:r>
              <w:rPr>
                <w:rFonts w:hint="eastAsia" w:asciiTheme="minorEastAsia" w:hAnsiTheme="minorEastAsia" w:eastAsiaTheme="minorEastAsia" w:cstheme="minorEastAsia"/>
                <w:b/>
                <w:bCs/>
                <w:color w:val="auto"/>
                <w:sz w:val="24"/>
                <w:szCs w:val="24"/>
                <w:highlight w:val="none"/>
                <w:lang w:val="en-US" w:eastAsia="zh-CN"/>
              </w:rPr>
              <w:t>59</w:t>
            </w:r>
            <w:r>
              <w:rPr>
                <w:rFonts w:hint="eastAsia" w:asciiTheme="minorEastAsia" w:hAnsiTheme="minorEastAsia" w:eastAsiaTheme="minorEastAsia" w:cstheme="minorEastAsia"/>
                <w:b/>
                <w:bCs/>
                <w:color w:val="auto"/>
                <w:sz w:val="24"/>
                <w:szCs w:val="24"/>
                <w:highlight w:val="none"/>
              </w:rPr>
              <w:t>分）</w:t>
            </w:r>
          </w:p>
        </w:tc>
        <w:tc>
          <w:tcPr>
            <w:tcW w:w="397" w:type="pct"/>
            <w:vAlign w:val="center"/>
          </w:tcPr>
          <w:p w14:paraId="53F0069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p>
        </w:tc>
      </w:tr>
      <w:tr w14:paraId="2E74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088A95D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94" w:type="pct"/>
            <w:vAlign w:val="center"/>
          </w:tcPr>
          <w:p w14:paraId="788E633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服务需求响应性评审</w:t>
            </w:r>
          </w:p>
        </w:tc>
        <w:tc>
          <w:tcPr>
            <w:tcW w:w="3621" w:type="pct"/>
            <w:vAlign w:val="center"/>
          </w:tcPr>
          <w:p w14:paraId="4E0017CD">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服务需求符合：全部满足采购人要求的得满分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分，一项不满足的扣</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分，扣完为止。</w:t>
            </w:r>
            <w:r>
              <w:rPr>
                <w:rFonts w:hint="eastAsia" w:asciiTheme="minorEastAsia" w:hAnsiTheme="minorEastAsia" w:eastAsiaTheme="minorEastAsia" w:cstheme="minorEastAsia"/>
                <w:color w:val="auto"/>
                <w:sz w:val="24"/>
                <w:szCs w:val="24"/>
                <w:highlight w:val="none"/>
                <w:lang w:eastAsia="zh-CN"/>
              </w:rPr>
              <w:t>须按</w:t>
            </w:r>
            <w:r>
              <w:rPr>
                <w:rFonts w:hint="eastAsia" w:asciiTheme="minorEastAsia" w:hAnsiTheme="minorEastAsia" w:eastAsiaTheme="minorEastAsia" w:cstheme="minorEastAsia"/>
                <w:color w:val="auto"/>
                <w:sz w:val="24"/>
                <w:szCs w:val="24"/>
                <w:highlight w:val="none"/>
              </w:rPr>
              <w:t>采购需求一一应答，未</w:t>
            </w:r>
            <w:r>
              <w:rPr>
                <w:rFonts w:hint="eastAsia" w:asciiTheme="minorEastAsia" w:hAnsiTheme="minorEastAsia" w:eastAsiaTheme="minorEastAsia" w:cstheme="minorEastAsia"/>
                <w:color w:val="auto"/>
                <w:sz w:val="24"/>
                <w:szCs w:val="24"/>
                <w:highlight w:val="none"/>
                <w:lang w:eastAsia="zh-CN"/>
              </w:rPr>
              <w:t>全部应答</w:t>
            </w:r>
            <w:r>
              <w:rPr>
                <w:rFonts w:hint="eastAsia" w:asciiTheme="minorEastAsia" w:hAnsiTheme="minorEastAsia" w:eastAsiaTheme="minorEastAsia" w:cstheme="minorEastAsia"/>
                <w:color w:val="auto"/>
                <w:sz w:val="24"/>
                <w:szCs w:val="24"/>
                <w:highlight w:val="none"/>
              </w:rPr>
              <w:t>的不得分。</w:t>
            </w:r>
          </w:p>
        </w:tc>
        <w:tc>
          <w:tcPr>
            <w:tcW w:w="397" w:type="pct"/>
            <w:vAlign w:val="center"/>
          </w:tcPr>
          <w:p w14:paraId="382FEA8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30BC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2BDFEEB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94" w:type="pct"/>
            <w:vAlign w:val="center"/>
          </w:tcPr>
          <w:p w14:paraId="58A69BA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项目实施方案</w:t>
            </w:r>
          </w:p>
        </w:tc>
        <w:tc>
          <w:tcPr>
            <w:tcW w:w="3621" w:type="pct"/>
            <w:vAlign w:val="center"/>
          </w:tcPr>
          <w:p w14:paraId="502B826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对本项目</w:t>
            </w:r>
            <w:r>
              <w:rPr>
                <w:rFonts w:hint="eastAsia" w:asciiTheme="minorEastAsia" w:hAnsiTheme="minorEastAsia" w:eastAsiaTheme="minorEastAsia" w:cstheme="minorEastAsia"/>
                <w:color w:val="auto"/>
                <w:sz w:val="24"/>
                <w:szCs w:val="24"/>
                <w:highlight w:val="none"/>
                <w:lang w:eastAsia="zh-CN"/>
              </w:rPr>
              <w:t>制定详细的事实方案内容，包括以下内容</w:t>
            </w:r>
            <w:r>
              <w:rPr>
                <w:rFonts w:hint="eastAsia" w:asciiTheme="minorEastAsia" w:hAnsiTheme="minorEastAsia" w:eastAsiaTheme="minorEastAsia" w:cstheme="minorEastAsia"/>
                <w:color w:val="auto"/>
                <w:sz w:val="24"/>
                <w:szCs w:val="24"/>
                <w:highlight w:val="none"/>
              </w:rPr>
              <w:t>。</w:t>
            </w:r>
          </w:p>
          <w:p w14:paraId="23A7C129">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①</w:t>
            </w:r>
            <w:r>
              <w:rPr>
                <w:rFonts w:hint="eastAsia" w:asciiTheme="minorEastAsia" w:hAnsiTheme="minorEastAsia" w:eastAsiaTheme="minorEastAsia" w:cstheme="minorEastAsia"/>
                <w:color w:val="auto"/>
                <w:sz w:val="24"/>
                <w:szCs w:val="24"/>
                <w:highlight w:val="none"/>
              </w:rPr>
              <w:t>对项目要求、服务需求理解</w:t>
            </w:r>
            <w:r>
              <w:rPr>
                <w:rFonts w:hint="eastAsia" w:asciiTheme="minorEastAsia" w:hAnsiTheme="minorEastAsia" w:eastAsiaTheme="minorEastAsia" w:cstheme="minorEastAsia"/>
                <w:color w:val="auto"/>
                <w:sz w:val="24"/>
                <w:szCs w:val="24"/>
                <w:highlight w:val="none"/>
                <w:lang w:eastAsia="zh-CN"/>
              </w:rPr>
              <w:t>；②</w:t>
            </w:r>
            <w:r>
              <w:rPr>
                <w:rFonts w:hint="eastAsia" w:asciiTheme="minorEastAsia" w:hAnsiTheme="minorEastAsia" w:eastAsiaTheme="minorEastAsia" w:cstheme="minorEastAsia"/>
                <w:color w:val="auto"/>
                <w:sz w:val="24"/>
                <w:szCs w:val="24"/>
                <w:highlight w:val="none"/>
              </w:rPr>
              <w:t>对本项目的重难点分析及相关解决方案情况</w:t>
            </w:r>
            <w:r>
              <w:rPr>
                <w:rFonts w:hint="eastAsia" w:asciiTheme="minorEastAsia" w:hAnsiTheme="minorEastAsia" w:eastAsiaTheme="minorEastAsia" w:cstheme="minorEastAsia"/>
                <w:color w:val="auto"/>
                <w:sz w:val="24"/>
                <w:szCs w:val="24"/>
                <w:highlight w:val="none"/>
                <w:lang w:eastAsia="zh-CN"/>
              </w:rPr>
              <w:t>；③项目管理方案；④供应商</w:t>
            </w:r>
            <w:r>
              <w:rPr>
                <w:rFonts w:hint="eastAsia" w:asciiTheme="minorEastAsia" w:hAnsiTheme="minorEastAsia" w:eastAsiaTheme="minorEastAsia" w:cstheme="minorEastAsia"/>
                <w:color w:val="auto"/>
                <w:sz w:val="24"/>
                <w:szCs w:val="24"/>
                <w:highlight w:val="none"/>
              </w:rPr>
              <w:t>工作职能组织运行机制、职责分工情况</w:t>
            </w:r>
            <w:r>
              <w:rPr>
                <w:rFonts w:hint="eastAsia" w:asciiTheme="minorEastAsia" w:hAnsiTheme="minorEastAsia" w:eastAsiaTheme="minorEastAsia" w:cstheme="minorEastAsia"/>
                <w:color w:val="auto"/>
                <w:sz w:val="24"/>
                <w:szCs w:val="24"/>
                <w:highlight w:val="none"/>
                <w:lang w:eastAsia="zh-CN"/>
              </w:rPr>
              <w:t>；⑤</w:t>
            </w:r>
            <w:r>
              <w:rPr>
                <w:rFonts w:hint="eastAsia" w:asciiTheme="minorEastAsia" w:hAnsiTheme="minorEastAsia" w:eastAsiaTheme="minorEastAsia" w:cstheme="minorEastAsia"/>
                <w:color w:val="auto"/>
                <w:sz w:val="24"/>
                <w:szCs w:val="24"/>
                <w:highlight w:val="none"/>
              </w:rPr>
              <w:t>内部管理和协调方法情况</w:t>
            </w:r>
            <w:r>
              <w:rPr>
                <w:rFonts w:hint="eastAsia" w:asciiTheme="minorEastAsia" w:hAnsiTheme="minorEastAsia" w:eastAsiaTheme="minorEastAsia" w:cstheme="minorEastAsia"/>
                <w:color w:val="auto"/>
                <w:sz w:val="24"/>
                <w:szCs w:val="24"/>
                <w:highlight w:val="none"/>
                <w:lang w:eastAsia="zh-CN"/>
              </w:rPr>
              <w:t>；⑥</w:t>
            </w:r>
            <w:r>
              <w:rPr>
                <w:rFonts w:hint="eastAsia" w:asciiTheme="minorEastAsia" w:hAnsiTheme="minorEastAsia" w:eastAsiaTheme="minorEastAsia" w:cstheme="minorEastAsia"/>
                <w:color w:val="auto"/>
                <w:sz w:val="24"/>
                <w:szCs w:val="24"/>
                <w:highlight w:val="none"/>
              </w:rPr>
              <w:t>监督机制、自我约束机制、信息反馈渠道及处理机制等情况</w:t>
            </w:r>
            <w:r>
              <w:rPr>
                <w:rFonts w:hint="eastAsia" w:asciiTheme="minorEastAsia" w:hAnsiTheme="minorEastAsia" w:eastAsiaTheme="minorEastAsia" w:cstheme="minorEastAsia"/>
                <w:color w:val="auto"/>
                <w:sz w:val="24"/>
                <w:szCs w:val="24"/>
                <w:highlight w:val="none"/>
                <w:lang w:eastAsia="zh-CN"/>
              </w:rPr>
              <w:t>；⑦</w:t>
            </w:r>
            <w:r>
              <w:rPr>
                <w:rFonts w:hint="eastAsia" w:asciiTheme="minorEastAsia" w:hAnsiTheme="minorEastAsia" w:eastAsiaTheme="minorEastAsia" w:cstheme="minorEastAsia"/>
                <w:color w:val="auto"/>
                <w:sz w:val="24"/>
                <w:szCs w:val="24"/>
                <w:highlight w:val="none"/>
              </w:rPr>
              <w:t>整体作业流程及服务工作计划及实施时间</w:t>
            </w:r>
            <w:r>
              <w:rPr>
                <w:rFonts w:hint="eastAsia" w:asciiTheme="minorEastAsia" w:hAnsiTheme="minorEastAsia" w:eastAsiaTheme="minorEastAsia" w:cstheme="minorEastAsia"/>
                <w:color w:val="auto"/>
                <w:sz w:val="24"/>
                <w:szCs w:val="24"/>
                <w:highlight w:val="none"/>
                <w:lang w:eastAsia="zh-CN"/>
              </w:rPr>
              <w:t>；⑧</w:t>
            </w:r>
            <w:r>
              <w:rPr>
                <w:rFonts w:hint="eastAsia" w:asciiTheme="minorEastAsia" w:hAnsiTheme="minorEastAsia" w:eastAsiaTheme="minorEastAsia" w:cstheme="minorEastAsia"/>
                <w:color w:val="auto"/>
                <w:sz w:val="24"/>
                <w:szCs w:val="24"/>
                <w:highlight w:val="none"/>
              </w:rPr>
              <w:t>档案管理制度、服务制度、安保人员的考评制度等情况</w:t>
            </w:r>
            <w:r>
              <w:rPr>
                <w:rFonts w:hint="eastAsia" w:asciiTheme="minorEastAsia" w:hAnsiTheme="minorEastAsia" w:eastAsiaTheme="minorEastAsia" w:cstheme="minorEastAsia"/>
                <w:color w:val="auto"/>
                <w:sz w:val="24"/>
                <w:szCs w:val="24"/>
                <w:highlight w:val="none"/>
                <w:lang w:eastAsia="zh-CN"/>
              </w:rPr>
              <w:t>；</w:t>
            </w:r>
          </w:p>
          <w:p w14:paraId="43F1B2B1">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扣0-1</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397" w:type="pct"/>
            <w:vAlign w:val="center"/>
          </w:tcPr>
          <w:p w14:paraId="64201C5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r>
      <w:tr w14:paraId="048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1D8311E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94" w:type="pct"/>
            <w:vAlign w:val="center"/>
          </w:tcPr>
          <w:p w14:paraId="6C7E170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应急预案</w:t>
            </w:r>
          </w:p>
        </w:tc>
        <w:tc>
          <w:tcPr>
            <w:tcW w:w="3621" w:type="pct"/>
            <w:vAlign w:val="center"/>
          </w:tcPr>
          <w:p w14:paraId="557BEB4E">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提供针对本项目的可能发生</w:t>
            </w:r>
            <w:r>
              <w:rPr>
                <w:rFonts w:hint="eastAsia" w:asciiTheme="minorEastAsia" w:hAnsiTheme="minorEastAsia" w:eastAsiaTheme="minorEastAsia" w:cstheme="minorEastAsia"/>
                <w:color w:val="auto"/>
                <w:sz w:val="24"/>
                <w:szCs w:val="24"/>
                <w:highlight w:val="none"/>
                <w:lang w:eastAsia="zh-CN"/>
              </w:rPr>
              <w:t>突发</w:t>
            </w:r>
            <w:r>
              <w:rPr>
                <w:rFonts w:hint="eastAsia" w:asciiTheme="minorEastAsia" w:hAnsiTheme="minorEastAsia" w:eastAsiaTheme="minorEastAsia" w:cstheme="minorEastAsia"/>
                <w:color w:val="auto"/>
                <w:sz w:val="24"/>
                <w:szCs w:val="24"/>
                <w:highlight w:val="none"/>
                <w:lang w:val="en-US" w:eastAsia="zh-CN"/>
              </w:rPr>
              <w:t>事件（包括但不限于治安案件、突发自然灾害、刑事案件、重大节日活动、火灾等）应急预案，包括： ①故障处理； ②应急程序；③应急人员配备即岗位安排分配情况</w:t>
            </w:r>
            <w:r>
              <w:rPr>
                <w:rFonts w:hint="eastAsia" w:ascii="微软雅黑" w:hAnsi="微软雅黑" w:eastAsia="微软雅黑" w:cs="微软雅黑"/>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lang w:val="en-US" w:eastAsia="zh-CN"/>
              </w:rPr>
              <w:t>应急响应时间。</w:t>
            </w:r>
          </w:p>
          <w:p w14:paraId="1FB3413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扣0-1</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397" w:type="pct"/>
            <w:vAlign w:val="center"/>
          </w:tcPr>
          <w:p w14:paraId="26C8070C">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35EA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3E5F2647">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594" w:type="pct"/>
            <w:vAlign w:val="center"/>
          </w:tcPr>
          <w:p w14:paraId="2FAEFD8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bidi="en-US"/>
              </w:rPr>
            </w:pPr>
            <w:r>
              <w:rPr>
                <w:rFonts w:hint="eastAsia" w:asciiTheme="minorEastAsia" w:hAnsiTheme="minorEastAsia" w:eastAsiaTheme="minorEastAsia" w:cstheme="minorEastAsia"/>
                <w:color w:val="auto"/>
                <w:spacing w:val="0"/>
                <w:sz w:val="24"/>
                <w:szCs w:val="24"/>
                <w:highlight w:val="none"/>
              </w:rPr>
              <w:t>质量保障服务措施</w:t>
            </w:r>
          </w:p>
        </w:tc>
        <w:tc>
          <w:tcPr>
            <w:tcW w:w="3621" w:type="pct"/>
            <w:vAlign w:val="center"/>
          </w:tcPr>
          <w:p w14:paraId="28310E1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pacing w:val="0"/>
                <w:kern w:val="0"/>
                <w:sz w:val="24"/>
                <w:szCs w:val="24"/>
                <w:highlight w:val="none"/>
                <w:lang w:eastAsia="zh-CN"/>
              </w:rPr>
            </w:pPr>
            <w:r>
              <w:rPr>
                <w:rFonts w:hint="eastAsia" w:asciiTheme="minorEastAsia" w:hAnsiTheme="minorEastAsia" w:eastAsiaTheme="minorEastAsia" w:cstheme="minorEastAsia"/>
                <w:color w:val="auto"/>
                <w:spacing w:val="0"/>
                <w:kern w:val="0"/>
                <w:sz w:val="24"/>
                <w:szCs w:val="24"/>
                <w:highlight w:val="none"/>
              </w:rPr>
              <w:t>针对本项目提供质量保障服务措施，包含： ①公司服务宗旨； ②详细服务质量保障措施； ③服务标准及相关承诺； ④纪律及涉密保障服务措施</w:t>
            </w:r>
            <w:r>
              <w:rPr>
                <w:rFonts w:hint="eastAsia" w:asciiTheme="minorEastAsia" w:hAnsiTheme="minorEastAsia" w:eastAsiaTheme="minorEastAsia" w:cstheme="minorEastAsia"/>
                <w:color w:val="auto"/>
                <w:spacing w:val="0"/>
                <w:kern w:val="0"/>
                <w:sz w:val="24"/>
                <w:szCs w:val="24"/>
                <w:highlight w:val="none"/>
                <w:lang w:eastAsia="zh-CN"/>
              </w:rPr>
              <w:t>。</w:t>
            </w:r>
          </w:p>
          <w:p w14:paraId="0B0A356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4"/>
                <w:szCs w:val="24"/>
                <w:highlight w:val="none"/>
                <w:lang w:val="en-US" w:eastAsia="en-US" w:bidi="en-US"/>
              </w:rPr>
            </w:pPr>
            <w:r>
              <w:rPr>
                <w:rFonts w:hint="eastAsia" w:asciiTheme="minorEastAsia" w:hAnsiTheme="minorEastAsia" w:eastAsiaTheme="minorEastAsia" w:cstheme="minorEastAsia"/>
                <w:color w:val="auto"/>
                <w:sz w:val="24"/>
                <w:szCs w:val="24"/>
                <w:highlight w:val="none"/>
                <w:lang w:eastAsia="zh-CN"/>
              </w:rPr>
              <w:t>每项内容</w:t>
            </w:r>
            <w:r>
              <w:rPr>
                <w:rFonts w:hint="eastAsia" w:asciiTheme="minorEastAsia" w:hAnsiTheme="minorEastAsia" w:eastAsiaTheme="minorEastAsia" w:cstheme="minorEastAsia"/>
                <w:color w:val="auto"/>
                <w:sz w:val="24"/>
                <w:szCs w:val="24"/>
                <w:highlight w:val="none"/>
                <w:lang w:val="en-US" w:eastAsia="zh-CN"/>
              </w:rPr>
              <w:t>齐全详实</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分，每小项内容存在缺陷的</w:t>
            </w:r>
            <w:r>
              <w:rPr>
                <w:rFonts w:hint="eastAsia" w:asciiTheme="minorEastAsia" w:hAnsiTheme="minorEastAsia" w:eastAsiaTheme="minorEastAsia" w:cstheme="minorEastAsia"/>
                <w:color w:val="auto"/>
                <w:sz w:val="24"/>
                <w:szCs w:val="24"/>
                <w:highlight w:val="none"/>
                <w:lang w:val="en-US" w:eastAsia="zh-CN"/>
              </w:rPr>
              <w:t>扣0-1</w:t>
            </w:r>
            <w:r>
              <w:rPr>
                <w:rFonts w:hint="eastAsia" w:asciiTheme="minorEastAsia" w:hAnsiTheme="minorEastAsia" w:eastAsiaTheme="minorEastAsia" w:cstheme="minorEastAsia"/>
                <w:color w:val="auto"/>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r>
              <w:rPr>
                <w:rFonts w:hint="eastAsia" w:asciiTheme="minorEastAsia" w:hAnsiTheme="minorEastAsia" w:eastAsiaTheme="minorEastAsia" w:cstheme="minorEastAsia"/>
                <w:color w:val="auto"/>
                <w:spacing w:val="0"/>
                <w:kern w:val="0"/>
                <w:sz w:val="24"/>
                <w:szCs w:val="24"/>
                <w:highlight w:val="none"/>
              </w:rPr>
              <w:t xml:space="preserve"> </w:t>
            </w:r>
          </w:p>
        </w:tc>
        <w:tc>
          <w:tcPr>
            <w:tcW w:w="397" w:type="pct"/>
            <w:vAlign w:val="center"/>
          </w:tcPr>
          <w:p w14:paraId="67B7D41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78B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3ADD02DD">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94" w:type="pct"/>
            <w:vAlign w:val="center"/>
          </w:tcPr>
          <w:p w14:paraId="73CDB4B3">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培训</w:t>
            </w:r>
          </w:p>
        </w:tc>
        <w:tc>
          <w:tcPr>
            <w:tcW w:w="3621" w:type="pct"/>
            <w:vAlign w:val="center"/>
          </w:tcPr>
          <w:p w14:paraId="7AB7015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对安保人员的培训方案情况</w:t>
            </w:r>
            <w:r>
              <w:rPr>
                <w:rFonts w:hint="eastAsia" w:asciiTheme="minorEastAsia" w:hAnsiTheme="minorEastAsia" w:eastAsiaTheme="minorEastAsia" w:cstheme="minorEastAsia"/>
                <w:color w:val="auto"/>
                <w:sz w:val="24"/>
                <w:szCs w:val="24"/>
                <w:highlight w:val="none"/>
                <w:lang w:eastAsia="zh-CN"/>
              </w:rPr>
              <w:t>，内容包括：①</w:t>
            </w:r>
            <w:r>
              <w:rPr>
                <w:rFonts w:hint="eastAsia" w:asciiTheme="minorEastAsia" w:hAnsiTheme="minorEastAsia" w:eastAsiaTheme="minorEastAsia" w:cstheme="minorEastAsia"/>
                <w:color w:val="auto"/>
                <w:sz w:val="24"/>
                <w:szCs w:val="24"/>
                <w:highlight w:val="none"/>
              </w:rPr>
              <w:t>培训</w:t>
            </w:r>
            <w:r>
              <w:rPr>
                <w:rFonts w:hint="eastAsia" w:asciiTheme="minorEastAsia" w:hAnsiTheme="minorEastAsia" w:eastAsiaTheme="minorEastAsia" w:cstheme="minorEastAsia"/>
                <w:color w:val="auto"/>
                <w:sz w:val="24"/>
                <w:szCs w:val="24"/>
                <w:highlight w:val="none"/>
                <w:lang w:eastAsia="zh-CN"/>
              </w:rPr>
              <w:t>内容；②培训方案；③</w:t>
            </w:r>
            <w:r>
              <w:rPr>
                <w:rFonts w:hint="eastAsia" w:asciiTheme="minorEastAsia" w:hAnsiTheme="minorEastAsia" w:eastAsiaTheme="minorEastAsia" w:cstheme="minorEastAsia"/>
                <w:color w:val="auto"/>
                <w:sz w:val="24"/>
                <w:szCs w:val="24"/>
                <w:highlight w:val="none"/>
                <w:lang w:val="en-US" w:eastAsia="zh-CN"/>
              </w:rPr>
              <w:t>培训考核方案；</w:t>
            </w:r>
            <w:r>
              <w:rPr>
                <w:rFonts w:hint="eastAsia" w:ascii="微软雅黑" w:hAnsi="微软雅黑" w:eastAsia="微软雅黑" w:cs="微软雅黑"/>
                <w:color w:val="auto"/>
                <w:sz w:val="24"/>
                <w:szCs w:val="24"/>
                <w:highlight w:val="none"/>
                <w:lang w:val="en-US" w:eastAsia="zh-CN"/>
              </w:rPr>
              <w:t>④</w:t>
            </w:r>
            <w:r>
              <w:rPr>
                <w:rFonts w:hint="eastAsia" w:asciiTheme="minorEastAsia" w:hAnsiTheme="minorEastAsia" w:eastAsiaTheme="minorEastAsia" w:cstheme="minorEastAsia"/>
                <w:color w:val="auto"/>
                <w:sz w:val="24"/>
                <w:szCs w:val="24"/>
                <w:highlight w:val="none"/>
                <w:lang w:val="en-US" w:eastAsia="zh-CN"/>
              </w:rPr>
              <w:t>培训师资及场地情况（提供场地照片）</w:t>
            </w:r>
            <w:r>
              <w:rPr>
                <w:rFonts w:hint="eastAsia" w:asciiTheme="minorEastAsia" w:hAnsiTheme="minorEastAsia" w:eastAsiaTheme="minorEastAsia" w:cstheme="minorEastAsia"/>
                <w:color w:val="auto"/>
                <w:sz w:val="24"/>
                <w:szCs w:val="24"/>
                <w:highlight w:val="none"/>
                <w:lang w:eastAsia="zh-CN"/>
              </w:rPr>
              <w:t>。</w:t>
            </w:r>
          </w:p>
          <w:p w14:paraId="4C7C892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项内容齐全详实得2分，每小项内容存在缺陷的扣0-1分，未提供不得分。（缺陷是指：与本项目采购标的无关、方案内容前后不一致、前后逻辑错误、涉及的相关规范及标准错误、地点区域错误、内容缺失、只有简单描述无实质性内容）</w:t>
            </w:r>
          </w:p>
        </w:tc>
        <w:tc>
          <w:tcPr>
            <w:tcW w:w="397" w:type="pct"/>
            <w:vAlign w:val="center"/>
          </w:tcPr>
          <w:p w14:paraId="659D8DB6">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3CC7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14:paraId="7ECE786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94" w:type="pct"/>
            <w:vAlign w:val="center"/>
          </w:tcPr>
          <w:p w14:paraId="4EA3C58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安保设备</w:t>
            </w:r>
          </w:p>
        </w:tc>
        <w:tc>
          <w:tcPr>
            <w:tcW w:w="3621" w:type="pct"/>
            <w:vAlign w:val="center"/>
          </w:tcPr>
          <w:p w14:paraId="50DEB1FB">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拟投入安保设备</w:t>
            </w:r>
            <w:r>
              <w:rPr>
                <w:rFonts w:hint="eastAsia" w:asciiTheme="minorEastAsia" w:hAnsiTheme="minorEastAsia" w:eastAsiaTheme="minorEastAsia" w:cstheme="minorEastAsia"/>
                <w:color w:val="auto"/>
                <w:sz w:val="24"/>
                <w:szCs w:val="24"/>
                <w:highlight w:val="none"/>
                <w:lang w:val="en-US" w:eastAsia="zh-CN"/>
              </w:rPr>
              <w:t>满足采购文件基本情况的得1分，每多提供一种</w:t>
            </w:r>
            <w:r>
              <w:rPr>
                <w:rFonts w:hint="eastAsia" w:asciiTheme="minorEastAsia" w:hAnsiTheme="minorEastAsia" w:eastAsiaTheme="minorEastAsia" w:cstheme="minorEastAsia"/>
                <w:color w:val="auto"/>
                <w:sz w:val="24"/>
                <w:szCs w:val="24"/>
                <w:highlight w:val="none"/>
              </w:rPr>
              <w:t>安保设备</w:t>
            </w:r>
            <w:r>
              <w:rPr>
                <w:rFonts w:hint="eastAsia" w:asciiTheme="minorEastAsia" w:hAnsiTheme="minorEastAsia" w:eastAsiaTheme="minorEastAsia" w:cstheme="minorEastAsia"/>
                <w:color w:val="auto"/>
                <w:sz w:val="24"/>
                <w:szCs w:val="24"/>
                <w:highlight w:val="none"/>
                <w:lang w:val="en-US" w:eastAsia="zh-CN"/>
              </w:rPr>
              <w:t>的加1分，满分6分。</w:t>
            </w:r>
            <w:r>
              <w:rPr>
                <w:rFonts w:hint="eastAsia" w:asciiTheme="minorEastAsia" w:hAnsiTheme="minorEastAsia" w:eastAsiaTheme="minorEastAsia" w:cstheme="minorEastAsia"/>
                <w:color w:val="auto"/>
                <w:sz w:val="24"/>
                <w:szCs w:val="24"/>
                <w:highlight w:val="none"/>
                <w:lang w:eastAsia="zh-CN"/>
              </w:rPr>
              <w:t>须提供</w:t>
            </w:r>
            <w:r>
              <w:rPr>
                <w:rFonts w:hint="eastAsia" w:asciiTheme="minorEastAsia" w:hAnsiTheme="minorEastAsia" w:eastAsiaTheme="minorEastAsia" w:cstheme="minorEastAsia"/>
                <w:color w:val="auto"/>
                <w:sz w:val="24"/>
                <w:szCs w:val="24"/>
                <w:highlight w:val="none"/>
                <w:lang w:val="en-US" w:eastAsia="zh-CN"/>
              </w:rPr>
              <w:t>设备的</w:t>
            </w:r>
            <w:r>
              <w:rPr>
                <w:rFonts w:hint="eastAsia" w:asciiTheme="minorEastAsia" w:hAnsiTheme="minorEastAsia" w:eastAsiaTheme="minorEastAsia" w:cstheme="minorEastAsia"/>
                <w:color w:val="auto"/>
                <w:sz w:val="24"/>
                <w:szCs w:val="24"/>
                <w:highlight w:val="none"/>
                <w:lang w:eastAsia="zh-CN"/>
              </w:rPr>
              <w:t>设备清单（</w:t>
            </w:r>
            <w:r>
              <w:rPr>
                <w:rFonts w:hint="eastAsia" w:asciiTheme="minorEastAsia" w:hAnsiTheme="minorEastAsia" w:eastAsiaTheme="minorEastAsia" w:cstheme="minorEastAsia"/>
                <w:color w:val="auto"/>
                <w:sz w:val="24"/>
                <w:szCs w:val="24"/>
                <w:highlight w:val="none"/>
                <w:lang w:val="en-US" w:eastAsia="zh-CN"/>
              </w:rPr>
              <w:t>格式自拟）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设备图片、设备购买合同</w:t>
            </w:r>
            <w:r>
              <w:rPr>
                <w:rFonts w:hint="eastAsia" w:asciiTheme="minorEastAsia" w:hAnsiTheme="minorEastAsia" w:eastAsiaTheme="minorEastAsia" w:cstheme="minorEastAsia"/>
                <w:color w:val="auto"/>
                <w:sz w:val="24"/>
                <w:szCs w:val="24"/>
                <w:highlight w:val="none"/>
                <w:lang w:eastAsia="zh-CN"/>
              </w:rPr>
              <w:t>，否则不得分</w:t>
            </w:r>
            <w:r>
              <w:rPr>
                <w:rFonts w:hint="eastAsia" w:asciiTheme="minorEastAsia" w:hAnsiTheme="minorEastAsia" w:eastAsiaTheme="minorEastAsia" w:cstheme="minorEastAsia"/>
                <w:color w:val="auto"/>
                <w:sz w:val="24"/>
                <w:szCs w:val="24"/>
                <w:highlight w:val="none"/>
              </w:rPr>
              <w:t xml:space="preserve">。 </w:t>
            </w:r>
          </w:p>
        </w:tc>
        <w:tc>
          <w:tcPr>
            <w:tcW w:w="397" w:type="pct"/>
            <w:vAlign w:val="center"/>
          </w:tcPr>
          <w:p w14:paraId="16E4B47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bl>
    <w:p w14:paraId="27ED9F82">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p>
    <w:p w14:paraId="0E53877C">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2D8FE8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3B6F154C">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3、在任何评标环节中，需评标委员会就某项评审结论做出表决的，由评标委员会全体成员按照少数服从多数的原则，以记名投票方式表决。</w:t>
      </w:r>
    </w:p>
    <w:p w14:paraId="187BF24F">
      <w:pPr>
        <w:bidi w:val="0"/>
        <w:rPr>
          <w:rFonts w:hint="eastAsia"/>
          <w:lang w:val="en-US" w:eastAsia="zh-CN"/>
        </w:rPr>
      </w:pPr>
      <w:bookmarkStart w:id="5" w:name="_Toc23658"/>
    </w:p>
    <w:p w14:paraId="3E348793">
      <w:pPr>
        <w:bidi w:val="0"/>
        <w:rPr>
          <w:rFonts w:hint="eastAsia"/>
          <w:lang w:val="en-US" w:eastAsia="zh-CN"/>
        </w:rPr>
      </w:pPr>
    </w:p>
    <w:p w14:paraId="5DF3FA53">
      <w:pPr>
        <w:pStyle w:val="2"/>
        <w:rPr>
          <w:rFonts w:hint="eastAsia"/>
          <w:lang w:val="en-US" w:eastAsia="zh-CN"/>
        </w:rPr>
      </w:pPr>
    </w:p>
    <w:p w14:paraId="567F46A0">
      <w:pPr>
        <w:pStyle w:val="51"/>
        <w:pageBreakBefore w:val="0"/>
        <w:widowControl/>
        <w:tabs>
          <w:tab w:val="left" w:pos="0"/>
        </w:tabs>
        <w:kinsoku/>
        <w:wordWrap/>
        <w:overflowPunct/>
        <w:topLinePunct w:val="0"/>
        <w:bidi w:val="0"/>
        <w:snapToGrid/>
        <w:spacing w:before="0" w:beforeAutospacing="0" w:after="0" w:afterAutospacing="0" w:line="360" w:lineRule="auto"/>
        <w:ind w:left="0" w:leftChars="0" w:firstLine="0" w:firstLine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第五部分   政府采购合同</w:t>
      </w:r>
      <w:bookmarkEnd w:id="5"/>
    </w:p>
    <w:p w14:paraId="2249C1AA">
      <w:pPr>
        <w:pStyle w:val="243"/>
        <w:keepNext/>
        <w:keepLines/>
        <w:pageBreakBefore w:val="0"/>
        <w:kinsoku/>
        <w:wordWrap/>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b/>
          <w:bCs w:val="0"/>
          <w:color w:val="auto"/>
          <w:sz w:val="24"/>
          <w:szCs w:val="24"/>
          <w:highlight w:val="none"/>
        </w:rPr>
      </w:pPr>
      <w:bookmarkStart w:id="6" w:name="EB835308aa585640bcbdb7859c5d572516"/>
      <w:r>
        <w:rPr>
          <w:rFonts w:hint="eastAsia" w:asciiTheme="minorEastAsia" w:hAnsiTheme="minorEastAsia" w:eastAsiaTheme="minorEastAsia" w:cstheme="minorEastAsia"/>
          <w:b/>
          <w:bCs w:val="0"/>
          <w:color w:val="auto"/>
          <w:sz w:val="24"/>
          <w:szCs w:val="24"/>
          <w:highlight w:val="none"/>
        </w:rPr>
        <w:t xml:space="preserve"> </w:t>
      </w:r>
      <w:bookmarkStart w:id="7" w:name="bookmark97"/>
      <w:bookmarkStart w:id="8" w:name="bookmark95"/>
      <w:bookmarkStart w:id="9" w:name="bookmark96"/>
      <w:r>
        <w:rPr>
          <w:rFonts w:hint="eastAsia" w:asciiTheme="minorEastAsia" w:hAnsiTheme="minorEastAsia" w:eastAsiaTheme="minorEastAsia" w:cstheme="minorEastAsia"/>
          <w:b/>
          <w:bCs w:val="0"/>
          <w:color w:val="auto"/>
          <w:sz w:val="24"/>
          <w:szCs w:val="24"/>
          <w:highlight w:val="none"/>
        </w:rPr>
        <w:t>政府釆购合同（样例）</w:t>
      </w:r>
      <w:bookmarkEnd w:id="7"/>
      <w:bookmarkEnd w:id="8"/>
      <w:bookmarkEnd w:id="9"/>
    </w:p>
    <w:p w14:paraId="061DF6A5">
      <w:pPr>
        <w:pStyle w:val="219"/>
        <w:pageBreakBefore w:val="0"/>
        <w:kinsoku/>
        <w:wordWrap/>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（此合同为参考模板，具体由甲乙双方按照有关要求约定）</w:t>
      </w:r>
    </w:p>
    <w:p w14:paraId="7F159392">
      <w:pPr>
        <w:pageBreakBefore w:val="0"/>
        <w:kinsoku/>
        <w:wordWrap/>
        <w:overflowPunct w:val="0"/>
        <w:topLinePunct w:val="0"/>
        <w:autoSpaceDE/>
        <w:autoSpaceDN/>
        <w:bidi w:val="0"/>
        <w:adjustRightInd/>
        <w:snapToGrid/>
        <w:spacing w:beforeAutospacing="0" w:afterAutospacing="0" w:line="500" w:lineRule="exact"/>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bookmarkEnd w:id="6"/>
    <w:p w14:paraId="49C811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保安</w:t>
      </w:r>
      <w:r>
        <w:rPr>
          <w:rFonts w:hint="eastAsia" w:asciiTheme="minorEastAsia" w:hAnsiTheme="minorEastAsia" w:eastAsiaTheme="minorEastAsia" w:cstheme="minorEastAsia"/>
          <w:color w:val="auto"/>
          <w:sz w:val="24"/>
          <w:szCs w:val="24"/>
          <w:highlight w:val="none"/>
        </w:rPr>
        <w:t>服务协议书</w:t>
      </w:r>
    </w:p>
    <w:p w14:paraId="2DA2DB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p>
    <w:p w14:paraId="03D442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方：</w:t>
      </w:r>
    </w:p>
    <w:p w14:paraId="258733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本着友好协商、互惠互利原则，根据我国现行法律法规相关规定，经充分协商达成一致，现就乙方选派专职安检员员在天山区大巴扎步行街范围内从事安检口安检工作的具体事宜，签订本协议，由双方共同遵守。</w:t>
      </w:r>
    </w:p>
    <w:p w14:paraId="641E650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安保的服务范围、工作职责</w:t>
      </w:r>
    </w:p>
    <w:p w14:paraId="561146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1、乙方向甲方提供其公司的保安服务，服务范围：天山区大巴扎步行街安检口</w:t>
      </w:r>
      <w:r>
        <w:rPr>
          <w:rFonts w:hint="eastAsia" w:asciiTheme="minorEastAsia" w:hAnsiTheme="minorEastAsia" w:eastAsiaTheme="minorEastAsia" w:cstheme="minorEastAsia"/>
          <w:color w:val="auto"/>
          <w:sz w:val="24"/>
          <w:szCs w:val="24"/>
          <w:highlight w:val="none"/>
          <w:lang w:val="en-US" w:eastAsia="zh-CN"/>
        </w:rPr>
        <w:t>周边</w:t>
      </w:r>
      <w:r>
        <w:rPr>
          <w:rFonts w:hint="eastAsia" w:asciiTheme="minorEastAsia" w:hAnsiTheme="minorEastAsia" w:eastAsiaTheme="minorEastAsia" w:cstheme="minorEastAsia"/>
          <w:color w:val="auto"/>
          <w:sz w:val="24"/>
          <w:szCs w:val="24"/>
          <w:highlight w:val="none"/>
        </w:rPr>
        <w:t>。</w:t>
      </w:r>
    </w:p>
    <w:p w14:paraId="683F58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2、工作职责：乙方派驻的安检员要根据上级各项部署和要求相关要求，严格履行安检口人员安检、货物安检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突发公共事件</w:t>
      </w:r>
      <w:r>
        <w:rPr>
          <w:rFonts w:hint="eastAsia" w:asciiTheme="minorEastAsia" w:hAnsiTheme="minorEastAsia" w:eastAsiaTheme="minorEastAsia" w:cstheme="minorEastAsia"/>
          <w:color w:val="auto"/>
          <w:sz w:val="24"/>
          <w:szCs w:val="24"/>
          <w:highlight w:val="none"/>
        </w:rPr>
        <w:t>等各项工作，服从“三班三运”勤务模式，严格执行24小时执勤备勤制度。在协议履行过程中，甲方有权根据工作的实际情况需要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淡旺季或政策调整）</w:t>
      </w:r>
      <w:r>
        <w:rPr>
          <w:rFonts w:hint="eastAsia" w:asciiTheme="minorEastAsia" w:hAnsiTheme="minorEastAsia" w:eastAsiaTheme="minorEastAsia" w:cstheme="minorEastAsia"/>
          <w:color w:val="auto"/>
          <w:sz w:val="24"/>
          <w:szCs w:val="24"/>
          <w:highlight w:val="none"/>
        </w:rPr>
        <w:t>，随时增减安检员人数。</w:t>
      </w:r>
    </w:p>
    <w:p w14:paraId="3901F8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二、服务期限</w:t>
      </w:r>
    </w:p>
    <w:p w14:paraId="463590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1、保安服务期限为1年，自</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日至</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日止。</w:t>
      </w:r>
    </w:p>
    <w:p w14:paraId="138CFE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遇有天山区委的相关政策调整，取消或延长安检口值班的相关要求，则服务期限于该政策出台之日起终止或自动顺延，如遇顺延，甲乙双方需签订书面补充协议。保安服务费根据实际执行期限结算，按照双方协商的服务费标准多退少补。</w:t>
      </w:r>
    </w:p>
    <w:p w14:paraId="635ACA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三、服务费用</w:t>
      </w:r>
    </w:p>
    <w:p w14:paraId="21E6D4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按照甲方要求，天山区安检口按照每安检口标准人员数，安保服务费用按照实际上岗人员每人4250元/月标准计算。</w:t>
      </w:r>
    </w:p>
    <w:p w14:paraId="095E2B3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双方的权利与义务</w:t>
      </w:r>
    </w:p>
    <w:p w14:paraId="35538B67">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甲方权利义务</w:t>
      </w:r>
    </w:p>
    <w:p w14:paraId="623345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1、甲方有权对乙方拟选派的安检员进行资格审查，要求并监督乙方提供</w:t>
      </w:r>
      <w:r>
        <w:rPr>
          <w:rFonts w:hint="eastAsia" w:asciiTheme="minorEastAsia" w:hAnsiTheme="minorEastAsia" w:eastAsiaTheme="minorEastAsia" w:cstheme="minorEastAsia"/>
          <w:color w:val="auto"/>
          <w:sz w:val="24"/>
          <w:szCs w:val="24"/>
          <w:highlight w:val="none"/>
          <w:lang w:val="en-US" w:eastAsia="zh-CN"/>
        </w:rPr>
        <w:t>符合需求</w:t>
      </w:r>
      <w:r>
        <w:rPr>
          <w:rFonts w:hint="eastAsia" w:asciiTheme="minorEastAsia" w:hAnsiTheme="minorEastAsia" w:eastAsiaTheme="minorEastAsia" w:cstheme="minorEastAsia"/>
          <w:color w:val="auto"/>
          <w:sz w:val="24"/>
          <w:szCs w:val="24"/>
          <w:highlight w:val="none"/>
        </w:rPr>
        <w:t>的保安服务的权利。</w:t>
      </w:r>
    </w:p>
    <w:p w14:paraId="68CB4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2、甲方有权要求乙方对拟选派的安检员，规定招录人员范围及条件，要求乙方拟招录人员，具有中华人民共和国国籍，年满十八周岁至</w:t>
      </w:r>
      <w:r>
        <w:rPr>
          <w:rFonts w:hint="eastAsia" w:asciiTheme="minorEastAsia" w:hAnsiTheme="minorEastAsia" w:eastAsiaTheme="minorEastAsia" w:cstheme="minorEastAsia"/>
          <w:color w:val="auto"/>
          <w:sz w:val="24"/>
          <w:szCs w:val="24"/>
          <w:highlight w:val="none"/>
          <w:lang w:val="en-US" w:eastAsia="zh-CN"/>
        </w:rPr>
        <w:t>四十</w:t>
      </w:r>
      <w:r>
        <w:rPr>
          <w:rFonts w:hint="eastAsia" w:asciiTheme="minorEastAsia" w:hAnsiTheme="minorEastAsia" w:eastAsiaTheme="minorEastAsia" w:cstheme="minorEastAsia"/>
          <w:color w:val="auto"/>
          <w:sz w:val="24"/>
          <w:szCs w:val="24"/>
          <w:highlight w:val="none"/>
        </w:rPr>
        <w:t>周岁，具有</w:t>
      </w:r>
      <w:r>
        <w:rPr>
          <w:rFonts w:hint="eastAsia" w:asciiTheme="minorEastAsia" w:hAnsiTheme="minorEastAsia" w:eastAsiaTheme="minorEastAsia" w:cstheme="minorEastAsia"/>
          <w:color w:val="auto"/>
          <w:sz w:val="24"/>
          <w:szCs w:val="24"/>
          <w:highlight w:val="none"/>
          <w:lang w:val="en-US" w:eastAsia="zh-CN"/>
        </w:rPr>
        <w:t>初中</w:t>
      </w:r>
      <w:r>
        <w:rPr>
          <w:rFonts w:hint="eastAsia" w:asciiTheme="minorEastAsia" w:hAnsiTheme="minorEastAsia" w:eastAsiaTheme="minorEastAsia" w:cstheme="minorEastAsia"/>
          <w:color w:val="auto"/>
          <w:sz w:val="24"/>
          <w:szCs w:val="24"/>
          <w:highlight w:val="none"/>
        </w:rPr>
        <w:t>以上文化程度和履行岗位职责所需的工作能力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提供保安员上岗证）</w:t>
      </w:r>
      <w:r>
        <w:rPr>
          <w:rFonts w:hint="eastAsia" w:asciiTheme="minorEastAsia" w:hAnsiTheme="minorEastAsia" w:eastAsiaTheme="minorEastAsia" w:cstheme="minorEastAsia"/>
          <w:color w:val="auto"/>
          <w:sz w:val="24"/>
          <w:szCs w:val="24"/>
          <w:highlight w:val="none"/>
        </w:rPr>
        <w:t>。</w:t>
      </w:r>
    </w:p>
    <w:p w14:paraId="53CD6D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3、甲方有权要求乙方对派驻的安检员配备岗位所需及配套的工作服装(衣服、帽子、鞋子、手套),要求并监督乙方提供符合规定服装的权利。</w:t>
      </w:r>
    </w:p>
    <w:p w14:paraId="5C3643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4、甲方有权要求乙方对拟招录政审合格的人员，上岗前必须进行</w:t>
      </w:r>
      <w:r>
        <w:rPr>
          <w:rFonts w:hint="eastAsia" w:asciiTheme="minorEastAsia" w:hAnsiTheme="minorEastAsia" w:eastAsiaTheme="minorEastAsia" w:cstheme="minorEastAsia"/>
          <w:color w:val="auto"/>
          <w:sz w:val="24"/>
          <w:szCs w:val="24"/>
          <w:highlight w:val="none"/>
          <w:lang w:val="en-US" w:eastAsia="zh-CN"/>
        </w:rPr>
        <w:t>基本</w:t>
      </w:r>
      <w:r>
        <w:rPr>
          <w:rFonts w:hint="eastAsia" w:asciiTheme="minorEastAsia" w:hAnsiTheme="minorEastAsia" w:eastAsiaTheme="minorEastAsia" w:cstheme="minorEastAsia"/>
          <w:color w:val="auto"/>
          <w:sz w:val="24"/>
          <w:szCs w:val="24"/>
          <w:highlight w:val="none"/>
        </w:rPr>
        <w:t>体检，体检不合格人员不予聘用上岗，体检合格人员需携带体检报告方可办理入职上岗。</w:t>
      </w:r>
    </w:p>
    <w:p w14:paraId="6AE2D7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5、甲方有权要求乙方对拟招录政审合格的人员，正式办理入职上岗手续后，并签订保密承诺书，统一分配至各岗位，开始上岗后，并起算其考勤。</w:t>
      </w:r>
    </w:p>
    <w:p w14:paraId="47584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6、甲方有权要求乙方对派驻的安检员，上岗前需购买人身意外伤害保险。</w:t>
      </w:r>
    </w:p>
    <w:p w14:paraId="3C917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7、甲方有权对乙方选派的安检员履行招录上岗手续进行监督、检查，如有擅自上岗情况，对乙方予以处罚，发生任何问题，一切责任由乙方自行承担。</w:t>
      </w:r>
    </w:p>
    <w:p w14:paraId="43D519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甲方有权要求乙方对选派的安检员，办理离职时需提前一周时间报告用人单位，办理辞职手续严格按照规定填写辞职报告书，经所在岗位负责人、及单位主管领导签署意见，乙方选派的安检员在辞职后不满三个月，不得再进行招录。</w:t>
      </w:r>
    </w:p>
    <w:p w14:paraId="2B29BC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甲方根据《乌鲁木齐市巡控队员管理办法(试行)》对乙方所派安检员进行管理，甲方有权对大巴扎步行街安检口执勤区域进行督查、检查，如乙方值守安检员由违规违纪行为或违反甲方要求履行的职责任务时，有权对当班值守人员进行处罚，同时有权要求乙方更换安检员，同时甲方向乙方提出的工作整改要求，乙方必须在48小时内提供解决方案，对于紧急的要求，必须立即作出反馈。</w:t>
      </w:r>
    </w:p>
    <w:p w14:paraId="54F7C8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10、甲方有监督乙方对其派驻的安检员支付合法劳动报酬和提供必要劳动待遇的权利。</w:t>
      </w:r>
    </w:p>
    <w:p w14:paraId="3700F9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11、甲方有权要求对乙方派驻的安检员的失职行为造成的财产损失给予赔偿的权利。</w:t>
      </w:r>
    </w:p>
    <w:p w14:paraId="55285F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12、甲方按照协议约定，根据</w:t>
      </w:r>
      <w:r>
        <w:rPr>
          <w:rFonts w:hint="eastAsia" w:asciiTheme="minorEastAsia" w:hAnsiTheme="minorEastAsia" w:eastAsiaTheme="minorEastAsia" w:cstheme="minorEastAsia"/>
          <w:color w:val="auto"/>
          <w:sz w:val="24"/>
          <w:szCs w:val="24"/>
          <w:highlight w:val="none"/>
          <w:lang w:val="en-US" w:eastAsia="zh-CN"/>
        </w:rPr>
        <w:t>甲方考核</w:t>
      </w:r>
      <w:r>
        <w:rPr>
          <w:rFonts w:hint="eastAsia" w:asciiTheme="minorEastAsia" w:hAnsiTheme="minorEastAsia" w:eastAsiaTheme="minorEastAsia" w:cstheme="minorEastAsia"/>
          <w:color w:val="auto"/>
          <w:sz w:val="24"/>
          <w:szCs w:val="24"/>
          <w:highlight w:val="none"/>
        </w:rPr>
        <w:t>的考勤结果按月按实际上岗人数向乙方支付安保服务费用。</w:t>
      </w:r>
    </w:p>
    <w:p w14:paraId="3AAFA7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13、甲方为乙方选派的安检员明确执勤区域。</w:t>
      </w:r>
    </w:p>
    <w:p w14:paraId="1A805A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(二)乙方权利义务</w:t>
      </w:r>
    </w:p>
    <w:p w14:paraId="723F8F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1、乙方安检员应按上级的各项部署和要求，在甲方要求承担指定区域正常的工作秩序；保障甲方在执勤区域的安全检查防范和</w:t>
      </w:r>
      <w:r>
        <w:rPr>
          <w:rFonts w:hint="eastAsia" w:asciiTheme="minorEastAsia" w:hAnsiTheme="minorEastAsia" w:eastAsiaTheme="minorEastAsia" w:cstheme="minorEastAsia"/>
          <w:color w:val="auto"/>
          <w:sz w:val="24"/>
          <w:szCs w:val="24"/>
          <w:highlight w:val="none"/>
          <w:lang w:eastAsia="zh-CN"/>
        </w:rPr>
        <w:t>突发公共事件</w:t>
      </w:r>
      <w:r>
        <w:rPr>
          <w:rFonts w:hint="eastAsia" w:asciiTheme="minorEastAsia" w:hAnsiTheme="minorEastAsia" w:eastAsiaTheme="minorEastAsia" w:cstheme="minorEastAsia"/>
          <w:color w:val="auto"/>
          <w:sz w:val="24"/>
          <w:szCs w:val="24"/>
          <w:highlight w:val="none"/>
        </w:rPr>
        <w:t>等任务。</w:t>
      </w:r>
    </w:p>
    <w:p w14:paraId="52C1A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2、乙方需经常对选派的安检员进行法律知识和</w:t>
      </w:r>
      <w:r>
        <w:rPr>
          <w:rFonts w:hint="eastAsia" w:asciiTheme="minorEastAsia" w:hAnsiTheme="minorEastAsia" w:eastAsiaTheme="minorEastAsia" w:cstheme="minorEastAsia"/>
          <w:color w:val="auto"/>
          <w:sz w:val="24"/>
          <w:szCs w:val="24"/>
          <w:highlight w:val="none"/>
          <w:lang w:val="en-US" w:eastAsia="zh-CN"/>
        </w:rPr>
        <w:t>国家通用语言及</w:t>
      </w:r>
      <w:r>
        <w:rPr>
          <w:rFonts w:hint="eastAsia" w:asciiTheme="minorEastAsia" w:hAnsiTheme="minorEastAsia" w:eastAsiaTheme="minorEastAsia" w:cstheme="minorEastAsia"/>
          <w:color w:val="auto"/>
          <w:sz w:val="24"/>
          <w:szCs w:val="24"/>
          <w:highlight w:val="none"/>
        </w:rPr>
        <w:t>相关业务知识培训，提高服务质量，发现问题要及时纠正，并制定专人与甲方保持工作联系，保障各项安保工作顺利完成。</w:t>
      </w:r>
    </w:p>
    <w:p w14:paraId="744908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3、乙方负责承担派出的安检员的劳动报酬、福利待遇。拟派出的安检员必须拥有合法身份证明、居住证明，非乌市户籍的新疆流动人口，同时提供便民联系卡和乌市户籍人员提供的担保责任书。</w:t>
      </w:r>
    </w:p>
    <w:p w14:paraId="6B7368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4、乙方及选派的安检员要严格落实并执行工作的相关规定，认真履行安保责任，如乙方值守安检员未能履行相关职责被各级督察部门通报，乙方及值守安检员要对通报的问题负责并承担相应的赔偿及处罚责任。</w:t>
      </w:r>
    </w:p>
    <w:p w14:paraId="084BD9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5、乙方派驻的安检员要遵守并严格执行甲方指定的所有关于安检口执勤的规章制度，维护甲方权利，保障甲方的财产安全。</w:t>
      </w:r>
    </w:p>
    <w:p w14:paraId="019551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、乙方派驻安检员需由公安分局及派出所进行审核后将结果反馈至乙方，乙方将实际上岗人员反馈给甲方，乙方根据反馈结果派驻安检员。</w:t>
      </w:r>
    </w:p>
    <w:p w14:paraId="02B77A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乙方必须按照甲方要求对新入安检员严格按照政审通过后的时间上岗，严禁未履行完入职手续提前上岗，如有违反上岗规定，对相应违反此项规定的安保公司发现一人次处于1000元处罚，将从当月安保服务费中扣除，以此叠加进行处罚。</w:t>
      </w:r>
    </w:p>
    <w:p w14:paraId="760080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、乙方必须严格遵守考勤制度，严禁出现虚假考勤，多报、漏报、恶意篡改考勤，对于违反此项规定的安保公司发现一人次处于3000元处罚，将从当月安保服务费中扣除，以此叠加进行处罚。</w:t>
      </w:r>
    </w:p>
    <w:p w14:paraId="15E4B6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乙方招录人员通过政审正式上岗后短期内离职，造成岗位人员缺失，乙方必须及时把岗位缺失人员补齐不得出现岗位空档期，如出现岗位人员空缺，每个岗位空缺期不能超过7天，超过7天未及时将空缺岗位补齐，将对乙方每天每人次500元处罚，以此叠加进行处罚，将从当月安保服务费中扣除，乙方按照甲方规定的期限内，超过15天仍然无法将岗位空缺安检员补齐，甲方视为自动终止安保服务合同，甲方有权向乙方下达书面告知书，告知乙方终止安保服务协议，此标段人员招录工作由甲方指派其他安保公司进行人员招录工作。</w:t>
      </w:r>
    </w:p>
    <w:p w14:paraId="373721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、乙方对派驻安检员</w:t>
      </w:r>
      <w:r>
        <w:rPr>
          <w:rFonts w:hint="eastAsia" w:asciiTheme="minorEastAsia" w:hAnsiTheme="minorEastAsia" w:eastAsiaTheme="minorEastAsia" w:cstheme="minorEastAsia"/>
          <w:color w:val="auto"/>
          <w:sz w:val="24"/>
          <w:szCs w:val="24"/>
          <w:highlight w:val="none"/>
          <w:lang w:val="en-US" w:eastAsia="zh-CN"/>
        </w:rPr>
        <w:t>依法</w:t>
      </w:r>
      <w:r>
        <w:rPr>
          <w:rFonts w:hint="eastAsia" w:asciiTheme="minorEastAsia" w:hAnsiTheme="minorEastAsia" w:eastAsiaTheme="minorEastAsia" w:cstheme="minorEastAsia"/>
          <w:color w:val="auto"/>
          <w:sz w:val="24"/>
          <w:szCs w:val="24"/>
          <w:highlight w:val="none"/>
        </w:rPr>
        <w:t>缴纳社保，实发工资不低于2500元。</w:t>
      </w:r>
    </w:p>
    <w:p w14:paraId="0155BD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必须按照甲方要求对新入职安检员购买人身意外伤害保险。若甲方发现乙方未对派驻的安检员购买人身意外伤害保险，发现一人次，甲方将扣除乙方1000元安保服务费，以此叠加进行扣除，并要求乙方于3日内将安检员的人身意外险购买到位，乙方对派驻安检员承担用人单位的全部法定责任。</w:t>
      </w:r>
    </w:p>
    <w:p w14:paraId="779308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、乙方必须按照甲方要求对驻派的安检员配备岗位所需的工作服装，安检员配发服装因根据季节配备所需工作服装，若未按照要求对新入职的人员及时配备服装，按照相关规定予以处罚，发现</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人次，扣除当月安保服务费1000元，以此叠加进行扣除。</w:t>
      </w:r>
    </w:p>
    <w:p w14:paraId="37B588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、乙方派驻安检员在工作期间未经请假无故旷工3天以上予以辞退，并在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年内不得再次录用，安检员自行辞职，辞职后的人员</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个月内不得再次办理入职，如有违反此项规定发现</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人次甲方将扣除乙方当月1000元安保服务费以此叠加处罚。</w:t>
      </w:r>
    </w:p>
    <w:p w14:paraId="3ECD4A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、乙方派驻安检员具有正常履职所需要的身体条件和心理素质，在入职前必须在指定医院进行入职体检，若未按照要求对新入职的人员进行体检，发现一人次，扣除当月安保服务费1000 元，以此叠加进行扣除。</w:t>
      </w:r>
    </w:p>
    <w:p w14:paraId="30387F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五、责任与赔偿</w:t>
      </w:r>
    </w:p>
    <w:p w14:paraId="248AD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乙方选派安检员玩忽职守或失职造成值守的安检口被上级单位通报或处罚的，每被通报一次，甲方将扣除乙方3000元安保服务费。乙方选派安检员在执勤工作中，违反工作相关规定引起的任何责任，均由乙方承担。</w:t>
      </w:r>
    </w:p>
    <w:p w14:paraId="79D8AA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2、由于政策调整或不可抗力造成协议不能履行或不能完全履行的，双方互不承担违约责任。</w:t>
      </w:r>
    </w:p>
    <w:p w14:paraId="1733E2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3、乙方派出的安检员是乙方的聘用员工，与乙方形成劳动关系，乙方选派的安检员在岗期间时发生残疾、伤残、意外事故、死亡等，产生的一切费用(包括丧葬费用)由乙方自行承担和处理，与甲方无关。</w:t>
      </w:r>
    </w:p>
    <w:p w14:paraId="224442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4、因乙方责任造成甲方财产损失的，由乙方按责任予以赔偿，对此，甲方有权直接解除本协议。</w:t>
      </w:r>
    </w:p>
    <w:p w14:paraId="28EBF7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六、协议的变更、解除及终止</w:t>
      </w:r>
    </w:p>
    <w:p w14:paraId="255BA6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、本协议生效后双方不得随意变更、解除及终止协议。</w:t>
      </w:r>
    </w:p>
    <w:p w14:paraId="439450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如任何一方无正当理由解除合同的，违约方应向守约方支付总服务费的10%违约金，同时应承担因违约给守约方造成的损失。</w:t>
      </w:r>
    </w:p>
    <w:p w14:paraId="6FDB4A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2、本协议履行期间，如发生协议相关条款的变更，须由甲、乙双方共同协商并签订书面补充协议，补充协议与本协议具有相同的法律效力。</w:t>
      </w:r>
    </w:p>
    <w:p w14:paraId="4D188D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3、甲、乙双方任何一方非因法定事由不得单方解除并终止协议，但遇政策变动、不可抗力等因素除外。</w:t>
      </w:r>
    </w:p>
    <w:p w14:paraId="5C5BC0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4、如一方未按照本协议的约定条款内容履行其义务，除承担违约赔偿责任外，甲方有权直接解除协议。</w:t>
      </w:r>
    </w:p>
    <w:p w14:paraId="193246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5、本协议签订一个月内，如乙方无法为甲方指定区域内提供安检员，则视乙方违约，可随时解除安保服务合同。</w:t>
      </w:r>
    </w:p>
    <w:p w14:paraId="509DAF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七、争议解决</w:t>
      </w:r>
    </w:p>
    <w:p w14:paraId="423682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甲、乙双方在执行本协议发生争议时，应充分协商解决如协商未果，任何一方均可向天山区人民法院提起诉讼。</w:t>
      </w:r>
    </w:p>
    <w:p w14:paraId="3FB234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八、未尽事宜</w:t>
      </w:r>
    </w:p>
    <w:p w14:paraId="731DE2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在双方履行本协议过程中，如有未尽的事情发生，则由双方共同协议达成一致，签订补充协议，补充协议与本协议具有相同法律效力。</w:t>
      </w:r>
    </w:p>
    <w:p w14:paraId="4575736C">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协议生效</w:t>
      </w:r>
    </w:p>
    <w:p w14:paraId="7CE148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本协议经甲、乙双方法定代表人或授权代理人签字并加盖公章后生效。本协议一式四份，甲、乙双方各持二份，具有同等效力。</w:t>
      </w:r>
    </w:p>
    <w:p w14:paraId="3DF699D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p>
    <w:p w14:paraId="6FB4252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w:t>
      </w:r>
    </w:p>
    <w:p w14:paraId="22C9F4B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法定代表人或授权代理人(签字)</w:t>
      </w:r>
      <w:r>
        <w:rPr>
          <w:rFonts w:hint="eastAsia" w:asciiTheme="minorEastAsia" w:hAnsiTheme="minorEastAsia" w:eastAsiaTheme="minorEastAsia" w:cstheme="minorEastAsia"/>
          <w:color w:val="auto"/>
          <w:sz w:val="24"/>
          <w:szCs w:val="24"/>
          <w:highlight w:val="none"/>
          <w:lang w:eastAsia="zh-CN"/>
        </w:rPr>
        <w:t>：</w:t>
      </w:r>
    </w:p>
    <w:p w14:paraId="7EDA090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w:t>
      </w:r>
    </w:p>
    <w:p w14:paraId="0705923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14:paraId="4CBF548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w:t>
      </w:r>
    </w:p>
    <w:p w14:paraId="0B484AA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法定代表人或授权代理人(签字)</w:t>
      </w:r>
      <w:r>
        <w:rPr>
          <w:rFonts w:hint="eastAsia" w:asciiTheme="minorEastAsia" w:hAnsiTheme="minorEastAsia" w:eastAsiaTheme="minorEastAsia" w:cstheme="minorEastAsia"/>
          <w:color w:val="auto"/>
          <w:sz w:val="24"/>
          <w:szCs w:val="24"/>
          <w:highlight w:val="none"/>
          <w:lang w:eastAsia="zh-CN"/>
        </w:rPr>
        <w:t>：</w:t>
      </w:r>
    </w:p>
    <w:p w14:paraId="41E6BE1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w:t>
      </w:r>
    </w:p>
    <w:p w14:paraId="3670DCF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14:paraId="1CDA899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签订地：</w:t>
      </w:r>
    </w:p>
    <w:p w14:paraId="1728B549">
      <w:pPr>
        <w:pageBreakBefore w:val="0"/>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50A91BCC">
      <w:pPr>
        <w:pStyle w:val="2"/>
        <w:rPr>
          <w:rStyle w:val="31"/>
          <w:rFonts w:hint="eastAsia" w:asciiTheme="minorEastAsia" w:hAnsiTheme="minorEastAsia" w:eastAsiaTheme="minorEastAsia" w:cstheme="minorEastAsia"/>
          <w:b w:val="0"/>
          <w:i w:val="0"/>
          <w:caps w:val="0"/>
          <w:color w:val="auto"/>
          <w:spacing w:val="0"/>
          <w:w w:val="100"/>
          <w:kern w:val="2"/>
          <w:position w:val="0"/>
          <w:sz w:val="20"/>
          <w:szCs w:val="22"/>
          <w:highlight w:val="none"/>
          <w:lang w:val="en-US" w:eastAsia="zh-CN" w:bidi="ar-SA"/>
        </w:rPr>
      </w:pPr>
    </w:p>
    <w:p w14:paraId="2C0C2353">
      <w:pPr>
        <w:pStyle w:val="3"/>
        <w:rPr>
          <w:rFonts w:hint="eastAsia"/>
          <w:lang w:val="en-US" w:eastAsia="zh-CN"/>
        </w:rPr>
      </w:pPr>
    </w:p>
    <w:p w14:paraId="1ADBF07C">
      <w:pPr>
        <w:bidi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10" w:name="_Toc12417"/>
    </w:p>
    <w:p w14:paraId="6B0B269A">
      <w:pPr>
        <w:pStyle w:val="51"/>
        <w:pageBreakBefore w:val="0"/>
        <w:widowControl/>
        <w:tabs>
          <w:tab w:val="left" w:pos="0"/>
        </w:tabs>
        <w:kinsoku/>
        <w:wordWrap/>
        <w:overflowPunct/>
        <w:topLinePunct w:val="0"/>
        <w:bidi w:val="0"/>
        <w:snapToGrid/>
        <w:spacing w:before="0" w:beforeAutospacing="0" w:after="0" w:afterAutospacing="0" w:line="360" w:lineRule="auto"/>
        <w:ind w:left="0" w:leftChars="0" w:firstLine="0" w:firstLineChars="0"/>
        <w:jc w:val="center"/>
        <w:textAlignment w:val="baseline"/>
        <w:outlineLvl w:val="0"/>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第六部分   投标文件格式</w:t>
      </w:r>
      <w:bookmarkEnd w:id="10"/>
    </w:p>
    <w:p w14:paraId="7181B35F">
      <w:pPr>
        <w:pageBreakBefore w:val="0"/>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p>
    <w:p w14:paraId="656B7620">
      <w:pPr>
        <w:pStyle w:val="96"/>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11" w:name="_Toc32127"/>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t>投标文件封面</w:t>
      </w:r>
      <w:bookmarkEnd w:id="11"/>
    </w:p>
    <w:p w14:paraId="1758D109">
      <w:pPr>
        <w:pStyle w:val="97"/>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BCB3202">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4C54982">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52"/>
          <w:szCs w:val="52"/>
          <w:highlight w:val="none"/>
          <w:u w:val="single" w:color="000000"/>
          <w:lang w:val="en-US" w:eastAsia="zh-CN" w:bidi="ar-SA"/>
        </w:rPr>
        <w:t>2025年度大巴扎安检口安保服务项目</w:t>
      </w:r>
      <w:r>
        <w:rPr>
          <w:rStyle w:val="31"/>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t>（标项名称）</w:t>
      </w:r>
    </w:p>
    <w:p w14:paraId="38CAFABE">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p>
    <w:p w14:paraId="42A8F9CC">
      <w:pPr>
        <w:pStyle w:val="97"/>
        <w:pageBreakBefore w:val="0"/>
        <w:kinsoku/>
        <w:wordWrap/>
        <w:overflowPunct/>
        <w:topLinePunct w:val="0"/>
        <w:bidi w:val="0"/>
        <w:snapToGrid/>
        <w:spacing w:before="0" w:beforeAutospacing="0" w:after="0" w:afterAutospacing="0" w:line="360" w:lineRule="auto"/>
        <w:ind w:firstLine="1680" w:firstLineChars="6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 xml:space="preserve">     项目编号：</w:t>
      </w: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29821F78">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CCA12BC">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848298">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t>投标文件</w:t>
      </w:r>
    </w:p>
    <w:p w14:paraId="3662F7D1">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7F86C0">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57E10C">
      <w:pPr>
        <w:pStyle w:val="97"/>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DA73438">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E62C4C1">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6BEB99D">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C8A73F0">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F83C259">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w:t>
      </w: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（盖章）</w:t>
      </w:r>
    </w:p>
    <w:p w14:paraId="0A6E698F">
      <w:pPr>
        <w:pStyle w:val="210"/>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（签字或盖章）</w:t>
      </w:r>
    </w:p>
    <w:p w14:paraId="555A1419">
      <w:pPr>
        <w:pStyle w:val="97"/>
        <w:pageBreakBefore w:val="0"/>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w:t>
      </w: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（年/月/日）</w:t>
      </w:r>
    </w:p>
    <w:p w14:paraId="3A011737">
      <w:pPr>
        <w:pStyle w:val="100"/>
        <w:pageBreakBefore w:val="0"/>
        <w:widowControl/>
        <w:kinsoku/>
        <w:wordWrap/>
        <w:overflowPunct/>
        <w:topLinePunct w:val="0"/>
        <w:bidi w:val="0"/>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DD0A50C">
      <w:pPr>
        <w:pStyle w:val="100"/>
        <w:pageBreakBefore w:val="0"/>
        <w:widowControl/>
        <w:kinsoku/>
        <w:wordWrap/>
        <w:overflowPunct/>
        <w:topLinePunct w:val="0"/>
        <w:bidi w:val="0"/>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后附目录，格式自拟</w:t>
      </w:r>
      <w:bookmarkStart w:id="12" w:name="_Toc10702"/>
    </w:p>
    <w:p w14:paraId="33922C2B">
      <w:pPr>
        <w:pStyle w:val="100"/>
        <w:pageBreakBefore w:val="0"/>
        <w:widowControl/>
        <w:kinsoku/>
        <w:wordWrap/>
        <w:overflowPunct/>
        <w:topLinePunct w:val="0"/>
        <w:bidi w:val="0"/>
        <w:snapToGrid/>
        <w:spacing w:before="0" w:beforeAutospacing="0" w:after="0" w:afterAutospacing="0" w:line="240" w:lineRule="auto"/>
        <w:jc w:val="both"/>
        <w:textAlignment w:val="baseline"/>
        <w:outlineLvl w:val="0"/>
        <w:rPr>
          <w:rStyle w:val="31"/>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31"/>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一</w:t>
      </w:r>
      <w:r>
        <w:rPr>
          <w:rStyle w:val="31"/>
          <w:rFonts w:hint="eastAsia" w:asciiTheme="minorEastAsia" w:hAnsiTheme="minorEastAsia" w:eastAsiaTheme="minorEastAsia" w:cstheme="minorEastAsia"/>
          <w:b/>
          <w:i w:val="0"/>
          <w:caps w:val="0"/>
          <w:color w:val="auto"/>
          <w:spacing w:val="0"/>
          <w:w w:val="100"/>
          <w:position w:val="0"/>
          <w:sz w:val="28"/>
          <w:szCs w:val="28"/>
          <w:highlight w:val="none"/>
          <w:lang w:bidi="ar-SA"/>
        </w:rPr>
        <w:t>、资格审查材料</w:t>
      </w:r>
      <w:bookmarkEnd w:id="12"/>
    </w:p>
    <w:p w14:paraId="51FDC60F">
      <w:pPr>
        <w:pStyle w:val="1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bidi="ar-SA"/>
        </w:rPr>
      </w:pP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1.1</w:t>
      </w: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bidi="ar-SA"/>
        </w:rPr>
        <w:t>《中华人民共和国政府采购法》第二十二条应当具备的条件；</w:t>
      </w:r>
    </w:p>
    <w:p w14:paraId="094E4CF6">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7B7E189">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2EBCD516">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63679D8D">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E71ABC7">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43D42BE6">
      <w:pPr>
        <w:pStyle w:val="1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6EE4A8DF">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13515EBF">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1、具有独立承担民事责任的能力</w:t>
      </w:r>
      <w:r>
        <w:rPr>
          <w:rStyle w:val="3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（具备有效的在中华人民共和国境内注册的法人或其他组织或自然人的营业执照或事业法人登记证或执业许可证或身份证等相关证明材料）；</w:t>
      </w:r>
    </w:p>
    <w:p w14:paraId="200B270F">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256CA04B">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2、具有良好的商业信誉和健全的财务会计制度</w:t>
      </w:r>
      <w:r>
        <w:rPr>
          <w:rStyle w:val="3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（须提供近两年度（任意一年）经审计的财务审计报告（报告中须包括资产负债表、利润表、现金流量表等），或其基本银行在开标日期前三个月内开具的资信证明）；</w:t>
      </w:r>
    </w:p>
    <w:p w14:paraId="4983794E">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CEE437B">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3、</w:t>
      </w:r>
      <w:r>
        <w:rPr>
          <w:rStyle w:val="31"/>
          <w:rFonts w:hint="eastAsia" w:asciiTheme="minorEastAsia" w:hAnsiTheme="minorEastAsia" w:eastAsiaTheme="minorEastAsia" w:cstheme="minorEastAsia"/>
          <w:b/>
          <w:bCs/>
          <w:i w:val="0"/>
          <w:caps w:val="0"/>
          <w:color w:val="auto"/>
          <w:spacing w:val="0"/>
          <w:w w:val="100"/>
          <w:position w:val="0"/>
          <w:sz w:val="24"/>
          <w:szCs w:val="24"/>
          <w:highlight w:val="none"/>
          <w:lang w:bidi="ar-SA"/>
        </w:rPr>
        <w:t>具有履行合同所必需的设备和专业技术能力</w:t>
      </w:r>
      <w:r>
        <w:rPr>
          <w:rStyle w:val="31"/>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（提供履行合同所必需的设备和专业技术能力的书面声明）；</w:t>
      </w:r>
    </w:p>
    <w:p w14:paraId="1D442307">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AEF7E57">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58A9031B">
      <w:pPr>
        <w:pStyle w:val="16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1360314E">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5F35131F">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03097D6E">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53A9CE44">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4E81805B">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2D27775D">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07663FC">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4、有依法缴纳税收和社会保障资金的良好记录</w:t>
      </w:r>
      <w:r>
        <w:rPr>
          <w:rStyle w:val="3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（依法缴纳税收和社会保障资金的证明材料，须提供开标前六个月内任意一个月的依法缴税凭据和缴纳社会保险的凭据复印件（依法免税的应提供相应文件说明））；</w:t>
      </w:r>
    </w:p>
    <w:p w14:paraId="47BF1D6E">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452D5D1">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20979DD">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w:t>
      </w:r>
      <w:r>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（提供参加政府采购活动前三年内，在经营活动中没有重大违法记录的书面声明）； </w:t>
      </w:r>
    </w:p>
    <w:p w14:paraId="4998AD1A">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书面声明格式：</w:t>
      </w:r>
    </w:p>
    <w:p w14:paraId="19522CD4">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040A0FF9">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7A9AF2E">
      <w:pPr>
        <w:pStyle w:val="18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2CFCCB5C">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2A506AD">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0D2D2FDB">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57D06D4F">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7BECC4E2">
      <w:pPr>
        <w:pStyle w:val="1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2F8E2371">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E8358B2">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22389D85">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67EBDAE">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076D3CF">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6157DE24">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3783EC7C">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078678A">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70EB00EB">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20B03BB0">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13CEC4EA">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F025F03">
      <w:pPr>
        <w:pStyle w:val="13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763E486C">
      <w:pPr>
        <w:pStyle w:val="103"/>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1.2投标保证金缴纳凭证</w:t>
      </w:r>
    </w:p>
    <w:p w14:paraId="151061DA">
      <w:pPr>
        <w:bidi w:val="0"/>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57991F5">
      <w:pPr>
        <w:bidi w:val="0"/>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F3EA7F9">
      <w:pPr>
        <w:bidi w:val="0"/>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B8F2D1C">
      <w:pPr>
        <w:bidi w:val="0"/>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36CD0E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1.3资质证书</w:t>
      </w:r>
    </w:p>
    <w:p w14:paraId="647E3735">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08F1056">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CC059BA">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121777B8">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0A672FB">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973259F">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E72E941">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3F9D3CE">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7B70111">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630C4B5">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52A1E50">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2B2877C">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40CFA0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29DA71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E6C12E0">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55606A6">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1DC25DB">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52ACDE7">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5D97897">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CDFFA22">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760584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ED9E80E">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FD0972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20F4A31">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DCB270A">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115509D2">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9EBA720">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D9060C9">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3499B1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4E52D01C">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5531A06C">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7E88B339">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6266747">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05EAA8E4">
      <w:pPr>
        <w:bidi w:val="0"/>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38DEF1B6">
      <w:pPr>
        <w:bidi w:val="0"/>
        <w:rPr>
          <w:rStyle w:val="31"/>
          <w:rFonts w:hint="default"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1.4中小企业声明函</w:t>
      </w:r>
    </w:p>
    <w:p w14:paraId="598C2F74">
      <w:pPr>
        <w:pStyle w:val="119"/>
        <w:keepNext w:val="0"/>
        <w:keepLines w:val="0"/>
        <w:pageBreakBefore w:val="0"/>
        <w:widowControl/>
        <w:tabs>
          <w:tab w:val="left" w:pos="8786"/>
        </w:tabs>
        <w:kinsoku/>
        <w:wordWrap/>
        <w:overflowPunct/>
        <w:topLinePunct w:val="0"/>
        <w:autoSpaceDE/>
        <w:autoSpaceDN/>
        <w:bidi w:val="0"/>
        <w:adjustRightInd/>
        <w:snapToGrid/>
        <w:spacing w:before="0" w:beforeAutospacing="0" w:after="0" w:afterAutospacing="0" w:line="440" w:lineRule="exact"/>
        <w:ind w:right="0" w:firstLine="0" w:firstLineChars="0"/>
        <w:jc w:val="both"/>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2689AF58">
      <w:pPr>
        <w:pageBreakBefore w:val="0"/>
        <w:shd w:val="clear" w:color="auto" w:fill="FFFFFF"/>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中小企业声明函（工程、服务）</w:t>
      </w:r>
    </w:p>
    <w:p w14:paraId="36FA0FE1">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乌鲁木齐大巴扎景区综合服务中心（单位名称）</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2025年度大巴扎安检口安保服务项目（项目名称）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3122D8A5">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1、2025年度大巴扎安检口安保服务项目（标的名称）</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租赁与商务服务业</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411B7DDD">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p>
    <w:p w14:paraId="56B2BA36">
      <w:pPr>
        <w:pStyle w:val="200"/>
        <w:pageBreakBefore w:val="0"/>
        <w:tabs>
          <w:tab w:val="left" w:pos="-120"/>
        </w:tabs>
        <w:kinsoku/>
        <w:overflowPunct/>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7EF9CF1A">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8B0EEED">
      <w:pPr>
        <w:pageBreakBefore w:val="0"/>
        <w:widowControl/>
        <w:kinsoku/>
        <w:overflowPunct/>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2D9CE326">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039BEF80">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B02EA99">
      <w:pPr>
        <w:pStyle w:val="214"/>
        <w:pageBreakBefore w:val="0"/>
        <w:kinsoku/>
        <w:overflowPunct/>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D1F6E47">
      <w:pPr>
        <w:pageBreakBefore w:val="0"/>
        <w:widowControl/>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3E7101E8">
      <w:pPr>
        <w:pageBreakBefore w:val="0"/>
        <w:widowControl/>
        <w:kinsoku/>
        <w:overflowPunct/>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0F135BFB">
      <w:pPr>
        <w:pStyle w:val="200"/>
        <w:pageBreakBefore w:val="0"/>
        <w:tabs>
          <w:tab w:val="left" w:pos="-120"/>
        </w:tabs>
        <w:kinsoku/>
        <w:overflowPunct/>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06E55E04">
      <w:pPr>
        <w:pStyle w:val="200"/>
        <w:pageBreakBefore w:val="0"/>
        <w:tabs>
          <w:tab w:val="left" w:pos="-120"/>
        </w:tabs>
        <w:kinsoku/>
        <w:overflowPunct/>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1A525D4A">
      <w:pPr>
        <w:pageBreakBefore w:val="0"/>
        <w:widowControl/>
        <w:kinsoku/>
        <w:overflowPunct/>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67B6234E">
      <w:pPr>
        <w:pStyle w:val="200"/>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6B19692E">
      <w:pPr>
        <w:pStyle w:val="100"/>
        <w:pageBreakBefore w:val="0"/>
        <w:widowControl/>
        <w:kinsoku/>
        <w:wordWrap/>
        <w:overflowPunct/>
        <w:topLinePunct w:val="0"/>
        <w:bidi w:val="0"/>
        <w:snapToGrid/>
        <w:spacing w:before="0" w:beforeAutospacing="0" w:after="0" w:afterAutospacing="0" w:line="240" w:lineRule="auto"/>
        <w:jc w:val="both"/>
        <w:textAlignment w:val="baseline"/>
        <w:outlineLvl w:val="0"/>
        <w:rPr>
          <w:rStyle w:val="31"/>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pPr>
      <w:bookmarkStart w:id="13" w:name="_Toc19840"/>
      <w:r>
        <w:rPr>
          <w:rStyle w:val="31"/>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二、商务文件</w:t>
      </w:r>
      <w:bookmarkEnd w:id="13"/>
    </w:p>
    <w:p w14:paraId="3FC8E9D7">
      <w:pPr>
        <w:pStyle w:val="1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2.1投标函</w:t>
      </w:r>
    </w:p>
    <w:p w14:paraId="35DD5D48">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2DEEA41">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(标项名称、项目编号)招标的有关活动，并对此项目进行投标。为此：</w:t>
      </w:r>
    </w:p>
    <w:p w14:paraId="409FCF38">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1、我方同意在本项目招标文件中规定的投标有效期内遵守本投标文件中的承诺且在此期限期满之前均具有约束力。</w:t>
      </w:r>
    </w:p>
    <w:p w14:paraId="2CE303F8">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52994F84">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0284067E">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2CA8C54B">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33043DC3">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1EE6D992">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0CF9196C">
      <w:pPr>
        <w:pStyle w:val="140"/>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459D656C">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w:t>
      </w:r>
    </w:p>
    <w:p w14:paraId="57B8316D">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12F3FE1C">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74B396A">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28DC52BB">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3A765EE2">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72FA9EF">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1251BDD6">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038DF69C">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3E3CA12">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271C1D2">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5A81D5F9">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5896C5A7">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003DEFA1">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C6BBD9">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19F9F67A">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6810328A">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6C3071C8">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116CC935">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6E91A19B">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B915C8B">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3735DB99">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w:t>
      </w:r>
    </w:p>
    <w:p w14:paraId="5E50930F">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1ACB840F">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电话：____________　</w:t>
      </w:r>
    </w:p>
    <w:p w14:paraId="29AA56A3">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传真：____________</w:t>
      </w:r>
    </w:p>
    <w:p w14:paraId="44780BA4">
      <w:pPr>
        <w:pStyle w:val="139"/>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供应商法定代表人或授权代理人联系电话，e-mail：</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38853EEF">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0473DF72">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20EF2A0F">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6A4B2587">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3748F726">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9E69B98">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D4A4563">
      <w:pPr>
        <w:pStyle w:val="139"/>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43BA4F5D">
      <w:pPr>
        <w:pStyle w:val="142"/>
        <w:pageBreakBefore w:val="0"/>
        <w:widowControl/>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i w:val="0"/>
          <w:caps w:val="0"/>
          <w:color w:val="auto"/>
          <w:spacing w:val="0"/>
          <w:w w:val="100"/>
          <w:kern w:val="0"/>
          <w:position w:val="0"/>
          <w:sz w:val="20"/>
          <w:szCs w:val="21"/>
          <w:highlight w:val="none"/>
          <w:lang w:val="en-US" w:eastAsia="zh-CN" w:bidi="ar-SA"/>
        </w:rPr>
      </w:pPr>
    </w:p>
    <w:p w14:paraId="5B863B6E">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9AE608">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8EEE258">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DE52D09">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8F042E1">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47521B9">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00B02F6">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CD18155">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7E00662">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9508CCD">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B308CEC">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46F916">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02121F2">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44E221">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9918519">
      <w:pPr>
        <w:pStyle w:val="144"/>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FB4F064">
      <w:pPr>
        <w:pStyle w:val="12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2.2法定代表人身份证明及授权委托书</w:t>
      </w:r>
    </w:p>
    <w:p w14:paraId="03C0ED19">
      <w:pPr>
        <w:pStyle w:val="105"/>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法定代表人资格证明文件</w:t>
      </w:r>
    </w:p>
    <w:p w14:paraId="506895E3">
      <w:pPr>
        <w:pStyle w:val="106"/>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904D3B4">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01059F15">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67155231">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1611B1D">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ABDCBDB">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6995A6">
      <w:pPr>
        <w:pStyle w:val="106"/>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60B44A1">
      <w:pPr>
        <w:pStyle w:val="106"/>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22"/>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18D4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71D3B64">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3C42207">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33AB93E">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法定代表人身份证正反面</w:t>
            </w:r>
          </w:p>
        </w:tc>
      </w:tr>
    </w:tbl>
    <w:p w14:paraId="0CEC9A34">
      <w:pPr>
        <w:pStyle w:val="106"/>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464B322">
      <w:pPr>
        <w:pStyle w:val="106"/>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A908041">
      <w:pPr>
        <w:pStyle w:val="106"/>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51AD7C6">
      <w:pPr>
        <w:pStyle w:val="106"/>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1D7F26">
      <w:pPr>
        <w:pStyle w:val="106"/>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9FAC2B8">
      <w:pPr>
        <w:pStyle w:val="106"/>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5505BD09">
      <w:pPr>
        <w:pStyle w:val="105"/>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31"/>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FA54646">
      <w:pPr>
        <w:pStyle w:val="105"/>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19FFAEDC">
      <w:pPr>
        <w:pStyle w:val="106"/>
        <w:pageBreakBefore w:val="0"/>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0549147C">
      <w:pPr>
        <w:pStyle w:val="105"/>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C82880">
      <w:pPr>
        <w:pStyle w:val="105"/>
        <w:pageBreakBefore w:val="0"/>
        <w:widowControl/>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31"/>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31"/>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4BA7AC90">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4370B16">
      <w:pPr>
        <w:pStyle w:val="106"/>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6C8C8FB">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4B24FE6">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8A82CC4">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3EBE259A">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AD501D">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A0F28E9">
      <w:pPr>
        <w:pStyle w:val="106"/>
        <w:pageBreakBefore w:val="0"/>
        <w:kinsoku/>
        <w:wordWrap/>
        <w:overflowPunct/>
        <w:topLinePunct w:val="0"/>
        <w:bidi w:val="0"/>
        <w:snapToGrid/>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DF8DCBB">
      <w:pPr>
        <w:pStyle w:val="106"/>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22"/>
        <w:tblW w:w="6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60"/>
      </w:tblGrid>
      <w:tr w14:paraId="20E3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jc w:val="center"/>
        </w:trPr>
        <w:tc>
          <w:tcPr>
            <w:tcW w:w="6460" w:type="dxa"/>
            <w:tcBorders>
              <w:top w:val="single" w:color="000000" w:sz="4" w:space="0"/>
              <w:left w:val="single" w:color="000000" w:sz="4" w:space="0"/>
              <w:bottom w:val="single" w:color="000000" w:sz="4" w:space="0"/>
              <w:right w:val="single" w:color="000000" w:sz="4" w:space="0"/>
            </w:tcBorders>
            <w:noWrap w:val="0"/>
            <w:vAlign w:val="top"/>
          </w:tcPr>
          <w:p w14:paraId="596162A2">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C3BE567">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792C598">
            <w:pPr>
              <w:pStyle w:val="106"/>
              <w:pageBreakBefore w:val="0"/>
              <w:kinsoku/>
              <w:wordWrap/>
              <w:overflowPunct/>
              <w:topLinePunct w:val="0"/>
              <w:bidi w:val="0"/>
              <w:snapToGrid w:val="0"/>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法定代表人身份证正反面</w:t>
            </w:r>
          </w:p>
        </w:tc>
      </w:tr>
    </w:tbl>
    <w:p w14:paraId="545B2CC5">
      <w:pPr>
        <w:pStyle w:val="106"/>
        <w:pageBreakBefore w:val="0"/>
        <w:kinsoku/>
        <w:wordWrap/>
        <w:overflowPunct/>
        <w:topLinePunct w:val="0"/>
        <w:bidi w:val="0"/>
        <w:snapToGrid w:val="0"/>
        <w:spacing w:before="0" w:beforeAutospacing="0" w:after="0" w:afterAutospacing="0" w:line="50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22"/>
        <w:tblW w:w="6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99"/>
      </w:tblGrid>
      <w:tr w14:paraId="485F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jc w:val="center"/>
        </w:trPr>
        <w:tc>
          <w:tcPr>
            <w:tcW w:w="6499" w:type="dxa"/>
            <w:tcBorders>
              <w:top w:val="single" w:color="000000" w:sz="4" w:space="0"/>
              <w:left w:val="single" w:color="000000" w:sz="4" w:space="0"/>
              <w:bottom w:val="single" w:color="000000" w:sz="4" w:space="0"/>
              <w:right w:val="single" w:color="000000" w:sz="4" w:space="0"/>
            </w:tcBorders>
            <w:noWrap w:val="0"/>
            <w:vAlign w:val="center"/>
          </w:tcPr>
          <w:p w14:paraId="2AEDED60">
            <w:pPr>
              <w:pStyle w:val="106"/>
              <w:pageBreakBefore w:val="0"/>
              <w:kinsoku/>
              <w:wordWrap/>
              <w:overflowPunct/>
              <w:topLinePunct w:val="0"/>
              <w:bidi w:val="0"/>
              <w:snapToGrid/>
              <w:spacing w:before="0" w:beforeAutospacing="0" w:after="0" w:afterAutospacing="0" w:line="500" w:lineRule="exact"/>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委托代理人身份证正反面</w:t>
            </w:r>
          </w:p>
        </w:tc>
      </w:tr>
    </w:tbl>
    <w:p w14:paraId="3892DA01">
      <w:pPr>
        <w:pStyle w:val="144"/>
        <w:pageBreakBefore w:val="0"/>
        <w:widowControl/>
        <w:kinsoku/>
        <w:wordWrap/>
        <w:overflowPunct/>
        <w:topLinePunct w:val="0"/>
        <w:bidi w:val="0"/>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2.3开标一览表</w:t>
      </w:r>
    </w:p>
    <w:p w14:paraId="184BAF87">
      <w:pPr>
        <w:pStyle w:val="146"/>
        <w:pageBreakBefore w:val="0"/>
        <w:widowControl/>
        <w:kinsoku/>
        <w:wordWrap/>
        <w:overflowPunct/>
        <w:topLinePunct w:val="0"/>
        <w:bidi w:val="0"/>
        <w:snapToGrid/>
        <w:spacing w:before="0" w:beforeAutospacing="0" w:after="0" w:afterAutospacing="0" w:line="360" w:lineRule="auto"/>
        <w:ind w:firstLine="482" w:firstLineChars="200"/>
        <w:jc w:val="both"/>
        <w:textAlignment w:val="baseline"/>
        <w:rPr>
          <w:rStyle w:val="31"/>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bl>
      <w:tblPr>
        <w:tblStyle w:val="22"/>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14:paraId="180A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CBA9603">
            <w:pPr>
              <w:pStyle w:val="14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标项</w:t>
            </w:r>
            <w:bookmarkStart w:id="16" w:name="_GoBack"/>
            <w:bookmarkEnd w:id="16"/>
            <w:r>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名称</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3D8DB2A2">
            <w:pPr>
              <w:pStyle w:val="145"/>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1"/>
                <w:szCs w:val="24"/>
                <w:highlight w:val="none"/>
                <w:u w:val="single" w:color="000000"/>
                <w:lang w:val="en-US" w:eastAsia="zh-CN" w:bidi="ar-SA"/>
              </w:rPr>
              <w:t xml:space="preserve">                                </w:t>
            </w:r>
          </w:p>
        </w:tc>
      </w:tr>
      <w:tr w14:paraId="19EC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9D8F149">
            <w:pPr>
              <w:pStyle w:val="199"/>
              <w:autoSpaceDE w:val="0"/>
              <w:autoSpaceDN w:val="0"/>
              <w:adjustRightInd w:val="0"/>
              <w:spacing w:line="360" w:lineRule="auto"/>
              <w:jc w:val="center"/>
              <w:rPr>
                <w:rStyle w:val="31"/>
                <w:rFonts w:hint="eastAsia" w:eastAsia="宋体" w:asciiTheme="minorEastAsia" w:hAnsi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rPr>
              <w:t>投标单价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1DB0FB48">
            <w:pPr>
              <w:pStyle w:val="199"/>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小写： 4250元/人/月</w:t>
            </w:r>
          </w:p>
          <w:p w14:paraId="75C22CD1">
            <w:pPr>
              <w:pStyle w:val="199"/>
              <w:autoSpaceDE w:val="0"/>
              <w:autoSpaceDN w:val="0"/>
              <w:adjustRightInd w:val="0"/>
              <w:spacing w:line="360" w:lineRule="auto"/>
              <w:jc w:val="left"/>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cs="宋体"/>
                <w:color w:val="auto"/>
                <w:sz w:val="24"/>
                <w:szCs w:val="24"/>
                <w:highlight w:val="none"/>
              </w:rPr>
              <w:t>大写： 肆仟贰佰伍拾元每人每月</w:t>
            </w:r>
          </w:p>
        </w:tc>
      </w:tr>
      <w:tr w14:paraId="61E9F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57FB073">
            <w:pPr>
              <w:pStyle w:val="211"/>
              <w:pageBreakBefore w:val="0"/>
              <w:kinsoku/>
              <w:wordWrap/>
              <w:overflowPunct/>
              <w:topLinePunct w:val="0"/>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服务期限</w:t>
            </w:r>
          </w:p>
        </w:tc>
        <w:tc>
          <w:tcPr>
            <w:tcW w:w="6770" w:type="dxa"/>
            <w:tcBorders>
              <w:top w:val="single" w:color="000000" w:sz="4" w:space="0"/>
              <w:left w:val="single" w:color="000000" w:sz="4" w:space="0"/>
              <w:bottom w:val="single" w:color="000000" w:sz="4" w:space="0"/>
              <w:right w:val="single" w:color="000000" w:sz="4" w:space="0"/>
            </w:tcBorders>
            <w:noWrap w:val="0"/>
            <w:vAlign w:val="center"/>
          </w:tcPr>
          <w:p w14:paraId="428D4F6D">
            <w:pPr>
              <w:pStyle w:val="145"/>
              <w:pageBreakBefore w:val="0"/>
              <w:tabs>
                <w:tab w:val="left" w:pos="1337"/>
              </w:tabs>
              <w:kinsoku/>
              <w:wordWrap/>
              <w:overflowPunct/>
              <w:topLinePunct w:val="0"/>
              <w:bidi w:val="0"/>
              <w:snapToGrid/>
              <w:spacing w:before="0" w:beforeAutospacing="0" w:after="0" w:afterAutospacing="0" w:line="360" w:lineRule="auto"/>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一年</w:t>
            </w:r>
          </w:p>
        </w:tc>
      </w:tr>
      <w:tr w14:paraId="43B3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noWrap w:val="0"/>
            <w:vAlign w:val="top"/>
          </w:tcPr>
          <w:p w14:paraId="291396B9">
            <w:pPr>
              <w:pStyle w:val="145"/>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 1、本项目为固定报价，即4250元/人/月，供应商不得修改，如报价增加或减少均视为投标无效。2、投标报价包括但不限于人员工资（含社保等）、设备费、企业管理费、企业利润、风险费、税金、规费等一切费用，采购人不再支付其他任何费用。</w:t>
            </w:r>
            <w:r>
              <w:rPr>
                <w:rStyle w:val="31"/>
                <w:rFonts w:hint="eastAsia" w:asciiTheme="minorEastAsia" w:hAnsiTheme="minorEastAsia" w:eastAsiaTheme="minorEastAsia" w:cstheme="minorEastAsia"/>
                <w:b w:val="0"/>
                <w:i w:val="0"/>
                <w:caps w:val="0"/>
                <w:color w:val="auto"/>
                <w:spacing w:val="0"/>
                <w:w w:val="100"/>
                <w:kern w:val="2"/>
                <w:position w:val="0"/>
                <w:sz w:val="21"/>
                <w:szCs w:val="24"/>
                <w:highlight w:val="none"/>
                <w:u w:val="single" w:color="000000"/>
                <w:lang w:val="en-US" w:eastAsia="zh-CN" w:bidi="ar-SA"/>
              </w:rPr>
              <w:t xml:space="preserve">                                           </w:t>
            </w:r>
          </w:p>
        </w:tc>
      </w:tr>
    </w:tbl>
    <w:p w14:paraId="3D56D71F">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7B56E03">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52DC65D9">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69C35F9">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62D9A6AE">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419A930">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6BC5C50B">
      <w:pPr>
        <w:pStyle w:val="145"/>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F3090AE">
      <w:pPr>
        <w:pStyle w:val="145"/>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C343780">
      <w:pPr>
        <w:pStyle w:val="145"/>
        <w:pageBreakBefore w:val="0"/>
        <w:kinsoku/>
        <w:wordWrap/>
        <w:overflowPunct/>
        <w:topLinePunct w:val="0"/>
        <w:bidi w:val="0"/>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74FDF47">
      <w:pPr>
        <w:pStyle w:val="191"/>
        <w:keepNext w:val="0"/>
        <w:keepLines w:val="0"/>
        <w:pageBreakBefore w:val="0"/>
        <w:kinsoku/>
        <w:wordWrap/>
        <w:overflowPunct/>
        <w:topLinePunct w:val="0"/>
        <w:bidi w:val="0"/>
        <w:adjustRightInd/>
        <w:spacing w:before="0" w:line="440" w:lineRule="exact"/>
        <w:textAlignment w:val="auto"/>
        <w:outlineLvl w:val="9"/>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7B698079">
      <w:pPr>
        <w:pStyle w:val="15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left"/>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2.4商务条款偏离说明表</w:t>
      </w:r>
    </w:p>
    <w:p w14:paraId="6E1BDFCD">
      <w:pPr>
        <w:pageBreakBefore w:val="0"/>
        <w:kinsoku/>
        <w:wordWrap/>
        <w:overflowPunct/>
        <w:topLinePunct w:val="0"/>
        <w:bidi w:val="0"/>
        <w:snapToGrid w:val="0"/>
        <w:spacing w:before="0" w:beforeAutospacing="0" w:after="0" w:afterAutospacing="0" w:line="360" w:lineRule="auto"/>
        <w:ind w:left="0" w:right="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048F79C">
      <w:pPr>
        <w:pageBreakBefore w:val="0"/>
        <w:kinsoku/>
        <w:wordWrap/>
        <w:overflowPunct/>
        <w:topLinePunct w:val="0"/>
        <w:bidi w:val="0"/>
        <w:snapToGrid w:val="0"/>
        <w:spacing w:before="0" w:beforeAutospacing="0" w:after="0" w:afterAutospacing="0" w:line="360" w:lineRule="auto"/>
        <w:ind w:left="0" w:right="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标项名称：</w:t>
      </w:r>
    </w:p>
    <w:tbl>
      <w:tblPr>
        <w:tblStyle w:val="22"/>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14:paraId="7F9C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26C27CCF">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7F9BF5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招标</w:t>
            </w:r>
            <w:r>
              <w:rPr>
                <w:rFonts w:hint="eastAsia" w:asciiTheme="minorEastAsia" w:hAnsiTheme="minorEastAsia" w:eastAsiaTheme="minorEastAsia" w:cstheme="minorEastAsia"/>
                <w:color w:val="auto"/>
                <w:spacing w:val="0"/>
                <w:position w:val="0"/>
                <w:sz w:val="24"/>
                <w:szCs w:val="24"/>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D83823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投标</w:t>
            </w:r>
            <w:r>
              <w:rPr>
                <w:rFonts w:hint="eastAsia" w:asciiTheme="minorEastAsia" w:hAnsiTheme="minorEastAsia" w:eastAsiaTheme="minorEastAsia" w:cstheme="minorEastAsia"/>
                <w:color w:val="auto"/>
                <w:spacing w:val="0"/>
                <w:position w:val="0"/>
                <w:sz w:val="24"/>
                <w:szCs w:val="24"/>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4E399B0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14:paraId="3F3224D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bidi="ar"/>
              </w:rPr>
              <w:t>投标</w:t>
            </w:r>
            <w:r>
              <w:rPr>
                <w:rFonts w:hint="eastAsia" w:asciiTheme="minorEastAsia" w:hAnsiTheme="minorEastAsia" w:eastAsiaTheme="minorEastAsia" w:cstheme="minorEastAsia"/>
                <w:color w:val="auto"/>
                <w:spacing w:val="0"/>
                <w:position w:val="0"/>
                <w:sz w:val="24"/>
                <w:szCs w:val="24"/>
                <w:highlight w:val="none"/>
                <w:lang w:bidi="ar"/>
              </w:rPr>
              <w:t>文件中对应的页码</w:t>
            </w:r>
          </w:p>
        </w:tc>
      </w:tr>
      <w:tr w14:paraId="29A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4ECD1BA6">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5726522">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546CE0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BAF9FE">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8EA13C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404F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CB20E85">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B8E4C6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780266D3">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3EF2BB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4AEBD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31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320A3F3">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977797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89B714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615884E">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1142FAB">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A8F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6839CB8">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3B27B3D">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0C7BBD56">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E3568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F25B2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3A4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6FBA1464">
            <w:pPr>
              <w:pageBreakBefore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4F574C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FF6463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DB1433D">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0FFACBC">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E97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330E8464">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2914EA0">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38FF3CE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978345">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E842157">
            <w:pPr>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0057FB26">
      <w:pPr>
        <w:pageBreakBefore w:val="0"/>
        <w:kinsoku/>
        <w:wordWrap/>
        <w:overflowPunct/>
        <w:topLinePunct w:val="0"/>
        <w:bidi w:val="0"/>
        <w:snapToGrid/>
        <w:spacing w:before="0" w:beforeAutospacing="0" w:after="0" w:afterAutospacing="0" w:line="360" w:lineRule="auto"/>
        <w:ind w:left="0" w:right="0" w:firstLine="480" w:firstLineChars="2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611D9CA">
      <w:pPr>
        <w:pageBreakBefore w:val="0"/>
        <w:widowControl/>
        <w:kinsoku/>
        <w:wordWrap/>
        <w:overflowPunct/>
        <w:topLinePunct w:val="0"/>
        <w:bidi w:val="0"/>
        <w:snapToGrid/>
        <w:spacing w:before="0" w:beforeAutospacing="0" w:after="0" w:afterAutospacing="0" w:line="360" w:lineRule="auto"/>
        <w:jc w:val="left"/>
        <w:textAlignment w:val="baseline"/>
        <w:rPr>
          <w:rStyle w:val="31"/>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注：供应商须对照招标文件的商务条款进行逐项说明是否满足要求，并附相关证明文件，同时将相关证明文件的相应页码填写到上表“投标文件中对应的页码”中。</w:t>
      </w:r>
    </w:p>
    <w:p w14:paraId="7236D33D">
      <w:pPr>
        <w:pStyle w:val="158"/>
        <w:pageBreakBefore w:val="0"/>
        <w:widowControl/>
        <w:kinsoku/>
        <w:wordWrap/>
        <w:overflowPunct/>
        <w:topLinePunct w:val="0"/>
        <w:bidi w:val="0"/>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2.5类似项目业绩表</w:t>
      </w:r>
    </w:p>
    <w:tbl>
      <w:tblPr>
        <w:tblStyle w:val="22"/>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8"/>
        <w:gridCol w:w="7200"/>
      </w:tblGrid>
      <w:tr w14:paraId="407D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81F43D">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序号</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704CB081">
            <w:pPr>
              <w:pStyle w:val="124"/>
              <w:tabs>
                <w:tab w:val="left" w:pos="2265"/>
              </w:tabs>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56E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C09EF15">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项目名称</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39805085">
            <w:pPr>
              <w:pStyle w:val="124"/>
              <w:tabs>
                <w:tab w:val="left" w:pos="2265"/>
              </w:tabs>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p>
        </w:tc>
      </w:tr>
      <w:tr w14:paraId="02D0E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5FCE5E">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采购人名称</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5FC81183">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9CC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630FDF">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采购人联系人姓名及联系方式</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0C413C4A">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C67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CD36AE">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合同金额</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25F745C2">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8FD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1ECA37">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项目负责人姓名</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6CE02318">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F75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D173D4">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项目实施时间</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54DD077D">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1D2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0661DE">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项目内容说明</w:t>
            </w:r>
          </w:p>
        </w:tc>
        <w:tc>
          <w:tcPr>
            <w:tcW w:w="7200" w:type="dxa"/>
            <w:tcBorders>
              <w:top w:val="single" w:color="000000" w:sz="4" w:space="0"/>
              <w:left w:val="single" w:color="000000" w:sz="4" w:space="0"/>
              <w:bottom w:val="single" w:color="000000" w:sz="4" w:space="0"/>
              <w:right w:val="single" w:color="000000" w:sz="4" w:space="0"/>
            </w:tcBorders>
            <w:noWrap w:val="0"/>
            <w:vAlign w:val="top"/>
          </w:tcPr>
          <w:p w14:paraId="24C6B77A">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062EA9">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53894E5">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37D897D">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9BA701">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651CFE0">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A9B2D46">
            <w:pPr>
              <w:pStyle w:val="124"/>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E6F3A3D">
      <w:pPr>
        <w:pStyle w:val="124"/>
        <w:snapToGrid/>
        <w:spacing w:before="0" w:beforeAutospacing="0" w:after="0" w:afterAutospacing="0" w:line="360" w:lineRule="auto"/>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说明：1．每个业绩须单独附表，并附上业绩相关证明材料，否则专家在评审时将不予采信；</w:t>
      </w:r>
    </w:p>
    <w:p w14:paraId="79F00A83">
      <w:pPr>
        <w:pStyle w:val="124"/>
        <w:snapToGrid/>
        <w:spacing w:before="0" w:beforeAutospacing="0" w:after="0" w:afterAutospacing="0" w:line="360" w:lineRule="auto"/>
        <w:ind w:firstLine="720" w:firstLineChars="30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2．项目内容请详细说明所承担的具体工作内容；</w:t>
      </w:r>
    </w:p>
    <w:p w14:paraId="5790FF3A">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p>
    <w:p w14:paraId="6E8443A2">
      <w:pPr>
        <w:pStyle w:val="186"/>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法定代表人或委托代理人（签字或盖章）：</w:t>
      </w:r>
    </w:p>
    <w:p w14:paraId="0DD34162">
      <w:pPr>
        <w:pStyle w:val="18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日期：年月日</w:t>
      </w:r>
    </w:p>
    <w:p w14:paraId="12804253">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D0D64A7">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F882F3B">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B7F6644">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64F5AE4">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4EB0F48">
      <w:pPr>
        <w:pStyle w:val="158"/>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8F1B798">
      <w:pPr>
        <w:pStyle w:val="200"/>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kern w:val="0"/>
          <w:position w:val="0"/>
          <w:sz w:val="24"/>
          <w:szCs w:val="24"/>
          <w:highlight w:val="none"/>
        </w:rPr>
      </w:pPr>
    </w:p>
    <w:p w14:paraId="7C113EC9">
      <w:pPr>
        <w:pStyle w:val="156"/>
        <w:pageBreakBefore w:val="0"/>
        <w:widowControl/>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p>
    <w:p w14:paraId="7C1A584A">
      <w:pPr>
        <w:pStyle w:val="156"/>
        <w:pageBreakBefore w:val="0"/>
        <w:widowControl/>
        <w:kinsoku/>
        <w:wordWrap/>
        <w:overflowPunct/>
        <w:topLinePunct w:val="0"/>
        <w:bidi w:val="0"/>
        <w:snapToGrid/>
        <w:spacing w:before="0" w:beforeAutospacing="0" w:after="0" w:afterAutospacing="0" w:line="240" w:lineRule="auto"/>
        <w:jc w:val="center"/>
        <w:textAlignment w:val="baseline"/>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pPr>
      <w:r>
        <w:rPr>
          <w:rStyle w:val="31"/>
          <w:rFonts w:hint="eastAsia" w:asciiTheme="minorEastAsia" w:hAnsiTheme="minorEastAsia" w:eastAsiaTheme="minorEastAsia" w:cstheme="minorEastAsia"/>
          <w:b/>
          <w:i w:val="0"/>
          <w:caps w:val="0"/>
          <w:color w:val="auto"/>
          <w:spacing w:val="0"/>
          <w:w w:val="100"/>
          <w:position w:val="0"/>
          <w:sz w:val="24"/>
          <w:szCs w:val="24"/>
          <w:highlight w:val="none"/>
          <w:lang w:val="en-US" w:eastAsia="zh-CN" w:bidi="ar-SA"/>
        </w:rPr>
        <w:t>2.6供应商认为有必要提供的声明及文件资料</w:t>
      </w:r>
    </w:p>
    <w:p w14:paraId="2083FC84">
      <w:pPr>
        <w:pStyle w:val="177"/>
        <w:pageBreakBefore w:val="0"/>
        <w:kinsoku/>
        <w:wordWrap/>
        <w:overflowPunct/>
        <w:topLinePunct w:val="0"/>
        <w:bidi w:val="0"/>
        <w:snapToGrid/>
        <w:spacing w:before="0" w:beforeAutospacing="0" w:after="0" w:afterAutospacing="0" w:line="240" w:lineRule="auto"/>
        <w:jc w:val="both"/>
        <w:textAlignment w:val="baseline"/>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31"/>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14" w:name="_Toc1983"/>
      <w:r>
        <w:rPr>
          <w:rStyle w:val="31"/>
          <w:rFonts w:hint="eastAsia" w:asciiTheme="minorEastAsia" w:hAnsiTheme="minorEastAsia" w:eastAsiaTheme="minorEastAsia" w:cstheme="minorEastAsia"/>
          <w:b/>
          <w:i w:val="0"/>
          <w:caps w:val="0"/>
          <w:color w:val="auto"/>
          <w:spacing w:val="0"/>
          <w:w w:val="100"/>
          <w:position w:val="0"/>
          <w:sz w:val="28"/>
          <w:szCs w:val="28"/>
          <w:highlight w:val="none"/>
          <w:lang w:eastAsia="zh-CN" w:bidi="ar-SA"/>
        </w:rPr>
        <w:t>三、</w:t>
      </w:r>
      <w:bookmarkEnd w:id="14"/>
      <w:bookmarkStart w:id="15" w:name="_Toc19312"/>
      <w:r>
        <w:rPr>
          <w:rStyle w:val="31"/>
          <w:rFonts w:hint="eastAsia" w:asciiTheme="minorEastAsia" w:hAnsiTheme="minorEastAsia" w:eastAsiaTheme="minorEastAsia" w:cstheme="minorEastAsia"/>
          <w:b/>
          <w:i w:val="0"/>
          <w:caps w:val="0"/>
          <w:color w:val="auto"/>
          <w:spacing w:val="0"/>
          <w:w w:val="100"/>
          <w:kern w:val="0"/>
          <w:position w:val="0"/>
          <w:sz w:val="28"/>
          <w:szCs w:val="28"/>
          <w:highlight w:val="none"/>
          <w:lang w:val="en-US" w:eastAsia="zh-CN" w:bidi="ar-SA"/>
        </w:rPr>
        <w:t>服务文件</w:t>
      </w:r>
      <w:bookmarkEnd w:id="15"/>
    </w:p>
    <w:p w14:paraId="18D5D30C">
      <w:pPr>
        <w:spacing w:line="360" w:lineRule="auto"/>
        <w:ind w:firstLine="405" w:firstLineChars="16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供应商应按《</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文件》要求的内容，对完成整个项目提出相应的项目实施方案工作的大纲内容（纲要内容），描述自身对本项目的理解等。方案编写可用文字结合图文进行编制（供应商应尽可能用表格或框图的方式编写，以便</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评审），必须条理清晰、突出重点、科学合理、细致周全。</w:t>
      </w:r>
    </w:p>
    <w:p w14:paraId="78C09F04">
      <w:pPr>
        <w:pStyle w:val="10"/>
        <w:rPr>
          <w:rFonts w:hint="eastAsia" w:asciiTheme="minorEastAsia" w:hAnsiTheme="minorEastAsia" w:eastAsiaTheme="minorEastAsia" w:cstheme="minorEastAsia"/>
          <w:color w:val="auto"/>
          <w:sz w:val="24"/>
          <w:szCs w:val="24"/>
          <w:highlight w:val="none"/>
        </w:rPr>
      </w:pPr>
    </w:p>
    <w:p w14:paraId="2F16F2FC">
      <w:pPr>
        <w:rPr>
          <w:rFonts w:hint="eastAsia" w:asciiTheme="minorEastAsia" w:hAnsiTheme="minorEastAsia" w:eastAsiaTheme="minorEastAsia" w:cstheme="minorEastAsia"/>
          <w:color w:val="auto"/>
          <w:sz w:val="24"/>
          <w:szCs w:val="24"/>
          <w:highlight w:val="none"/>
        </w:rPr>
      </w:pPr>
    </w:p>
    <w:p w14:paraId="6CFF875F">
      <w:pPr>
        <w:pStyle w:val="10"/>
        <w:rPr>
          <w:rFonts w:hint="eastAsia" w:asciiTheme="minorEastAsia" w:hAnsiTheme="minorEastAsia" w:eastAsiaTheme="minorEastAsia" w:cstheme="minorEastAsia"/>
          <w:color w:val="auto"/>
          <w:sz w:val="24"/>
          <w:szCs w:val="24"/>
          <w:highlight w:val="none"/>
        </w:rPr>
      </w:pPr>
    </w:p>
    <w:p w14:paraId="611C894D">
      <w:pPr>
        <w:rPr>
          <w:rFonts w:hint="eastAsia" w:asciiTheme="minorEastAsia" w:hAnsiTheme="minorEastAsia" w:eastAsiaTheme="minorEastAsia" w:cstheme="minorEastAsia"/>
          <w:color w:val="auto"/>
          <w:sz w:val="24"/>
          <w:szCs w:val="24"/>
          <w:highlight w:val="none"/>
        </w:rPr>
      </w:pPr>
    </w:p>
    <w:p w14:paraId="37A7FC96">
      <w:pPr>
        <w:pStyle w:val="10"/>
        <w:rPr>
          <w:rFonts w:hint="eastAsia" w:asciiTheme="minorEastAsia" w:hAnsiTheme="minorEastAsia" w:eastAsiaTheme="minorEastAsia" w:cstheme="minorEastAsia"/>
          <w:color w:val="auto"/>
          <w:sz w:val="24"/>
          <w:szCs w:val="24"/>
          <w:highlight w:val="none"/>
        </w:rPr>
      </w:pPr>
    </w:p>
    <w:p w14:paraId="4710869F">
      <w:pPr>
        <w:rPr>
          <w:rFonts w:hint="eastAsia" w:asciiTheme="minorEastAsia" w:hAnsiTheme="minorEastAsia" w:eastAsiaTheme="minorEastAsia" w:cstheme="minorEastAsia"/>
          <w:color w:val="auto"/>
          <w:sz w:val="24"/>
          <w:szCs w:val="24"/>
          <w:highlight w:val="none"/>
        </w:rPr>
      </w:pPr>
    </w:p>
    <w:p w14:paraId="0C80BBE6">
      <w:pPr>
        <w:pStyle w:val="10"/>
        <w:rPr>
          <w:rFonts w:hint="eastAsia" w:asciiTheme="minorEastAsia" w:hAnsiTheme="minorEastAsia" w:eastAsiaTheme="minorEastAsia" w:cstheme="minorEastAsia"/>
          <w:color w:val="auto"/>
          <w:sz w:val="24"/>
          <w:szCs w:val="24"/>
          <w:highlight w:val="none"/>
        </w:rPr>
      </w:pPr>
    </w:p>
    <w:p w14:paraId="6A76EDDF">
      <w:pPr>
        <w:rPr>
          <w:rFonts w:hint="eastAsia" w:asciiTheme="minorEastAsia" w:hAnsiTheme="minorEastAsia" w:eastAsiaTheme="minorEastAsia" w:cstheme="minorEastAsia"/>
          <w:color w:val="auto"/>
          <w:sz w:val="24"/>
          <w:szCs w:val="24"/>
          <w:highlight w:val="none"/>
        </w:rPr>
      </w:pPr>
    </w:p>
    <w:p w14:paraId="793ED344">
      <w:pPr>
        <w:pStyle w:val="10"/>
        <w:rPr>
          <w:rFonts w:hint="eastAsia" w:asciiTheme="minorEastAsia" w:hAnsiTheme="minorEastAsia" w:eastAsiaTheme="minorEastAsia" w:cstheme="minorEastAsia"/>
          <w:color w:val="auto"/>
          <w:sz w:val="24"/>
          <w:szCs w:val="24"/>
          <w:highlight w:val="none"/>
        </w:rPr>
      </w:pPr>
    </w:p>
    <w:p w14:paraId="1B4D43FF">
      <w:pPr>
        <w:rPr>
          <w:rFonts w:hint="eastAsia" w:asciiTheme="minorEastAsia" w:hAnsiTheme="minorEastAsia" w:eastAsiaTheme="minorEastAsia" w:cstheme="minorEastAsia"/>
          <w:color w:val="auto"/>
          <w:sz w:val="24"/>
          <w:szCs w:val="24"/>
          <w:highlight w:val="none"/>
        </w:rPr>
      </w:pPr>
    </w:p>
    <w:p w14:paraId="6A9DECA5">
      <w:pPr>
        <w:pStyle w:val="10"/>
        <w:rPr>
          <w:rFonts w:hint="eastAsia" w:asciiTheme="minorEastAsia" w:hAnsiTheme="minorEastAsia" w:eastAsiaTheme="minorEastAsia" w:cstheme="minorEastAsia"/>
          <w:color w:val="auto"/>
          <w:sz w:val="24"/>
          <w:szCs w:val="24"/>
          <w:highlight w:val="none"/>
        </w:rPr>
      </w:pPr>
    </w:p>
    <w:p w14:paraId="3FDEF936">
      <w:pPr>
        <w:rPr>
          <w:rFonts w:hint="eastAsia" w:asciiTheme="minorEastAsia" w:hAnsiTheme="minorEastAsia" w:eastAsiaTheme="minorEastAsia" w:cstheme="minorEastAsia"/>
          <w:color w:val="auto"/>
          <w:sz w:val="24"/>
          <w:szCs w:val="24"/>
          <w:highlight w:val="none"/>
        </w:rPr>
      </w:pPr>
    </w:p>
    <w:p w14:paraId="76D8A0EF">
      <w:pPr>
        <w:pStyle w:val="10"/>
        <w:rPr>
          <w:rFonts w:hint="eastAsia" w:asciiTheme="minorEastAsia" w:hAnsiTheme="minorEastAsia" w:eastAsiaTheme="minorEastAsia" w:cstheme="minorEastAsia"/>
          <w:color w:val="auto"/>
          <w:sz w:val="24"/>
          <w:szCs w:val="24"/>
          <w:highlight w:val="none"/>
        </w:rPr>
      </w:pPr>
    </w:p>
    <w:p w14:paraId="60193244">
      <w:pPr>
        <w:rPr>
          <w:rFonts w:hint="eastAsia" w:asciiTheme="minorEastAsia" w:hAnsiTheme="minorEastAsia" w:eastAsiaTheme="minorEastAsia" w:cstheme="minorEastAsia"/>
          <w:color w:val="auto"/>
          <w:sz w:val="24"/>
          <w:szCs w:val="24"/>
          <w:highlight w:val="none"/>
        </w:rPr>
      </w:pPr>
    </w:p>
    <w:p w14:paraId="0BA05B0B">
      <w:pPr>
        <w:pStyle w:val="10"/>
        <w:rPr>
          <w:rFonts w:hint="eastAsia" w:asciiTheme="minorEastAsia" w:hAnsiTheme="minorEastAsia" w:eastAsiaTheme="minorEastAsia" w:cstheme="minorEastAsia"/>
          <w:color w:val="auto"/>
          <w:sz w:val="24"/>
          <w:szCs w:val="24"/>
          <w:highlight w:val="none"/>
        </w:rPr>
      </w:pPr>
    </w:p>
    <w:p w14:paraId="2D8991ED">
      <w:pPr>
        <w:rPr>
          <w:rFonts w:hint="eastAsia" w:asciiTheme="minorEastAsia" w:hAnsiTheme="minorEastAsia" w:eastAsiaTheme="minorEastAsia" w:cstheme="minorEastAsia"/>
          <w:color w:val="auto"/>
          <w:sz w:val="24"/>
          <w:szCs w:val="24"/>
          <w:highlight w:val="none"/>
        </w:rPr>
      </w:pPr>
    </w:p>
    <w:p w14:paraId="77F4FB06">
      <w:pPr>
        <w:pStyle w:val="10"/>
        <w:rPr>
          <w:rFonts w:hint="eastAsia" w:asciiTheme="minorEastAsia" w:hAnsiTheme="minorEastAsia" w:eastAsiaTheme="minorEastAsia" w:cstheme="minorEastAsia"/>
          <w:color w:val="auto"/>
          <w:sz w:val="24"/>
          <w:szCs w:val="24"/>
          <w:highlight w:val="none"/>
        </w:rPr>
      </w:pPr>
    </w:p>
    <w:p w14:paraId="54AFC85F">
      <w:pPr>
        <w:rPr>
          <w:rFonts w:hint="eastAsia" w:asciiTheme="minorEastAsia" w:hAnsiTheme="minorEastAsia" w:eastAsiaTheme="minorEastAsia" w:cstheme="minorEastAsia"/>
          <w:color w:val="auto"/>
          <w:sz w:val="24"/>
          <w:szCs w:val="24"/>
          <w:highlight w:val="none"/>
        </w:rPr>
      </w:pPr>
    </w:p>
    <w:p w14:paraId="3DB2C5C1">
      <w:pPr>
        <w:pStyle w:val="10"/>
        <w:rPr>
          <w:rFonts w:hint="eastAsia" w:asciiTheme="minorEastAsia" w:hAnsiTheme="minorEastAsia" w:eastAsiaTheme="minorEastAsia" w:cstheme="minorEastAsia"/>
          <w:color w:val="auto"/>
          <w:sz w:val="24"/>
          <w:szCs w:val="24"/>
          <w:highlight w:val="none"/>
        </w:rPr>
      </w:pPr>
    </w:p>
    <w:p w14:paraId="1A7AE497">
      <w:pPr>
        <w:rPr>
          <w:rFonts w:hint="eastAsia" w:asciiTheme="minorEastAsia" w:hAnsiTheme="minorEastAsia" w:eastAsiaTheme="minorEastAsia" w:cstheme="minorEastAsia"/>
          <w:color w:val="auto"/>
          <w:sz w:val="24"/>
          <w:szCs w:val="24"/>
          <w:highlight w:val="none"/>
        </w:rPr>
      </w:pPr>
    </w:p>
    <w:p w14:paraId="3FC2397E">
      <w:pPr>
        <w:pStyle w:val="10"/>
        <w:rPr>
          <w:rFonts w:hint="eastAsia" w:asciiTheme="minorEastAsia" w:hAnsiTheme="minorEastAsia" w:eastAsiaTheme="minorEastAsia" w:cstheme="minorEastAsia"/>
          <w:color w:val="auto"/>
          <w:sz w:val="24"/>
          <w:szCs w:val="24"/>
          <w:highlight w:val="none"/>
        </w:rPr>
      </w:pPr>
    </w:p>
    <w:p w14:paraId="74508F9E">
      <w:pPr>
        <w:rPr>
          <w:rFonts w:hint="eastAsia" w:asciiTheme="minorEastAsia" w:hAnsiTheme="minorEastAsia" w:eastAsiaTheme="minorEastAsia" w:cstheme="minorEastAsia"/>
          <w:color w:val="auto"/>
          <w:sz w:val="24"/>
          <w:szCs w:val="24"/>
          <w:highlight w:val="none"/>
        </w:rPr>
      </w:pPr>
    </w:p>
    <w:p w14:paraId="1533155A">
      <w:pPr>
        <w:pStyle w:val="10"/>
        <w:rPr>
          <w:rFonts w:hint="eastAsia" w:asciiTheme="minorEastAsia" w:hAnsiTheme="minorEastAsia" w:eastAsiaTheme="minorEastAsia" w:cstheme="minorEastAsia"/>
          <w:color w:val="auto"/>
          <w:sz w:val="24"/>
          <w:szCs w:val="24"/>
          <w:highlight w:val="none"/>
        </w:rPr>
      </w:pPr>
    </w:p>
    <w:p w14:paraId="26B99194">
      <w:pPr>
        <w:rPr>
          <w:rFonts w:hint="eastAsia" w:asciiTheme="minorEastAsia" w:hAnsiTheme="minorEastAsia" w:eastAsiaTheme="minorEastAsia" w:cstheme="minorEastAsia"/>
          <w:color w:val="auto"/>
          <w:sz w:val="24"/>
          <w:szCs w:val="24"/>
          <w:highlight w:val="none"/>
        </w:rPr>
      </w:pPr>
    </w:p>
    <w:p w14:paraId="2F6E5A59">
      <w:pPr>
        <w:pStyle w:val="10"/>
        <w:rPr>
          <w:rFonts w:hint="eastAsia" w:asciiTheme="minorEastAsia" w:hAnsiTheme="minorEastAsia" w:eastAsiaTheme="minorEastAsia" w:cstheme="minorEastAsia"/>
          <w:color w:val="auto"/>
          <w:sz w:val="24"/>
          <w:szCs w:val="24"/>
          <w:highlight w:val="none"/>
        </w:rPr>
      </w:pPr>
    </w:p>
    <w:p w14:paraId="0599F9C1">
      <w:pPr>
        <w:rPr>
          <w:rFonts w:hint="eastAsia" w:asciiTheme="minorEastAsia" w:hAnsiTheme="minorEastAsia" w:eastAsiaTheme="minorEastAsia" w:cstheme="minorEastAsia"/>
          <w:color w:val="auto"/>
          <w:sz w:val="24"/>
          <w:szCs w:val="24"/>
          <w:highlight w:val="none"/>
        </w:rPr>
      </w:pPr>
    </w:p>
    <w:p w14:paraId="5E12241C">
      <w:pPr>
        <w:pStyle w:val="10"/>
        <w:rPr>
          <w:rFonts w:hint="eastAsia" w:asciiTheme="minorEastAsia" w:hAnsiTheme="minorEastAsia" w:eastAsiaTheme="minorEastAsia" w:cstheme="minorEastAsia"/>
          <w:color w:val="auto"/>
          <w:sz w:val="24"/>
          <w:szCs w:val="24"/>
          <w:highlight w:val="none"/>
        </w:rPr>
      </w:pPr>
    </w:p>
    <w:p w14:paraId="1FF39216">
      <w:pPr>
        <w:rPr>
          <w:rFonts w:hint="eastAsia" w:asciiTheme="minorEastAsia" w:hAnsiTheme="minorEastAsia" w:eastAsiaTheme="minorEastAsia" w:cstheme="minorEastAsia"/>
          <w:color w:val="auto"/>
          <w:sz w:val="24"/>
          <w:szCs w:val="24"/>
          <w:highlight w:val="none"/>
        </w:rPr>
      </w:pPr>
    </w:p>
    <w:p w14:paraId="40DAC29E">
      <w:pPr>
        <w:pStyle w:val="10"/>
        <w:rPr>
          <w:rFonts w:hint="eastAsia" w:asciiTheme="minorEastAsia" w:hAnsiTheme="minorEastAsia" w:eastAsiaTheme="minorEastAsia" w:cstheme="minorEastAsia"/>
          <w:color w:val="auto"/>
          <w:sz w:val="24"/>
          <w:szCs w:val="24"/>
          <w:highlight w:val="none"/>
        </w:rPr>
      </w:pPr>
    </w:p>
    <w:p w14:paraId="3C557797">
      <w:pPr>
        <w:rPr>
          <w:rFonts w:hint="eastAsia" w:asciiTheme="minorEastAsia" w:hAnsiTheme="minorEastAsia" w:eastAsiaTheme="minorEastAsia" w:cstheme="minorEastAsia"/>
          <w:color w:val="auto"/>
          <w:sz w:val="24"/>
          <w:szCs w:val="24"/>
          <w:highlight w:val="none"/>
        </w:rPr>
      </w:pPr>
    </w:p>
    <w:p w14:paraId="4B3292F0">
      <w:pPr>
        <w:jc w:val="center"/>
        <w:rPr>
          <w:rStyle w:val="31"/>
          <w:rFonts w:hint="eastAsia" w:ascii="宋体" w:hAnsi="宋体" w:cs="宋体"/>
          <w:b/>
          <w:bCs/>
          <w:i w:val="0"/>
          <w:caps w:val="0"/>
          <w:color w:val="auto"/>
          <w:spacing w:val="0"/>
          <w:w w:val="100"/>
          <w:kern w:val="2"/>
          <w:position w:val="0"/>
          <w:sz w:val="28"/>
          <w:szCs w:val="28"/>
          <w:highlight w:val="none"/>
          <w:lang w:val="en-US" w:eastAsia="zh-CN" w:bidi="ar-SA"/>
        </w:rPr>
      </w:pPr>
      <w:r>
        <w:rPr>
          <w:rStyle w:val="31"/>
          <w:rFonts w:hint="eastAsia" w:ascii="宋体" w:hAnsi="宋体" w:cs="宋体"/>
          <w:b/>
          <w:bCs/>
          <w:i w:val="0"/>
          <w:caps w:val="0"/>
          <w:color w:val="auto"/>
          <w:spacing w:val="0"/>
          <w:w w:val="100"/>
          <w:kern w:val="2"/>
          <w:position w:val="0"/>
          <w:sz w:val="28"/>
          <w:szCs w:val="28"/>
          <w:highlight w:val="none"/>
          <w:lang w:val="en-US" w:eastAsia="zh-CN" w:bidi="ar-SA"/>
        </w:rPr>
        <w:t>招标文件补充材料</w:t>
      </w:r>
    </w:p>
    <w:p w14:paraId="6F8C90D2">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1、关于印发中小企业划型标准规定的通知（不属于投标文件格式，仅作为判断中小企业的依据）</w:t>
      </w:r>
    </w:p>
    <w:p w14:paraId="35383FD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Style w:val="25"/>
          <w:rFonts w:hint="eastAsia" w:ascii="微软雅黑" w:hAnsi="微软雅黑" w:eastAsia="微软雅黑" w:cs="微软雅黑"/>
          <w:i w:val="0"/>
          <w:iCs w:val="0"/>
          <w:caps w:val="0"/>
          <w:color w:val="auto"/>
          <w:spacing w:val="0"/>
          <w:sz w:val="36"/>
          <w:szCs w:val="36"/>
          <w:highlight w:val="none"/>
        </w:rPr>
        <w:t>关于印发中小企业划型标准规定的通知</w:t>
      </w:r>
      <w:r>
        <w:rPr>
          <w:rFonts w:hint="eastAsia" w:ascii="微软雅黑" w:hAnsi="微软雅黑" w:eastAsia="微软雅黑" w:cs="微软雅黑"/>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工信部联企业〔2011〕300号</w:t>
      </w:r>
    </w:p>
    <w:p w14:paraId="6754F7B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各省、自治区、直辖市人民政府，国务院各部委、各直属机构及有关单位：</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工业和信息化部　国家统计局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国家发展和改革委员会　财政部</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二○一一年六月十八日</w:t>
      </w:r>
    </w:p>
    <w:p w14:paraId="4325523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center"/>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 </w:t>
      </w:r>
    </w:p>
    <w:p w14:paraId="14EC2A9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auto"/>
          <w:spacing w:val="0"/>
          <w:sz w:val="21"/>
          <w:szCs w:val="21"/>
          <w:highlight w:val="none"/>
        </w:rPr>
      </w:pPr>
      <w:r>
        <w:rPr>
          <w:rStyle w:val="25"/>
          <w:rFonts w:hint="eastAsia" w:ascii="微软雅黑" w:hAnsi="微软雅黑" w:eastAsia="微软雅黑" w:cs="微软雅黑"/>
          <w:i w:val="0"/>
          <w:iCs w:val="0"/>
          <w:caps w:val="0"/>
          <w:color w:val="auto"/>
          <w:spacing w:val="0"/>
          <w:sz w:val="36"/>
          <w:szCs w:val="36"/>
          <w:highlight w:val="none"/>
        </w:rPr>
        <w:t>中小企业划型标准规定</w:t>
      </w:r>
    </w:p>
    <w:p w14:paraId="25BB8643">
      <w:pPr>
        <w:pStyle w:val="3"/>
        <w:spacing w:line="240" w:lineRule="auto"/>
        <w:ind w:left="0" w:leftChars="0" w:firstLine="0" w:firstLineChars="0"/>
        <w:rPr>
          <w:rFonts w:hint="default"/>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w:t>
      </w:r>
      <w:r>
        <w:rPr>
          <w:rFonts w:hint="eastAsia" w:ascii="宋体" w:hAnsi="宋体" w:eastAsia="宋体" w:cs="宋体"/>
          <w:color w:val="auto"/>
          <w:kern w:val="2"/>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四、各行业划型标准为：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五、企业类型的划分以统计部门的统计数据为依据。</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九、本规定由工业和信息化部、国家统计局会同有关部门负责解释。</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十、本规定自发布之日起执行，原国家经贸委、原国家计委、财政部和国家统计局2003年颁布的《中小企业标准暂行规定》同时废止。</w:t>
      </w:r>
    </w:p>
    <w:p w14:paraId="7DA3DACD">
      <w:pPr>
        <w:pStyle w:val="10"/>
        <w:rPr>
          <w:rFonts w:hint="eastAsia"/>
          <w:color w:val="auto"/>
          <w:highlight w:val="none"/>
        </w:rPr>
      </w:pPr>
    </w:p>
    <w:p w14:paraId="689CC4FD">
      <w:pPr>
        <w:pStyle w:val="164"/>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z w:val="24"/>
          <w:szCs w:val="24"/>
          <w:highlight w:val="none"/>
        </w:rPr>
      </w:pPr>
    </w:p>
    <w:p w14:paraId="0384AC5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31"/>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sectPr>
      <w:footerReference r:id="rId8" w:type="first"/>
      <w:headerReference r:id="rId6" w:type="default"/>
      <w:footerReference r:id="rId7" w:type="default"/>
      <w:pgSz w:w="11906" w:h="16838"/>
      <w:pgMar w:top="1440" w:right="1800" w:bottom="1440" w:left="1800" w:header="851" w:footer="992" w:gutter="0"/>
      <w:lnNumType w:countBy="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4D1">
    <w:pPr>
      <w:pStyle w:val="16"/>
      <w:widowControl/>
      <w:snapToGrid w:val="0"/>
      <w:jc w:val="center"/>
      <w:textAlignment w:val="baseline"/>
      <w:rPr>
        <w:rStyle w:val="31"/>
        <w:rFonts w:ascii="宋体" w:hAnsi="宋体"/>
        <w:kern w:val="2"/>
        <w:sz w:val="18"/>
        <w:szCs w:val="18"/>
        <w:lang w:val="en-US" w:eastAsia="zh-CN" w:bidi="ar-SA"/>
      </w:rPr>
    </w:pPr>
  </w:p>
  <w:p w14:paraId="53683B83">
    <w:pPr>
      <w:pStyle w:val="16"/>
      <w:widowControl/>
      <w:snapToGrid w:val="0"/>
      <w:jc w:val="left"/>
      <w:textAlignment w:val="baseline"/>
      <w:rPr>
        <w:rStyle w:val="31"/>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0F19">
    <w:pPr>
      <w:pStyle w:val="16"/>
      <w:widowControl/>
      <w:snapToGrid w:val="0"/>
      <w:jc w:val="center"/>
      <w:textAlignment w:val="baseline"/>
      <w:rPr>
        <w:rStyle w:val="31"/>
        <w:rFonts w:ascii="宋体" w:hAnsi="宋体"/>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C125F5">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2C125F5">
                    <w:pPr>
                      <w:pStyle w:val="16"/>
                    </w:pPr>
                    <w:r>
                      <w:fldChar w:fldCharType="begin"/>
                    </w:r>
                    <w:r>
                      <w:instrText xml:space="preserve"> PAGE  \* MERGEFORMAT </w:instrText>
                    </w:r>
                    <w:r>
                      <w:fldChar w:fldCharType="separate"/>
                    </w:r>
                    <w:r>
                      <w:t>4</w:t>
                    </w:r>
                    <w:r>
                      <w:fldChar w:fldCharType="end"/>
                    </w:r>
                  </w:p>
                </w:txbxContent>
              </v:textbox>
            </v:shape>
          </w:pict>
        </mc:Fallback>
      </mc:AlternateContent>
    </w:r>
  </w:p>
  <w:p w14:paraId="2EAAADC4">
    <w:pPr>
      <w:pStyle w:val="16"/>
      <w:widowControl/>
      <w:snapToGrid w:val="0"/>
      <w:jc w:val="left"/>
      <w:textAlignment w:val="baseline"/>
      <w:rPr>
        <w:rStyle w:val="31"/>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F992">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471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F471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A084">
    <w:pPr>
      <w:pStyle w:val="18"/>
      <w:widowControl/>
      <w:pBdr>
        <w:bottom w:val="none" w:color="auto" w:sz="0" w:space="0"/>
      </w:pBdr>
      <w:snapToGrid w:val="0"/>
      <w:jc w:val="center"/>
      <w:textAlignment w:val="baseline"/>
      <w:rPr>
        <w:rStyle w:val="31"/>
        <w:rFonts w:ascii="宋体" w:hAnsi="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8779">
    <w:pPr>
      <w:pStyle w:val="18"/>
      <w:widowControl/>
      <w:pBdr>
        <w:bottom w:val="single" w:color="000000" w:sz="6" w:space="1"/>
      </w:pBdr>
      <w:snapToGrid w:val="0"/>
      <w:jc w:val="center"/>
      <w:textAlignment w:val="baseline"/>
      <w:rPr>
        <w:rStyle w:val="31"/>
        <w:rFonts w:ascii="宋体" w:hAnsi="宋体"/>
        <w:kern w:val="2"/>
        <w:sz w:val="18"/>
        <w:szCs w:val="18"/>
        <w:lang w:val="en-US" w:eastAsia="zh-CN" w:bidi="ar-SA"/>
      </w:rPr>
    </w:pPr>
    <w:r>
      <w:rPr>
        <w:rStyle w:val="31"/>
        <w:rFonts w:ascii="Calibri" w:hAnsi="Calibri"/>
        <w:kern w:val="2"/>
        <w:sz w:val="18"/>
        <w:szCs w:val="18"/>
        <w:lang w:bidi="ar-SA"/>
      </w:rPr>
      <w:pict>
        <v:shape id="_x0000_s4097"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66D3">
    <w:pPr>
      <w:pStyle w:val="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418A9"/>
    <w:multiLevelType w:val="singleLevel"/>
    <w:tmpl w:val="D2C418A9"/>
    <w:lvl w:ilvl="0" w:tentative="0">
      <w:start w:val="4"/>
      <w:numFmt w:val="chineseCounting"/>
      <w:suff w:val="nothing"/>
      <w:lvlText w:val="%1、"/>
      <w:lvlJc w:val="left"/>
      <w:rPr>
        <w:rFonts w:hint="eastAsia"/>
      </w:rPr>
    </w:lvl>
  </w:abstractNum>
  <w:abstractNum w:abstractNumId="1">
    <w:nsid w:val="075C0149"/>
    <w:multiLevelType w:val="singleLevel"/>
    <w:tmpl w:val="075C0149"/>
    <w:lvl w:ilvl="0" w:tentative="0">
      <w:start w:val="9"/>
      <w:numFmt w:val="chineseCounting"/>
      <w:suff w:val="nothing"/>
      <w:lvlText w:val="%1、"/>
      <w:lvlJc w:val="left"/>
      <w:rPr>
        <w:rFonts w:hint="eastAsia"/>
      </w:rPr>
    </w:lvl>
  </w:abstractNum>
  <w:abstractNum w:abstractNumId="2">
    <w:nsid w:val="08777306"/>
    <w:multiLevelType w:val="multilevel"/>
    <w:tmpl w:val="08777306"/>
    <w:lvl w:ilvl="0" w:tentative="0">
      <w:start w:val="1"/>
      <w:numFmt w:val="decimal"/>
      <w:pStyle w:val="217"/>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71DA6C"/>
    <w:multiLevelType w:val="singleLevel"/>
    <w:tmpl w:val="0A71DA6C"/>
    <w:lvl w:ilvl="0" w:tentative="0">
      <w:start w:val="1"/>
      <w:numFmt w:val="chineseCounting"/>
      <w:suff w:val="nothing"/>
      <w:lvlText w:val="%1、"/>
      <w:lvlJc w:val="left"/>
      <w:rPr>
        <w:rFonts w:hint="eastAsia"/>
      </w:rPr>
    </w:lvl>
  </w:abstractNum>
  <w:abstractNum w:abstractNumId="4">
    <w:nsid w:val="0E1FD6D7"/>
    <w:multiLevelType w:val="singleLevel"/>
    <w:tmpl w:val="0E1FD6D7"/>
    <w:lvl w:ilvl="0" w:tentative="0">
      <w:start w:val="1"/>
      <w:numFmt w:val="chineseCounting"/>
      <w:lvlText w:val="(%1)"/>
      <w:lvlJc w:val="left"/>
      <w:pPr>
        <w:tabs>
          <w:tab w:val="left" w:pos="312"/>
        </w:tabs>
      </w:pPr>
      <w:rPr>
        <w:rFonts w:hint="eastAsia"/>
      </w:rPr>
    </w:lvl>
  </w:abstractNum>
  <w:abstractNum w:abstractNumId="5">
    <w:nsid w:val="167060B0"/>
    <w:multiLevelType w:val="singleLevel"/>
    <w:tmpl w:val="167060B0"/>
    <w:lvl w:ilvl="0" w:tentative="0">
      <w:start w:val="2"/>
      <w:numFmt w:val="decimal"/>
      <w:suff w:val="nothing"/>
      <w:lvlText w:val="%1、"/>
      <w:lvlJc w:val="left"/>
    </w:lvl>
  </w:abstractNum>
  <w:abstractNum w:abstractNumId="6">
    <w:nsid w:val="656D6133"/>
    <w:multiLevelType w:val="multilevel"/>
    <w:tmpl w:val="656D6133"/>
    <w:lvl w:ilvl="0" w:tentative="0">
      <w:start w:val="1"/>
      <w:numFmt w:val="chineseCountingThousand"/>
      <w:pStyle w:val="71"/>
      <w:suff w:val="nothing"/>
      <w:lvlText w:val="第%1部分"/>
      <w:lvlJc w:val="center"/>
      <w:pPr>
        <w:widowControl/>
        <w:ind w:left="0" w:firstLine="288"/>
        <w:textAlignment w:val="baseline"/>
      </w:pPr>
      <w:rPr>
        <w:sz w:val="28"/>
        <w:szCs w:val="28"/>
      </w:rPr>
    </w:lvl>
    <w:lvl w:ilvl="1" w:tentative="0">
      <w:start w:val="1"/>
      <w:numFmt w:val="chineseCountingThousand"/>
      <w:pStyle w:val="68"/>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35"/>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7"/>
      <w:suff w:val="nothing"/>
      <w:lvlText w:val="%1、"/>
      <w:lvlJc w:val="left"/>
      <w:pPr>
        <w:widowControl/>
        <w:ind w:left="0" w:firstLine="0"/>
        <w:textAlignment w:val="baseline"/>
      </w:pPr>
    </w:lvl>
    <w:lvl w:ilvl="4" w:tentative="0">
      <w:start w:val="1"/>
      <w:numFmt w:val="upperLetter"/>
      <w:pStyle w:val="37"/>
      <w:suff w:val="nothing"/>
      <w:lvlText w:val="%1、"/>
      <w:lvlJc w:val="left"/>
      <w:pPr>
        <w:widowControl/>
        <w:ind w:left="0" w:firstLine="0"/>
        <w:textAlignment w:val="baseline"/>
      </w:pPr>
    </w:lvl>
    <w:lvl w:ilvl="5" w:tentative="0">
      <w:start w:val="1"/>
      <w:numFmt w:val="decimal"/>
      <w:pStyle w:val="38"/>
      <w:suff w:val="nothing"/>
      <w:lvlText w:val=""/>
      <w:lvlJc w:val="left"/>
      <w:pPr>
        <w:widowControl/>
        <w:ind w:left="0" w:firstLine="0"/>
        <w:textAlignment w:val="baseline"/>
      </w:pPr>
    </w:lvl>
    <w:lvl w:ilvl="6" w:tentative="0">
      <w:start w:val="1"/>
      <w:numFmt w:val="decimal"/>
      <w:pStyle w:val="39"/>
      <w:suff w:val="nothing"/>
      <w:lvlText w:val=""/>
      <w:lvlJc w:val="left"/>
      <w:pPr>
        <w:widowControl/>
        <w:ind w:left="0" w:firstLine="0"/>
        <w:textAlignment w:val="baseline"/>
      </w:pPr>
    </w:lvl>
    <w:lvl w:ilvl="7" w:tentative="0">
      <w:start w:val="1"/>
      <w:numFmt w:val="decimal"/>
      <w:pStyle w:val="40"/>
      <w:suff w:val="nothing"/>
      <w:lvlText w:val=""/>
      <w:lvlJc w:val="left"/>
      <w:pPr>
        <w:widowControl/>
        <w:ind w:left="0" w:firstLine="0"/>
        <w:textAlignment w:val="baseline"/>
      </w:pPr>
    </w:lvl>
    <w:lvl w:ilvl="8" w:tentative="0">
      <w:start w:val="1"/>
      <w:numFmt w:val="decimal"/>
      <w:pStyle w:val="41"/>
      <w:suff w:val="nothing"/>
      <w:lvlText w:val=""/>
      <w:lvlJc w:val="left"/>
      <w:pPr>
        <w:widowControl/>
        <w:ind w:left="0" w:firstLine="0"/>
        <w:textAlignment w:val="baseline"/>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Dk3OWM4MGNlMTdkNTQzNDQ2YzdmZDVlNzdhOWEifQ=="/>
  </w:docVars>
  <w:rsids>
    <w:rsidRoot w:val="00000000"/>
    <w:rsid w:val="022B52F2"/>
    <w:rsid w:val="02994F73"/>
    <w:rsid w:val="042B082A"/>
    <w:rsid w:val="046D7E63"/>
    <w:rsid w:val="0634631D"/>
    <w:rsid w:val="067D0251"/>
    <w:rsid w:val="06D83EB7"/>
    <w:rsid w:val="09CD0A4B"/>
    <w:rsid w:val="0A051F93"/>
    <w:rsid w:val="0AB81E4C"/>
    <w:rsid w:val="0AB8347C"/>
    <w:rsid w:val="0CFB6F52"/>
    <w:rsid w:val="0D4152E3"/>
    <w:rsid w:val="0DEA7976"/>
    <w:rsid w:val="0E5874C5"/>
    <w:rsid w:val="0EB41B02"/>
    <w:rsid w:val="0F492C9A"/>
    <w:rsid w:val="0FC27AD7"/>
    <w:rsid w:val="0FF31631"/>
    <w:rsid w:val="102374EE"/>
    <w:rsid w:val="10BE7A65"/>
    <w:rsid w:val="138324FF"/>
    <w:rsid w:val="13E33564"/>
    <w:rsid w:val="13FB2452"/>
    <w:rsid w:val="144B2C98"/>
    <w:rsid w:val="14624330"/>
    <w:rsid w:val="14EA2FFE"/>
    <w:rsid w:val="158549F1"/>
    <w:rsid w:val="169656CC"/>
    <w:rsid w:val="16B931E0"/>
    <w:rsid w:val="16E25C53"/>
    <w:rsid w:val="18820C52"/>
    <w:rsid w:val="19416973"/>
    <w:rsid w:val="1A045DC3"/>
    <w:rsid w:val="1AA103E6"/>
    <w:rsid w:val="1ADC1988"/>
    <w:rsid w:val="1BA01D89"/>
    <w:rsid w:val="1C0914E4"/>
    <w:rsid w:val="1D7F1C04"/>
    <w:rsid w:val="1E0F7ECB"/>
    <w:rsid w:val="1E2D0BD9"/>
    <w:rsid w:val="1ECC4774"/>
    <w:rsid w:val="1EF108E0"/>
    <w:rsid w:val="1F7D3B24"/>
    <w:rsid w:val="20841298"/>
    <w:rsid w:val="21392208"/>
    <w:rsid w:val="217638E2"/>
    <w:rsid w:val="21A754A2"/>
    <w:rsid w:val="22460844"/>
    <w:rsid w:val="227C4964"/>
    <w:rsid w:val="22857B96"/>
    <w:rsid w:val="239D2DE4"/>
    <w:rsid w:val="25D7738C"/>
    <w:rsid w:val="26845FB2"/>
    <w:rsid w:val="28C174AB"/>
    <w:rsid w:val="2A6A08F5"/>
    <w:rsid w:val="2A794AB1"/>
    <w:rsid w:val="2B6540FE"/>
    <w:rsid w:val="2CD6360C"/>
    <w:rsid w:val="2E822C35"/>
    <w:rsid w:val="2F7062A3"/>
    <w:rsid w:val="306534E3"/>
    <w:rsid w:val="30EF04BC"/>
    <w:rsid w:val="31330766"/>
    <w:rsid w:val="31F24A72"/>
    <w:rsid w:val="336F1825"/>
    <w:rsid w:val="339A5868"/>
    <w:rsid w:val="34C74CBD"/>
    <w:rsid w:val="35D241AC"/>
    <w:rsid w:val="37E242E4"/>
    <w:rsid w:val="3865250A"/>
    <w:rsid w:val="38B10970"/>
    <w:rsid w:val="38B16CBE"/>
    <w:rsid w:val="3AD0603B"/>
    <w:rsid w:val="3BED2D2C"/>
    <w:rsid w:val="3C776471"/>
    <w:rsid w:val="3D760533"/>
    <w:rsid w:val="3E055C8F"/>
    <w:rsid w:val="3FD87226"/>
    <w:rsid w:val="400E60B9"/>
    <w:rsid w:val="410C67A1"/>
    <w:rsid w:val="415B5D61"/>
    <w:rsid w:val="41676665"/>
    <w:rsid w:val="41C42191"/>
    <w:rsid w:val="432F420E"/>
    <w:rsid w:val="43B31994"/>
    <w:rsid w:val="440466AE"/>
    <w:rsid w:val="440815B6"/>
    <w:rsid w:val="443B37AF"/>
    <w:rsid w:val="476D794F"/>
    <w:rsid w:val="483416BA"/>
    <w:rsid w:val="488C4C83"/>
    <w:rsid w:val="48B26641"/>
    <w:rsid w:val="49945356"/>
    <w:rsid w:val="49C820BA"/>
    <w:rsid w:val="4A10118C"/>
    <w:rsid w:val="4A3239D7"/>
    <w:rsid w:val="4A361719"/>
    <w:rsid w:val="4AFD3FE5"/>
    <w:rsid w:val="4DCD318F"/>
    <w:rsid w:val="4EC4186B"/>
    <w:rsid w:val="511D3238"/>
    <w:rsid w:val="51412A41"/>
    <w:rsid w:val="51AE0546"/>
    <w:rsid w:val="53A74338"/>
    <w:rsid w:val="53CE2D27"/>
    <w:rsid w:val="540C7047"/>
    <w:rsid w:val="54AF15B9"/>
    <w:rsid w:val="5634653A"/>
    <w:rsid w:val="563B2C66"/>
    <w:rsid w:val="565A4E33"/>
    <w:rsid w:val="56EF32E4"/>
    <w:rsid w:val="576F0018"/>
    <w:rsid w:val="5A062F3F"/>
    <w:rsid w:val="5B5836DB"/>
    <w:rsid w:val="5B9C2113"/>
    <w:rsid w:val="5D55380D"/>
    <w:rsid w:val="5D82268C"/>
    <w:rsid w:val="5E1E00A2"/>
    <w:rsid w:val="5FF612D7"/>
    <w:rsid w:val="60DE2163"/>
    <w:rsid w:val="61D672CA"/>
    <w:rsid w:val="620D2908"/>
    <w:rsid w:val="639805BD"/>
    <w:rsid w:val="64E2026A"/>
    <w:rsid w:val="656960A7"/>
    <w:rsid w:val="66664CDC"/>
    <w:rsid w:val="67FF096D"/>
    <w:rsid w:val="68585AF2"/>
    <w:rsid w:val="6A662DD9"/>
    <w:rsid w:val="6A72642D"/>
    <w:rsid w:val="6AD46898"/>
    <w:rsid w:val="6C617DB1"/>
    <w:rsid w:val="6CAE379F"/>
    <w:rsid w:val="6EF4323B"/>
    <w:rsid w:val="70DA42FD"/>
    <w:rsid w:val="714C0BE4"/>
    <w:rsid w:val="72161D38"/>
    <w:rsid w:val="721D26F3"/>
    <w:rsid w:val="72824E4A"/>
    <w:rsid w:val="72A66A7E"/>
    <w:rsid w:val="7333237F"/>
    <w:rsid w:val="73D2527F"/>
    <w:rsid w:val="74CC2420"/>
    <w:rsid w:val="7538248B"/>
    <w:rsid w:val="760802A3"/>
    <w:rsid w:val="762E4AEE"/>
    <w:rsid w:val="76880918"/>
    <w:rsid w:val="779428A8"/>
    <w:rsid w:val="77974CF6"/>
    <w:rsid w:val="7822784C"/>
    <w:rsid w:val="791F31F5"/>
    <w:rsid w:val="79421F32"/>
    <w:rsid w:val="7A006100"/>
    <w:rsid w:val="7ACE2B9F"/>
    <w:rsid w:val="7B9D555E"/>
    <w:rsid w:val="7BDC00FC"/>
    <w:rsid w:val="7BEF700D"/>
    <w:rsid w:val="7C0A61C0"/>
    <w:rsid w:val="7CF618E8"/>
    <w:rsid w:val="7DA75D8E"/>
    <w:rsid w:val="7E4232D0"/>
    <w:rsid w:val="7FFA6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5">
    <w:name w:val="heading 2"/>
    <w:basedOn w:val="1"/>
    <w:next w:val="1"/>
    <w:autoRedefine/>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6">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7">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auto"/>
      <w:jc w:val="left"/>
    </w:pPr>
    <w:rPr>
      <w:rFonts w:ascii="宋体" w:hAnsi="Calibri"/>
      <w:color w:val="000000"/>
      <w:sz w:val="28"/>
      <w:szCs w:val="32"/>
    </w:rPr>
  </w:style>
  <w:style w:type="paragraph" w:styleId="3">
    <w:name w:val="Body Text First Indent"/>
    <w:basedOn w:val="2"/>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8">
    <w:name w:val="Normal Indent"/>
    <w:basedOn w:val="1"/>
    <w:next w:val="1"/>
    <w:autoRedefine/>
    <w:qFormat/>
    <w:uiPriority w:val="0"/>
    <w:pPr>
      <w:ind w:firstLine="420" w:firstLineChars="200"/>
    </w:pPr>
  </w:style>
  <w:style w:type="paragraph" w:styleId="9">
    <w:name w:val="caption"/>
    <w:basedOn w:val="1"/>
    <w:next w:val="1"/>
    <w:autoRedefine/>
    <w:qFormat/>
    <w:uiPriority w:val="0"/>
    <w:pPr>
      <w:spacing w:before="152" w:after="160"/>
      <w:jc w:val="both"/>
      <w:textAlignment w:val="baseline"/>
    </w:pPr>
    <w:rPr>
      <w:rFonts w:ascii="Arial" w:hAnsi="Arial" w:eastAsia="黑体"/>
      <w:kern w:val="2"/>
      <w:sz w:val="20"/>
      <w:szCs w:val="20"/>
      <w:lang w:val="en-US" w:eastAsia="zh-CN" w:bidi="ar-SA"/>
    </w:rPr>
  </w:style>
  <w:style w:type="paragraph" w:styleId="10">
    <w:name w:val="toa heading"/>
    <w:basedOn w:val="1"/>
    <w:next w:val="1"/>
    <w:autoRedefine/>
    <w:qFormat/>
    <w:uiPriority w:val="0"/>
    <w:pPr>
      <w:spacing w:before="120"/>
    </w:pPr>
    <w:rPr>
      <w:rFonts w:ascii="Cambria" w:hAnsi="Cambria"/>
      <w:sz w:val="24"/>
      <w:szCs w:val="24"/>
    </w:rPr>
  </w:style>
  <w:style w:type="paragraph" w:styleId="11">
    <w:name w:val="annotation text"/>
    <w:basedOn w:val="1"/>
    <w:autoRedefine/>
    <w:unhideWhenUsed/>
    <w:qFormat/>
    <w:uiPriority w:val="99"/>
    <w:pPr>
      <w:jc w:val="left"/>
    </w:pPr>
  </w:style>
  <w:style w:type="paragraph" w:styleId="12">
    <w:name w:val="Body Text Indent"/>
    <w:basedOn w:val="1"/>
    <w:next w:val="13"/>
    <w:autoRedefine/>
    <w:qFormat/>
    <w:uiPriority w:val="0"/>
    <w:pPr>
      <w:ind w:firstLine="830" w:firstLineChars="352"/>
    </w:pPr>
    <w:rPr>
      <w:rFonts w:ascii="仿宋_GB2312" w:eastAsia="仿宋_GB2312"/>
      <w:sz w:val="32"/>
      <w:szCs w:val="20"/>
    </w:rPr>
  </w:style>
  <w:style w:type="paragraph" w:styleId="13">
    <w:name w:val="Body Text First Indent 2"/>
    <w:basedOn w:val="12"/>
    <w:next w:val="1"/>
    <w:autoRedefine/>
    <w:qFormat/>
    <w:uiPriority w:val="0"/>
    <w:pPr>
      <w:ind w:firstLine="420" w:firstLineChars="200"/>
    </w:pPr>
  </w:style>
  <w:style w:type="paragraph" w:styleId="14">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5">
    <w:name w:val="Date"/>
    <w:basedOn w:val="1"/>
    <w:next w:val="1"/>
    <w:autoRedefine/>
    <w:qFormat/>
    <w:uiPriority w:val="0"/>
    <w:pPr>
      <w:ind w:left="100" w:leftChars="2500"/>
      <w:jc w:val="both"/>
      <w:textAlignment w:val="baseline"/>
    </w:pPr>
  </w:style>
  <w:style w:type="paragraph" w:styleId="16">
    <w:name w:val="footer"/>
    <w:basedOn w:val="1"/>
    <w:link w:val="29"/>
    <w:autoRedefine/>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next w:val="21"/>
    <w:autoRedefine/>
    <w:qFormat/>
    <w:uiPriority w:val="0"/>
    <w:pPr>
      <w:widowControl/>
      <w:spacing w:before="100" w:beforeAutospacing="1" w:after="100" w:afterAutospacing="1"/>
      <w:jc w:val="left"/>
    </w:pPr>
    <w:rPr>
      <w:rFonts w:ascii="宋体" w:hAnsi="宋体"/>
      <w:kern w:val="0"/>
      <w:sz w:val="24"/>
    </w:rPr>
  </w:style>
  <w:style w:type="paragraph" w:customStyle="1" w:styleId="21">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rFonts w:cs="Times New Roman"/>
      <w:b/>
      <w:bCs/>
    </w:rPr>
  </w:style>
  <w:style w:type="character" w:styleId="26">
    <w:name w:val="Hyperlink"/>
    <w:autoRedefine/>
    <w:qFormat/>
    <w:uiPriority w:val="0"/>
    <w:rPr>
      <w:color w:val="0000FF"/>
      <w:u w:val="single"/>
    </w:rPr>
  </w:style>
  <w:style w:type="paragraph" w:customStyle="1" w:styleId="27">
    <w:name w:val="Default"/>
    <w:autoRedefine/>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28">
    <w:name w:val="_Style 2"/>
    <w:basedOn w:val="1"/>
    <w:autoRedefine/>
    <w:qFormat/>
    <w:uiPriority w:val="99"/>
    <w:pPr>
      <w:ind w:firstLine="420" w:firstLineChars="200"/>
    </w:pPr>
    <w:rPr>
      <w:rFonts w:ascii="Calibri" w:hAnsi="Calibri" w:eastAsia="宋体" w:cs="Times New Roman"/>
    </w:rPr>
  </w:style>
  <w:style w:type="character" w:customStyle="1" w:styleId="29">
    <w:name w:val="UserStyle_4"/>
    <w:link w:val="16"/>
    <w:autoRedefine/>
    <w:qFormat/>
    <w:uiPriority w:val="0"/>
    <w:rPr>
      <w:kern w:val="2"/>
      <w:sz w:val="18"/>
      <w:szCs w:val="18"/>
    </w:rPr>
  </w:style>
  <w:style w:type="paragraph" w:customStyle="1" w:styleId="30">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31">
    <w:name w:val="NormalCharacter"/>
    <w:link w:val="32"/>
    <w:autoRedefine/>
    <w:qFormat/>
    <w:uiPriority w:val="0"/>
  </w:style>
  <w:style w:type="paragraph" w:customStyle="1" w:styleId="32">
    <w:name w:val="UserStyle_5"/>
    <w:basedOn w:val="1"/>
    <w:link w:val="31"/>
    <w:autoRedefine/>
    <w:qFormat/>
    <w:uiPriority w:val="0"/>
    <w:pPr>
      <w:widowControl/>
      <w:spacing w:after="160" w:line="240" w:lineRule="exact"/>
      <w:jc w:val="left"/>
      <w:textAlignment w:val="baseline"/>
    </w:pPr>
  </w:style>
  <w:style w:type="paragraph" w:customStyle="1" w:styleId="33">
    <w:name w:val="Heading1"/>
    <w:basedOn w:val="1"/>
    <w:next w:val="1"/>
    <w:autoRedefine/>
    <w:qFormat/>
    <w:uiPriority w:val="0"/>
    <w:pPr>
      <w:keepNext/>
      <w:keepLines/>
      <w:spacing w:before="340" w:after="330" w:line="578" w:lineRule="atLeast"/>
      <w:ind w:firstLine="288"/>
      <w:jc w:val="left"/>
      <w:textAlignment w:val="baseline"/>
    </w:pPr>
    <w:rPr>
      <w:rFonts w:ascii="Calibri" w:hAnsi="Calibri" w:cs="Times New Roman"/>
      <w:b/>
      <w:bCs/>
      <w:kern w:val="44"/>
      <w:sz w:val="44"/>
      <w:szCs w:val="44"/>
      <w:lang w:val="en-US" w:eastAsia="zh-CN" w:bidi="ar-SA"/>
    </w:rPr>
  </w:style>
  <w:style w:type="paragraph" w:customStyle="1" w:styleId="34">
    <w:name w:val="Heading2"/>
    <w:basedOn w:val="1"/>
    <w:next w:val="1"/>
    <w:autoRedefine/>
    <w:qFormat/>
    <w:uiPriority w:val="0"/>
    <w:pPr>
      <w:keepNext/>
      <w:keepLines/>
      <w:numPr>
        <w:ilvl w:val="1"/>
        <w:numId w:val="1"/>
      </w:numPr>
      <w:spacing w:before="260" w:after="260" w:line="416" w:lineRule="atLeast"/>
      <w:jc w:val="left"/>
      <w:textAlignment w:val="baseline"/>
    </w:pPr>
    <w:rPr>
      <w:rFonts w:ascii="Arial" w:hAnsi="Arial" w:eastAsia="黑体" w:cs="Times New Roman"/>
      <w:b/>
      <w:bCs/>
      <w:kern w:val="0"/>
      <w:sz w:val="32"/>
      <w:szCs w:val="32"/>
      <w:lang w:val="en-US" w:eastAsia="zh-CN" w:bidi="ar-SA"/>
    </w:rPr>
  </w:style>
  <w:style w:type="paragraph" w:customStyle="1" w:styleId="35">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6">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37">
    <w:name w:val="Heading5"/>
    <w:basedOn w:val="1"/>
    <w:next w:val="1"/>
    <w:autoRedefine/>
    <w:qFormat/>
    <w:uiPriority w:val="0"/>
    <w:pPr>
      <w:keepNext/>
      <w:keepLines/>
      <w:numPr>
        <w:ilvl w:val="4"/>
        <w:numId w:val="1"/>
      </w:numPr>
      <w:spacing w:before="280" w:after="290" w:line="376" w:lineRule="atLeast"/>
      <w:jc w:val="left"/>
      <w:textAlignment w:val="baseline"/>
    </w:pPr>
    <w:rPr>
      <w:rFonts w:ascii="Calibri" w:hAnsi="Calibri" w:cs="Times New Roman"/>
      <w:b/>
      <w:bCs/>
      <w:kern w:val="0"/>
      <w:sz w:val="28"/>
      <w:szCs w:val="28"/>
      <w:lang w:val="en-US" w:eastAsia="zh-CN" w:bidi="ar-SA"/>
    </w:rPr>
  </w:style>
  <w:style w:type="paragraph" w:customStyle="1" w:styleId="38">
    <w:name w:val="Heading6"/>
    <w:basedOn w:val="1"/>
    <w:next w:val="1"/>
    <w:autoRedefine/>
    <w:qFormat/>
    <w:uiPriority w:val="0"/>
    <w:pPr>
      <w:keepNext/>
      <w:keepLines/>
      <w:numPr>
        <w:ilvl w:val="5"/>
        <w:numId w:val="1"/>
      </w:numPr>
      <w:spacing w:before="240" w:after="64" w:line="320" w:lineRule="atLeast"/>
      <w:jc w:val="left"/>
      <w:textAlignment w:val="baseline"/>
    </w:pPr>
    <w:rPr>
      <w:rFonts w:ascii="Arial" w:hAnsi="Arial" w:eastAsia="黑体" w:cs="Times New Roman"/>
      <w:b/>
      <w:bCs/>
      <w:kern w:val="0"/>
      <w:sz w:val="24"/>
      <w:szCs w:val="22"/>
      <w:lang w:val="en-US" w:eastAsia="zh-CN" w:bidi="ar-SA"/>
    </w:rPr>
  </w:style>
  <w:style w:type="paragraph" w:customStyle="1" w:styleId="39">
    <w:name w:val="Heading7"/>
    <w:basedOn w:val="1"/>
    <w:next w:val="1"/>
    <w:autoRedefine/>
    <w:qFormat/>
    <w:uiPriority w:val="0"/>
    <w:pPr>
      <w:keepNext/>
      <w:keepLines/>
      <w:numPr>
        <w:ilvl w:val="6"/>
        <w:numId w:val="1"/>
      </w:numPr>
      <w:spacing w:before="240" w:after="64" w:line="320" w:lineRule="atLeast"/>
      <w:jc w:val="left"/>
      <w:textAlignment w:val="baseline"/>
    </w:pPr>
    <w:rPr>
      <w:rFonts w:ascii="Calibri" w:hAnsi="Calibri" w:cs="Times New Roman"/>
      <w:b/>
      <w:bCs/>
      <w:kern w:val="0"/>
      <w:sz w:val="24"/>
      <w:szCs w:val="22"/>
      <w:lang w:val="en-US" w:eastAsia="zh-CN" w:bidi="ar-SA"/>
    </w:rPr>
  </w:style>
  <w:style w:type="paragraph" w:customStyle="1" w:styleId="40">
    <w:name w:val="Heading8"/>
    <w:basedOn w:val="1"/>
    <w:next w:val="1"/>
    <w:autoRedefine/>
    <w:qFormat/>
    <w:uiPriority w:val="0"/>
    <w:pPr>
      <w:keepNext/>
      <w:keepLines/>
      <w:numPr>
        <w:ilvl w:val="7"/>
        <w:numId w:val="1"/>
      </w:numPr>
      <w:spacing w:before="240" w:after="64" w:line="320" w:lineRule="atLeast"/>
      <w:jc w:val="left"/>
      <w:textAlignment w:val="baseline"/>
    </w:pPr>
    <w:rPr>
      <w:rFonts w:ascii="Arial" w:hAnsi="Arial" w:eastAsia="黑体"/>
      <w:kern w:val="0"/>
      <w:sz w:val="24"/>
      <w:szCs w:val="22"/>
      <w:lang w:val="en-US" w:eastAsia="zh-CN" w:bidi="ar-SA"/>
    </w:rPr>
  </w:style>
  <w:style w:type="paragraph" w:customStyle="1" w:styleId="41">
    <w:name w:val="Heading9"/>
    <w:basedOn w:val="1"/>
    <w:next w:val="1"/>
    <w:autoRedefine/>
    <w:qFormat/>
    <w:uiPriority w:val="0"/>
    <w:pPr>
      <w:keepNext/>
      <w:keepLines/>
      <w:numPr>
        <w:ilvl w:val="8"/>
        <w:numId w:val="1"/>
      </w:numPr>
      <w:spacing w:before="240" w:after="64" w:line="320" w:lineRule="atLeast"/>
      <w:jc w:val="left"/>
      <w:textAlignment w:val="baseline"/>
    </w:pPr>
    <w:rPr>
      <w:rFonts w:ascii="Arial" w:hAnsi="Arial" w:eastAsia="黑体"/>
      <w:kern w:val="0"/>
      <w:sz w:val="21"/>
      <w:szCs w:val="21"/>
      <w:lang w:val="en-US" w:eastAsia="zh-CN" w:bidi="ar-SA"/>
    </w:rPr>
  </w:style>
  <w:style w:type="table" w:customStyle="1" w:styleId="42">
    <w:name w:val="TableNormal"/>
    <w:autoRedefine/>
    <w:semiHidden/>
    <w:qFormat/>
    <w:uiPriority w:val="0"/>
  </w:style>
  <w:style w:type="paragraph" w:customStyle="1" w:styleId="43">
    <w:name w:val="List3"/>
    <w:basedOn w:val="1"/>
    <w:autoRedefine/>
    <w:qFormat/>
    <w:uiPriority w:val="0"/>
    <w:pPr>
      <w:ind w:left="100" w:leftChars="400" w:hanging="200" w:hangingChars="200"/>
      <w:jc w:val="both"/>
      <w:textAlignment w:val="baseline"/>
    </w:pPr>
  </w:style>
  <w:style w:type="paragraph" w:customStyle="1" w:styleId="44">
    <w:name w:val="NormalIndent"/>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45">
    <w:name w:val="NavPane"/>
    <w:basedOn w:val="1"/>
    <w:autoRedefine/>
    <w:semiHidden/>
    <w:qFormat/>
    <w:uiPriority w:val="0"/>
    <w:pPr>
      <w:shd w:val="clear" w:color="auto" w:fill="000080"/>
      <w:jc w:val="both"/>
      <w:textAlignment w:val="baseline"/>
    </w:pPr>
  </w:style>
  <w:style w:type="paragraph" w:customStyle="1" w:styleId="46">
    <w:name w:val="AnnotationText"/>
    <w:basedOn w:val="1"/>
    <w:link w:val="47"/>
    <w:autoRedefine/>
    <w:semiHidden/>
    <w:qFormat/>
    <w:uiPriority w:val="0"/>
    <w:pPr>
      <w:jc w:val="left"/>
      <w:textAlignment w:val="baseline"/>
    </w:pPr>
    <w:rPr>
      <w:rFonts w:ascii="Times New Roman" w:hAnsi="Times New Roman"/>
      <w:kern w:val="2"/>
      <w:sz w:val="21"/>
      <w:szCs w:val="24"/>
      <w:lang w:val="en-US" w:eastAsia="zh-CN" w:bidi="ar-SA"/>
    </w:rPr>
  </w:style>
  <w:style w:type="character" w:customStyle="1" w:styleId="47">
    <w:name w:val="UserStyle_0"/>
    <w:link w:val="46"/>
    <w:autoRedefine/>
    <w:qFormat/>
    <w:uiPriority w:val="0"/>
    <w:rPr>
      <w:rFonts w:eastAsia="宋体"/>
      <w:kern w:val="2"/>
      <w:sz w:val="21"/>
      <w:szCs w:val="24"/>
      <w:lang w:val="en-US" w:eastAsia="zh-CN" w:bidi="ar-SA"/>
    </w:rPr>
  </w:style>
  <w:style w:type="paragraph" w:customStyle="1" w:styleId="48">
    <w:name w:val="BodyText3"/>
    <w:basedOn w:val="1"/>
    <w:autoRedefine/>
    <w:qFormat/>
    <w:uiPriority w:val="0"/>
    <w:pPr>
      <w:spacing w:after="120"/>
      <w:jc w:val="both"/>
      <w:textAlignment w:val="baseline"/>
    </w:pPr>
    <w:rPr>
      <w:rFonts w:ascii="Calibri" w:hAnsi="Calibri"/>
      <w:kern w:val="2"/>
      <w:sz w:val="16"/>
      <w:szCs w:val="16"/>
      <w:lang w:val="en-US" w:eastAsia="zh-CN" w:bidi="ar-SA"/>
    </w:rPr>
  </w:style>
  <w:style w:type="paragraph" w:customStyle="1" w:styleId="49">
    <w:name w:val="BodyText"/>
    <w:basedOn w:val="1"/>
    <w:link w:val="50"/>
    <w:autoRedefine/>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50">
    <w:name w:val="UserStyle_1"/>
    <w:link w:val="49"/>
    <w:autoRedefine/>
    <w:qFormat/>
    <w:uiPriority w:val="0"/>
    <w:rPr>
      <w:rFonts w:eastAsia="宋体"/>
      <w:kern w:val="2"/>
      <w:sz w:val="21"/>
      <w:szCs w:val="24"/>
      <w:lang w:val="en-US" w:eastAsia="zh-CN" w:bidi="ar-SA"/>
    </w:rPr>
  </w:style>
  <w:style w:type="paragraph" w:customStyle="1" w:styleId="51">
    <w:name w:val="BodyTextIndent"/>
    <w:basedOn w:val="1"/>
    <w:link w:val="52"/>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52">
    <w:name w:val="UserStyle_2"/>
    <w:link w:val="51"/>
    <w:autoRedefine/>
    <w:qFormat/>
    <w:uiPriority w:val="0"/>
    <w:rPr>
      <w:rFonts w:eastAsia="宋体"/>
      <w:kern w:val="2"/>
      <w:sz w:val="24"/>
      <w:szCs w:val="24"/>
      <w:lang w:val="en-US" w:eastAsia="zh-CN" w:bidi="ar-SA"/>
    </w:rPr>
  </w:style>
  <w:style w:type="paragraph" w:customStyle="1" w:styleId="53">
    <w:name w:val="List2"/>
    <w:basedOn w:val="1"/>
    <w:autoRedefine/>
    <w:qFormat/>
    <w:uiPriority w:val="0"/>
    <w:pPr>
      <w:ind w:left="100" w:leftChars="200" w:hanging="200" w:hangingChars="200"/>
      <w:jc w:val="both"/>
      <w:textAlignment w:val="baseline"/>
    </w:pPr>
  </w:style>
  <w:style w:type="paragraph" w:customStyle="1" w:styleId="54">
    <w:name w:val="TOC3"/>
    <w:basedOn w:val="1"/>
    <w:next w:val="1"/>
    <w:autoRedefine/>
    <w:qFormat/>
    <w:uiPriority w:val="0"/>
    <w:pPr>
      <w:ind w:left="840" w:leftChars="400"/>
      <w:jc w:val="both"/>
      <w:textAlignment w:val="baseline"/>
    </w:pPr>
  </w:style>
  <w:style w:type="paragraph" w:customStyle="1" w:styleId="55">
    <w:name w:val="PlainText"/>
    <w:basedOn w:val="1"/>
    <w:link w:val="56"/>
    <w:autoRedefine/>
    <w:qFormat/>
    <w:uiPriority w:val="0"/>
    <w:pPr>
      <w:jc w:val="both"/>
      <w:textAlignment w:val="baseline"/>
    </w:pPr>
    <w:rPr>
      <w:rFonts w:ascii="宋体" w:hAnsi="Courier New"/>
      <w:kern w:val="2"/>
      <w:sz w:val="21"/>
      <w:szCs w:val="21"/>
      <w:lang w:val="en-US" w:eastAsia="zh-CN" w:bidi="ar-SA"/>
    </w:rPr>
  </w:style>
  <w:style w:type="character" w:customStyle="1" w:styleId="56">
    <w:name w:val="UserStyle_3"/>
    <w:link w:val="55"/>
    <w:autoRedefine/>
    <w:qFormat/>
    <w:uiPriority w:val="0"/>
    <w:rPr>
      <w:rFonts w:ascii="宋体" w:hAnsi="Courier New" w:eastAsia="宋体"/>
      <w:kern w:val="2"/>
      <w:sz w:val="21"/>
      <w:szCs w:val="21"/>
      <w:lang w:val="en-US" w:eastAsia="zh-CN" w:bidi="ar-SA"/>
    </w:rPr>
  </w:style>
  <w:style w:type="paragraph" w:customStyle="1" w:styleId="57">
    <w:name w:val="BodyTextIndent2"/>
    <w:basedOn w:val="1"/>
    <w:autoRedefine/>
    <w:qFormat/>
    <w:uiPriority w:val="0"/>
    <w:pPr>
      <w:spacing w:after="120" w:line="480" w:lineRule="auto"/>
      <w:ind w:left="420" w:leftChars="200"/>
      <w:jc w:val="both"/>
      <w:textAlignment w:val="baseline"/>
    </w:pPr>
  </w:style>
  <w:style w:type="paragraph" w:customStyle="1" w:styleId="58">
    <w:name w:val="Acetate"/>
    <w:basedOn w:val="1"/>
    <w:autoRedefine/>
    <w:semiHidden/>
    <w:qFormat/>
    <w:uiPriority w:val="0"/>
    <w:pPr>
      <w:jc w:val="both"/>
      <w:textAlignment w:val="baseline"/>
    </w:pPr>
    <w:rPr>
      <w:rFonts w:ascii="Calibri" w:hAnsi="Calibri"/>
      <w:kern w:val="2"/>
      <w:sz w:val="18"/>
      <w:szCs w:val="18"/>
      <w:lang w:val="en-US" w:eastAsia="zh-CN" w:bidi="ar-SA"/>
    </w:rPr>
  </w:style>
  <w:style w:type="paragraph" w:customStyle="1" w:styleId="59">
    <w:name w:val="TOC1"/>
    <w:basedOn w:val="1"/>
    <w:next w:val="1"/>
    <w:autoRedefine/>
    <w:qFormat/>
    <w:uiPriority w:val="0"/>
    <w:pPr>
      <w:tabs>
        <w:tab w:val="right" w:leader="dot" w:pos="8302"/>
      </w:tabs>
      <w:jc w:val="both"/>
      <w:textAlignment w:val="baseline"/>
    </w:pPr>
  </w:style>
  <w:style w:type="paragraph" w:customStyle="1" w:styleId="60">
    <w:name w:val="BodyTextIndent3"/>
    <w:basedOn w:val="1"/>
    <w:autoRedefine/>
    <w:qFormat/>
    <w:uiPriority w:val="0"/>
    <w:pPr>
      <w:tabs>
        <w:tab w:val="left" w:pos="1134"/>
        <w:tab w:val="left" w:pos="5481"/>
        <w:tab w:val="left" w:pos="5859"/>
      </w:tabs>
      <w:spacing w:line="500" w:lineRule="exact"/>
      <w:ind w:firstLine="8275" w:firstLineChars="1200"/>
      <w:jc w:val="both"/>
      <w:textAlignment w:val="baseline"/>
    </w:pPr>
    <w:rPr>
      <w:rFonts w:ascii="Calibri" w:hAnsi="Calibri" w:eastAsia="黑体" w:cs="Times New Roman"/>
      <w:b/>
      <w:bCs/>
      <w:kern w:val="2"/>
      <w:sz w:val="72"/>
      <w:szCs w:val="22"/>
      <w:lang w:val="en-US" w:eastAsia="zh-CN" w:bidi="ar-SA"/>
    </w:rPr>
  </w:style>
  <w:style w:type="paragraph" w:customStyle="1" w:styleId="61">
    <w:name w:val="TOC2"/>
    <w:basedOn w:val="1"/>
    <w:next w:val="1"/>
    <w:autoRedefine/>
    <w:qFormat/>
    <w:uiPriority w:val="0"/>
    <w:pPr>
      <w:ind w:left="420" w:leftChars="200"/>
      <w:jc w:val="both"/>
      <w:textAlignment w:val="baseline"/>
    </w:pPr>
  </w:style>
  <w:style w:type="paragraph" w:customStyle="1" w:styleId="62">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63">
    <w:name w:val="AnnotationSubject"/>
    <w:basedOn w:val="46"/>
    <w:next w:val="46"/>
    <w:autoRedefine/>
    <w:semiHidden/>
    <w:qFormat/>
    <w:uiPriority w:val="0"/>
    <w:pPr>
      <w:jc w:val="left"/>
      <w:textAlignment w:val="baseline"/>
    </w:pPr>
    <w:rPr>
      <w:rFonts w:ascii="Times New Roman" w:hAnsi="Times New Roman" w:cs="Times New Roman"/>
      <w:b/>
      <w:bCs/>
      <w:kern w:val="2"/>
      <w:sz w:val="21"/>
      <w:szCs w:val="24"/>
      <w:lang w:val="en-US" w:eastAsia="zh-CN" w:bidi="ar-SA"/>
    </w:rPr>
  </w:style>
  <w:style w:type="table" w:customStyle="1" w:styleId="64">
    <w:name w:val="TableGrid"/>
    <w:basedOn w:val="42"/>
    <w:autoRedefine/>
    <w:qFormat/>
    <w:uiPriority w:val="0"/>
  </w:style>
  <w:style w:type="character" w:customStyle="1" w:styleId="65">
    <w:name w:val="PageNumber"/>
    <w:basedOn w:val="31"/>
    <w:autoRedefine/>
    <w:qFormat/>
    <w:uiPriority w:val="0"/>
  </w:style>
  <w:style w:type="character" w:customStyle="1" w:styleId="66">
    <w:name w:val="AnnotationReference"/>
    <w:autoRedefine/>
    <w:semiHidden/>
    <w:qFormat/>
    <w:uiPriority w:val="0"/>
    <w:rPr>
      <w:sz w:val="21"/>
      <w:szCs w:val="21"/>
    </w:rPr>
  </w:style>
  <w:style w:type="paragraph" w:customStyle="1" w:styleId="67">
    <w:name w:val="UserStyle_6"/>
    <w:basedOn w:val="1"/>
    <w:autoRedefine/>
    <w:qFormat/>
    <w:uiPriority w:val="0"/>
    <w:pPr>
      <w:jc w:val="both"/>
      <w:textAlignment w:val="baseline"/>
    </w:pPr>
    <w:rPr>
      <w:rFonts w:ascii="Tahoma" w:hAnsi="Tahoma"/>
      <w:kern w:val="2"/>
      <w:sz w:val="24"/>
      <w:szCs w:val="20"/>
      <w:lang w:val="en-US" w:eastAsia="zh-CN" w:bidi="ar-SA"/>
    </w:rPr>
  </w:style>
  <w:style w:type="paragraph" w:customStyle="1" w:styleId="68">
    <w:name w:val="UserStyle_7"/>
    <w:basedOn w:val="34"/>
    <w:autoRedefine/>
    <w:qFormat/>
    <w:uiPriority w:val="0"/>
    <w:pPr>
      <w:keepNext/>
      <w:keepLines/>
      <w:numPr>
        <w:ilvl w:val="1"/>
        <w:numId w:val="1"/>
      </w:numPr>
      <w:spacing w:before="260" w:after="260" w:line="416" w:lineRule="atLeast"/>
      <w:jc w:val="left"/>
      <w:textAlignment w:val="baseline"/>
    </w:pPr>
    <w:rPr>
      <w:rFonts w:ascii="宋体" w:hAnsi="宋体" w:eastAsia="宋体"/>
      <w:b w:val="0"/>
      <w:bCs w:val="0"/>
      <w:color w:val="000000"/>
      <w:kern w:val="0"/>
      <w:sz w:val="21"/>
      <w:szCs w:val="32"/>
      <w:lang w:val="en-US" w:eastAsia="zh-CN" w:bidi="ar-SA"/>
    </w:rPr>
  </w:style>
  <w:style w:type="paragraph" w:customStyle="1" w:styleId="69">
    <w:name w:val="UserStyle_8"/>
    <w:basedOn w:val="36"/>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70">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71">
    <w:name w:val="UserStyle_9"/>
    <w:basedOn w:val="1"/>
    <w:autoRedefine/>
    <w:qFormat/>
    <w:uiPriority w:val="0"/>
    <w:pPr>
      <w:numPr>
        <w:ilvl w:val="0"/>
        <w:numId w:val="1"/>
      </w:numPr>
      <w:tabs>
        <w:tab w:val="left" w:pos="1110"/>
      </w:tabs>
      <w:jc w:val="both"/>
      <w:textAlignment w:val="baseline"/>
    </w:pPr>
    <w:rPr>
      <w:rFonts w:ascii="宋体" w:hAnsi="宋体"/>
      <w:kern w:val="0"/>
      <w:sz w:val="21"/>
      <w:szCs w:val="21"/>
      <w:lang w:val="en-US" w:eastAsia="zh-CN" w:bidi="ar-SA"/>
    </w:rPr>
  </w:style>
  <w:style w:type="paragraph" w:customStyle="1" w:styleId="72">
    <w:name w:val="UserStyle_10"/>
    <w:basedOn w:val="1"/>
    <w:autoRedefine/>
    <w:qFormat/>
    <w:uiPriority w:val="0"/>
    <w:pPr>
      <w:snapToGrid w:val="0"/>
      <w:spacing w:line="500" w:lineRule="exact"/>
      <w:ind w:firstLine="540" w:firstLineChars="225"/>
      <w:jc w:val="both"/>
      <w:textAlignment w:val="baseline"/>
    </w:pPr>
    <w:rPr>
      <w:rFonts w:ascii="Calibri" w:hAnsi="Calibri"/>
      <w:kern w:val="0"/>
      <w:sz w:val="24"/>
      <w:szCs w:val="22"/>
      <w:lang w:val="en-US" w:eastAsia="zh-CN" w:bidi="ar-SA"/>
    </w:rPr>
  </w:style>
  <w:style w:type="paragraph" w:customStyle="1" w:styleId="73">
    <w:name w:val="UserStyle_11"/>
    <w:basedOn w:val="45"/>
    <w:autoRedefine/>
    <w:qFormat/>
    <w:uiPriority w:val="0"/>
    <w:pPr>
      <w:shd w:val="clear" w:color="auto" w:fill="000080"/>
      <w:jc w:val="both"/>
      <w:textAlignment w:val="baseline"/>
    </w:pPr>
    <w:rPr>
      <w:rFonts w:ascii="Tahoma" w:hAnsi="Tahoma"/>
      <w:sz w:val="24"/>
    </w:rPr>
  </w:style>
  <w:style w:type="character" w:customStyle="1" w:styleId="74">
    <w:name w:val="UserStyle_12"/>
    <w:autoRedefine/>
    <w:qFormat/>
    <w:uiPriority w:val="0"/>
    <w:rPr>
      <w:rFonts w:eastAsia="宋体"/>
      <w:kern w:val="2"/>
      <w:sz w:val="21"/>
      <w:szCs w:val="24"/>
      <w:lang w:val="en-US" w:eastAsia="zh-CN" w:bidi="ar-SA"/>
    </w:rPr>
  </w:style>
  <w:style w:type="paragraph" w:customStyle="1" w:styleId="75">
    <w:name w:val="UserStyle_13"/>
    <w:basedOn w:val="1"/>
    <w:autoRedefine/>
    <w:semiHidden/>
    <w:qFormat/>
    <w:uiPriority w:val="0"/>
    <w:pPr>
      <w:spacing w:line="360" w:lineRule="auto"/>
      <w:ind w:firstLine="200" w:firstLineChars="200"/>
      <w:jc w:val="both"/>
      <w:textAlignment w:val="baseline"/>
    </w:pPr>
    <w:rPr>
      <w:rFonts w:ascii="宋体" w:hAnsi="宋体"/>
      <w:kern w:val="2"/>
      <w:sz w:val="24"/>
      <w:szCs w:val="22"/>
      <w:lang w:val="en-US" w:eastAsia="zh-CN" w:bidi="ar-SA"/>
    </w:rPr>
  </w:style>
  <w:style w:type="character" w:customStyle="1" w:styleId="76">
    <w:name w:val="UserStyle_14"/>
    <w:autoRedefine/>
    <w:qFormat/>
    <w:uiPriority w:val="0"/>
    <w:rPr>
      <w:rFonts w:eastAsia="宋体"/>
      <w:kern w:val="2"/>
      <w:sz w:val="21"/>
      <w:szCs w:val="24"/>
      <w:lang w:val="en-US" w:eastAsia="zh-CN" w:bidi="ar-SA"/>
    </w:rPr>
  </w:style>
  <w:style w:type="paragraph" w:customStyle="1" w:styleId="77">
    <w:name w:val="UserStyle_15"/>
    <w:basedOn w:val="1"/>
    <w:autoRedefine/>
    <w:qFormat/>
    <w:uiPriority w:val="0"/>
    <w:pPr>
      <w:tabs>
        <w:tab w:val="left" w:pos="360"/>
      </w:tabs>
      <w:spacing w:line="360" w:lineRule="auto"/>
      <w:ind w:firstLine="480" w:firstLineChars="200"/>
      <w:jc w:val="both"/>
      <w:textAlignment w:val="baseline"/>
    </w:pPr>
    <w:rPr>
      <w:rFonts w:ascii="楷体_GB2312" w:hAnsi="Calibri" w:eastAsia="楷体_GB2312"/>
      <w:kern w:val="2"/>
      <w:sz w:val="24"/>
      <w:szCs w:val="22"/>
      <w:lang w:val="en-US" w:eastAsia="zh-CN" w:bidi="ar-SA"/>
    </w:rPr>
  </w:style>
  <w:style w:type="paragraph" w:customStyle="1" w:styleId="78">
    <w:name w:val="UserStyle_16"/>
    <w:basedOn w:val="1"/>
    <w:autoRedefine/>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79">
    <w:name w:val="UserStyle_17"/>
    <w:basedOn w:val="1"/>
    <w:autoRedefine/>
    <w:qFormat/>
    <w:uiPriority w:val="0"/>
    <w:pPr>
      <w:tabs>
        <w:tab w:val="left" w:pos="432"/>
      </w:tabs>
      <w:spacing w:before="156" w:after="156"/>
      <w:ind w:left="432" w:hanging="432"/>
      <w:jc w:val="both"/>
      <w:textAlignment w:val="baseline"/>
    </w:pPr>
  </w:style>
  <w:style w:type="paragraph" w:customStyle="1" w:styleId="80">
    <w:name w:val="UserStyle_18"/>
    <w:basedOn w:val="81"/>
    <w:next w:val="81"/>
    <w:link w:val="82"/>
    <w:autoRedefine/>
    <w:qFormat/>
    <w:uiPriority w:val="0"/>
    <w:pPr>
      <w:spacing w:line="500" w:lineRule="exact"/>
      <w:jc w:val="center"/>
      <w:textAlignment w:val="baseline"/>
    </w:pPr>
    <w:rPr>
      <w:rFonts w:ascii="宋体" w:hAnsi="宋体"/>
      <w:b/>
      <w:kern w:val="2"/>
      <w:sz w:val="28"/>
      <w:szCs w:val="28"/>
      <w:lang w:bidi="ar-SA"/>
    </w:rPr>
  </w:style>
  <w:style w:type="paragraph" w:customStyle="1" w:styleId="81">
    <w:name w:val="UserStyle_19"/>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82">
    <w:name w:val="UserStyle_20"/>
    <w:link w:val="80"/>
    <w:autoRedefine/>
    <w:qFormat/>
    <w:uiPriority w:val="0"/>
    <w:rPr>
      <w:rFonts w:ascii="宋体" w:hAnsi="宋体"/>
      <w:b/>
      <w:kern w:val="2"/>
      <w:sz w:val="28"/>
      <w:szCs w:val="28"/>
    </w:rPr>
  </w:style>
  <w:style w:type="paragraph" w:customStyle="1" w:styleId="83">
    <w:name w:val="266"/>
    <w:basedOn w:val="33"/>
    <w:next w:val="1"/>
    <w:autoRedefine/>
    <w:qFormat/>
    <w:uiPriority w:val="0"/>
    <w:pPr>
      <w:keepNext/>
      <w:keepLines/>
      <w:widowControl/>
      <w:spacing w:before="480" w:after="0" w:line="276" w:lineRule="auto"/>
      <w:ind w:firstLine="0"/>
      <w:jc w:val="left"/>
      <w:textAlignment w:val="auto"/>
    </w:pPr>
    <w:rPr>
      <w:rFonts w:ascii="Cambria" w:hAnsi="Cambria" w:eastAsia="宋体" w:cs="Times New Roman"/>
      <w:color w:val="365F91"/>
      <w:kern w:val="0"/>
      <w:sz w:val="28"/>
      <w:szCs w:val="28"/>
      <w:lang w:val="en-US" w:eastAsia="zh-CN" w:bidi="ar-SA"/>
    </w:rPr>
  </w:style>
  <w:style w:type="paragraph" w:customStyle="1" w:styleId="84">
    <w:name w:val="UserStyle_2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5">
    <w:name w:val="UserStyle_22"/>
    <w:basedOn w:val="86"/>
    <w:autoRedefine/>
    <w:qFormat/>
    <w:uiPriority w:val="0"/>
    <w:pPr>
      <w:jc w:val="both"/>
      <w:textAlignment w:val="baseline"/>
    </w:pPr>
    <w:rPr>
      <w:kern w:val="2"/>
      <w:sz w:val="21"/>
      <w:szCs w:val="24"/>
      <w:lang w:val="en-US" w:eastAsia="zh-CN" w:bidi="ar-SA"/>
    </w:rPr>
  </w:style>
  <w:style w:type="paragraph" w:customStyle="1" w:styleId="86">
    <w:name w:val="UserStyle_2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7">
    <w:name w:val="UserStyle_24"/>
    <w:basedOn w:val="85"/>
    <w:link w:val="88"/>
    <w:autoRedefine/>
    <w:qFormat/>
    <w:uiPriority w:val="0"/>
    <w:pPr>
      <w:spacing w:after="120"/>
      <w:jc w:val="both"/>
      <w:textAlignment w:val="baseline"/>
    </w:pPr>
    <w:rPr>
      <w:kern w:val="0"/>
      <w:sz w:val="20"/>
      <w:szCs w:val="24"/>
      <w:lang w:val="en-US" w:eastAsia="zh-CN" w:bidi="ar-SA"/>
    </w:rPr>
  </w:style>
  <w:style w:type="character" w:customStyle="1" w:styleId="88">
    <w:name w:val="UserStyle_25"/>
    <w:link w:val="87"/>
    <w:autoRedefine/>
    <w:qFormat/>
    <w:locked/>
    <w:uiPriority w:val="0"/>
    <w:rPr>
      <w:szCs w:val="24"/>
    </w:rPr>
  </w:style>
  <w:style w:type="paragraph" w:customStyle="1" w:styleId="89">
    <w:name w:val="UserStyle_26"/>
    <w:basedOn w:val="90"/>
    <w:next w:val="91"/>
    <w:autoRedefine/>
    <w:qFormat/>
    <w:uiPriority w:val="0"/>
    <w:pPr>
      <w:snapToGrid w:val="0"/>
      <w:spacing w:line="360" w:lineRule="auto"/>
      <w:jc w:val="both"/>
      <w:textAlignment w:val="baseline"/>
    </w:pPr>
    <w:rPr>
      <w:rFonts w:ascii="Calibri" w:hAnsi="Calibri"/>
      <w:kern w:val="2"/>
      <w:sz w:val="21"/>
      <w:szCs w:val="24"/>
      <w:lang w:val="en-US" w:eastAsia="zh-CN" w:bidi="ar-SA"/>
    </w:rPr>
  </w:style>
  <w:style w:type="paragraph" w:customStyle="1" w:styleId="90">
    <w:name w:val="UserStyle_27"/>
    <w:basedOn w:val="85"/>
    <w:next w:val="85"/>
    <w:autoRedefine/>
    <w:qFormat/>
    <w:uiPriority w:val="0"/>
    <w:pPr>
      <w:snapToGrid w:val="0"/>
      <w:spacing w:line="360" w:lineRule="auto"/>
      <w:jc w:val="both"/>
      <w:textAlignment w:val="baseline"/>
    </w:pPr>
    <w:rPr>
      <w:rFonts w:ascii="Calibri" w:hAnsi="Calibri"/>
      <w:kern w:val="0"/>
      <w:sz w:val="24"/>
      <w:szCs w:val="24"/>
      <w:lang w:val="en-US" w:eastAsia="zh-CN" w:bidi="ar-SA"/>
    </w:rPr>
  </w:style>
  <w:style w:type="paragraph" w:customStyle="1" w:styleId="91">
    <w:name w:val="UserStyle_28"/>
    <w:basedOn w:val="92"/>
    <w:autoRedefine/>
    <w:semiHidden/>
    <w:qFormat/>
    <w:uiPriority w:val="0"/>
    <w:pPr>
      <w:widowControl/>
      <w:snapToGrid w:val="0"/>
      <w:jc w:val="left"/>
      <w:textAlignment w:val="baseline"/>
    </w:pPr>
    <w:rPr>
      <w:rFonts w:ascii="Calibri" w:hAnsi="Calibri" w:eastAsia="Times New Roman"/>
      <w:sz w:val="18"/>
      <w:szCs w:val="18"/>
      <w:lang w:bidi="ar-SA"/>
    </w:rPr>
  </w:style>
  <w:style w:type="paragraph" w:customStyle="1" w:styleId="92">
    <w:name w:val="UserStyle_29"/>
    <w:basedOn w:val="93"/>
    <w:next w:val="91"/>
    <w:autoRedefine/>
    <w:qFormat/>
    <w:uiPriority w:val="0"/>
    <w:pPr>
      <w:widowControl/>
      <w:textAlignment w:val="baseline"/>
    </w:pPr>
    <w:rPr>
      <w:rFonts w:ascii="Times New Roman" w:hAnsi="Times New Roman" w:eastAsia="Times New Roman"/>
      <w:sz w:val="24"/>
      <w:szCs w:val="21"/>
      <w:lang w:bidi="ar-SA"/>
    </w:rPr>
  </w:style>
  <w:style w:type="paragraph" w:customStyle="1" w:styleId="93">
    <w:name w:val="UserStyle_30"/>
    <w:basedOn w:val="94"/>
    <w:autoRedefine/>
    <w:qFormat/>
    <w:uiPriority w:val="0"/>
    <w:pPr>
      <w:widowControl/>
      <w:textAlignment w:val="baseline"/>
    </w:pPr>
    <w:rPr>
      <w:rFonts w:ascii="Calibri" w:hAnsi="Calibri" w:eastAsia="Times New Roman"/>
      <w:sz w:val="24"/>
      <w:szCs w:val="21"/>
      <w:lang w:bidi="ar-SA"/>
    </w:rPr>
  </w:style>
  <w:style w:type="paragraph" w:customStyle="1" w:styleId="94">
    <w:name w:val="UserStyle_31"/>
    <w:autoRedefine/>
    <w:qFormat/>
    <w:uiPriority w:val="0"/>
    <w:pPr>
      <w:widowControl/>
      <w:textAlignment w:val="baseline"/>
    </w:pPr>
    <w:rPr>
      <w:rFonts w:ascii="Times New Roman" w:hAnsi="Times New Roman" w:eastAsia="Times New Roman" w:cs="Times New Roman"/>
      <w:sz w:val="24"/>
      <w:szCs w:val="24"/>
      <w:lang w:val="en-US" w:bidi="ar-SA"/>
    </w:rPr>
  </w:style>
  <w:style w:type="paragraph" w:customStyle="1" w:styleId="95">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96">
    <w:name w:val="UserStyle_33"/>
    <w:autoRedefine/>
    <w:qFormat/>
    <w:uiPriority w:val="0"/>
    <w:pPr>
      <w:widowControl/>
      <w:textAlignment w:val="baseline"/>
    </w:pPr>
    <w:rPr>
      <w:rFonts w:ascii="黑体" w:hAnsi="黑体" w:eastAsia="黑体" w:cs="Times New Roman"/>
      <w:b/>
      <w:sz w:val="32"/>
      <w:szCs w:val="24"/>
      <w:lang w:val="en-US" w:bidi="ar-SA"/>
    </w:rPr>
  </w:style>
  <w:style w:type="paragraph" w:customStyle="1" w:styleId="97">
    <w:name w:val="UserStyle_34"/>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8">
    <w:name w:val="UserStyle_35"/>
    <w:basedOn w:val="97"/>
    <w:link w:val="9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99">
    <w:name w:val="UserStyle_36"/>
    <w:link w:val="98"/>
    <w:autoRedefine/>
    <w:qFormat/>
    <w:uiPriority w:val="0"/>
    <w:rPr>
      <w:rFonts w:ascii="Times New Roman" w:hAnsi="Times New Roman" w:eastAsia="宋体"/>
      <w:sz w:val="24"/>
      <w:szCs w:val="24"/>
    </w:rPr>
  </w:style>
  <w:style w:type="paragraph" w:customStyle="1" w:styleId="100">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101">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102">
    <w:name w:val="UserStyle_39"/>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3">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104">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5">
    <w:name w:val="UserStyle_42"/>
    <w:basedOn w:val="106"/>
    <w:next w:val="106"/>
    <w:link w:val="107"/>
    <w:autoRedefine/>
    <w:qFormat/>
    <w:uiPriority w:val="0"/>
    <w:pPr>
      <w:spacing w:line="500" w:lineRule="exact"/>
      <w:jc w:val="center"/>
      <w:textAlignment w:val="baseline"/>
    </w:pPr>
    <w:rPr>
      <w:rFonts w:ascii="宋体" w:hAnsi="宋体"/>
      <w:b/>
      <w:kern w:val="0"/>
      <w:sz w:val="28"/>
      <w:szCs w:val="28"/>
      <w:lang w:bidi="ar-SA"/>
    </w:rPr>
  </w:style>
  <w:style w:type="paragraph" w:customStyle="1" w:styleId="106">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107">
    <w:name w:val="UserStyle_44"/>
    <w:link w:val="105"/>
    <w:autoRedefine/>
    <w:qFormat/>
    <w:uiPriority w:val="0"/>
    <w:rPr>
      <w:rFonts w:ascii="宋体" w:hAnsi="宋体" w:eastAsia="宋体"/>
      <w:b/>
      <w:sz w:val="28"/>
      <w:szCs w:val="28"/>
    </w:rPr>
  </w:style>
  <w:style w:type="paragraph" w:customStyle="1" w:styleId="108">
    <w:name w:val="UserStyle_45"/>
    <w:basedOn w:val="104"/>
    <w:link w:val="109"/>
    <w:autoRedefine/>
    <w:qFormat/>
    <w:uiPriority w:val="0"/>
    <w:pPr>
      <w:spacing w:after="120"/>
      <w:jc w:val="both"/>
      <w:textAlignment w:val="baseline"/>
    </w:pPr>
    <w:rPr>
      <w:kern w:val="0"/>
      <w:sz w:val="20"/>
      <w:szCs w:val="24"/>
      <w:lang w:val="en-US" w:eastAsia="zh-CN" w:bidi="ar-SA"/>
    </w:rPr>
  </w:style>
  <w:style w:type="character" w:customStyle="1" w:styleId="109">
    <w:name w:val="UserStyle_46"/>
    <w:link w:val="108"/>
    <w:autoRedefine/>
    <w:qFormat/>
    <w:uiPriority w:val="0"/>
    <w:rPr>
      <w:rFonts w:ascii="Times New Roman" w:hAnsi="Times New Roman" w:eastAsia="宋体"/>
      <w:szCs w:val="24"/>
    </w:rPr>
  </w:style>
  <w:style w:type="paragraph" w:customStyle="1" w:styleId="110">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111">
    <w:name w:val="UserStyle_4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12">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113">
    <w:name w:val="UserStyle_5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14">
    <w:name w:val="UserStyle_51"/>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15">
    <w:name w:val="UserStyle_52"/>
    <w:autoRedefine/>
    <w:qFormat/>
    <w:uiPriority w:val="0"/>
    <w:pPr>
      <w:widowControl/>
      <w:textAlignment w:val="baseline"/>
    </w:pPr>
    <w:rPr>
      <w:rFonts w:ascii="黑体" w:hAnsi="黑体" w:eastAsia="黑体" w:cs="Times New Roman"/>
      <w:b/>
      <w:sz w:val="32"/>
      <w:szCs w:val="24"/>
      <w:lang w:val="en-US" w:bidi="ar-SA"/>
    </w:rPr>
  </w:style>
  <w:style w:type="paragraph" w:customStyle="1" w:styleId="116">
    <w:name w:val="UserStyle_5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17">
    <w:name w:val="UserStyle_54"/>
    <w:basedOn w:val="116"/>
    <w:link w:val="118"/>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18">
    <w:name w:val="UserStyle_55"/>
    <w:link w:val="117"/>
    <w:autoRedefine/>
    <w:qFormat/>
    <w:uiPriority w:val="0"/>
    <w:rPr>
      <w:rFonts w:ascii="Times New Roman" w:hAnsi="Times New Roman" w:eastAsia="宋体"/>
      <w:sz w:val="24"/>
      <w:szCs w:val="24"/>
    </w:rPr>
  </w:style>
  <w:style w:type="paragraph" w:customStyle="1" w:styleId="119">
    <w:name w:val="UserStyle_56"/>
    <w:basedOn w:val="116"/>
    <w:link w:val="120"/>
    <w:autoRedefine/>
    <w:qFormat/>
    <w:uiPriority w:val="0"/>
    <w:pPr>
      <w:spacing w:after="120"/>
      <w:jc w:val="both"/>
      <w:textAlignment w:val="baseline"/>
    </w:pPr>
    <w:rPr>
      <w:kern w:val="0"/>
      <w:sz w:val="20"/>
      <w:szCs w:val="24"/>
      <w:lang w:val="en-US" w:eastAsia="zh-CN" w:bidi="ar-SA"/>
    </w:rPr>
  </w:style>
  <w:style w:type="character" w:customStyle="1" w:styleId="120">
    <w:name w:val="UserStyle_57"/>
    <w:link w:val="119"/>
    <w:autoRedefine/>
    <w:qFormat/>
    <w:uiPriority w:val="0"/>
    <w:rPr>
      <w:rFonts w:ascii="Times New Roman" w:hAnsi="Times New Roman" w:eastAsia="宋体"/>
      <w:szCs w:val="24"/>
    </w:rPr>
  </w:style>
  <w:style w:type="paragraph" w:customStyle="1" w:styleId="121">
    <w:name w:val="UserStyle_58"/>
    <w:autoRedefine/>
    <w:qFormat/>
    <w:uiPriority w:val="0"/>
    <w:pPr>
      <w:widowControl/>
      <w:textAlignment w:val="baseline"/>
    </w:pPr>
    <w:rPr>
      <w:rFonts w:ascii="黑体" w:hAnsi="黑体" w:eastAsia="黑体" w:cs="Times New Roman"/>
      <w:b/>
      <w:sz w:val="32"/>
      <w:szCs w:val="24"/>
      <w:lang w:val="en-US" w:bidi="ar-SA"/>
    </w:rPr>
  </w:style>
  <w:style w:type="paragraph" w:customStyle="1" w:styleId="122">
    <w:name w:val="UserStyle_59"/>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23">
    <w:name w:val="UserStyle_60"/>
    <w:basedOn w:val="124"/>
    <w:next w:val="124"/>
    <w:link w:val="125"/>
    <w:autoRedefine/>
    <w:qFormat/>
    <w:uiPriority w:val="0"/>
    <w:pPr>
      <w:spacing w:line="500" w:lineRule="exact"/>
      <w:jc w:val="center"/>
      <w:textAlignment w:val="baseline"/>
    </w:pPr>
    <w:rPr>
      <w:rFonts w:ascii="宋体" w:hAnsi="宋体"/>
      <w:b/>
      <w:kern w:val="0"/>
      <w:sz w:val="28"/>
      <w:szCs w:val="28"/>
      <w:lang w:bidi="ar-SA"/>
    </w:rPr>
  </w:style>
  <w:style w:type="paragraph" w:customStyle="1" w:styleId="124">
    <w:name w:val="UserStyle_61"/>
    <w:autoRedefine/>
    <w:qFormat/>
    <w:uiPriority w:val="0"/>
    <w:pPr>
      <w:jc w:val="both"/>
      <w:textAlignment w:val="baseline"/>
    </w:pPr>
    <w:rPr>
      <w:rFonts w:ascii="Calibri" w:hAnsi="Calibri" w:eastAsia="宋体" w:cs="Times New Roman"/>
      <w:kern w:val="2"/>
      <w:sz w:val="28"/>
      <w:szCs w:val="22"/>
      <w:lang w:val="en-US" w:eastAsia="zh-CN" w:bidi="ar-SA"/>
    </w:rPr>
  </w:style>
  <w:style w:type="character" w:customStyle="1" w:styleId="125">
    <w:name w:val="UserStyle_62"/>
    <w:link w:val="123"/>
    <w:autoRedefine/>
    <w:qFormat/>
    <w:uiPriority w:val="0"/>
    <w:rPr>
      <w:rFonts w:ascii="宋体" w:hAnsi="宋体" w:eastAsia="宋体"/>
      <w:b/>
      <w:sz w:val="28"/>
      <w:szCs w:val="28"/>
    </w:rPr>
  </w:style>
  <w:style w:type="paragraph" w:customStyle="1" w:styleId="126">
    <w:name w:val="UserStyle_63"/>
    <w:autoRedefine/>
    <w:qFormat/>
    <w:uiPriority w:val="0"/>
    <w:pPr>
      <w:widowControl/>
      <w:textAlignment w:val="baseline"/>
    </w:pPr>
    <w:rPr>
      <w:rFonts w:ascii="黑体" w:hAnsi="黑体" w:eastAsia="黑体" w:cs="Times New Roman"/>
      <w:b/>
      <w:sz w:val="32"/>
      <w:szCs w:val="24"/>
      <w:lang w:val="en-US" w:bidi="ar-SA"/>
    </w:rPr>
  </w:style>
  <w:style w:type="paragraph" w:customStyle="1" w:styleId="127">
    <w:name w:val="UserStyle_6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28">
    <w:name w:val="UserStyle_65"/>
    <w:autoRedefine/>
    <w:qFormat/>
    <w:uiPriority w:val="0"/>
    <w:pPr>
      <w:widowControl/>
      <w:textAlignment w:val="baseline"/>
    </w:pPr>
    <w:rPr>
      <w:rFonts w:ascii="黑体" w:hAnsi="黑体" w:eastAsia="黑体" w:cs="Times New Roman"/>
      <w:b/>
      <w:sz w:val="32"/>
      <w:szCs w:val="24"/>
      <w:lang w:val="en-US" w:bidi="ar-SA"/>
    </w:rPr>
  </w:style>
  <w:style w:type="paragraph" w:customStyle="1" w:styleId="129">
    <w:name w:val="UserStyle_66"/>
    <w:basedOn w:val="130"/>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130">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31">
    <w:name w:val="UserStyle_68"/>
    <w:basedOn w:val="129"/>
    <w:next w:val="129"/>
    <w:link w:val="132"/>
    <w:autoRedefine/>
    <w:qFormat/>
    <w:uiPriority w:val="0"/>
    <w:pPr>
      <w:keepNext/>
      <w:keepLines/>
      <w:spacing w:before="340" w:after="330" w:line="578" w:lineRule="atLeast"/>
      <w:ind w:firstLine="288"/>
      <w:jc w:val="left"/>
      <w:textAlignment w:val="baseline"/>
    </w:pPr>
    <w:rPr>
      <w:rFonts w:ascii="Times New Roman" w:hAnsi="Times New Roman" w:eastAsia="宋体" w:cs="Times New Roman"/>
      <w:b/>
      <w:bCs/>
      <w:kern w:val="44"/>
      <w:sz w:val="44"/>
      <w:szCs w:val="44"/>
      <w:lang w:val="en-US" w:eastAsia="zh-CN" w:bidi="ar-SA"/>
    </w:rPr>
  </w:style>
  <w:style w:type="character" w:customStyle="1" w:styleId="132">
    <w:name w:val="UserStyle_69"/>
    <w:link w:val="131"/>
    <w:autoRedefine/>
    <w:qFormat/>
    <w:uiPriority w:val="0"/>
    <w:rPr>
      <w:rFonts w:ascii="Times New Roman" w:hAnsi="Times New Roman" w:cs="Times New Roman"/>
      <w:b/>
      <w:bCs/>
      <w:kern w:val="44"/>
      <w:sz w:val="44"/>
      <w:szCs w:val="44"/>
    </w:rPr>
  </w:style>
  <w:style w:type="paragraph" w:customStyle="1" w:styleId="133">
    <w:name w:val="UserStyle_70"/>
    <w:basedOn w:val="129"/>
    <w:link w:val="134"/>
    <w:autoRedefine/>
    <w:qFormat/>
    <w:uiPriority w:val="0"/>
    <w:pPr>
      <w:jc w:val="both"/>
      <w:textAlignment w:val="baseline"/>
    </w:pPr>
    <w:rPr>
      <w:rFonts w:ascii="宋体" w:hAnsi="Courier New" w:eastAsia="宋体"/>
      <w:kern w:val="2"/>
      <w:sz w:val="21"/>
      <w:szCs w:val="21"/>
      <w:lang w:val="en-US" w:eastAsia="zh-CN" w:bidi="ar-SA"/>
    </w:rPr>
  </w:style>
  <w:style w:type="character" w:customStyle="1" w:styleId="134">
    <w:name w:val="UserStyle_71"/>
    <w:link w:val="133"/>
    <w:autoRedefine/>
    <w:qFormat/>
    <w:uiPriority w:val="0"/>
    <w:rPr>
      <w:rFonts w:ascii="宋体" w:hAnsi="Courier New"/>
      <w:kern w:val="2"/>
      <w:sz w:val="21"/>
      <w:szCs w:val="21"/>
    </w:rPr>
  </w:style>
  <w:style w:type="paragraph" w:customStyle="1" w:styleId="135">
    <w:name w:val="UserStyle_72"/>
    <w:autoRedefine/>
    <w:qFormat/>
    <w:uiPriority w:val="0"/>
    <w:pPr>
      <w:widowControl/>
      <w:textAlignment w:val="baseline"/>
    </w:pPr>
    <w:rPr>
      <w:rFonts w:ascii="黑体" w:hAnsi="黑体" w:eastAsia="黑体" w:cs="Times New Roman"/>
      <w:b/>
      <w:sz w:val="32"/>
      <w:szCs w:val="24"/>
      <w:lang w:val="en-US" w:bidi="ar-SA"/>
    </w:rPr>
  </w:style>
  <w:style w:type="paragraph" w:customStyle="1" w:styleId="136">
    <w:name w:val="UserStyle_73"/>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37">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138">
    <w:name w:val="UserStyle_75"/>
    <w:autoRedefine/>
    <w:qFormat/>
    <w:uiPriority w:val="0"/>
    <w:pPr>
      <w:widowControl/>
      <w:textAlignment w:val="baseline"/>
    </w:pPr>
    <w:rPr>
      <w:rFonts w:ascii="黑体" w:hAnsi="黑体" w:eastAsia="黑体" w:cs="Times New Roman"/>
      <w:b/>
      <w:sz w:val="32"/>
      <w:szCs w:val="24"/>
      <w:lang w:val="en-US" w:bidi="ar-SA"/>
    </w:rPr>
  </w:style>
  <w:style w:type="paragraph" w:customStyle="1" w:styleId="139">
    <w:name w:val="UserStyle_76"/>
    <w:basedOn w:val="140"/>
    <w:next w:val="140"/>
    <w:link w:val="141"/>
    <w:autoRedefine/>
    <w:qFormat/>
    <w:uiPriority w:val="0"/>
    <w:pPr>
      <w:ind w:left="100" w:leftChars="2500"/>
      <w:jc w:val="both"/>
      <w:textAlignment w:val="baseline"/>
    </w:pPr>
    <w:rPr>
      <w:kern w:val="0"/>
      <w:sz w:val="20"/>
      <w:szCs w:val="24"/>
      <w:lang w:val="en-US" w:eastAsia="zh-CN" w:bidi="ar-SA"/>
    </w:rPr>
  </w:style>
  <w:style w:type="paragraph" w:customStyle="1" w:styleId="140">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41">
    <w:name w:val="UserStyle_78"/>
    <w:link w:val="139"/>
    <w:autoRedefine/>
    <w:qFormat/>
    <w:uiPriority w:val="0"/>
    <w:rPr>
      <w:rFonts w:ascii="Times New Roman" w:hAnsi="Times New Roman" w:eastAsia="宋体"/>
      <w:szCs w:val="24"/>
    </w:rPr>
  </w:style>
  <w:style w:type="paragraph" w:customStyle="1" w:styleId="142">
    <w:name w:val="UserStyle_79"/>
    <w:basedOn w:val="140"/>
    <w:link w:val="143"/>
    <w:autoRedefine/>
    <w:qFormat/>
    <w:uiPriority w:val="0"/>
    <w:pPr>
      <w:spacing w:after="120"/>
      <w:jc w:val="both"/>
      <w:textAlignment w:val="baseline"/>
    </w:pPr>
    <w:rPr>
      <w:kern w:val="0"/>
      <w:sz w:val="20"/>
      <w:szCs w:val="24"/>
      <w:lang w:val="en-US" w:eastAsia="zh-CN" w:bidi="ar-SA"/>
    </w:rPr>
  </w:style>
  <w:style w:type="character" w:customStyle="1" w:styleId="143">
    <w:name w:val="UserStyle_80"/>
    <w:link w:val="142"/>
    <w:autoRedefine/>
    <w:qFormat/>
    <w:uiPriority w:val="0"/>
    <w:rPr>
      <w:rFonts w:ascii="Times New Roman" w:hAnsi="Times New Roman" w:eastAsia="宋体"/>
      <w:szCs w:val="24"/>
    </w:rPr>
  </w:style>
  <w:style w:type="paragraph" w:customStyle="1" w:styleId="144">
    <w:name w:val="UserStyle_81"/>
    <w:autoRedefine/>
    <w:qFormat/>
    <w:uiPriority w:val="0"/>
    <w:pPr>
      <w:widowControl/>
      <w:textAlignment w:val="baseline"/>
    </w:pPr>
    <w:rPr>
      <w:rFonts w:ascii="黑体" w:hAnsi="黑体" w:eastAsia="黑体" w:cs="Times New Roman"/>
      <w:b/>
      <w:sz w:val="32"/>
      <w:szCs w:val="24"/>
      <w:lang w:val="en-US" w:bidi="ar-SA"/>
    </w:rPr>
  </w:style>
  <w:style w:type="paragraph" w:customStyle="1" w:styleId="145">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46">
    <w:name w:val="UserStyle_83"/>
    <w:basedOn w:val="145"/>
    <w:link w:val="147"/>
    <w:autoRedefine/>
    <w:qFormat/>
    <w:uiPriority w:val="0"/>
    <w:pPr>
      <w:spacing w:after="120"/>
      <w:jc w:val="both"/>
      <w:textAlignment w:val="baseline"/>
    </w:pPr>
    <w:rPr>
      <w:kern w:val="0"/>
      <w:sz w:val="20"/>
      <w:szCs w:val="24"/>
      <w:lang w:val="en-US" w:eastAsia="zh-CN" w:bidi="ar-SA"/>
    </w:rPr>
  </w:style>
  <w:style w:type="character" w:customStyle="1" w:styleId="147">
    <w:name w:val="UserStyle_84"/>
    <w:link w:val="146"/>
    <w:autoRedefine/>
    <w:qFormat/>
    <w:uiPriority w:val="0"/>
    <w:rPr>
      <w:rFonts w:ascii="Times New Roman" w:hAnsi="Times New Roman" w:eastAsia="宋体"/>
      <w:szCs w:val="24"/>
    </w:rPr>
  </w:style>
  <w:style w:type="paragraph" w:customStyle="1" w:styleId="148">
    <w:name w:val="UserStyle_85"/>
    <w:basedOn w:val="145"/>
    <w:link w:val="149"/>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49">
    <w:name w:val="UserStyle_86"/>
    <w:link w:val="148"/>
    <w:autoRedefine/>
    <w:qFormat/>
    <w:uiPriority w:val="0"/>
    <w:rPr>
      <w:rFonts w:ascii="Times New Roman" w:hAnsi="Times New Roman" w:eastAsia="宋体"/>
      <w:sz w:val="24"/>
      <w:szCs w:val="24"/>
    </w:rPr>
  </w:style>
  <w:style w:type="paragraph" w:customStyle="1" w:styleId="150">
    <w:name w:val="UserStyle_87"/>
    <w:autoRedefine/>
    <w:qFormat/>
    <w:uiPriority w:val="0"/>
    <w:pPr>
      <w:widowControl/>
      <w:textAlignment w:val="baseline"/>
    </w:pPr>
    <w:rPr>
      <w:rFonts w:ascii="黑体" w:hAnsi="黑体" w:eastAsia="黑体" w:cs="Times New Roman"/>
      <w:b/>
      <w:sz w:val="32"/>
      <w:szCs w:val="24"/>
      <w:lang w:val="en-US" w:bidi="ar-SA"/>
    </w:rPr>
  </w:style>
  <w:style w:type="paragraph" w:customStyle="1" w:styleId="151">
    <w:name w:val="UserStyle_88"/>
    <w:basedOn w:val="152"/>
    <w:link w:val="153"/>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52">
    <w:name w:val="UserStyle_89"/>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53">
    <w:name w:val="UserStyle_90"/>
    <w:link w:val="151"/>
    <w:autoRedefine/>
    <w:qFormat/>
    <w:uiPriority w:val="0"/>
    <w:rPr>
      <w:rFonts w:ascii="Times New Roman" w:hAnsi="Times New Roman" w:eastAsia="宋体"/>
      <w:sz w:val="24"/>
      <w:szCs w:val="24"/>
    </w:rPr>
  </w:style>
  <w:style w:type="paragraph" w:customStyle="1" w:styleId="154">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155">
    <w:name w:val="UserStyle_92"/>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6">
    <w:name w:val="UserStyle_93"/>
    <w:autoRedefine/>
    <w:qFormat/>
    <w:uiPriority w:val="0"/>
    <w:pPr>
      <w:widowControl/>
      <w:textAlignment w:val="baseline"/>
    </w:pPr>
    <w:rPr>
      <w:rFonts w:ascii="黑体" w:hAnsi="黑体" w:eastAsia="黑体" w:cs="Times New Roman"/>
      <w:b/>
      <w:sz w:val="32"/>
      <w:szCs w:val="24"/>
      <w:lang w:val="en-US" w:bidi="ar-SA"/>
    </w:rPr>
  </w:style>
  <w:style w:type="paragraph" w:customStyle="1" w:styleId="157">
    <w:name w:val="UserStyle_9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8">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159">
    <w:name w:val="UserStyle_96"/>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0">
    <w:name w:val="UserStyle_97"/>
    <w:basedOn w:val="159"/>
    <w:link w:val="161"/>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1">
    <w:name w:val="UserStyle_98"/>
    <w:link w:val="160"/>
    <w:autoRedefine/>
    <w:qFormat/>
    <w:uiPriority w:val="0"/>
    <w:rPr>
      <w:rFonts w:ascii="Times New Roman" w:hAnsi="Times New Roman" w:eastAsia="宋体"/>
      <w:sz w:val="24"/>
      <w:szCs w:val="24"/>
    </w:rPr>
  </w:style>
  <w:style w:type="paragraph" w:customStyle="1" w:styleId="162">
    <w:name w:val="UserStyle_99"/>
    <w:autoRedefine/>
    <w:qFormat/>
    <w:uiPriority w:val="0"/>
    <w:pPr>
      <w:widowControl/>
      <w:textAlignment w:val="baseline"/>
    </w:pPr>
    <w:rPr>
      <w:rFonts w:ascii="黑体" w:hAnsi="黑体" w:eastAsia="黑体" w:cs="Times New Roman"/>
      <w:b/>
      <w:sz w:val="32"/>
      <w:szCs w:val="24"/>
      <w:lang w:val="en-US" w:bidi="ar-SA"/>
    </w:rPr>
  </w:style>
  <w:style w:type="paragraph" w:customStyle="1" w:styleId="163">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64">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165">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166">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7">
    <w:name w:val="UserStyle_104"/>
    <w:basedOn w:val="166"/>
    <w:link w:val="168"/>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8">
    <w:name w:val="UserStyle_105"/>
    <w:link w:val="167"/>
    <w:autoRedefine/>
    <w:qFormat/>
    <w:uiPriority w:val="0"/>
    <w:rPr>
      <w:rFonts w:ascii="Times New Roman" w:hAnsi="Times New Roman" w:eastAsia="宋体"/>
      <w:sz w:val="24"/>
      <w:szCs w:val="24"/>
    </w:rPr>
  </w:style>
  <w:style w:type="paragraph" w:customStyle="1" w:styleId="169">
    <w:name w:val="UserStyle_106"/>
    <w:basedOn w:val="166"/>
    <w:next w:val="166"/>
    <w:autoRedefine/>
    <w:qFormat/>
    <w:uiPriority w:val="0"/>
    <w:pPr>
      <w:spacing w:before="152" w:after="160"/>
      <w:jc w:val="both"/>
      <w:textAlignment w:val="baseline"/>
    </w:pPr>
    <w:rPr>
      <w:rFonts w:ascii="Arial" w:hAnsi="Arial" w:eastAsia="黑体"/>
      <w:kern w:val="2"/>
      <w:sz w:val="20"/>
      <w:szCs w:val="20"/>
    </w:rPr>
  </w:style>
  <w:style w:type="paragraph" w:customStyle="1" w:styleId="170">
    <w:name w:val="UserStyle_107"/>
    <w:autoRedefine/>
    <w:qFormat/>
    <w:uiPriority w:val="0"/>
    <w:pPr>
      <w:widowControl/>
      <w:textAlignment w:val="baseline"/>
    </w:pPr>
    <w:rPr>
      <w:rFonts w:ascii="黑体" w:hAnsi="黑体" w:eastAsia="黑体" w:cs="Times New Roman"/>
      <w:b/>
      <w:sz w:val="32"/>
      <w:szCs w:val="24"/>
      <w:lang w:val="en-US" w:bidi="ar-SA"/>
    </w:rPr>
  </w:style>
  <w:style w:type="paragraph" w:customStyle="1" w:styleId="171">
    <w:name w:val="UserStyle_10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2">
    <w:name w:val="UserStyle_109"/>
    <w:autoRedefine/>
    <w:qFormat/>
    <w:uiPriority w:val="0"/>
    <w:pPr>
      <w:widowControl/>
      <w:textAlignment w:val="baseline"/>
    </w:pPr>
    <w:rPr>
      <w:rFonts w:ascii="黑体" w:hAnsi="黑体" w:eastAsia="黑体" w:cs="Times New Roman"/>
      <w:b/>
      <w:sz w:val="32"/>
      <w:szCs w:val="24"/>
      <w:lang w:val="en-US" w:bidi="ar-SA"/>
    </w:rPr>
  </w:style>
  <w:style w:type="paragraph" w:customStyle="1" w:styleId="173">
    <w:name w:val="UserStyle_11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4">
    <w:name w:val="UserStyle_111"/>
    <w:autoRedefine/>
    <w:qFormat/>
    <w:uiPriority w:val="0"/>
    <w:pPr>
      <w:widowControl/>
      <w:textAlignment w:val="baseline"/>
    </w:pPr>
    <w:rPr>
      <w:rFonts w:ascii="黑体" w:hAnsi="黑体" w:eastAsia="黑体" w:cs="Times New Roman"/>
      <w:b/>
      <w:sz w:val="32"/>
      <w:szCs w:val="24"/>
      <w:lang w:val="en-US" w:bidi="ar-SA"/>
    </w:rPr>
  </w:style>
  <w:style w:type="paragraph" w:customStyle="1" w:styleId="175">
    <w:name w:val="UserStyle_112"/>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6">
    <w:name w:val="UserStyle_113"/>
    <w:autoRedefine/>
    <w:qFormat/>
    <w:uiPriority w:val="0"/>
    <w:pPr>
      <w:widowControl/>
      <w:textAlignment w:val="baseline"/>
    </w:pPr>
    <w:rPr>
      <w:rFonts w:ascii="黑体" w:hAnsi="黑体" w:eastAsia="黑体" w:cs="Times New Roman"/>
      <w:b/>
      <w:sz w:val="32"/>
      <w:szCs w:val="24"/>
      <w:lang w:val="en-US" w:bidi="ar-SA"/>
    </w:rPr>
  </w:style>
  <w:style w:type="paragraph" w:customStyle="1" w:styleId="177">
    <w:name w:val="UserStyle_11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78">
    <w:name w:val="UserStyle_115"/>
    <w:autoRedefine/>
    <w:qFormat/>
    <w:uiPriority w:val="0"/>
    <w:pPr>
      <w:widowControl/>
      <w:textAlignment w:val="baseline"/>
    </w:pPr>
    <w:rPr>
      <w:rFonts w:ascii="黑体" w:hAnsi="黑体" w:eastAsia="黑体" w:cs="Times New Roman"/>
      <w:b/>
      <w:sz w:val="32"/>
      <w:szCs w:val="24"/>
      <w:lang w:val="en-US" w:bidi="ar-SA"/>
    </w:rPr>
  </w:style>
  <w:style w:type="paragraph" w:customStyle="1" w:styleId="179">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180">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81">
    <w:name w:val="UserStyle_118"/>
    <w:basedOn w:val="180"/>
    <w:link w:val="182"/>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82">
    <w:name w:val="UserStyle_119"/>
    <w:link w:val="181"/>
    <w:autoRedefine/>
    <w:qFormat/>
    <w:uiPriority w:val="0"/>
    <w:rPr>
      <w:rFonts w:ascii="Times New Roman" w:hAnsi="Times New Roman" w:eastAsia="宋体"/>
      <w:sz w:val="24"/>
      <w:szCs w:val="24"/>
    </w:rPr>
  </w:style>
  <w:style w:type="paragraph" w:customStyle="1" w:styleId="183">
    <w:name w:val="UserStyle_120"/>
    <w:basedOn w:val="180"/>
    <w:next w:val="180"/>
    <w:autoRedefine/>
    <w:qFormat/>
    <w:uiPriority w:val="0"/>
    <w:pPr>
      <w:spacing w:before="152" w:after="160"/>
      <w:jc w:val="both"/>
      <w:textAlignment w:val="baseline"/>
    </w:pPr>
    <w:rPr>
      <w:rFonts w:ascii="Arial" w:hAnsi="Arial" w:eastAsia="黑体"/>
      <w:kern w:val="2"/>
      <w:sz w:val="20"/>
      <w:szCs w:val="20"/>
    </w:rPr>
  </w:style>
  <w:style w:type="paragraph" w:customStyle="1" w:styleId="184">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85">
    <w:name w:val="UserStyle_122"/>
    <w:basedOn w:val="130"/>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86">
    <w:name w:val="UserStyle_123"/>
    <w:basedOn w:val="130"/>
    <w:next w:val="187"/>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87">
    <w:name w:val="UserStyle_124"/>
    <w:basedOn w:val="186"/>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88">
    <w:name w:val="UserStyle_125"/>
    <w:basedOn w:val="130"/>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89">
    <w:name w:val="WPSOffice手动目录 1"/>
    <w:autoRedefine/>
    <w:qFormat/>
    <w:uiPriority w:val="0"/>
    <w:pPr>
      <w:ind w:leftChars="0"/>
    </w:pPr>
    <w:rPr>
      <w:rFonts w:ascii="Times New Roman" w:hAnsi="Times New Roman" w:eastAsia="宋体" w:cs="Times New Roman"/>
      <w:sz w:val="20"/>
      <w:szCs w:val="20"/>
    </w:rPr>
  </w:style>
  <w:style w:type="paragraph" w:customStyle="1" w:styleId="19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1">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_1_0_0"/>
    <w:basedOn w:val="194"/>
    <w:next w:val="195"/>
    <w:autoRedefine/>
    <w:qFormat/>
    <w:uiPriority w:val="0"/>
    <w:rPr>
      <w:rFonts w:ascii="Times New Roman" w:hAnsi="Times New Roman"/>
      <w:szCs w:val="21"/>
    </w:rPr>
  </w:style>
  <w:style w:type="paragraph" w:customStyle="1" w:styleId="194">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页脚_1"/>
    <w:basedOn w:val="193"/>
    <w:autoRedefine/>
    <w:semiHidden/>
    <w:qFormat/>
    <w:uiPriority w:val="0"/>
    <w:pPr>
      <w:snapToGrid w:val="0"/>
      <w:jc w:val="left"/>
    </w:pPr>
    <w:rPr>
      <w:rFonts w:ascii="Calibri" w:hAnsi="Calibri"/>
      <w:sz w:val="18"/>
      <w:szCs w:val="18"/>
    </w:rPr>
  </w:style>
  <w:style w:type="paragraph" w:customStyle="1" w:styleId="196">
    <w:name w:val="正文_1_0"/>
    <w:basedOn w:val="197"/>
    <w:next w:val="201"/>
    <w:autoRedefine/>
    <w:qFormat/>
    <w:uiPriority w:val="0"/>
    <w:rPr>
      <w:rFonts w:ascii="Calibri" w:hAnsi="Calibri"/>
    </w:rPr>
  </w:style>
  <w:style w:type="paragraph" w:customStyle="1" w:styleId="197">
    <w:name w:val="正文_1"/>
    <w:basedOn w:val="198"/>
    <w:next w:val="200"/>
    <w:autoRedefine/>
    <w:qFormat/>
    <w:uiPriority w:val="0"/>
    <w:rPr>
      <w:rFonts w:ascii="Calibri" w:hAnsi="Calibri" w:cs="Calibri"/>
      <w:szCs w:val="21"/>
    </w:rPr>
  </w:style>
  <w:style w:type="paragraph" w:customStyle="1" w:styleId="198">
    <w:name w:val="正文_2"/>
    <w:basedOn w:val="199"/>
    <w:autoRedefine/>
    <w:qFormat/>
    <w:uiPriority w:val="0"/>
    <w:pPr>
      <w:widowControl w:val="0"/>
      <w:jc w:val="both"/>
    </w:pPr>
    <w:rPr>
      <w:kern w:val="2"/>
      <w:sz w:val="21"/>
      <w:szCs w:val="22"/>
      <w:lang w:val="en-US" w:eastAsia="zh-CN" w:bidi="ar-SA"/>
    </w:rPr>
  </w:style>
  <w:style w:type="paragraph" w:customStyle="1" w:styleId="199">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正"/>
    <w:basedOn w:val="197"/>
    <w:autoRedefine/>
    <w:qFormat/>
    <w:uiPriority w:val="0"/>
    <w:pPr>
      <w:ind w:firstLine="525"/>
    </w:pPr>
    <w:rPr>
      <w:spacing w:val="20"/>
      <w:szCs w:val="20"/>
    </w:rPr>
  </w:style>
  <w:style w:type="paragraph" w:customStyle="1" w:styleId="201">
    <w:name w:val="正文首行缩进1"/>
    <w:basedOn w:val="202"/>
    <w:autoRedefine/>
    <w:unhideWhenUsed/>
    <w:qFormat/>
    <w:uiPriority w:val="99"/>
    <w:pPr>
      <w:ind w:firstLine="420" w:firstLineChars="100"/>
    </w:pPr>
    <w:rPr>
      <w:szCs w:val="22"/>
    </w:rPr>
  </w:style>
  <w:style w:type="paragraph" w:customStyle="1" w:styleId="202">
    <w:name w:val="正文文本_0_0"/>
    <w:basedOn w:val="203"/>
    <w:autoRedefine/>
    <w:qFormat/>
    <w:uiPriority w:val="0"/>
    <w:pPr>
      <w:spacing w:after="120"/>
    </w:pPr>
    <w:rPr>
      <w:kern w:val="0"/>
      <w:sz w:val="20"/>
    </w:rPr>
  </w:style>
  <w:style w:type="paragraph" w:customStyle="1" w:styleId="20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4">
    <w:name w:val="List Paragraph"/>
    <w:basedOn w:val="1"/>
    <w:autoRedefine/>
    <w:qFormat/>
    <w:uiPriority w:val="99"/>
    <w:pPr>
      <w:ind w:firstLine="420" w:firstLineChars="200"/>
    </w:pPr>
  </w:style>
  <w:style w:type="paragraph" w:customStyle="1" w:styleId="205">
    <w:name w:val="Normal_0"/>
    <w:autoRedefine/>
    <w:qFormat/>
    <w:uiPriority w:val="0"/>
    <w:rPr>
      <w:rFonts w:ascii="Times New Roman" w:hAnsi="Times New Roman" w:eastAsia="Times New Roman" w:cs="Times New Roman"/>
      <w:sz w:val="24"/>
      <w:szCs w:val="24"/>
      <w:lang w:bidi="ar-SA"/>
    </w:rPr>
  </w:style>
  <w:style w:type="paragraph" w:customStyle="1" w:styleId="206">
    <w:name w:val="正文_1_0_1"/>
    <w:basedOn w:val="207"/>
    <w:autoRedefine/>
    <w:qFormat/>
    <w:uiPriority w:val="0"/>
    <w:rPr>
      <w:rFonts w:ascii="Calibri" w:hAnsi="Calibri" w:cs="Calibri"/>
      <w:szCs w:val="21"/>
    </w:rPr>
  </w:style>
  <w:style w:type="paragraph" w:customStyle="1" w:styleId="207">
    <w:name w:val="正文_4"/>
    <w:basedOn w:val="208"/>
    <w:autoRedefine/>
    <w:qFormat/>
    <w:uiPriority w:val="0"/>
    <w:rPr>
      <w:rFonts w:ascii="Calibri" w:hAnsi="Calibri"/>
    </w:rPr>
  </w:style>
  <w:style w:type="paragraph" w:customStyle="1" w:styleId="208">
    <w:name w:val="正文_3_0"/>
    <w:basedOn w:val="199"/>
    <w:autoRedefine/>
    <w:qFormat/>
    <w:uiPriority w:val="0"/>
    <w:rPr>
      <w:rFonts w:cs="Calibri"/>
      <w:szCs w:val="21"/>
    </w:rPr>
  </w:style>
  <w:style w:type="paragraph" w:customStyle="1" w:styleId="209">
    <w:name w:val="No Spacing"/>
    <w:basedOn w:val="1"/>
    <w:autoRedefine/>
    <w:qFormat/>
    <w:uiPriority w:val="0"/>
    <w:pPr>
      <w:widowControl/>
      <w:spacing w:before="50" w:after="50"/>
      <w:jc w:val="left"/>
    </w:pPr>
    <w:rPr>
      <w:szCs w:val="32"/>
    </w:rPr>
  </w:style>
  <w:style w:type="paragraph" w:customStyle="1" w:styleId="21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正文_8"/>
    <w:basedOn w:val="212"/>
    <w:autoRedefine/>
    <w:qFormat/>
    <w:uiPriority w:val="0"/>
    <w:rPr>
      <w:rFonts w:ascii="Times New Roman" w:hAnsi="Times New Roman" w:eastAsia="宋体"/>
      <w:szCs w:val="21"/>
    </w:rPr>
  </w:style>
  <w:style w:type="paragraph" w:customStyle="1" w:styleId="212">
    <w:name w:val="正文_4_0"/>
    <w:basedOn w:val="213"/>
    <w:autoRedefine/>
    <w:qFormat/>
    <w:uiPriority w:val="0"/>
    <w:pPr>
      <w:widowControl w:val="0"/>
      <w:jc w:val="both"/>
    </w:pPr>
    <w:rPr>
      <w:rFonts w:ascii="Calibri" w:hAnsi="Calibri"/>
      <w:kern w:val="2"/>
      <w:sz w:val="21"/>
      <w:szCs w:val="22"/>
      <w:lang w:val="en-US" w:eastAsia="zh-CN" w:bidi="ar-SA"/>
    </w:rPr>
  </w:style>
  <w:style w:type="paragraph" w:customStyle="1" w:styleId="213">
    <w:name w:val="正文_3_0_0"/>
    <w:basedOn w:val="208"/>
    <w:autoRedefine/>
    <w:qFormat/>
    <w:uiPriority w:val="0"/>
    <w:rPr>
      <w:rFonts w:cs="Calibri"/>
      <w:szCs w:val="21"/>
    </w:rPr>
  </w:style>
  <w:style w:type="paragraph" w:customStyle="1" w:styleId="214">
    <w:name w:val="正文_13_0"/>
    <w:next w:val="2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正文文本_2_0"/>
    <w:basedOn w:val="214"/>
    <w:autoRedefine/>
    <w:qFormat/>
    <w:uiPriority w:val="0"/>
    <w:pPr>
      <w:spacing w:after="120"/>
    </w:pPr>
  </w:style>
  <w:style w:type="paragraph" w:customStyle="1" w:styleId="216">
    <w:name w:val="浅色网格 - 强调文字颜色 31"/>
    <w:basedOn w:val="1"/>
    <w:autoRedefine/>
    <w:qFormat/>
    <w:uiPriority w:val="34"/>
    <w:pPr>
      <w:ind w:firstLine="420" w:firstLineChars="200"/>
    </w:pPr>
    <w:rPr>
      <w:rFonts w:ascii="Calibri" w:hAnsi="Calibri"/>
    </w:rPr>
  </w:style>
  <w:style w:type="paragraph" w:customStyle="1" w:styleId="217">
    <w:name w:val="2 heading"/>
    <w:basedOn w:val="1"/>
    <w:autoRedefine/>
    <w:qFormat/>
    <w:uiPriority w:val="0"/>
    <w:pPr>
      <w:numPr>
        <w:ilvl w:val="0"/>
        <w:numId w:val="2"/>
      </w:numPr>
      <w:ind w:left="360"/>
    </w:pPr>
    <w:rPr>
      <w:rFonts w:cs="Tahoma"/>
      <w:b/>
      <w:szCs w:val="21"/>
    </w:rPr>
  </w:style>
  <w:style w:type="paragraph" w:customStyle="1" w:styleId="218">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9">
    <w:name w:val="Body text|2"/>
    <w:basedOn w:val="1"/>
    <w:autoRedefine/>
    <w:qFormat/>
    <w:uiPriority w:val="0"/>
    <w:pPr>
      <w:widowControl w:val="0"/>
      <w:shd w:val="clear" w:color="auto" w:fill="auto"/>
      <w:spacing w:after="520"/>
    </w:pPr>
    <w:rPr>
      <w:rFonts w:ascii="MingLiU" w:hAnsi="MingLiU" w:eastAsia="MingLiU" w:cs="MingLiU"/>
      <w:color w:val="00005D"/>
      <w:sz w:val="28"/>
      <w:szCs w:val="28"/>
      <w:u w:val="none"/>
      <w:shd w:val="clear" w:color="auto" w:fill="auto"/>
      <w:lang w:val="zh-TW" w:eastAsia="zh-TW" w:bidi="zh-TW"/>
    </w:rPr>
  </w:style>
  <w:style w:type="paragraph" w:customStyle="1" w:styleId="220">
    <w:name w:val="列出段落1"/>
    <w:basedOn w:val="1"/>
    <w:autoRedefine/>
    <w:qFormat/>
    <w:uiPriority w:val="34"/>
    <w:pPr>
      <w:ind w:firstLine="420" w:firstLineChars="200"/>
    </w:pPr>
    <w:rPr>
      <w:rFonts w:ascii="Calibri" w:hAnsi="Calibri" w:cs="Calibri"/>
      <w:szCs w:val="21"/>
    </w:rPr>
  </w:style>
  <w:style w:type="paragraph" w:customStyle="1" w:styleId="221">
    <w:name w:val="列表段落1"/>
    <w:basedOn w:val="1"/>
    <w:autoRedefine/>
    <w:qFormat/>
    <w:uiPriority w:val="0"/>
    <w:pPr>
      <w:spacing w:line="360" w:lineRule="auto"/>
      <w:ind w:firstLine="420"/>
    </w:pPr>
    <w:rPr>
      <w:color w:val="000000"/>
      <w:sz w:val="24"/>
      <w:szCs w:val="21"/>
    </w:rPr>
  </w:style>
  <w:style w:type="paragraph" w:customStyle="1" w:styleId="222">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223">
    <w:name w:val="CharAttribute0"/>
    <w:autoRedefine/>
    <w:qFormat/>
    <w:uiPriority w:val="0"/>
    <w:rPr>
      <w:rFonts w:ascii="Times New Roman" w:eastAsia="宋体"/>
      <w:sz w:val="21"/>
    </w:rPr>
  </w:style>
  <w:style w:type="character" w:customStyle="1" w:styleId="224">
    <w:name w:val="font51"/>
    <w:basedOn w:val="24"/>
    <w:autoRedefine/>
    <w:qFormat/>
    <w:uiPriority w:val="0"/>
    <w:rPr>
      <w:rFonts w:hint="eastAsia" w:ascii="宋体" w:hAnsi="宋体" w:eastAsia="宋体" w:cs="宋体"/>
      <w:color w:val="000000"/>
      <w:sz w:val="24"/>
      <w:szCs w:val="24"/>
      <w:u w:val="none"/>
    </w:rPr>
  </w:style>
  <w:style w:type="character" w:customStyle="1" w:styleId="225">
    <w:name w:val="font41"/>
    <w:basedOn w:val="24"/>
    <w:autoRedefine/>
    <w:qFormat/>
    <w:uiPriority w:val="0"/>
    <w:rPr>
      <w:rFonts w:hint="default" w:ascii="Times New Roman" w:hAnsi="Times New Roman" w:cs="Times New Roman"/>
      <w:color w:val="000000"/>
      <w:sz w:val="24"/>
      <w:szCs w:val="24"/>
      <w:u w:val="none"/>
    </w:rPr>
  </w:style>
  <w:style w:type="character" w:customStyle="1" w:styleId="226">
    <w:name w:val="font31"/>
    <w:basedOn w:val="24"/>
    <w:autoRedefine/>
    <w:qFormat/>
    <w:uiPriority w:val="0"/>
    <w:rPr>
      <w:rFonts w:hint="eastAsia" w:ascii="宋体" w:hAnsi="宋体" w:eastAsia="宋体" w:cs="宋体"/>
      <w:b/>
      <w:bCs/>
      <w:color w:val="000000"/>
      <w:sz w:val="22"/>
      <w:szCs w:val="22"/>
      <w:u w:val="none"/>
    </w:rPr>
  </w:style>
  <w:style w:type="character" w:customStyle="1" w:styleId="227">
    <w:name w:val="font91"/>
    <w:basedOn w:val="24"/>
    <w:autoRedefine/>
    <w:qFormat/>
    <w:uiPriority w:val="0"/>
    <w:rPr>
      <w:rFonts w:hint="eastAsia" w:ascii="宋体" w:hAnsi="宋体" w:eastAsia="宋体" w:cs="宋体"/>
      <w:b/>
      <w:bCs/>
      <w:color w:val="000000"/>
      <w:sz w:val="22"/>
      <w:szCs w:val="22"/>
      <w:u w:val="none"/>
    </w:rPr>
  </w:style>
  <w:style w:type="character" w:customStyle="1" w:styleId="228">
    <w:name w:val="font81"/>
    <w:basedOn w:val="24"/>
    <w:autoRedefine/>
    <w:qFormat/>
    <w:uiPriority w:val="0"/>
    <w:rPr>
      <w:rFonts w:hint="default" w:ascii="Times New Roman" w:hAnsi="Times New Roman" w:cs="Times New Roman"/>
      <w:color w:val="000000"/>
      <w:sz w:val="22"/>
      <w:szCs w:val="22"/>
      <w:u w:val="none"/>
    </w:rPr>
  </w:style>
  <w:style w:type="character" w:customStyle="1" w:styleId="229">
    <w:name w:val="font101"/>
    <w:basedOn w:val="24"/>
    <w:autoRedefine/>
    <w:qFormat/>
    <w:uiPriority w:val="0"/>
    <w:rPr>
      <w:rFonts w:hint="eastAsia" w:ascii="宋体" w:hAnsi="宋体" w:eastAsia="宋体" w:cs="宋体"/>
      <w:color w:val="000000"/>
      <w:sz w:val="22"/>
      <w:szCs w:val="22"/>
      <w:u w:val="none"/>
    </w:rPr>
  </w:style>
  <w:style w:type="character" w:customStyle="1" w:styleId="230">
    <w:name w:val="font21"/>
    <w:basedOn w:val="24"/>
    <w:autoRedefine/>
    <w:qFormat/>
    <w:uiPriority w:val="0"/>
    <w:rPr>
      <w:rFonts w:hint="default" w:ascii="Times New Roman" w:hAnsi="Times New Roman" w:cs="Times New Roman"/>
      <w:color w:val="000000"/>
      <w:sz w:val="22"/>
      <w:szCs w:val="22"/>
      <w:u w:val="none"/>
    </w:rPr>
  </w:style>
  <w:style w:type="paragraph" w:customStyle="1" w:styleId="231">
    <w:name w:val="Table Paragraph"/>
    <w:basedOn w:val="1"/>
    <w:autoRedefine/>
    <w:qFormat/>
    <w:uiPriority w:val="1"/>
    <w:pPr>
      <w:spacing w:before="135"/>
      <w:ind w:left="112"/>
    </w:pPr>
  </w:style>
  <w:style w:type="paragraph" w:customStyle="1" w:styleId="232">
    <w:name w:val="TOAHeading"/>
    <w:basedOn w:val="1"/>
    <w:next w:val="1"/>
    <w:autoRedefine/>
    <w:qFormat/>
    <w:uiPriority w:val="0"/>
    <w:pPr>
      <w:spacing w:before="120"/>
      <w:jc w:val="both"/>
      <w:textAlignment w:val="baseline"/>
    </w:pPr>
    <w:rPr>
      <w:rFonts w:ascii="Arial" w:hAnsi="Arial" w:eastAsia="仿宋"/>
      <w:kern w:val="2"/>
      <w:sz w:val="24"/>
      <w:szCs w:val="20"/>
      <w:lang w:val="en-US" w:eastAsia="zh-CN" w:bidi="ar-SA"/>
    </w:rPr>
  </w:style>
  <w:style w:type="paragraph" w:customStyle="1" w:styleId="233">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34">
    <w:name w:val="_Style 1"/>
    <w:basedOn w:val="1"/>
    <w:autoRedefine/>
    <w:qFormat/>
    <w:uiPriority w:val="34"/>
    <w:pPr>
      <w:ind w:firstLine="420" w:firstLineChars="200"/>
    </w:pPr>
  </w:style>
  <w:style w:type="character" w:customStyle="1" w:styleId="235">
    <w:name w:val="font11"/>
    <w:basedOn w:val="24"/>
    <w:autoRedefine/>
    <w:qFormat/>
    <w:uiPriority w:val="0"/>
    <w:rPr>
      <w:rFonts w:hint="eastAsia" w:ascii="宋体" w:hAnsi="宋体" w:eastAsia="宋体" w:cs="宋体"/>
      <w:color w:val="000000"/>
      <w:sz w:val="22"/>
      <w:szCs w:val="22"/>
      <w:u w:val="none"/>
    </w:rPr>
  </w:style>
  <w:style w:type="character" w:customStyle="1" w:styleId="236">
    <w:name w:val="font01"/>
    <w:basedOn w:val="24"/>
    <w:autoRedefine/>
    <w:qFormat/>
    <w:uiPriority w:val="0"/>
    <w:rPr>
      <w:rFonts w:hint="eastAsia" w:ascii="宋体" w:hAnsi="宋体" w:eastAsia="宋体" w:cs="宋体"/>
      <w:color w:val="000000"/>
      <w:sz w:val="22"/>
      <w:szCs w:val="22"/>
      <w:u w:val="none"/>
    </w:rPr>
  </w:style>
  <w:style w:type="paragraph" w:customStyle="1" w:styleId="23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38">
    <w:name w:val="索引 11"/>
    <w:basedOn w:val="1"/>
    <w:next w:val="1"/>
    <w:autoRedefine/>
    <w:qFormat/>
    <w:uiPriority w:val="0"/>
    <w:pPr>
      <w:spacing w:line="360" w:lineRule="auto"/>
    </w:pPr>
    <w:rPr>
      <w:rFonts w:ascii="仿宋_GB2312" w:eastAsia="仿宋_GB2312"/>
      <w:sz w:val="24"/>
      <w:szCs w:val="20"/>
    </w:rPr>
  </w:style>
  <w:style w:type="paragraph" w:customStyle="1" w:styleId="239">
    <w:name w:val="纯文本1"/>
    <w:basedOn w:val="1"/>
    <w:autoRedefine/>
    <w:qFormat/>
    <w:uiPriority w:val="0"/>
    <w:rPr>
      <w:rFonts w:ascii="宋体" w:hAnsi="Courier New"/>
      <w:kern w:val="0"/>
      <w:sz w:val="20"/>
      <w:szCs w:val="20"/>
    </w:rPr>
  </w:style>
  <w:style w:type="paragraph" w:customStyle="1" w:styleId="240">
    <w:name w:val="Body text|1"/>
    <w:basedOn w:val="1"/>
    <w:autoRedefine/>
    <w:qFormat/>
    <w:uiPriority w:val="0"/>
    <w:pPr>
      <w:spacing w:line="413" w:lineRule="auto"/>
      <w:ind w:firstLine="310"/>
    </w:pPr>
    <w:rPr>
      <w:rFonts w:ascii="宋体" w:hAnsi="宋体" w:eastAsia="宋体" w:cs="宋体"/>
      <w:lang w:val="zh-TW" w:eastAsia="zh-TW" w:bidi="zh-TW"/>
    </w:rPr>
  </w:style>
  <w:style w:type="character" w:customStyle="1" w:styleId="241">
    <w:name w:val="纯文本 Char1"/>
    <w:autoRedefine/>
    <w:qFormat/>
    <w:locked/>
    <w:uiPriority w:val="0"/>
    <w:rPr>
      <w:rFonts w:ascii="宋体" w:hAnsi="Courier New" w:eastAsia="宋体"/>
      <w:kern w:val="2"/>
      <w:sz w:val="21"/>
      <w:lang w:val="en-US" w:eastAsia="zh-CN"/>
    </w:rPr>
  </w:style>
  <w:style w:type="paragraph" w:customStyle="1" w:styleId="242">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243">
    <w:name w:val="Heading #1|1"/>
    <w:basedOn w:val="1"/>
    <w:autoRedefine/>
    <w:qFormat/>
    <w:uiPriority w:val="0"/>
    <w:pPr>
      <w:outlineLvl w:val="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16784</Words>
  <Characters>18117</Characters>
  <TotalTime>21</TotalTime>
  <ScaleCrop>false</ScaleCrop>
  <LinksUpToDate>false</LinksUpToDate>
  <CharactersWithSpaces>18281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2021-08-04T04:05:00Z</dcterms:created>
  <dc:creator>Administrator</dc:creator>
  <cp:lastModifiedBy>马琴琴琴琴琴</cp:lastModifiedBy>
  <cp:lastPrinted>2021-12-13T05:02:00Z</cp:lastPrinted>
  <dcterms:modified xsi:type="dcterms:W3CDTF">2025-01-16T05:47:31Z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6B5F8E433B4143B788078172E5887677_13</vt:lpwstr>
  </property>
  <property fmtid="{D5CDD505-2E9C-101B-9397-08002B2CF9AE}" pid="4" name="KSOTemplateDocerSaveRecord">
    <vt:lpwstr>eyJoZGlkIjoiNGIyNjIzOTAxZWMyN2Y5YzVhNGJlODQ3YjIwZjk2YmYiLCJ1c2VySWQiOiIyNDIzOTU1MjAifQ==</vt:lpwstr>
  </property>
</Properties>
</file>