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EFEDDB">
      <w:pPr>
        <w:rPr>
          <w:rFonts w:hint="eastAsia" w:ascii="宋体" w:hAnsi="宋体" w:cs="宋体"/>
          <w:b/>
          <w:sz w:val="36"/>
          <w:szCs w:val="36"/>
          <w:highlight w:val="none"/>
        </w:rPr>
      </w:pPr>
    </w:p>
    <w:p w14:paraId="0DF2F16A">
      <w:pPr>
        <w:pStyle w:val="10"/>
        <w:ind w:firstLine="0"/>
        <w:rPr>
          <w:rFonts w:hint="eastAsia" w:ascii="宋体" w:hAnsi="宋体" w:cs="宋体"/>
          <w:b/>
          <w:sz w:val="56"/>
          <w:szCs w:val="56"/>
          <w:highlight w:val="none"/>
        </w:rPr>
      </w:pPr>
    </w:p>
    <w:p w14:paraId="6991FDE4">
      <w:pPr>
        <w:spacing w:line="360" w:lineRule="auto"/>
        <w:jc w:val="center"/>
        <w:rPr>
          <w:rFonts w:hint="eastAsia" w:ascii="宋体" w:hAnsi="宋体" w:cs="宋体"/>
          <w:b/>
          <w:sz w:val="52"/>
          <w:szCs w:val="52"/>
          <w:highlight w:val="none"/>
          <w:lang w:eastAsia="zh-CN"/>
        </w:rPr>
      </w:pPr>
      <w:r>
        <w:rPr>
          <w:rFonts w:hint="eastAsia" w:ascii="宋体" w:hAnsi="宋体" w:cs="宋体"/>
          <w:b/>
          <w:sz w:val="52"/>
          <w:szCs w:val="52"/>
          <w:highlight w:val="none"/>
          <w:lang w:eastAsia="zh-CN"/>
        </w:rPr>
        <w:t>塔城市2024年度国土变更调查项目</w:t>
      </w:r>
    </w:p>
    <w:p w14:paraId="2902ACB3">
      <w:pPr>
        <w:jc w:val="both"/>
        <w:rPr>
          <w:rFonts w:hint="eastAsia" w:ascii="宋体" w:hAnsi="宋体" w:eastAsia="宋体" w:cs="宋体"/>
          <w:b/>
          <w:sz w:val="56"/>
          <w:szCs w:val="56"/>
          <w:highlight w:val="none"/>
          <w:lang w:eastAsia="zh-CN"/>
        </w:rPr>
      </w:pPr>
    </w:p>
    <w:p w14:paraId="58F7A551">
      <w:pPr>
        <w:jc w:val="center"/>
        <w:rPr>
          <w:rFonts w:hint="eastAsia" w:ascii="宋体" w:hAnsi="宋体" w:cs="宋体"/>
          <w:b/>
          <w:sz w:val="36"/>
          <w:highlight w:val="none"/>
        </w:rPr>
      </w:pPr>
    </w:p>
    <w:p w14:paraId="5C8ABBE3">
      <w:pPr>
        <w:pStyle w:val="10"/>
        <w:rPr>
          <w:rFonts w:hint="eastAsia"/>
          <w:highlight w:val="none"/>
        </w:rPr>
      </w:pPr>
    </w:p>
    <w:p w14:paraId="7E6F461D">
      <w:pPr>
        <w:pStyle w:val="10"/>
        <w:spacing w:line="480" w:lineRule="auto"/>
        <w:jc w:val="center"/>
        <w:rPr>
          <w:rFonts w:hint="eastAsia" w:ascii="宋体" w:hAnsi="宋体" w:cs="宋体"/>
          <w:b/>
          <w:bCs/>
          <w:sz w:val="48"/>
          <w:szCs w:val="48"/>
          <w:highlight w:val="none"/>
        </w:rPr>
      </w:pPr>
      <w:r>
        <w:rPr>
          <w:rFonts w:hint="eastAsia" w:ascii="宋体" w:hAnsi="宋体" w:cs="宋体"/>
          <w:b/>
          <w:bCs/>
          <w:sz w:val="48"/>
          <w:szCs w:val="48"/>
          <w:highlight w:val="none"/>
        </w:rPr>
        <w:t>竞争性磋商文件</w:t>
      </w:r>
    </w:p>
    <w:p w14:paraId="6DCF4115">
      <w:pPr>
        <w:snapToGrid w:val="0"/>
        <w:spacing w:line="480" w:lineRule="auto"/>
        <w:jc w:val="center"/>
        <w:rPr>
          <w:rFonts w:hint="eastAsia" w:ascii="宋体" w:hAnsi="宋体" w:cs="宋体"/>
          <w:b/>
          <w:sz w:val="30"/>
          <w:szCs w:val="30"/>
          <w:highlight w:val="none"/>
        </w:rPr>
      </w:pPr>
    </w:p>
    <w:p w14:paraId="6B11DBF7">
      <w:pPr>
        <w:snapToGrid w:val="0"/>
        <w:spacing w:line="480" w:lineRule="auto"/>
        <w:jc w:val="center"/>
        <w:rPr>
          <w:rFonts w:hint="eastAsia" w:ascii="宋体" w:hAnsi="宋体" w:cs="宋体"/>
          <w:b/>
          <w:bCs/>
          <w:sz w:val="32"/>
          <w:szCs w:val="32"/>
          <w:highlight w:val="none"/>
        </w:rPr>
      </w:pPr>
      <w:r>
        <w:rPr>
          <w:rFonts w:hint="eastAsia" w:ascii="宋体" w:hAnsi="宋体" w:cs="宋体"/>
          <w:b/>
          <w:sz w:val="30"/>
          <w:szCs w:val="30"/>
          <w:highlight w:val="none"/>
        </w:rPr>
        <w:t>（文件编号：</w:t>
      </w:r>
      <w:r>
        <w:rPr>
          <w:rFonts w:hint="eastAsia" w:ascii="宋体" w:hAnsi="宋体" w:cs="宋体"/>
          <w:b/>
          <w:sz w:val="30"/>
          <w:szCs w:val="30"/>
          <w:highlight w:val="none"/>
          <w:lang w:val="en-US" w:eastAsia="zh-CN"/>
        </w:rPr>
        <w:t>XZZB-FW-2025008</w:t>
      </w:r>
      <w:r>
        <w:rPr>
          <w:rFonts w:hint="eastAsia" w:ascii="宋体" w:hAnsi="宋体" w:cs="宋体"/>
          <w:b/>
          <w:sz w:val="30"/>
          <w:szCs w:val="30"/>
          <w:highlight w:val="none"/>
        </w:rPr>
        <w:t>）</w:t>
      </w:r>
    </w:p>
    <w:p w14:paraId="5F47D821">
      <w:pPr>
        <w:pStyle w:val="8"/>
        <w:rPr>
          <w:rFonts w:hint="eastAsia" w:ascii="宋体" w:hAnsi="宋体" w:cs="宋体"/>
          <w:highlight w:val="none"/>
        </w:rPr>
      </w:pPr>
    </w:p>
    <w:p w14:paraId="7C8FF026">
      <w:pPr>
        <w:rPr>
          <w:rFonts w:hint="eastAsia" w:ascii="宋体" w:hAnsi="宋体" w:cs="宋体"/>
          <w:b/>
          <w:sz w:val="28"/>
          <w:szCs w:val="24"/>
          <w:highlight w:val="none"/>
        </w:rPr>
      </w:pPr>
    </w:p>
    <w:p w14:paraId="570ECFC0">
      <w:pPr>
        <w:pStyle w:val="15"/>
        <w:spacing w:line="300" w:lineRule="auto"/>
        <w:jc w:val="both"/>
        <w:rPr>
          <w:rFonts w:hint="eastAsia" w:ascii="宋体" w:hAnsi="宋体" w:cs="宋体"/>
          <w:sz w:val="33"/>
          <w:highlight w:val="none"/>
        </w:rPr>
      </w:pPr>
      <w:r>
        <w:rPr>
          <w:rFonts w:hint="eastAsia" w:ascii="宋体" w:hAnsi="宋体" w:cs="宋体"/>
          <w:sz w:val="48"/>
          <w:szCs w:val="48"/>
          <w:highlight w:val="none"/>
          <w:lang w:val="en-US" w:eastAsia="zh-CN"/>
        </w:rPr>
        <w:t xml:space="preserve"> </w:t>
      </w:r>
    </w:p>
    <w:p w14:paraId="61D6591B">
      <w:pPr>
        <w:overflowPunct w:val="0"/>
        <w:spacing w:line="500" w:lineRule="exact"/>
        <w:ind w:firstLine="301" w:firstLineChars="100"/>
        <w:rPr>
          <w:rFonts w:hint="eastAsia" w:ascii="宋体" w:hAnsi="宋体" w:cs="宋体"/>
          <w:b/>
          <w:sz w:val="30"/>
          <w:szCs w:val="30"/>
          <w:highlight w:val="none"/>
        </w:rPr>
      </w:pPr>
    </w:p>
    <w:p w14:paraId="77ECF643">
      <w:pPr>
        <w:pStyle w:val="2"/>
        <w:rPr>
          <w:rFonts w:hint="eastAsia" w:ascii="宋体" w:hAnsi="宋体" w:cs="宋体"/>
          <w:b/>
          <w:sz w:val="30"/>
          <w:szCs w:val="30"/>
          <w:highlight w:val="none"/>
        </w:rPr>
      </w:pPr>
    </w:p>
    <w:p w14:paraId="66BC4A66">
      <w:pPr>
        <w:pStyle w:val="2"/>
        <w:rPr>
          <w:rFonts w:hint="eastAsia" w:ascii="宋体" w:hAnsi="宋体" w:cs="宋体"/>
          <w:b/>
          <w:sz w:val="30"/>
          <w:szCs w:val="30"/>
          <w:highlight w:val="none"/>
        </w:rPr>
      </w:pPr>
    </w:p>
    <w:p w14:paraId="39FF09F5">
      <w:pPr>
        <w:overflowPunct w:val="0"/>
        <w:spacing w:line="500" w:lineRule="exact"/>
        <w:rPr>
          <w:rFonts w:hint="eastAsia" w:ascii="宋体" w:hAnsi="宋体" w:eastAsia="宋体" w:cs="宋体"/>
          <w:b/>
          <w:sz w:val="32"/>
          <w:szCs w:val="32"/>
          <w:highlight w:val="none"/>
          <w:lang w:eastAsia="zh-CN"/>
        </w:rPr>
      </w:pPr>
      <w:r>
        <w:rPr>
          <w:rFonts w:hint="eastAsia" w:ascii="宋体" w:hAnsi="宋体" w:cs="宋体"/>
          <w:b/>
          <w:sz w:val="32"/>
          <w:szCs w:val="32"/>
          <w:highlight w:val="none"/>
        </w:rPr>
        <w:t>采购人：</w:t>
      </w:r>
      <w:r>
        <w:rPr>
          <w:rFonts w:hint="eastAsia" w:ascii="宋体" w:hAnsi="宋体" w:cs="宋体"/>
          <w:b/>
          <w:sz w:val="32"/>
          <w:szCs w:val="32"/>
          <w:highlight w:val="none"/>
          <w:lang w:eastAsia="zh-CN"/>
        </w:rPr>
        <w:t>塔城市自然资源局</w:t>
      </w:r>
    </w:p>
    <w:p w14:paraId="53BE063D">
      <w:pPr>
        <w:spacing w:line="600" w:lineRule="auto"/>
        <w:rPr>
          <w:rFonts w:hint="eastAsia" w:ascii="宋体" w:hAnsi="宋体" w:cs="宋体"/>
          <w:b/>
          <w:sz w:val="32"/>
          <w:szCs w:val="32"/>
          <w:highlight w:val="none"/>
        </w:rPr>
      </w:pPr>
    </w:p>
    <w:p w14:paraId="4A94FE99">
      <w:pPr>
        <w:spacing w:line="600" w:lineRule="auto"/>
        <w:rPr>
          <w:rFonts w:hint="eastAsia" w:ascii="宋体" w:hAnsi="宋体" w:eastAsia="宋体" w:cs="宋体"/>
          <w:b/>
          <w:bCs/>
          <w:sz w:val="32"/>
          <w:szCs w:val="32"/>
          <w:highlight w:val="none"/>
          <w:lang w:eastAsia="zh-CN"/>
        </w:rPr>
      </w:pPr>
      <w:r>
        <w:rPr>
          <w:rFonts w:hint="eastAsia" w:ascii="宋体" w:hAnsi="宋体" w:cs="宋体"/>
          <w:b/>
          <w:sz w:val="32"/>
          <w:szCs w:val="32"/>
          <w:highlight w:val="none"/>
        </w:rPr>
        <w:t>采购代理机构：</w:t>
      </w:r>
      <w:r>
        <w:rPr>
          <w:rFonts w:hint="eastAsia" w:ascii="宋体" w:hAnsi="宋体" w:cs="宋体"/>
          <w:b/>
          <w:bCs/>
          <w:sz w:val="32"/>
          <w:szCs w:val="32"/>
          <w:highlight w:val="none"/>
          <w:lang w:eastAsia="zh-CN"/>
        </w:rPr>
        <w:t>新疆新咨工程咨询有限公司</w:t>
      </w:r>
    </w:p>
    <w:p w14:paraId="64794521">
      <w:pPr>
        <w:spacing w:line="360" w:lineRule="auto"/>
        <w:rPr>
          <w:rFonts w:hint="eastAsia" w:ascii="宋体" w:hAnsi="宋体" w:cs="宋体"/>
          <w:b/>
          <w:sz w:val="36"/>
          <w:szCs w:val="21"/>
          <w:highlight w:val="none"/>
        </w:rPr>
      </w:pPr>
    </w:p>
    <w:p w14:paraId="13248820">
      <w:pPr>
        <w:pStyle w:val="2"/>
        <w:rPr>
          <w:rFonts w:hint="eastAsia"/>
        </w:rPr>
      </w:pPr>
    </w:p>
    <w:p w14:paraId="74C483C7">
      <w:pPr>
        <w:spacing w:line="360" w:lineRule="auto"/>
        <w:jc w:val="right"/>
        <w:rPr>
          <w:rFonts w:hint="eastAsia" w:ascii="宋体" w:hAnsi="宋体" w:cs="宋体"/>
          <w:b/>
          <w:bCs/>
          <w:color w:val="FF0000"/>
          <w:sz w:val="32"/>
          <w:szCs w:val="32"/>
          <w:highlight w:val="none"/>
        </w:rPr>
      </w:pPr>
      <w:r>
        <w:rPr>
          <w:rFonts w:hint="eastAsia" w:ascii="宋体" w:hAnsi="宋体" w:cs="宋体"/>
          <w:b/>
          <w:sz w:val="36"/>
          <w:szCs w:val="21"/>
          <w:highlight w:val="none"/>
        </w:rPr>
        <w:t xml:space="preserve"> </w:t>
      </w:r>
      <w:r>
        <w:rPr>
          <w:rFonts w:hint="eastAsia" w:ascii="宋体" w:hAnsi="宋体" w:cs="宋体"/>
          <w:b/>
          <w:sz w:val="32"/>
          <w:szCs w:val="32"/>
          <w:highlight w:val="none"/>
        </w:rPr>
        <w:t>20</w:t>
      </w:r>
      <w:r>
        <w:rPr>
          <w:rFonts w:hint="eastAsia" w:ascii="宋体" w:hAnsi="宋体" w:cs="宋体"/>
          <w:b/>
          <w:sz w:val="32"/>
          <w:szCs w:val="32"/>
          <w:highlight w:val="none"/>
          <w:lang w:val="en-US" w:eastAsia="zh-CN"/>
        </w:rPr>
        <w:t>25</w:t>
      </w:r>
      <w:r>
        <w:rPr>
          <w:rFonts w:hint="eastAsia" w:ascii="宋体" w:hAnsi="宋体" w:cs="宋体"/>
          <w:b/>
          <w:sz w:val="32"/>
          <w:szCs w:val="32"/>
          <w:highlight w:val="none"/>
        </w:rPr>
        <w:t>年</w:t>
      </w:r>
      <w:r>
        <w:rPr>
          <w:rFonts w:hint="eastAsia" w:ascii="宋体" w:hAnsi="宋体" w:cs="宋体"/>
          <w:b/>
          <w:sz w:val="32"/>
          <w:szCs w:val="32"/>
          <w:highlight w:val="none"/>
          <w:lang w:val="en-US" w:eastAsia="zh-CN"/>
        </w:rPr>
        <w:t>04</w:t>
      </w:r>
      <w:r>
        <w:rPr>
          <w:rFonts w:hint="eastAsia" w:ascii="宋体" w:hAnsi="宋体" w:cs="宋体"/>
          <w:b/>
          <w:sz w:val="32"/>
          <w:szCs w:val="32"/>
          <w:highlight w:val="none"/>
        </w:rPr>
        <w:t>月</w:t>
      </w:r>
    </w:p>
    <w:p w14:paraId="6BD5CE2E">
      <w:pPr>
        <w:pStyle w:val="8"/>
        <w:rPr>
          <w:rFonts w:hint="eastAsia" w:ascii="宋体" w:hAnsi="宋体" w:cs="宋体"/>
          <w:sz w:val="28"/>
          <w:szCs w:val="28"/>
          <w:highlight w:val="none"/>
        </w:rPr>
        <w:sectPr>
          <w:headerReference r:id="rId5" w:type="first"/>
          <w:headerReference r:id="rId3" w:type="default"/>
          <w:footerReference r:id="rId6" w:type="default"/>
          <w:headerReference r:id="rId4" w:type="even"/>
          <w:footerReference r:id="rId7" w:type="even"/>
          <w:pgSz w:w="11906" w:h="16838"/>
          <w:pgMar w:top="1440" w:right="1083" w:bottom="1440" w:left="1083" w:header="850" w:footer="992" w:gutter="0"/>
          <w:pgNumType w:fmt="decimal" w:start="0"/>
          <w:cols w:space="0" w:num="1"/>
          <w:titlePg/>
          <w:rtlGutter w:val="0"/>
          <w:docGrid w:linePitch="312" w:charSpace="0"/>
        </w:sectPr>
      </w:pPr>
    </w:p>
    <w:p w14:paraId="54D2978C">
      <w:pPr>
        <w:spacing w:line="360" w:lineRule="auto"/>
        <w:jc w:val="center"/>
        <w:rPr>
          <w:rFonts w:hint="eastAsia" w:ascii="宋体" w:hAnsi="宋体" w:cs="宋体"/>
          <w:sz w:val="44"/>
          <w:szCs w:val="44"/>
          <w:highlight w:val="none"/>
        </w:rPr>
      </w:pPr>
      <w:r>
        <w:rPr>
          <w:rFonts w:hint="eastAsia" w:ascii="宋体" w:hAnsi="宋体" w:cs="宋体"/>
          <w:b/>
          <w:sz w:val="44"/>
          <w:szCs w:val="44"/>
          <w:highlight w:val="none"/>
        </w:rPr>
        <w:t>目    录</w:t>
      </w:r>
    </w:p>
    <w:p w14:paraId="308AABA6">
      <w:pPr>
        <w:pStyle w:val="17"/>
        <w:keepNext w:val="0"/>
        <w:keepLines w:val="0"/>
        <w:pageBreakBefore w:val="0"/>
        <w:widowControl w:val="0"/>
        <w:tabs>
          <w:tab w:val="right" w:leader="dot" w:pos="9740"/>
        </w:tabs>
        <w:kinsoku/>
        <w:wordWrap/>
        <w:overflowPunct/>
        <w:topLinePunct w:val="0"/>
        <w:autoSpaceDE w:val="0"/>
        <w:autoSpaceDN w:val="0"/>
        <w:bidi w:val="0"/>
        <w:adjustRightInd w:val="0"/>
        <w:snapToGrid/>
        <w:spacing w:line="1160" w:lineRule="exact"/>
        <w:textAlignment w:val="baseline"/>
        <w:rPr>
          <w:sz w:val="32"/>
          <w:szCs w:val="28"/>
        </w:rPr>
      </w:pPr>
      <w:r>
        <w:rPr>
          <w:rFonts w:hint="eastAsia" w:ascii="宋体" w:hAnsi="宋体" w:eastAsia="宋体" w:cs="宋体"/>
          <w:sz w:val="52"/>
          <w:szCs w:val="52"/>
          <w:highlight w:val="none"/>
        </w:rPr>
        <w:fldChar w:fldCharType="begin"/>
      </w:r>
      <w:r>
        <w:rPr>
          <w:rFonts w:hint="eastAsia" w:ascii="宋体" w:hAnsi="宋体" w:eastAsia="宋体" w:cs="宋体"/>
          <w:sz w:val="52"/>
          <w:szCs w:val="52"/>
          <w:highlight w:val="none"/>
        </w:rPr>
        <w:instrText xml:space="preserve">TOC \o "1-1" \h \u </w:instrText>
      </w:r>
      <w:bookmarkStart w:id="0" w:name="_Toc23865"/>
      <w:bookmarkStart w:id="1" w:name="_Toc28786"/>
      <w:bookmarkStart w:id="2" w:name="_Toc21543"/>
      <w:bookmarkStart w:id="3" w:name="_Toc20703"/>
      <w:r>
        <w:rPr>
          <w:rFonts w:hint="eastAsia" w:ascii="宋体" w:hAnsi="宋体" w:eastAsia="宋体" w:cs="宋体"/>
          <w:sz w:val="52"/>
          <w:szCs w:val="52"/>
          <w:highlight w:val="none"/>
        </w:rPr>
        <w:fldChar w:fldCharType="separate"/>
      </w:r>
      <w:r>
        <w:rPr>
          <w:rFonts w:hint="eastAsia" w:ascii="宋体" w:hAnsi="宋体" w:eastAsia="宋体" w:cs="宋体"/>
          <w:sz w:val="32"/>
          <w:szCs w:val="52"/>
          <w:highlight w:val="none"/>
        </w:rPr>
        <w:fldChar w:fldCharType="begin"/>
      </w:r>
      <w:r>
        <w:rPr>
          <w:rFonts w:hint="eastAsia" w:ascii="宋体" w:hAnsi="宋体" w:eastAsia="宋体" w:cs="宋体"/>
          <w:sz w:val="32"/>
          <w:szCs w:val="52"/>
          <w:highlight w:val="none"/>
        </w:rPr>
        <w:instrText xml:space="preserve"> HYPERLINK \l _Toc7803 </w:instrText>
      </w:r>
      <w:r>
        <w:rPr>
          <w:rFonts w:hint="eastAsia" w:ascii="宋体" w:hAnsi="宋体" w:eastAsia="宋体" w:cs="宋体"/>
          <w:sz w:val="32"/>
          <w:szCs w:val="52"/>
          <w:highlight w:val="none"/>
        </w:rPr>
        <w:fldChar w:fldCharType="separate"/>
      </w:r>
      <w:r>
        <w:rPr>
          <w:rFonts w:hint="eastAsia"/>
          <w:sz w:val="32"/>
          <w:szCs w:val="28"/>
          <w:highlight w:val="none"/>
        </w:rPr>
        <w:t>第一章、竞争性磋商采购公告</w:t>
      </w:r>
      <w:r>
        <w:rPr>
          <w:sz w:val="32"/>
          <w:szCs w:val="28"/>
        </w:rPr>
        <w:tab/>
      </w:r>
      <w:r>
        <w:rPr>
          <w:sz w:val="32"/>
          <w:szCs w:val="28"/>
        </w:rPr>
        <w:fldChar w:fldCharType="begin"/>
      </w:r>
      <w:r>
        <w:rPr>
          <w:sz w:val="32"/>
          <w:szCs w:val="28"/>
        </w:rPr>
        <w:instrText xml:space="preserve"> PAGEREF _Toc7803 \h </w:instrText>
      </w:r>
      <w:r>
        <w:rPr>
          <w:sz w:val="32"/>
          <w:szCs w:val="28"/>
        </w:rPr>
        <w:fldChar w:fldCharType="separate"/>
      </w:r>
      <w:r>
        <w:rPr>
          <w:sz w:val="32"/>
          <w:szCs w:val="28"/>
        </w:rPr>
        <w:t>- 2 -</w:t>
      </w:r>
      <w:r>
        <w:rPr>
          <w:sz w:val="32"/>
          <w:szCs w:val="28"/>
        </w:rPr>
        <w:fldChar w:fldCharType="end"/>
      </w:r>
      <w:r>
        <w:rPr>
          <w:rFonts w:hint="eastAsia" w:ascii="宋体" w:hAnsi="宋体" w:eastAsia="宋体" w:cs="宋体"/>
          <w:sz w:val="32"/>
          <w:szCs w:val="52"/>
          <w:highlight w:val="none"/>
        </w:rPr>
        <w:fldChar w:fldCharType="end"/>
      </w:r>
    </w:p>
    <w:p w14:paraId="12D745B9">
      <w:pPr>
        <w:pStyle w:val="17"/>
        <w:keepNext w:val="0"/>
        <w:keepLines w:val="0"/>
        <w:pageBreakBefore w:val="0"/>
        <w:widowControl w:val="0"/>
        <w:tabs>
          <w:tab w:val="right" w:leader="dot" w:pos="9740"/>
        </w:tabs>
        <w:kinsoku/>
        <w:wordWrap/>
        <w:overflowPunct/>
        <w:topLinePunct w:val="0"/>
        <w:autoSpaceDE w:val="0"/>
        <w:autoSpaceDN w:val="0"/>
        <w:bidi w:val="0"/>
        <w:adjustRightInd w:val="0"/>
        <w:snapToGrid/>
        <w:spacing w:line="1160" w:lineRule="exact"/>
        <w:textAlignment w:val="baseline"/>
        <w:rPr>
          <w:sz w:val="32"/>
          <w:szCs w:val="28"/>
        </w:rPr>
      </w:pPr>
      <w:r>
        <w:rPr>
          <w:rFonts w:hint="eastAsia" w:ascii="宋体" w:hAnsi="宋体" w:eastAsia="宋体" w:cs="宋体"/>
          <w:sz w:val="32"/>
          <w:szCs w:val="52"/>
          <w:highlight w:val="none"/>
        </w:rPr>
        <w:fldChar w:fldCharType="begin"/>
      </w:r>
      <w:r>
        <w:rPr>
          <w:rFonts w:hint="eastAsia" w:ascii="宋体" w:hAnsi="宋体" w:eastAsia="宋体" w:cs="宋体"/>
          <w:sz w:val="32"/>
          <w:szCs w:val="52"/>
          <w:highlight w:val="none"/>
        </w:rPr>
        <w:instrText xml:space="preserve"> HYPERLINK \l _Toc27273 </w:instrText>
      </w:r>
      <w:r>
        <w:rPr>
          <w:rFonts w:hint="eastAsia" w:ascii="宋体" w:hAnsi="宋体" w:eastAsia="宋体" w:cs="宋体"/>
          <w:sz w:val="32"/>
          <w:szCs w:val="52"/>
          <w:highlight w:val="none"/>
        </w:rPr>
        <w:fldChar w:fldCharType="separate"/>
      </w:r>
      <w:r>
        <w:rPr>
          <w:rFonts w:hint="eastAsia" w:ascii="宋体" w:hAnsi="宋体" w:eastAsia="宋体" w:cs="宋体"/>
          <w:bCs/>
          <w:kern w:val="0"/>
          <w:sz w:val="32"/>
          <w:szCs w:val="52"/>
          <w:highlight w:val="none"/>
          <w:lang w:val="en-US" w:eastAsia="zh-CN" w:bidi="ar-SA"/>
        </w:rPr>
        <w:t>第二章、供应商须知</w:t>
      </w:r>
      <w:r>
        <w:rPr>
          <w:sz w:val="32"/>
          <w:szCs w:val="28"/>
        </w:rPr>
        <w:tab/>
      </w:r>
      <w:r>
        <w:rPr>
          <w:sz w:val="32"/>
          <w:szCs w:val="28"/>
        </w:rPr>
        <w:fldChar w:fldCharType="begin"/>
      </w:r>
      <w:r>
        <w:rPr>
          <w:sz w:val="32"/>
          <w:szCs w:val="28"/>
        </w:rPr>
        <w:instrText xml:space="preserve"> PAGEREF _Toc27273 \h </w:instrText>
      </w:r>
      <w:r>
        <w:rPr>
          <w:sz w:val="32"/>
          <w:szCs w:val="28"/>
        </w:rPr>
        <w:fldChar w:fldCharType="separate"/>
      </w:r>
      <w:r>
        <w:rPr>
          <w:sz w:val="32"/>
          <w:szCs w:val="28"/>
        </w:rPr>
        <w:t>- 5 -</w:t>
      </w:r>
      <w:r>
        <w:rPr>
          <w:sz w:val="32"/>
          <w:szCs w:val="28"/>
        </w:rPr>
        <w:fldChar w:fldCharType="end"/>
      </w:r>
      <w:r>
        <w:rPr>
          <w:rFonts w:hint="eastAsia" w:ascii="宋体" w:hAnsi="宋体" w:eastAsia="宋体" w:cs="宋体"/>
          <w:sz w:val="32"/>
          <w:szCs w:val="52"/>
          <w:highlight w:val="none"/>
        </w:rPr>
        <w:fldChar w:fldCharType="end"/>
      </w:r>
    </w:p>
    <w:p w14:paraId="07F8BEC0">
      <w:pPr>
        <w:pStyle w:val="17"/>
        <w:keepNext w:val="0"/>
        <w:keepLines w:val="0"/>
        <w:pageBreakBefore w:val="0"/>
        <w:widowControl w:val="0"/>
        <w:tabs>
          <w:tab w:val="right" w:leader="dot" w:pos="9740"/>
        </w:tabs>
        <w:kinsoku/>
        <w:wordWrap/>
        <w:overflowPunct/>
        <w:topLinePunct w:val="0"/>
        <w:autoSpaceDE w:val="0"/>
        <w:autoSpaceDN w:val="0"/>
        <w:bidi w:val="0"/>
        <w:adjustRightInd w:val="0"/>
        <w:snapToGrid/>
        <w:spacing w:line="1160" w:lineRule="exact"/>
        <w:textAlignment w:val="baseline"/>
        <w:rPr>
          <w:sz w:val="32"/>
          <w:szCs w:val="28"/>
        </w:rPr>
      </w:pPr>
      <w:r>
        <w:rPr>
          <w:rFonts w:hint="eastAsia" w:ascii="宋体" w:hAnsi="宋体" w:eastAsia="宋体" w:cs="宋体"/>
          <w:sz w:val="32"/>
          <w:szCs w:val="52"/>
          <w:highlight w:val="none"/>
        </w:rPr>
        <w:fldChar w:fldCharType="begin"/>
      </w:r>
      <w:r>
        <w:rPr>
          <w:rFonts w:hint="eastAsia" w:ascii="宋体" w:hAnsi="宋体" w:eastAsia="宋体" w:cs="宋体"/>
          <w:sz w:val="32"/>
          <w:szCs w:val="52"/>
          <w:highlight w:val="none"/>
        </w:rPr>
        <w:instrText xml:space="preserve"> HYPERLINK \l _Toc1256 </w:instrText>
      </w:r>
      <w:r>
        <w:rPr>
          <w:rFonts w:hint="eastAsia" w:ascii="宋体" w:hAnsi="宋体" w:eastAsia="宋体" w:cs="宋体"/>
          <w:sz w:val="32"/>
          <w:szCs w:val="52"/>
          <w:highlight w:val="none"/>
        </w:rPr>
        <w:fldChar w:fldCharType="separate"/>
      </w:r>
      <w:r>
        <w:rPr>
          <w:rFonts w:hint="eastAsia"/>
          <w:sz w:val="32"/>
          <w:szCs w:val="28"/>
          <w:highlight w:val="none"/>
          <w:lang w:val="en-US" w:eastAsia="zh-CN"/>
        </w:rPr>
        <w:t>第三章、项目采购需求</w:t>
      </w:r>
      <w:r>
        <w:rPr>
          <w:sz w:val="32"/>
          <w:szCs w:val="28"/>
        </w:rPr>
        <w:tab/>
      </w:r>
      <w:r>
        <w:rPr>
          <w:sz w:val="32"/>
          <w:szCs w:val="28"/>
        </w:rPr>
        <w:fldChar w:fldCharType="begin"/>
      </w:r>
      <w:r>
        <w:rPr>
          <w:sz w:val="32"/>
          <w:szCs w:val="28"/>
        </w:rPr>
        <w:instrText xml:space="preserve"> PAGEREF _Toc1256 \h </w:instrText>
      </w:r>
      <w:r>
        <w:rPr>
          <w:sz w:val="32"/>
          <w:szCs w:val="28"/>
        </w:rPr>
        <w:fldChar w:fldCharType="separate"/>
      </w:r>
      <w:r>
        <w:rPr>
          <w:sz w:val="32"/>
          <w:szCs w:val="28"/>
        </w:rPr>
        <w:t>- 24 -</w:t>
      </w:r>
      <w:r>
        <w:rPr>
          <w:sz w:val="32"/>
          <w:szCs w:val="28"/>
        </w:rPr>
        <w:fldChar w:fldCharType="end"/>
      </w:r>
      <w:r>
        <w:rPr>
          <w:rFonts w:hint="eastAsia" w:ascii="宋体" w:hAnsi="宋体" w:eastAsia="宋体" w:cs="宋体"/>
          <w:sz w:val="32"/>
          <w:szCs w:val="52"/>
          <w:highlight w:val="none"/>
        </w:rPr>
        <w:fldChar w:fldCharType="end"/>
      </w:r>
    </w:p>
    <w:p w14:paraId="559892C2">
      <w:pPr>
        <w:pStyle w:val="17"/>
        <w:keepNext w:val="0"/>
        <w:keepLines w:val="0"/>
        <w:pageBreakBefore w:val="0"/>
        <w:widowControl w:val="0"/>
        <w:tabs>
          <w:tab w:val="right" w:leader="dot" w:pos="9740"/>
        </w:tabs>
        <w:kinsoku/>
        <w:wordWrap/>
        <w:overflowPunct/>
        <w:topLinePunct w:val="0"/>
        <w:autoSpaceDE w:val="0"/>
        <w:autoSpaceDN w:val="0"/>
        <w:bidi w:val="0"/>
        <w:adjustRightInd w:val="0"/>
        <w:snapToGrid/>
        <w:spacing w:line="1160" w:lineRule="exact"/>
        <w:textAlignment w:val="baseline"/>
        <w:rPr>
          <w:sz w:val="32"/>
          <w:szCs w:val="28"/>
        </w:rPr>
      </w:pPr>
      <w:r>
        <w:rPr>
          <w:rFonts w:hint="eastAsia" w:ascii="宋体" w:hAnsi="宋体" w:eastAsia="宋体" w:cs="宋体"/>
          <w:sz w:val="32"/>
          <w:szCs w:val="52"/>
          <w:highlight w:val="none"/>
        </w:rPr>
        <w:fldChar w:fldCharType="begin"/>
      </w:r>
      <w:r>
        <w:rPr>
          <w:rFonts w:hint="eastAsia" w:ascii="宋体" w:hAnsi="宋体" w:eastAsia="宋体" w:cs="宋体"/>
          <w:sz w:val="32"/>
          <w:szCs w:val="52"/>
          <w:highlight w:val="none"/>
        </w:rPr>
        <w:instrText xml:space="preserve"> HYPERLINK \l _Toc1699 </w:instrText>
      </w:r>
      <w:r>
        <w:rPr>
          <w:rFonts w:hint="eastAsia" w:ascii="宋体" w:hAnsi="宋体" w:eastAsia="宋体" w:cs="宋体"/>
          <w:sz w:val="32"/>
          <w:szCs w:val="52"/>
          <w:highlight w:val="none"/>
        </w:rPr>
        <w:fldChar w:fldCharType="separate"/>
      </w:r>
      <w:r>
        <w:rPr>
          <w:rFonts w:hint="eastAsia"/>
          <w:sz w:val="32"/>
          <w:szCs w:val="28"/>
          <w:highlight w:val="none"/>
        </w:rPr>
        <w:t>第四章</w:t>
      </w:r>
      <w:r>
        <w:rPr>
          <w:rFonts w:hint="eastAsia"/>
          <w:sz w:val="32"/>
          <w:szCs w:val="28"/>
          <w:highlight w:val="none"/>
          <w:lang w:eastAsia="zh-CN"/>
        </w:rPr>
        <w:t>、</w:t>
      </w:r>
      <w:r>
        <w:rPr>
          <w:rFonts w:hint="eastAsia"/>
          <w:sz w:val="32"/>
          <w:szCs w:val="28"/>
          <w:highlight w:val="none"/>
        </w:rPr>
        <w:t>合同条款</w:t>
      </w:r>
      <w:r>
        <w:rPr>
          <w:sz w:val="32"/>
          <w:szCs w:val="28"/>
        </w:rPr>
        <w:tab/>
      </w:r>
      <w:r>
        <w:rPr>
          <w:sz w:val="32"/>
          <w:szCs w:val="28"/>
        </w:rPr>
        <w:fldChar w:fldCharType="begin"/>
      </w:r>
      <w:r>
        <w:rPr>
          <w:sz w:val="32"/>
          <w:szCs w:val="28"/>
        </w:rPr>
        <w:instrText xml:space="preserve"> PAGEREF _Toc1699 \h </w:instrText>
      </w:r>
      <w:r>
        <w:rPr>
          <w:sz w:val="32"/>
          <w:szCs w:val="28"/>
        </w:rPr>
        <w:fldChar w:fldCharType="separate"/>
      </w:r>
      <w:r>
        <w:rPr>
          <w:sz w:val="32"/>
          <w:szCs w:val="28"/>
        </w:rPr>
        <w:t>- 43 -</w:t>
      </w:r>
      <w:r>
        <w:rPr>
          <w:sz w:val="32"/>
          <w:szCs w:val="28"/>
        </w:rPr>
        <w:fldChar w:fldCharType="end"/>
      </w:r>
      <w:r>
        <w:rPr>
          <w:rFonts w:hint="eastAsia" w:ascii="宋体" w:hAnsi="宋体" w:eastAsia="宋体" w:cs="宋体"/>
          <w:sz w:val="32"/>
          <w:szCs w:val="52"/>
          <w:highlight w:val="none"/>
        </w:rPr>
        <w:fldChar w:fldCharType="end"/>
      </w:r>
    </w:p>
    <w:p w14:paraId="353F82A0">
      <w:pPr>
        <w:pStyle w:val="17"/>
        <w:keepNext w:val="0"/>
        <w:keepLines w:val="0"/>
        <w:pageBreakBefore w:val="0"/>
        <w:widowControl w:val="0"/>
        <w:tabs>
          <w:tab w:val="right" w:leader="dot" w:pos="9740"/>
        </w:tabs>
        <w:kinsoku/>
        <w:wordWrap/>
        <w:overflowPunct/>
        <w:topLinePunct w:val="0"/>
        <w:autoSpaceDE w:val="0"/>
        <w:autoSpaceDN w:val="0"/>
        <w:bidi w:val="0"/>
        <w:adjustRightInd w:val="0"/>
        <w:snapToGrid/>
        <w:spacing w:line="1160" w:lineRule="exact"/>
        <w:textAlignment w:val="baseline"/>
        <w:rPr>
          <w:sz w:val="32"/>
          <w:szCs w:val="28"/>
        </w:rPr>
      </w:pPr>
      <w:r>
        <w:rPr>
          <w:rFonts w:hint="eastAsia" w:ascii="宋体" w:hAnsi="宋体" w:eastAsia="宋体" w:cs="宋体"/>
          <w:sz w:val="32"/>
          <w:szCs w:val="52"/>
          <w:highlight w:val="none"/>
        </w:rPr>
        <w:fldChar w:fldCharType="begin"/>
      </w:r>
      <w:r>
        <w:rPr>
          <w:rFonts w:hint="eastAsia" w:ascii="宋体" w:hAnsi="宋体" w:eastAsia="宋体" w:cs="宋体"/>
          <w:sz w:val="32"/>
          <w:szCs w:val="52"/>
          <w:highlight w:val="none"/>
        </w:rPr>
        <w:instrText xml:space="preserve"> HYPERLINK \l _Toc27037 </w:instrText>
      </w:r>
      <w:r>
        <w:rPr>
          <w:rFonts w:hint="eastAsia" w:ascii="宋体" w:hAnsi="宋体" w:eastAsia="宋体" w:cs="宋体"/>
          <w:sz w:val="32"/>
          <w:szCs w:val="52"/>
          <w:highlight w:val="none"/>
        </w:rPr>
        <w:fldChar w:fldCharType="separate"/>
      </w:r>
      <w:r>
        <w:rPr>
          <w:rFonts w:hint="eastAsia" w:ascii="宋体" w:hAnsi="宋体" w:eastAsia="宋体" w:cs="宋体"/>
          <w:bCs/>
          <w:kern w:val="0"/>
          <w:sz w:val="32"/>
          <w:szCs w:val="52"/>
          <w:highlight w:val="none"/>
          <w:lang w:val="en-US" w:eastAsia="zh-CN" w:bidi="ar-SA"/>
        </w:rPr>
        <w:t>第五章、响应文件格式</w:t>
      </w:r>
      <w:r>
        <w:rPr>
          <w:sz w:val="32"/>
          <w:szCs w:val="28"/>
        </w:rPr>
        <w:tab/>
      </w:r>
      <w:r>
        <w:rPr>
          <w:sz w:val="32"/>
          <w:szCs w:val="28"/>
        </w:rPr>
        <w:fldChar w:fldCharType="begin"/>
      </w:r>
      <w:r>
        <w:rPr>
          <w:sz w:val="32"/>
          <w:szCs w:val="28"/>
        </w:rPr>
        <w:instrText xml:space="preserve"> PAGEREF _Toc27037 \h </w:instrText>
      </w:r>
      <w:r>
        <w:rPr>
          <w:sz w:val="32"/>
          <w:szCs w:val="28"/>
        </w:rPr>
        <w:fldChar w:fldCharType="separate"/>
      </w:r>
      <w:r>
        <w:rPr>
          <w:sz w:val="32"/>
          <w:szCs w:val="28"/>
        </w:rPr>
        <w:t>- 48 -</w:t>
      </w:r>
      <w:r>
        <w:rPr>
          <w:sz w:val="32"/>
          <w:szCs w:val="28"/>
        </w:rPr>
        <w:fldChar w:fldCharType="end"/>
      </w:r>
      <w:r>
        <w:rPr>
          <w:rFonts w:hint="eastAsia" w:ascii="宋体" w:hAnsi="宋体" w:eastAsia="宋体" w:cs="宋体"/>
          <w:sz w:val="32"/>
          <w:szCs w:val="52"/>
          <w:highlight w:val="none"/>
        </w:rPr>
        <w:fldChar w:fldCharType="end"/>
      </w:r>
    </w:p>
    <w:p w14:paraId="2869EDDE">
      <w:pPr>
        <w:pStyle w:val="17"/>
        <w:keepNext w:val="0"/>
        <w:keepLines w:val="0"/>
        <w:pageBreakBefore w:val="0"/>
        <w:widowControl w:val="0"/>
        <w:tabs>
          <w:tab w:val="right" w:leader="dot" w:pos="9740"/>
        </w:tabs>
        <w:kinsoku/>
        <w:wordWrap/>
        <w:overflowPunct/>
        <w:topLinePunct w:val="0"/>
        <w:autoSpaceDE w:val="0"/>
        <w:autoSpaceDN w:val="0"/>
        <w:bidi w:val="0"/>
        <w:adjustRightInd w:val="0"/>
        <w:snapToGrid/>
        <w:spacing w:line="1160" w:lineRule="exact"/>
        <w:textAlignment w:val="baseline"/>
        <w:rPr>
          <w:sz w:val="32"/>
          <w:szCs w:val="28"/>
        </w:rPr>
      </w:pPr>
      <w:r>
        <w:rPr>
          <w:rFonts w:hint="eastAsia" w:ascii="宋体" w:hAnsi="宋体" w:eastAsia="宋体" w:cs="宋体"/>
          <w:sz w:val="32"/>
          <w:szCs w:val="52"/>
          <w:highlight w:val="none"/>
        </w:rPr>
        <w:fldChar w:fldCharType="begin"/>
      </w:r>
      <w:r>
        <w:rPr>
          <w:rFonts w:hint="eastAsia" w:ascii="宋体" w:hAnsi="宋体" w:eastAsia="宋体" w:cs="宋体"/>
          <w:sz w:val="32"/>
          <w:szCs w:val="52"/>
          <w:highlight w:val="none"/>
        </w:rPr>
        <w:instrText xml:space="preserve"> HYPERLINK \l _Toc14366 </w:instrText>
      </w:r>
      <w:r>
        <w:rPr>
          <w:rFonts w:hint="eastAsia" w:ascii="宋体" w:hAnsi="宋体" w:eastAsia="宋体" w:cs="宋体"/>
          <w:sz w:val="32"/>
          <w:szCs w:val="52"/>
          <w:highlight w:val="none"/>
        </w:rPr>
        <w:fldChar w:fldCharType="separate"/>
      </w:r>
      <w:r>
        <w:rPr>
          <w:rFonts w:hint="eastAsia" w:ascii="宋体" w:hAnsi="宋体" w:eastAsia="宋体" w:cs="宋体"/>
          <w:bCs/>
          <w:kern w:val="0"/>
          <w:sz w:val="32"/>
          <w:szCs w:val="52"/>
          <w:highlight w:val="none"/>
          <w:lang w:val="en-US" w:eastAsia="zh-CN" w:bidi="ar-SA"/>
        </w:rPr>
        <w:t>第六章、评审标准（综合评分法）</w:t>
      </w:r>
      <w:r>
        <w:rPr>
          <w:sz w:val="32"/>
          <w:szCs w:val="28"/>
        </w:rPr>
        <w:tab/>
      </w:r>
      <w:r>
        <w:rPr>
          <w:sz w:val="32"/>
          <w:szCs w:val="28"/>
        </w:rPr>
        <w:fldChar w:fldCharType="begin"/>
      </w:r>
      <w:r>
        <w:rPr>
          <w:sz w:val="32"/>
          <w:szCs w:val="28"/>
        </w:rPr>
        <w:instrText xml:space="preserve"> PAGEREF _Toc14366 \h </w:instrText>
      </w:r>
      <w:r>
        <w:rPr>
          <w:sz w:val="32"/>
          <w:szCs w:val="28"/>
        </w:rPr>
        <w:fldChar w:fldCharType="separate"/>
      </w:r>
      <w:r>
        <w:rPr>
          <w:sz w:val="32"/>
          <w:szCs w:val="28"/>
        </w:rPr>
        <w:t>- 63 -</w:t>
      </w:r>
      <w:r>
        <w:rPr>
          <w:sz w:val="32"/>
          <w:szCs w:val="28"/>
        </w:rPr>
        <w:fldChar w:fldCharType="end"/>
      </w:r>
      <w:r>
        <w:rPr>
          <w:rFonts w:hint="eastAsia" w:ascii="宋体" w:hAnsi="宋体" w:eastAsia="宋体" w:cs="宋体"/>
          <w:sz w:val="32"/>
          <w:szCs w:val="52"/>
          <w:highlight w:val="none"/>
        </w:rPr>
        <w:fldChar w:fldCharType="end"/>
      </w:r>
    </w:p>
    <w:p w14:paraId="4D2E7989">
      <w:pPr>
        <w:pStyle w:val="17"/>
        <w:keepNext w:val="0"/>
        <w:keepLines w:val="0"/>
        <w:pageBreakBefore w:val="0"/>
        <w:widowControl w:val="0"/>
        <w:tabs>
          <w:tab w:val="right" w:leader="dot" w:pos="10466"/>
        </w:tabs>
        <w:kinsoku/>
        <w:wordWrap/>
        <w:overflowPunct/>
        <w:topLinePunct w:val="0"/>
        <w:autoSpaceDE w:val="0"/>
        <w:autoSpaceDN w:val="0"/>
        <w:bidi w:val="0"/>
        <w:adjustRightInd w:val="0"/>
        <w:snapToGrid/>
        <w:spacing w:line="1160" w:lineRule="exact"/>
        <w:textAlignment w:val="baseline"/>
        <w:rPr>
          <w:rFonts w:hint="eastAsia" w:ascii="宋体" w:hAnsi="宋体" w:eastAsia="宋体" w:cs="宋体"/>
          <w:sz w:val="36"/>
          <w:szCs w:val="36"/>
          <w:highlight w:val="none"/>
        </w:rPr>
      </w:pPr>
      <w:r>
        <w:rPr>
          <w:rFonts w:hint="eastAsia" w:ascii="宋体" w:hAnsi="宋体" w:eastAsia="宋体" w:cs="宋体"/>
          <w:sz w:val="32"/>
          <w:szCs w:val="52"/>
          <w:highlight w:val="none"/>
        </w:rPr>
        <w:fldChar w:fldCharType="end"/>
      </w:r>
    </w:p>
    <w:p w14:paraId="47091024">
      <w:pPr>
        <w:pStyle w:val="17"/>
        <w:tabs>
          <w:tab w:val="right" w:leader="dot" w:pos="10466"/>
        </w:tabs>
        <w:spacing w:line="1000" w:lineRule="exact"/>
        <w:jc w:val="center"/>
        <w:rPr>
          <w:rFonts w:hint="eastAsia" w:ascii="宋体" w:hAnsi="宋体" w:cs="宋体"/>
          <w:sz w:val="48"/>
          <w:szCs w:val="48"/>
          <w:highlight w:val="none"/>
        </w:rPr>
        <w:sectPr>
          <w:headerReference r:id="rId8" w:type="default"/>
          <w:footerReference r:id="rId9" w:type="default"/>
          <w:pgSz w:w="11906" w:h="16838"/>
          <w:pgMar w:top="1440" w:right="1083" w:bottom="1440" w:left="1083" w:header="850" w:footer="992" w:gutter="0"/>
          <w:pgNumType w:fmt="decimal" w:start="1"/>
          <w:cols w:space="0" w:num="1"/>
          <w:titlePg/>
          <w:rtlGutter w:val="0"/>
          <w:docGrid w:linePitch="312" w:charSpace="0"/>
        </w:sectPr>
      </w:pPr>
    </w:p>
    <w:p w14:paraId="7543867B">
      <w:pPr>
        <w:pStyle w:val="3"/>
        <w:bidi w:val="0"/>
        <w:rPr>
          <w:rFonts w:hint="eastAsia"/>
          <w:highlight w:val="none"/>
        </w:rPr>
      </w:pPr>
      <w:bookmarkStart w:id="4" w:name="_Toc24741"/>
      <w:bookmarkStart w:id="5" w:name="_Toc7803"/>
      <w:r>
        <w:rPr>
          <w:rFonts w:hint="eastAsia"/>
          <w:highlight w:val="none"/>
        </w:rPr>
        <w:t>第一章、竞争性磋商公告</w:t>
      </w:r>
      <w:bookmarkEnd w:id="0"/>
      <w:bookmarkEnd w:id="1"/>
      <w:bookmarkEnd w:id="2"/>
      <w:bookmarkEnd w:id="3"/>
      <w:bookmarkEnd w:id="4"/>
      <w:bookmarkEnd w:id="5"/>
    </w:p>
    <w:tbl>
      <w:tblPr>
        <w:tblStyle w:val="24"/>
        <w:tblpPr w:leftFromText="180" w:rightFromText="180" w:vertAnchor="text" w:horzAnchor="page" w:tblpX="1382" w:tblpY="394"/>
        <w:tblOverlap w:val="never"/>
        <w:tblW w:w="96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83"/>
      </w:tblGrid>
      <w:tr w14:paraId="034E6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trPr>
        <w:tc>
          <w:tcPr>
            <w:tcW w:w="9683" w:type="dxa"/>
            <w:vAlign w:val="top"/>
          </w:tcPr>
          <w:p w14:paraId="276E576C">
            <w:pPr>
              <w:spacing w:line="400" w:lineRule="exact"/>
              <w:ind w:firstLine="480" w:firstLineChars="200"/>
              <w:rPr>
                <w:rFonts w:hint="eastAsia" w:ascii="宋体" w:hAnsi="宋体" w:eastAsia="宋体" w:cs="宋体"/>
                <w:sz w:val="24"/>
                <w:szCs w:val="24"/>
                <w:highlight w:val="none"/>
                <w:lang w:eastAsia="zh-CN"/>
              </w:rPr>
            </w:pPr>
            <w:bookmarkStart w:id="6" w:name="_Toc8079"/>
            <w:bookmarkStart w:id="7" w:name="_Toc2578"/>
            <w:r>
              <w:rPr>
                <w:rFonts w:hint="eastAsia" w:ascii="宋体" w:hAnsi="宋体" w:eastAsia="宋体" w:cs="宋体"/>
                <w:sz w:val="24"/>
                <w:szCs w:val="24"/>
                <w:highlight w:val="none"/>
              </w:rPr>
              <w:t>项目概况</w:t>
            </w:r>
            <w:r>
              <w:rPr>
                <w:rFonts w:hint="eastAsia" w:ascii="宋体" w:hAnsi="宋体" w:eastAsia="宋体" w:cs="宋体"/>
                <w:sz w:val="24"/>
                <w:szCs w:val="24"/>
                <w:highlight w:val="none"/>
                <w:lang w:eastAsia="zh-CN"/>
              </w:rPr>
              <w:t>：</w:t>
            </w:r>
          </w:p>
          <w:p w14:paraId="4D056BD8">
            <w:pPr>
              <w:spacing w:line="400" w:lineRule="exact"/>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u w:val="none"/>
                <w:lang w:eastAsia="zh-CN"/>
              </w:rPr>
              <w:t>塔城市2024年度国土变更调查项目</w:t>
            </w:r>
            <w:r>
              <w:rPr>
                <w:rFonts w:hint="eastAsia" w:ascii="宋体" w:hAnsi="宋体" w:eastAsia="宋体" w:cs="宋体"/>
                <w:sz w:val="24"/>
                <w:szCs w:val="24"/>
                <w:highlight w:val="none"/>
              </w:rPr>
              <w:t>的潜在供应商应在新疆政府采购网获取采购文件，并于</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ascii="宋体" w:hAnsi="宋体" w:cs="宋体"/>
                <w:sz w:val="24"/>
                <w:szCs w:val="24"/>
                <w:highlight w:val="none"/>
                <w:lang w:val="en-US" w:eastAsia="zh-CN"/>
              </w:rPr>
              <w:t>04</w:t>
            </w:r>
            <w:r>
              <w:rPr>
                <w:rFonts w:hint="eastAsia" w:ascii="宋体" w:hAnsi="宋体" w:eastAsia="宋体" w:cs="宋体"/>
                <w:sz w:val="24"/>
                <w:szCs w:val="24"/>
                <w:highlight w:val="none"/>
                <w:lang w:val="en-US" w:eastAsia="zh-CN"/>
              </w:rPr>
              <w:t>月</w:t>
            </w:r>
            <w:r>
              <w:rPr>
                <w:rFonts w:hint="eastAsia" w:ascii="宋体" w:hAnsi="宋体" w:cs="宋体"/>
                <w:sz w:val="24"/>
                <w:szCs w:val="24"/>
                <w:highlight w:val="none"/>
                <w:lang w:val="en-US" w:eastAsia="zh-CN"/>
              </w:rPr>
              <w:t>15</w:t>
            </w:r>
            <w:r>
              <w:rPr>
                <w:rFonts w:hint="eastAsia" w:ascii="宋体" w:hAnsi="宋体" w:eastAsia="宋体" w:cs="宋体"/>
                <w:sz w:val="24"/>
                <w:szCs w:val="24"/>
                <w:highlight w:val="none"/>
                <w:lang w:val="en-US" w:eastAsia="zh-CN"/>
              </w:rPr>
              <w:t>日上午10:</w:t>
            </w:r>
            <w:r>
              <w:rPr>
                <w:rFonts w:hint="eastAsia" w:ascii="宋体" w:hAnsi="宋体" w:cs="宋体"/>
                <w:sz w:val="24"/>
                <w:szCs w:val="24"/>
                <w:highlight w:val="none"/>
                <w:lang w:val="en-US" w:eastAsia="zh-CN"/>
              </w:rPr>
              <w:t>30</w:t>
            </w:r>
            <w:r>
              <w:rPr>
                <w:rFonts w:hint="eastAsia" w:ascii="宋体" w:hAnsi="宋体" w:eastAsia="宋体" w:cs="宋体"/>
                <w:sz w:val="24"/>
                <w:szCs w:val="24"/>
                <w:highlight w:val="none"/>
              </w:rPr>
              <w:t>（北京时间）前提交响应文件。</w:t>
            </w:r>
          </w:p>
        </w:tc>
      </w:tr>
    </w:tbl>
    <w:p w14:paraId="5DD07AFD">
      <w:pPr>
        <w:keepNext w:val="0"/>
        <w:keepLines w:val="0"/>
        <w:pageBreakBefore w:val="0"/>
        <w:widowControl w:val="0"/>
        <w:kinsoku/>
        <w:wordWrap w:val="0"/>
        <w:overflowPunct/>
        <w:topLinePunct/>
        <w:bidi w:val="0"/>
        <w:snapToGrid/>
        <w:spacing w:line="360" w:lineRule="auto"/>
        <w:ind w:firstLine="482" w:firstLineChars="200"/>
        <w:rPr>
          <w:rFonts w:hint="eastAsia" w:ascii="宋体" w:hAnsi="宋体" w:eastAsia="宋体" w:cs="宋体"/>
          <w:b/>
          <w:bCs w:val="0"/>
          <w:color w:val="000000"/>
          <w:sz w:val="24"/>
          <w:szCs w:val="24"/>
          <w:highlight w:val="none"/>
        </w:rPr>
      </w:pPr>
      <w:r>
        <w:rPr>
          <w:rFonts w:hint="eastAsia" w:ascii="宋体" w:hAnsi="宋体" w:eastAsia="宋体" w:cs="宋体"/>
          <w:b/>
          <w:bCs w:val="0"/>
          <w:color w:val="000000"/>
          <w:sz w:val="24"/>
          <w:szCs w:val="24"/>
          <w:highlight w:val="none"/>
        </w:rPr>
        <w:t>一、项目基本情况</w:t>
      </w:r>
      <w:bookmarkEnd w:id="6"/>
      <w:bookmarkEnd w:id="7"/>
    </w:p>
    <w:p w14:paraId="41C49A24">
      <w:pPr>
        <w:keepNext w:val="0"/>
        <w:keepLines w:val="0"/>
        <w:pageBreakBefore w:val="0"/>
        <w:widowControl w:val="0"/>
        <w:kinsoku/>
        <w:overflowPunct/>
        <w:bidi w:val="0"/>
        <w:snapToGrid/>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项目编号：</w:t>
      </w:r>
      <w:r>
        <w:rPr>
          <w:rFonts w:hint="eastAsia" w:ascii="宋体" w:hAnsi="宋体" w:cs="宋体"/>
          <w:sz w:val="24"/>
          <w:szCs w:val="24"/>
          <w:highlight w:val="none"/>
          <w:lang w:val="en-US" w:eastAsia="zh-CN"/>
        </w:rPr>
        <w:t>XZZB-FW-2025008</w:t>
      </w:r>
    </w:p>
    <w:p w14:paraId="49B7E3C8">
      <w:pPr>
        <w:keepNext w:val="0"/>
        <w:keepLines w:val="0"/>
        <w:pageBreakBefore w:val="0"/>
        <w:widowControl w:val="0"/>
        <w:kinsoku/>
        <w:overflowPunct/>
        <w:bidi w:val="0"/>
        <w:snapToGrid/>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项目名称：</w:t>
      </w:r>
      <w:r>
        <w:rPr>
          <w:rFonts w:hint="eastAsia" w:ascii="宋体" w:hAnsi="宋体" w:cs="宋体"/>
          <w:sz w:val="24"/>
          <w:szCs w:val="24"/>
          <w:highlight w:val="none"/>
          <w:lang w:eastAsia="zh-CN"/>
        </w:rPr>
        <w:t>塔城市2024年度国土变更调查项目</w:t>
      </w:r>
    </w:p>
    <w:p w14:paraId="56ADF3A4">
      <w:pPr>
        <w:keepNext w:val="0"/>
        <w:keepLines w:val="0"/>
        <w:pageBreakBefore w:val="0"/>
        <w:widowControl w:val="0"/>
        <w:kinsoku/>
        <w:overflowPunct/>
        <w:bidi w:val="0"/>
        <w:snapToGrid/>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采购方式：竞争性磋商</w:t>
      </w:r>
    </w:p>
    <w:p w14:paraId="358B2BE3">
      <w:pPr>
        <w:keepNext w:val="0"/>
        <w:keepLines w:val="0"/>
        <w:pageBreakBefore w:val="0"/>
        <w:widowControl w:val="0"/>
        <w:kinsoku/>
        <w:overflowPunct/>
        <w:bidi w:val="0"/>
        <w:snapToGrid/>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预算金额</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元</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1100000</w:t>
      </w:r>
    </w:p>
    <w:p w14:paraId="3C3A3F40">
      <w:pPr>
        <w:keepNext w:val="0"/>
        <w:keepLines w:val="0"/>
        <w:pageBreakBefore w:val="0"/>
        <w:widowControl w:val="0"/>
        <w:kinsoku/>
        <w:overflowPunct/>
        <w:bidi w:val="0"/>
        <w:snapToGrid/>
        <w:spacing w:line="360" w:lineRule="auto"/>
        <w:ind w:firstLine="480" w:firstLineChars="200"/>
        <w:rPr>
          <w:rFonts w:hint="default"/>
          <w:color w:val="auto"/>
          <w:highlight w:val="none"/>
          <w:lang w:val="en-US"/>
        </w:rPr>
      </w:pPr>
      <w:r>
        <w:rPr>
          <w:rFonts w:hint="eastAsia" w:ascii="宋体" w:hAnsi="宋体" w:eastAsia="宋体" w:cs="宋体"/>
          <w:color w:val="auto"/>
          <w:sz w:val="24"/>
          <w:szCs w:val="24"/>
          <w:highlight w:val="none"/>
          <w:lang w:val="en-US" w:eastAsia="zh-CN"/>
        </w:rPr>
        <w:t>最高限价（元）：</w:t>
      </w:r>
      <w:r>
        <w:rPr>
          <w:rFonts w:hint="eastAsia" w:ascii="宋体" w:hAnsi="宋体" w:cs="宋体"/>
          <w:color w:val="auto"/>
          <w:sz w:val="24"/>
          <w:szCs w:val="24"/>
          <w:highlight w:val="none"/>
          <w:lang w:val="en-US" w:eastAsia="zh-CN"/>
        </w:rPr>
        <w:t>1100000</w:t>
      </w:r>
    </w:p>
    <w:p w14:paraId="0FE68986">
      <w:pPr>
        <w:keepNext w:val="0"/>
        <w:keepLines w:val="0"/>
        <w:pageBreakBefore w:val="0"/>
        <w:widowControl w:val="0"/>
        <w:kinsoku/>
        <w:overflowPunct/>
        <w:bidi w:val="0"/>
        <w:snapToGrid/>
        <w:spacing w:line="360" w:lineRule="auto"/>
        <w:ind w:firstLine="480" w:firstLineChars="200"/>
        <w:rPr>
          <w:rFonts w:hint="eastAsia" w:ascii="宋体" w:hAnsi="宋体" w:eastAsia="宋体" w:cs="宋体"/>
          <w:sz w:val="24"/>
          <w:szCs w:val="24"/>
          <w:highlight w:val="none"/>
          <w:lang w:val="en-US" w:eastAsia="zh-CN"/>
        </w:rPr>
      </w:pPr>
      <w:bookmarkStart w:id="8" w:name="_Toc28359013"/>
      <w:bookmarkStart w:id="9" w:name="_Toc35393799"/>
      <w:bookmarkStart w:id="10" w:name="_Toc28359090"/>
      <w:bookmarkStart w:id="11" w:name="_Toc35393630"/>
      <w:r>
        <w:rPr>
          <w:rFonts w:hint="eastAsia" w:ascii="宋体" w:hAnsi="宋体" w:eastAsia="宋体" w:cs="宋体"/>
          <w:sz w:val="24"/>
          <w:szCs w:val="24"/>
          <w:highlight w:val="none"/>
        </w:rPr>
        <w:t>采购需求：</w:t>
      </w:r>
      <w:r>
        <w:rPr>
          <w:rFonts w:hint="eastAsia" w:ascii="宋体" w:hAnsi="宋体" w:eastAsia="宋体" w:cs="宋体"/>
          <w:sz w:val="24"/>
          <w:szCs w:val="24"/>
          <w:highlight w:val="none"/>
          <w:lang w:val="en-US" w:eastAsia="zh-CN"/>
        </w:rPr>
        <w:t>完成</w:t>
      </w:r>
      <w:r>
        <w:rPr>
          <w:rFonts w:hint="eastAsia" w:ascii="宋体" w:hAnsi="宋体" w:cs="宋体"/>
          <w:sz w:val="24"/>
          <w:szCs w:val="24"/>
          <w:highlight w:val="none"/>
          <w:lang w:eastAsia="zh-CN"/>
        </w:rPr>
        <w:t>塔城市2024年度国土变更调查项目</w:t>
      </w:r>
      <w:r>
        <w:rPr>
          <w:rFonts w:hint="eastAsia" w:ascii="宋体" w:hAnsi="宋体" w:eastAsia="宋体" w:cs="Times New Roman"/>
          <w:sz w:val="24"/>
          <w:highlight w:val="none"/>
        </w:rPr>
        <w:t>应承担的所有工作</w:t>
      </w:r>
      <w:r>
        <w:rPr>
          <w:rFonts w:hint="eastAsia" w:ascii="宋体" w:hAnsi="宋体" w:eastAsia="宋体" w:cs="宋体"/>
          <w:sz w:val="24"/>
          <w:szCs w:val="24"/>
          <w:highlight w:val="none"/>
          <w:lang w:val="en-US" w:eastAsia="zh-CN"/>
        </w:rPr>
        <w:t>。其他详细内容见磋商文件。</w:t>
      </w:r>
    </w:p>
    <w:p w14:paraId="0BE91CB8">
      <w:pPr>
        <w:keepNext w:val="0"/>
        <w:keepLines w:val="0"/>
        <w:pageBreakBefore w:val="0"/>
        <w:widowControl w:val="0"/>
        <w:kinsoku/>
        <w:wordWrap w:val="0"/>
        <w:overflowPunct/>
        <w:topLinePunct/>
        <w:bidi w:val="0"/>
        <w:snapToGrid/>
        <w:spacing w:line="360" w:lineRule="auto"/>
        <w:ind w:firstLine="480" w:firstLineChars="200"/>
        <w:rPr>
          <w:rFonts w:hint="default" w:ascii="宋体" w:hAnsi="宋体" w:eastAsia="宋体" w:cs="宋体"/>
          <w:sz w:val="24"/>
          <w:szCs w:val="24"/>
          <w:highlight w:val="none"/>
          <w:lang w:val="en-US" w:eastAsia="zh-CN"/>
        </w:rPr>
      </w:pPr>
      <w:bookmarkStart w:id="12" w:name="_Toc17658"/>
      <w:bookmarkStart w:id="13" w:name="_Toc3918"/>
      <w:r>
        <w:rPr>
          <w:rFonts w:hint="eastAsia" w:ascii="宋体" w:hAnsi="宋体" w:cs="宋体"/>
          <w:sz w:val="24"/>
          <w:szCs w:val="24"/>
          <w:highlight w:val="none"/>
          <w:lang w:val="en-US" w:eastAsia="zh-CN"/>
        </w:rPr>
        <w:t>进度安排：详见采购需求。</w:t>
      </w:r>
    </w:p>
    <w:p w14:paraId="191935D6">
      <w:pPr>
        <w:keepNext w:val="0"/>
        <w:keepLines w:val="0"/>
        <w:pageBreakBefore w:val="0"/>
        <w:widowControl w:val="0"/>
        <w:kinsoku/>
        <w:wordWrap w:val="0"/>
        <w:overflowPunct/>
        <w:topLinePunct/>
        <w:bidi w:val="0"/>
        <w:snapToGrid/>
        <w:spacing w:line="360" w:lineRule="auto"/>
        <w:ind w:firstLine="480" w:firstLineChars="200"/>
        <w:rPr>
          <w:rFonts w:hint="eastAsia" w:ascii="宋体" w:hAnsi="宋体" w:eastAsia="宋体" w:cs="宋体"/>
          <w:b w:val="0"/>
          <w:bCs/>
          <w:color w:val="000000"/>
          <w:sz w:val="24"/>
          <w:szCs w:val="24"/>
          <w:highlight w:val="none"/>
        </w:rPr>
      </w:pPr>
      <w:r>
        <w:rPr>
          <w:rFonts w:hint="eastAsia" w:ascii="宋体" w:hAnsi="宋体" w:eastAsia="宋体" w:cs="宋体"/>
          <w:b w:val="0"/>
          <w:bCs/>
          <w:color w:val="000000"/>
          <w:sz w:val="24"/>
          <w:szCs w:val="24"/>
          <w:highlight w:val="none"/>
        </w:rPr>
        <w:t>本项目不接受联合体投标。</w:t>
      </w:r>
    </w:p>
    <w:p w14:paraId="48871741">
      <w:pPr>
        <w:keepNext w:val="0"/>
        <w:keepLines w:val="0"/>
        <w:pageBreakBefore w:val="0"/>
        <w:widowControl w:val="0"/>
        <w:kinsoku/>
        <w:wordWrap w:val="0"/>
        <w:overflowPunct/>
        <w:topLinePunct/>
        <w:bidi w:val="0"/>
        <w:snapToGrid/>
        <w:spacing w:line="360" w:lineRule="auto"/>
        <w:ind w:firstLine="482" w:firstLineChars="200"/>
        <w:rPr>
          <w:rFonts w:hint="eastAsia" w:ascii="宋体" w:hAnsi="宋体" w:eastAsia="宋体" w:cs="宋体"/>
          <w:b/>
          <w:bCs w:val="0"/>
          <w:color w:val="000000"/>
          <w:sz w:val="24"/>
          <w:szCs w:val="24"/>
          <w:highlight w:val="none"/>
        </w:rPr>
      </w:pPr>
      <w:r>
        <w:rPr>
          <w:rFonts w:hint="eastAsia" w:ascii="宋体" w:hAnsi="宋体" w:eastAsia="宋体" w:cs="宋体"/>
          <w:b/>
          <w:bCs w:val="0"/>
          <w:color w:val="000000"/>
          <w:sz w:val="24"/>
          <w:szCs w:val="24"/>
          <w:highlight w:val="none"/>
        </w:rPr>
        <w:t>二、申请人的资格要求</w:t>
      </w:r>
      <w:bookmarkEnd w:id="8"/>
      <w:bookmarkEnd w:id="9"/>
      <w:bookmarkEnd w:id="10"/>
      <w:bookmarkEnd w:id="11"/>
      <w:bookmarkEnd w:id="12"/>
      <w:bookmarkEnd w:id="13"/>
    </w:p>
    <w:p w14:paraId="4D396330">
      <w:pPr>
        <w:keepNext w:val="0"/>
        <w:keepLines w:val="0"/>
        <w:pageBreakBefore w:val="0"/>
        <w:widowControl w:val="0"/>
        <w:numPr>
          <w:ilvl w:val="0"/>
          <w:numId w:val="1"/>
        </w:numPr>
        <w:kinsoku/>
        <w:overflowPunct/>
        <w:bidi w:val="0"/>
        <w:snapToGrid/>
        <w:spacing w:line="360" w:lineRule="auto"/>
        <w:ind w:left="0" w:leftChars="0" w:firstLine="400" w:firstLineChars="0"/>
        <w:rPr>
          <w:rFonts w:hint="eastAsia" w:ascii="宋体" w:hAnsi="宋体" w:eastAsia="宋体" w:cs="宋体"/>
          <w:sz w:val="24"/>
          <w:szCs w:val="24"/>
          <w:highlight w:val="none"/>
        </w:rPr>
      </w:pPr>
      <w:bookmarkStart w:id="14" w:name="_Toc35393623"/>
      <w:bookmarkStart w:id="15" w:name="_Toc28359081"/>
      <w:bookmarkStart w:id="16" w:name="_Toc35393792"/>
      <w:bookmarkStart w:id="17" w:name="_Toc28359004"/>
      <w:bookmarkStart w:id="18" w:name="_Toc13180"/>
      <w:bookmarkStart w:id="19" w:name="_Toc8748"/>
      <w:r>
        <w:rPr>
          <w:rFonts w:hint="eastAsia" w:ascii="宋体" w:hAnsi="宋体" w:eastAsia="宋体" w:cs="宋体"/>
          <w:sz w:val="24"/>
          <w:szCs w:val="24"/>
          <w:highlight w:val="none"/>
        </w:rPr>
        <w:t>满足《中华人民共和国政府采购法》第二十二条规定；</w:t>
      </w:r>
    </w:p>
    <w:p w14:paraId="4F39D31C">
      <w:pPr>
        <w:keepNext w:val="0"/>
        <w:keepLines w:val="0"/>
        <w:pageBreakBefore w:val="0"/>
        <w:widowControl w:val="0"/>
        <w:numPr>
          <w:ilvl w:val="0"/>
          <w:numId w:val="1"/>
        </w:numPr>
        <w:kinsoku/>
        <w:overflowPunct/>
        <w:bidi w:val="0"/>
        <w:snapToGrid/>
        <w:spacing w:line="360" w:lineRule="auto"/>
        <w:ind w:left="0" w:leftChars="0" w:firstLine="400" w:firstLineChars="0"/>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val="en-US" w:eastAsia="zh-CN"/>
        </w:rPr>
        <w:t>落实政府采购政策需满足的资格要求：本项目专门面向</w:t>
      </w:r>
      <w:r>
        <w:rPr>
          <w:rFonts w:hint="eastAsia" w:ascii="宋体" w:hAnsi="宋体" w:cs="宋体"/>
          <w:sz w:val="24"/>
          <w:szCs w:val="24"/>
          <w:highlight w:val="none"/>
          <w:lang w:val="en-US" w:eastAsia="zh-CN"/>
        </w:rPr>
        <w:t>中小</w:t>
      </w:r>
      <w:r>
        <w:rPr>
          <w:rFonts w:hint="eastAsia" w:ascii="宋体" w:hAnsi="宋体" w:eastAsia="宋体" w:cs="宋体"/>
          <w:sz w:val="24"/>
          <w:szCs w:val="24"/>
          <w:highlight w:val="none"/>
          <w:lang w:val="en-US" w:eastAsia="zh-CN"/>
        </w:rPr>
        <w:t>企业</w:t>
      </w:r>
      <w:r>
        <w:rPr>
          <w:rFonts w:hint="eastAsia" w:ascii="宋体" w:hAnsi="宋体" w:cs="宋体"/>
          <w:sz w:val="24"/>
          <w:szCs w:val="24"/>
          <w:highlight w:val="none"/>
          <w:lang w:val="en-US" w:eastAsia="zh-CN"/>
        </w:rPr>
        <w:t>；</w:t>
      </w:r>
    </w:p>
    <w:p w14:paraId="7B7761F6">
      <w:pPr>
        <w:keepNext w:val="0"/>
        <w:keepLines w:val="0"/>
        <w:pageBreakBefore w:val="0"/>
        <w:widowControl w:val="0"/>
        <w:numPr>
          <w:ilvl w:val="0"/>
          <w:numId w:val="1"/>
        </w:numPr>
        <w:kinsoku/>
        <w:wordWrap w:val="0"/>
        <w:overflowPunct/>
        <w:topLinePunct/>
        <w:bidi w:val="0"/>
        <w:snapToGrid/>
        <w:spacing w:line="360" w:lineRule="auto"/>
        <w:ind w:left="0" w:leftChars="0" w:firstLine="400" w:firstLineChars="0"/>
        <w:rPr>
          <w:rFonts w:hint="eastAsia" w:ascii="宋体" w:hAnsi="宋体" w:eastAsia="宋体" w:cs="宋体"/>
          <w:i w:val="0"/>
          <w:iCs w:val="0"/>
          <w:kern w:val="2"/>
          <w:sz w:val="24"/>
          <w:szCs w:val="24"/>
          <w:highlight w:val="none"/>
          <w:lang w:val="en-US" w:eastAsia="zh-CN" w:bidi="ar-SA"/>
        </w:rPr>
      </w:pPr>
      <w:r>
        <w:rPr>
          <w:rFonts w:hint="eastAsia" w:ascii="宋体" w:hAnsi="宋体" w:eastAsia="宋体" w:cs="宋体"/>
          <w:i w:val="0"/>
          <w:iCs w:val="0"/>
          <w:kern w:val="2"/>
          <w:sz w:val="24"/>
          <w:szCs w:val="24"/>
          <w:highlight w:val="none"/>
          <w:lang w:val="en-US" w:eastAsia="zh-CN" w:bidi="ar-SA"/>
        </w:rPr>
        <w:t>特定资格要求：</w:t>
      </w:r>
      <w:bookmarkEnd w:id="14"/>
      <w:bookmarkEnd w:id="15"/>
      <w:bookmarkEnd w:id="16"/>
      <w:bookmarkEnd w:id="17"/>
      <w:r>
        <w:rPr>
          <w:rFonts w:hint="eastAsia" w:ascii="宋体" w:hAnsi="宋体" w:eastAsia="宋体" w:cs="宋体"/>
          <w:i w:val="0"/>
          <w:iCs w:val="0"/>
          <w:kern w:val="2"/>
          <w:sz w:val="24"/>
          <w:szCs w:val="24"/>
          <w:highlight w:val="none"/>
          <w:lang w:val="en-US" w:eastAsia="zh-CN" w:bidi="ar-SA"/>
        </w:rPr>
        <w:t>具有国家测绘主管部门颁发的乙级或乙级以上测绘级资质证书</w:t>
      </w:r>
      <w:r>
        <w:rPr>
          <w:rFonts w:hint="eastAsia" w:ascii="宋体" w:hAnsi="宋体" w:cs="宋体"/>
          <w:i w:val="0"/>
          <w:iCs w:val="0"/>
          <w:kern w:val="2"/>
          <w:sz w:val="24"/>
          <w:szCs w:val="24"/>
          <w:highlight w:val="none"/>
          <w:lang w:val="en-US" w:eastAsia="zh-CN" w:bidi="ar-SA"/>
        </w:rPr>
        <w:t>，项目负责人应具有测绘专业的高级技术职称证书。</w:t>
      </w:r>
    </w:p>
    <w:p w14:paraId="2C3558E8">
      <w:pPr>
        <w:keepNext w:val="0"/>
        <w:keepLines w:val="0"/>
        <w:pageBreakBefore w:val="0"/>
        <w:widowControl w:val="0"/>
        <w:kinsoku/>
        <w:wordWrap w:val="0"/>
        <w:overflowPunct/>
        <w:topLinePunct/>
        <w:bidi w:val="0"/>
        <w:snapToGrid/>
        <w:spacing w:line="360" w:lineRule="auto"/>
        <w:ind w:firstLine="482" w:firstLineChars="200"/>
        <w:rPr>
          <w:rFonts w:hint="eastAsia" w:ascii="宋体" w:hAnsi="宋体" w:eastAsia="宋体" w:cs="宋体"/>
          <w:b/>
          <w:bCs w:val="0"/>
          <w:color w:val="000000"/>
          <w:sz w:val="24"/>
          <w:szCs w:val="24"/>
          <w:highlight w:val="none"/>
          <w:lang w:val="en-US" w:eastAsia="zh-CN"/>
        </w:rPr>
      </w:pPr>
      <w:r>
        <w:rPr>
          <w:rFonts w:hint="eastAsia" w:ascii="宋体" w:hAnsi="宋体" w:eastAsia="宋体" w:cs="宋体"/>
          <w:b/>
          <w:bCs w:val="0"/>
          <w:color w:val="000000"/>
          <w:sz w:val="24"/>
          <w:szCs w:val="24"/>
          <w:highlight w:val="none"/>
          <w:lang w:val="en-US" w:eastAsia="zh-CN"/>
        </w:rPr>
        <w:t>三、获取采购文件</w:t>
      </w:r>
      <w:bookmarkEnd w:id="18"/>
      <w:bookmarkEnd w:id="19"/>
    </w:p>
    <w:p w14:paraId="5BC5178D">
      <w:pPr>
        <w:keepNext w:val="0"/>
        <w:keepLines w:val="0"/>
        <w:pageBreakBefore w:val="0"/>
        <w:widowControl w:val="0"/>
        <w:numPr>
          <w:ilvl w:val="0"/>
          <w:numId w:val="2"/>
        </w:numPr>
        <w:kinsoku/>
        <w:overflowPunct/>
        <w:bidi w:val="0"/>
        <w:snapToGrid/>
        <w:spacing w:line="360" w:lineRule="auto"/>
        <w:ind w:left="0" w:leftChars="0" w:firstLine="400" w:firstLineChars="0"/>
        <w:rPr>
          <w:rFonts w:hint="eastAsia" w:ascii="宋体" w:hAnsi="宋体" w:eastAsia="宋体" w:cs="宋体"/>
          <w:sz w:val="24"/>
          <w:szCs w:val="24"/>
          <w:highlight w:val="none"/>
          <w:lang w:val="en-US" w:eastAsia="zh-CN"/>
        </w:rPr>
      </w:pPr>
      <w:bookmarkStart w:id="20" w:name="_Toc28359015"/>
      <w:bookmarkStart w:id="21" w:name="_Toc35393801"/>
      <w:bookmarkStart w:id="22" w:name="_Toc35393632"/>
      <w:bookmarkStart w:id="23" w:name="_Toc28359092"/>
      <w:r>
        <w:rPr>
          <w:rFonts w:hint="eastAsia" w:ascii="宋体" w:hAnsi="宋体" w:eastAsia="宋体" w:cs="宋体"/>
          <w:sz w:val="24"/>
          <w:szCs w:val="24"/>
          <w:highlight w:val="none"/>
          <w:lang w:val="en-US" w:eastAsia="zh-CN"/>
        </w:rPr>
        <w:t>时间：</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ascii="宋体" w:hAnsi="宋体" w:cs="宋体"/>
          <w:sz w:val="24"/>
          <w:szCs w:val="24"/>
          <w:highlight w:val="none"/>
          <w:lang w:val="en-US" w:eastAsia="zh-CN"/>
        </w:rPr>
        <w:t>04</w:t>
      </w:r>
      <w:r>
        <w:rPr>
          <w:rFonts w:hint="eastAsia" w:ascii="宋体" w:hAnsi="宋体" w:eastAsia="宋体" w:cs="宋体"/>
          <w:sz w:val="24"/>
          <w:szCs w:val="24"/>
          <w:highlight w:val="none"/>
          <w:lang w:val="en-US" w:eastAsia="zh-CN"/>
        </w:rPr>
        <w:t>月</w:t>
      </w:r>
      <w:r>
        <w:rPr>
          <w:rFonts w:hint="eastAsia" w:ascii="宋体" w:hAnsi="宋体" w:cs="宋体"/>
          <w:sz w:val="24"/>
          <w:szCs w:val="24"/>
          <w:highlight w:val="none"/>
          <w:lang w:val="en-US" w:eastAsia="zh-CN"/>
        </w:rPr>
        <w:t>03</w:t>
      </w:r>
      <w:r>
        <w:rPr>
          <w:rFonts w:hint="eastAsia" w:ascii="宋体" w:hAnsi="宋体" w:eastAsia="宋体" w:cs="宋体"/>
          <w:sz w:val="24"/>
          <w:szCs w:val="24"/>
          <w:highlight w:val="none"/>
          <w:lang w:val="en-US" w:eastAsia="zh-CN"/>
        </w:rPr>
        <w:t>日至</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ascii="宋体" w:hAnsi="宋体" w:cs="宋体"/>
          <w:sz w:val="24"/>
          <w:szCs w:val="24"/>
          <w:highlight w:val="none"/>
          <w:lang w:val="en-US" w:eastAsia="zh-CN"/>
        </w:rPr>
        <w:t>04月14</w:t>
      </w:r>
      <w:r>
        <w:rPr>
          <w:rFonts w:hint="eastAsia" w:ascii="宋体" w:hAnsi="宋体" w:eastAsia="宋体" w:cs="宋体"/>
          <w:sz w:val="24"/>
          <w:szCs w:val="24"/>
          <w:highlight w:val="none"/>
          <w:lang w:val="en-US" w:eastAsia="zh-CN"/>
        </w:rPr>
        <w:t>日，每天上午</w:t>
      </w:r>
      <w:r>
        <w:rPr>
          <w:rFonts w:hint="eastAsia" w:ascii="宋体" w:hAnsi="宋体" w:cs="宋体"/>
          <w:sz w:val="24"/>
          <w:szCs w:val="24"/>
          <w:highlight w:val="none"/>
          <w:lang w:val="en-US" w:eastAsia="zh-CN"/>
        </w:rPr>
        <w:t>00:00</w:t>
      </w:r>
      <w:r>
        <w:rPr>
          <w:rFonts w:hint="eastAsia" w:ascii="宋体" w:hAnsi="宋体" w:eastAsia="宋体" w:cs="宋体"/>
          <w:sz w:val="24"/>
          <w:szCs w:val="24"/>
          <w:highlight w:val="none"/>
          <w:lang w:val="en-US" w:eastAsia="zh-CN"/>
        </w:rPr>
        <w:t>至12:00 ，下午</w:t>
      </w:r>
      <w:r>
        <w:rPr>
          <w:rFonts w:hint="eastAsia" w:ascii="宋体" w:hAnsi="宋体" w:cs="宋体"/>
          <w:sz w:val="24"/>
          <w:szCs w:val="24"/>
          <w:highlight w:val="none"/>
          <w:lang w:val="en-US" w:eastAsia="zh-CN"/>
        </w:rPr>
        <w:t>12:00</w:t>
      </w:r>
      <w:r>
        <w:rPr>
          <w:rFonts w:hint="eastAsia" w:ascii="宋体" w:hAnsi="宋体" w:eastAsia="宋体" w:cs="宋体"/>
          <w:sz w:val="24"/>
          <w:szCs w:val="24"/>
          <w:highlight w:val="none"/>
          <w:lang w:val="en-US" w:eastAsia="zh-CN"/>
        </w:rPr>
        <w:t>至</w:t>
      </w:r>
      <w:r>
        <w:rPr>
          <w:rFonts w:hint="eastAsia" w:ascii="宋体" w:hAnsi="宋体" w:cs="宋体"/>
          <w:sz w:val="24"/>
          <w:szCs w:val="24"/>
          <w:highlight w:val="none"/>
          <w:lang w:val="en-US" w:eastAsia="zh-CN"/>
        </w:rPr>
        <w:t>23:59</w:t>
      </w:r>
      <w:r>
        <w:rPr>
          <w:rFonts w:hint="eastAsia" w:ascii="宋体" w:hAnsi="宋体" w:eastAsia="宋体" w:cs="宋体"/>
          <w:sz w:val="24"/>
          <w:szCs w:val="24"/>
          <w:highlight w:val="none"/>
          <w:lang w:val="en-US" w:eastAsia="zh-CN"/>
        </w:rPr>
        <w:t>（北京时间，法定节假日除外）。</w:t>
      </w:r>
    </w:p>
    <w:p w14:paraId="5C8CD5D1">
      <w:pPr>
        <w:keepNext w:val="0"/>
        <w:keepLines w:val="0"/>
        <w:pageBreakBefore w:val="0"/>
        <w:widowControl w:val="0"/>
        <w:numPr>
          <w:ilvl w:val="0"/>
          <w:numId w:val="2"/>
        </w:numPr>
        <w:kinsoku/>
        <w:overflowPunct/>
        <w:bidi w:val="0"/>
        <w:snapToGrid/>
        <w:spacing w:line="360" w:lineRule="auto"/>
        <w:ind w:left="0" w:leftChars="0" w:firstLine="40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地点：新疆政府采购网政采云平台（www.zcygov.cn） </w:t>
      </w:r>
    </w:p>
    <w:p w14:paraId="370BC18F">
      <w:pPr>
        <w:keepNext w:val="0"/>
        <w:keepLines w:val="0"/>
        <w:pageBreakBefore w:val="0"/>
        <w:widowControl w:val="0"/>
        <w:numPr>
          <w:ilvl w:val="0"/>
          <w:numId w:val="2"/>
        </w:numPr>
        <w:kinsoku/>
        <w:overflowPunct/>
        <w:bidi w:val="0"/>
        <w:snapToGrid/>
        <w:spacing w:line="360" w:lineRule="auto"/>
        <w:ind w:left="0" w:leftChars="0" w:firstLine="400" w:firstLineChars="0"/>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方式</w:t>
      </w:r>
      <w:r>
        <w:rPr>
          <w:rFonts w:hint="eastAsia" w:ascii="宋体" w:hAnsi="宋体" w:eastAsia="宋体" w:cs="宋体"/>
          <w:sz w:val="24"/>
          <w:szCs w:val="24"/>
          <w:highlight w:val="none"/>
          <w:lang w:val="en-US" w:eastAsia="zh-CN"/>
        </w:rPr>
        <w:t>：</w:t>
      </w:r>
      <w:bookmarkStart w:id="24" w:name="_Toc26021"/>
      <w:bookmarkStart w:id="25" w:name="_Toc23684"/>
      <w:r>
        <w:rPr>
          <w:rFonts w:hint="eastAsia" w:ascii="宋体" w:hAnsi="宋体" w:eastAsia="宋体" w:cs="宋体"/>
          <w:sz w:val="24"/>
          <w:szCs w:val="24"/>
          <w:highlight w:val="none"/>
          <w:lang w:val="en-US" w:eastAsia="zh-CN"/>
        </w:rPr>
        <w:t>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7AEA66E9">
      <w:pPr>
        <w:keepNext w:val="0"/>
        <w:keepLines w:val="0"/>
        <w:pageBreakBefore w:val="0"/>
        <w:widowControl w:val="0"/>
        <w:numPr>
          <w:ilvl w:val="0"/>
          <w:numId w:val="2"/>
        </w:numPr>
        <w:kinsoku/>
        <w:overflowPunct/>
        <w:bidi w:val="0"/>
        <w:snapToGrid/>
        <w:spacing w:line="360" w:lineRule="auto"/>
        <w:ind w:left="0" w:leftChars="0" w:firstLine="40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售价（元）：0</w:t>
      </w:r>
      <w:r>
        <w:rPr>
          <w:rFonts w:hint="eastAsia" w:ascii="宋体" w:hAnsi="宋体" w:cs="宋体"/>
          <w:sz w:val="24"/>
          <w:szCs w:val="24"/>
          <w:highlight w:val="none"/>
          <w:lang w:val="en-US" w:eastAsia="zh-CN"/>
        </w:rPr>
        <w:t>元</w:t>
      </w:r>
    </w:p>
    <w:p w14:paraId="01ED0340">
      <w:pPr>
        <w:keepNext w:val="0"/>
        <w:keepLines w:val="0"/>
        <w:pageBreakBefore w:val="0"/>
        <w:widowControl w:val="0"/>
        <w:kinsoku/>
        <w:overflowPunct/>
        <w:bidi w:val="0"/>
        <w:snapToGrid/>
        <w:spacing w:line="360" w:lineRule="auto"/>
        <w:ind w:firstLine="482" w:firstLineChars="200"/>
        <w:rPr>
          <w:rFonts w:hint="eastAsia" w:ascii="宋体" w:hAnsi="宋体" w:eastAsia="宋体" w:cs="宋体"/>
          <w:b/>
          <w:bCs w:val="0"/>
          <w:color w:val="000000"/>
          <w:sz w:val="24"/>
          <w:szCs w:val="24"/>
          <w:highlight w:val="none"/>
          <w:lang w:val="en-US" w:eastAsia="zh-CN"/>
        </w:rPr>
      </w:pPr>
      <w:r>
        <w:rPr>
          <w:rFonts w:hint="eastAsia" w:ascii="宋体" w:hAnsi="宋体" w:eastAsia="宋体" w:cs="宋体"/>
          <w:b/>
          <w:bCs w:val="0"/>
          <w:color w:val="000000"/>
          <w:sz w:val="24"/>
          <w:szCs w:val="24"/>
          <w:highlight w:val="none"/>
          <w:lang w:val="en-US" w:eastAsia="zh-CN"/>
        </w:rPr>
        <w:t>四、</w:t>
      </w:r>
      <w:bookmarkEnd w:id="20"/>
      <w:bookmarkEnd w:id="21"/>
      <w:bookmarkEnd w:id="22"/>
      <w:bookmarkEnd w:id="23"/>
      <w:bookmarkEnd w:id="24"/>
      <w:bookmarkEnd w:id="25"/>
      <w:r>
        <w:rPr>
          <w:rFonts w:hint="eastAsia" w:ascii="宋体" w:hAnsi="宋体" w:eastAsia="宋体" w:cs="宋体"/>
          <w:b/>
          <w:bCs/>
          <w:color w:val="auto"/>
          <w:sz w:val="24"/>
          <w:szCs w:val="24"/>
          <w:highlight w:val="none"/>
        </w:rPr>
        <w:t>响应文件</w:t>
      </w:r>
      <w:r>
        <w:rPr>
          <w:rFonts w:hint="eastAsia" w:ascii="宋体" w:hAnsi="宋体" w:eastAsia="宋体" w:cs="宋体"/>
          <w:b/>
          <w:bCs w:val="0"/>
          <w:color w:val="000000"/>
          <w:sz w:val="24"/>
          <w:szCs w:val="24"/>
          <w:highlight w:val="none"/>
          <w:lang w:val="en-US" w:eastAsia="zh-CN"/>
        </w:rPr>
        <w:t>截止时间、开标时间和地点</w:t>
      </w:r>
    </w:p>
    <w:p w14:paraId="249C870D">
      <w:pPr>
        <w:numPr>
          <w:ilvl w:val="0"/>
          <w:numId w:val="3"/>
        </w:numPr>
        <w:spacing w:line="360" w:lineRule="auto"/>
        <w:ind w:left="0" w:leftChars="0" w:firstLine="400" w:firstLineChars="0"/>
        <w:rPr>
          <w:rStyle w:val="27"/>
          <w:rFonts w:hint="eastAsia" w:ascii="宋体" w:hAnsi="宋体" w:eastAsia="宋体" w:cs="宋体"/>
          <w:b w:val="0"/>
          <w:bCs/>
          <w:color w:val="auto"/>
          <w:kern w:val="0"/>
          <w:sz w:val="24"/>
          <w:szCs w:val="22"/>
          <w:highlight w:val="none"/>
        </w:rPr>
      </w:pPr>
      <w:bookmarkStart w:id="26" w:name="_Toc35393633"/>
      <w:bookmarkStart w:id="27" w:name="_Toc35393802"/>
      <w:bookmarkStart w:id="28" w:name="_Toc28359016"/>
      <w:bookmarkStart w:id="29" w:name="_Toc28359093"/>
      <w:r>
        <w:rPr>
          <w:rFonts w:hint="eastAsia" w:ascii="宋体" w:hAnsi="宋体" w:cs="宋体"/>
          <w:sz w:val="24"/>
          <w:szCs w:val="24"/>
          <w:highlight w:val="none"/>
          <w:lang w:eastAsia="zh-CN"/>
        </w:rPr>
        <w:t>提交投标文件截止时间：</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ascii="宋体" w:hAnsi="宋体" w:cs="宋体"/>
          <w:sz w:val="24"/>
          <w:szCs w:val="24"/>
          <w:highlight w:val="none"/>
          <w:lang w:val="en-US" w:eastAsia="zh-CN"/>
        </w:rPr>
        <w:t>04</w:t>
      </w:r>
      <w:r>
        <w:rPr>
          <w:rFonts w:hint="eastAsia" w:ascii="宋体" w:hAnsi="宋体" w:eastAsia="宋体" w:cs="宋体"/>
          <w:sz w:val="24"/>
          <w:szCs w:val="24"/>
          <w:highlight w:val="none"/>
          <w:lang w:val="en-US" w:eastAsia="zh-CN"/>
        </w:rPr>
        <w:t>月</w:t>
      </w:r>
      <w:r>
        <w:rPr>
          <w:rFonts w:hint="eastAsia" w:ascii="宋体" w:hAnsi="宋体" w:cs="宋体"/>
          <w:sz w:val="24"/>
          <w:szCs w:val="24"/>
          <w:highlight w:val="none"/>
          <w:lang w:val="en-US" w:eastAsia="zh-CN"/>
        </w:rPr>
        <w:t>15</w:t>
      </w:r>
      <w:r>
        <w:rPr>
          <w:rFonts w:hint="eastAsia" w:ascii="宋体" w:hAnsi="宋体" w:eastAsia="宋体" w:cs="宋体"/>
          <w:sz w:val="24"/>
          <w:szCs w:val="24"/>
          <w:highlight w:val="none"/>
          <w:lang w:val="en-US" w:eastAsia="zh-CN"/>
        </w:rPr>
        <w:t>日10:30</w:t>
      </w:r>
      <w:r>
        <w:rPr>
          <w:rFonts w:hint="eastAsia" w:ascii="宋体" w:hAnsi="宋体" w:eastAsia="宋体" w:cs="宋体"/>
          <w:sz w:val="24"/>
          <w:szCs w:val="24"/>
          <w:highlight w:val="none"/>
          <w:lang w:eastAsia="zh-CN"/>
        </w:rPr>
        <w:t>（</w:t>
      </w:r>
      <w:r>
        <w:rPr>
          <w:rStyle w:val="27"/>
          <w:rFonts w:hint="eastAsia" w:ascii="宋体" w:hAnsi="宋体" w:eastAsia="宋体" w:cs="宋体"/>
          <w:b w:val="0"/>
          <w:bCs/>
          <w:color w:val="auto"/>
          <w:kern w:val="0"/>
          <w:sz w:val="24"/>
          <w:szCs w:val="22"/>
          <w:highlight w:val="none"/>
        </w:rPr>
        <w:t>北京时间）</w:t>
      </w:r>
    </w:p>
    <w:p w14:paraId="69F02032">
      <w:pPr>
        <w:numPr>
          <w:ilvl w:val="0"/>
          <w:numId w:val="3"/>
        </w:numPr>
        <w:spacing w:line="360" w:lineRule="auto"/>
        <w:ind w:left="0" w:leftChars="0" w:firstLine="400" w:firstLineChars="0"/>
        <w:rPr>
          <w:rStyle w:val="27"/>
          <w:rFonts w:hint="eastAsia" w:ascii="宋体" w:hAnsi="宋体" w:eastAsia="宋体" w:cs="宋体"/>
          <w:b w:val="0"/>
          <w:bCs/>
          <w:color w:val="auto"/>
          <w:kern w:val="0"/>
          <w:sz w:val="24"/>
          <w:szCs w:val="22"/>
          <w:highlight w:val="none"/>
        </w:rPr>
      </w:pPr>
      <w:r>
        <w:rPr>
          <w:rStyle w:val="27"/>
          <w:rFonts w:hint="eastAsia" w:ascii="宋体" w:hAnsi="宋体" w:cs="宋体"/>
          <w:b w:val="0"/>
          <w:bCs/>
          <w:color w:val="auto"/>
          <w:kern w:val="0"/>
          <w:sz w:val="24"/>
          <w:szCs w:val="22"/>
          <w:highlight w:val="none"/>
          <w:lang w:eastAsia="zh-CN"/>
        </w:rPr>
        <w:t>投标地点</w:t>
      </w:r>
      <w:r>
        <w:rPr>
          <w:rStyle w:val="27"/>
          <w:rFonts w:hint="eastAsia" w:ascii="宋体" w:hAnsi="宋体" w:eastAsia="宋体" w:cs="宋体"/>
          <w:b w:val="0"/>
          <w:bCs/>
          <w:color w:val="auto"/>
          <w:kern w:val="0"/>
          <w:sz w:val="24"/>
          <w:szCs w:val="22"/>
          <w:highlight w:val="none"/>
        </w:rPr>
        <w:t>：请登录政采云投标客户端投标</w:t>
      </w:r>
    </w:p>
    <w:p w14:paraId="5590D72D">
      <w:pPr>
        <w:numPr>
          <w:ilvl w:val="0"/>
          <w:numId w:val="3"/>
        </w:numPr>
        <w:spacing w:line="360" w:lineRule="auto"/>
        <w:ind w:left="0" w:leftChars="0" w:firstLine="400" w:firstLineChars="0"/>
        <w:rPr>
          <w:rStyle w:val="27"/>
          <w:rFonts w:hint="eastAsia" w:ascii="宋体" w:hAnsi="宋体" w:cs="宋体"/>
          <w:b w:val="0"/>
          <w:bCs/>
          <w:color w:val="auto"/>
          <w:kern w:val="0"/>
          <w:sz w:val="24"/>
          <w:szCs w:val="22"/>
          <w:highlight w:val="none"/>
          <w:lang w:val="en-US" w:eastAsia="zh-CN"/>
        </w:rPr>
      </w:pPr>
      <w:r>
        <w:rPr>
          <w:rStyle w:val="27"/>
          <w:rFonts w:hint="eastAsia" w:ascii="宋体" w:hAnsi="宋体" w:cs="宋体"/>
          <w:b w:val="0"/>
          <w:bCs/>
          <w:color w:val="auto"/>
          <w:kern w:val="0"/>
          <w:sz w:val="24"/>
          <w:szCs w:val="22"/>
          <w:highlight w:val="none"/>
          <w:lang w:eastAsia="zh-CN"/>
        </w:rPr>
        <w:t>开标时间：</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ascii="宋体" w:hAnsi="宋体" w:cs="宋体"/>
          <w:sz w:val="24"/>
          <w:szCs w:val="24"/>
          <w:highlight w:val="none"/>
          <w:lang w:val="en-US" w:eastAsia="zh-CN"/>
        </w:rPr>
        <w:t xml:space="preserve"> 04月15</w:t>
      </w:r>
      <w:r>
        <w:rPr>
          <w:rFonts w:hint="eastAsia" w:ascii="宋体" w:hAnsi="宋体" w:eastAsia="宋体" w:cs="宋体"/>
          <w:sz w:val="24"/>
          <w:szCs w:val="24"/>
          <w:highlight w:val="none"/>
          <w:lang w:val="en-US" w:eastAsia="zh-CN"/>
        </w:rPr>
        <w:t>日</w:t>
      </w:r>
      <w:r>
        <w:rPr>
          <w:rStyle w:val="27"/>
          <w:rFonts w:hint="eastAsia" w:ascii="宋体" w:hAnsi="宋体" w:cs="宋体"/>
          <w:b w:val="0"/>
          <w:bCs/>
          <w:color w:val="auto"/>
          <w:kern w:val="0"/>
          <w:sz w:val="24"/>
          <w:szCs w:val="22"/>
          <w:highlight w:val="none"/>
          <w:lang w:val="en-US" w:eastAsia="zh-CN"/>
        </w:rPr>
        <w:t>10:30（北京时间）</w:t>
      </w:r>
    </w:p>
    <w:p w14:paraId="5DD98975">
      <w:pPr>
        <w:numPr>
          <w:ilvl w:val="0"/>
          <w:numId w:val="3"/>
        </w:numPr>
        <w:spacing w:line="360" w:lineRule="auto"/>
        <w:ind w:left="0" w:leftChars="0" w:firstLine="400" w:firstLineChars="0"/>
        <w:rPr>
          <w:rStyle w:val="27"/>
          <w:rFonts w:hint="eastAsia" w:ascii="宋体" w:hAnsi="宋体" w:eastAsia="宋体" w:cs="宋体"/>
          <w:b w:val="0"/>
          <w:bCs/>
          <w:color w:val="auto"/>
          <w:kern w:val="0"/>
          <w:sz w:val="24"/>
          <w:szCs w:val="22"/>
          <w:highlight w:val="none"/>
        </w:rPr>
      </w:pPr>
      <w:r>
        <w:rPr>
          <w:rStyle w:val="27"/>
          <w:rFonts w:hint="eastAsia" w:ascii="宋体" w:hAnsi="宋体" w:cs="宋体"/>
          <w:b w:val="0"/>
          <w:bCs/>
          <w:color w:val="auto"/>
          <w:kern w:val="0"/>
          <w:sz w:val="24"/>
          <w:szCs w:val="22"/>
          <w:highlight w:val="none"/>
          <w:lang w:val="en-US" w:eastAsia="zh-CN"/>
        </w:rPr>
        <w:t>开标地点：</w:t>
      </w:r>
      <w:r>
        <w:rPr>
          <w:rFonts w:hint="eastAsia" w:ascii="宋体" w:hAnsi="宋体" w:cs="宋体"/>
          <w:sz w:val="24"/>
          <w:szCs w:val="24"/>
          <w:highlight w:val="none"/>
          <w:lang w:val="en-US" w:eastAsia="zh-CN"/>
        </w:rPr>
        <w:t>供应商</w:t>
      </w:r>
      <w:r>
        <w:rPr>
          <w:rFonts w:hint="eastAsia" w:ascii="宋体" w:hAnsi="宋体" w:eastAsia="宋体" w:cs="宋体"/>
          <w:sz w:val="24"/>
          <w:szCs w:val="24"/>
          <w:highlight w:val="none"/>
          <w:lang w:val="en-US" w:eastAsia="zh-CN"/>
        </w:rPr>
        <w:t>登录政采云平台https://www.zcygov.cn/，进入“项目采购-开标评标-右边选择对应项目点击“进入项目”进入开标大厅。 </w:t>
      </w:r>
      <w:bookmarkEnd w:id="26"/>
      <w:bookmarkEnd w:id="27"/>
      <w:bookmarkEnd w:id="28"/>
      <w:bookmarkEnd w:id="29"/>
      <w:bookmarkStart w:id="30" w:name="_Toc18495"/>
      <w:bookmarkStart w:id="31" w:name="_Toc1186"/>
    </w:p>
    <w:p w14:paraId="1A33C457">
      <w:pPr>
        <w:keepNext w:val="0"/>
        <w:keepLines w:val="0"/>
        <w:pageBreakBefore w:val="0"/>
        <w:widowControl w:val="0"/>
        <w:kinsoku/>
        <w:wordWrap w:val="0"/>
        <w:overflowPunct/>
        <w:topLinePunct/>
        <w:bidi w:val="0"/>
        <w:snapToGrid/>
        <w:spacing w:line="360" w:lineRule="auto"/>
        <w:ind w:firstLine="482" w:firstLineChars="200"/>
        <w:rPr>
          <w:rFonts w:hint="eastAsia" w:ascii="宋体" w:hAnsi="宋体" w:eastAsia="宋体" w:cs="宋体"/>
          <w:b/>
          <w:bCs w:val="0"/>
          <w:color w:val="000000"/>
          <w:sz w:val="24"/>
          <w:szCs w:val="24"/>
          <w:highlight w:val="none"/>
          <w:lang w:val="en-US" w:eastAsia="zh-CN"/>
        </w:rPr>
      </w:pPr>
      <w:r>
        <w:rPr>
          <w:rFonts w:hint="eastAsia" w:ascii="宋体" w:hAnsi="宋体" w:cs="宋体"/>
          <w:b/>
          <w:bCs w:val="0"/>
          <w:color w:val="000000"/>
          <w:sz w:val="24"/>
          <w:szCs w:val="24"/>
          <w:highlight w:val="none"/>
          <w:lang w:val="en-US" w:eastAsia="zh-CN"/>
        </w:rPr>
        <w:t>五</w:t>
      </w:r>
      <w:r>
        <w:rPr>
          <w:rFonts w:hint="eastAsia" w:ascii="宋体" w:hAnsi="宋体" w:eastAsia="宋体" w:cs="宋体"/>
          <w:b/>
          <w:bCs w:val="0"/>
          <w:color w:val="000000"/>
          <w:sz w:val="24"/>
          <w:szCs w:val="24"/>
          <w:highlight w:val="none"/>
          <w:lang w:val="en-US" w:eastAsia="zh-CN"/>
        </w:rPr>
        <w:t>、公告期限</w:t>
      </w:r>
      <w:bookmarkEnd w:id="30"/>
      <w:bookmarkEnd w:id="31"/>
    </w:p>
    <w:p w14:paraId="7492AA56">
      <w:pPr>
        <w:keepNext w:val="0"/>
        <w:keepLines w:val="0"/>
        <w:pageBreakBefore w:val="0"/>
        <w:widowControl w:val="0"/>
        <w:kinsoku/>
        <w:overflowPunct/>
        <w:bidi w:val="0"/>
        <w:snapToGrid/>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自本公告发布之日起</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val="en-US" w:eastAsia="zh-CN"/>
        </w:rPr>
        <w:t>工作日</w:t>
      </w:r>
    </w:p>
    <w:p w14:paraId="34D67BBC">
      <w:pPr>
        <w:keepNext w:val="0"/>
        <w:keepLines w:val="0"/>
        <w:pageBreakBefore w:val="0"/>
        <w:widowControl w:val="0"/>
        <w:kinsoku/>
        <w:wordWrap w:val="0"/>
        <w:overflowPunct/>
        <w:topLinePunct/>
        <w:bidi w:val="0"/>
        <w:snapToGrid/>
        <w:spacing w:line="360" w:lineRule="auto"/>
        <w:ind w:firstLine="482" w:firstLineChars="200"/>
        <w:rPr>
          <w:rFonts w:hint="eastAsia" w:ascii="宋体" w:hAnsi="宋体" w:eastAsia="宋体" w:cs="宋体"/>
          <w:b/>
          <w:bCs w:val="0"/>
          <w:color w:val="000000"/>
          <w:sz w:val="24"/>
          <w:szCs w:val="24"/>
          <w:highlight w:val="none"/>
          <w:lang w:val="en-US" w:eastAsia="zh-CN"/>
        </w:rPr>
      </w:pPr>
      <w:bookmarkStart w:id="32" w:name="_Toc35393804"/>
      <w:bookmarkStart w:id="33" w:name="_Toc24586"/>
      <w:bookmarkStart w:id="34" w:name="_Toc35393635"/>
      <w:bookmarkStart w:id="35" w:name="_Toc30113"/>
      <w:bookmarkStart w:id="36" w:name="_Toc1786"/>
      <w:bookmarkStart w:id="37" w:name="_Toc27802"/>
      <w:r>
        <w:rPr>
          <w:rFonts w:hint="eastAsia" w:ascii="宋体" w:hAnsi="宋体" w:cs="宋体"/>
          <w:b/>
          <w:bCs w:val="0"/>
          <w:color w:val="000000"/>
          <w:sz w:val="24"/>
          <w:szCs w:val="24"/>
          <w:highlight w:val="none"/>
          <w:lang w:val="en-US" w:eastAsia="zh-CN"/>
        </w:rPr>
        <w:t>六</w:t>
      </w:r>
      <w:r>
        <w:rPr>
          <w:rFonts w:hint="eastAsia" w:ascii="宋体" w:hAnsi="宋体" w:eastAsia="宋体" w:cs="宋体"/>
          <w:b/>
          <w:bCs w:val="0"/>
          <w:color w:val="000000"/>
          <w:sz w:val="24"/>
          <w:szCs w:val="24"/>
          <w:highlight w:val="none"/>
          <w:lang w:val="en-US" w:eastAsia="zh-CN"/>
        </w:rPr>
        <w:t>、其他补充事宜</w:t>
      </w:r>
      <w:bookmarkEnd w:id="32"/>
      <w:bookmarkEnd w:id="33"/>
      <w:bookmarkEnd w:id="34"/>
      <w:bookmarkEnd w:id="35"/>
    </w:p>
    <w:p w14:paraId="6FDDCA08">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请</w:t>
      </w:r>
      <w:r>
        <w:rPr>
          <w:rFonts w:hint="eastAsia" w:ascii="宋体" w:hAnsi="宋体" w:cs="宋体"/>
          <w:sz w:val="24"/>
          <w:szCs w:val="24"/>
          <w:lang w:val="en-US" w:eastAsia="zh-CN"/>
        </w:rPr>
        <w:t>供应商</w:t>
      </w:r>
      <w:r>
        <w:rPr>
          <w:rFonts w:hint="eastAsia" w:ascii="宋体" w:hAnsi="宋体" w:eastAsia="宋体" w:cs="宋体"/>
          <w:sz w:val="24"/>
          <w:szCs w:val="24"/>
          <w:lang w:val="en-US" w:eastAsia="zh-CN"/>
        </w:rPr>
        <w:t>随时关注本项目的澄清、答疑、变更事项。</w:t>
      </w:r>
    </w:p>
    <w:p w14:paraId="07E5CBC4">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本项目实行电子招投标，</w:t>
      </w:r>
      <w:r>
        <w:rPr>
          <w:rFonts w:hint="eastAsia" w:ascii="宋体" w:hAnsi="宋体" w:cs="宋体"/>
          <w:sz w:val="24"/>
          <w:szCs w:val="24"/>
          <w:lang w:val="en-US" w:eastAsia="zh-CN"/>
        </w:rPr>
        <w:t>供应商</w:t>
      </w:r>
      <w:r>
        <w:rPr>
          <w:rFonts w:hint="eastAsia" w:ascii="宋体" w:hAnsi="宋体" w:eastAsia="宋体" w:cs="宋体"/>
          <w:sz w:val="24"/>
          <w:szCs w:val="24"/>
          <w:lang w:val="en-US" w:eastAsia="zh-CN"/>
        </w:rPr>
        <w:t>须登录政采云平台申请获取</w:t>
      </w:r>
      <w:r>
        <w:rPr>
          <w:rFonts w:hint="eastAsia" w:ascii="宋体" w:hAnsi="宋体" w:cs="宋体"/>
          <w:sz w:val="24"/>
          <w:szCs w:val="24"/>
          <w:lang w:val="en-US" w:eastAsia="zh-CN"/>
        </w:rPr>
        <w:t>磋商文件</w:t>
      </w:r>
      <w:r>
        <w:rPr>
          <w:rFonts w:hint="eastAsia" w:ascii="宋体" w:hAnsi="宋体" w:eastAsia="宋体" w:cs="宋体"/>
          <w:sz w:val="24"/>
          <w:szCs w:val="24"/>
          <w:lang w:val="en-US" w:eastAsia="zh-CN"/>
        </w:rPr>
        <w:t>，并通过政采云电子投标客户端制作投标文件，同时自行承担与投标有关的一切费用。</w:t>
      </w:r>
    </w:p>
    <w:p w14:paraId="11EF123A">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各</w:t>
      </w:r>
      <w:r>
        <w:rPr>
          <w:rFonts w:hint="eastAsia" w:ascii="宋体" w:hAnsi="宋体" w:cs="宋体"/>
          <w:sz w:val="24"/>
          <w:szCs w:val="24"/>
          <w:lang w:val="en-US" w:eastAsia="zh-CN"/>
        </w:rPr>
        <w:t>供应商</w:t>
      </w:r>
      <w:r>
        <w:rPr>
          <w:rFonts w:hint="eastAsia" w:ascii="宋体" w:hAnsi="宋体" w:eastAsia="宋体" w:cs="宋体"/>
          <w:sz w:val="24"/>
          <w:szCs w:val="24"/>
          <w:lang w:val="en-US" w:eastAsia="zh-CN"/>
        </w:rPr>
        <w:t>应在开标前应确保成为政采云平台</w:t>
      </w:r>
      <w:r>
        <w:rPr>
          <w:rFonts w:hint="eastAsia" w:ascii="宋体" w:hAnsi="宋体" w:cs="宋体"/>
          <w:sz w:val="24"/>
          <w:szCs w:val="24"/>
          <w:lang w:val="en-US" w:eastAsia="zh-CN"/>
        </w:rPr>
        <w:t>供应商</w:t>
      </w:r>
      <w:r>
        <w:rPr>
          <w:rFonts w:hint="eastAsia" w:ascii="宋体" w:hAnsi="宋体" w:eastAsia="宋体" w:cs="宋体"/>
          <w:sz w:val="24"/>
          <w:szCs w:val="24"/>
          <w:lang w:val="en-US" w:eastAsia="zh-CN"/>
        </w:rPr>
        <w:t>，并完成CA数字证书（符合国密标准）申领。因未注册入库、未办理CA数字证书等原因造成无法投标或投标失败等后果由</w:t>
      </w:r>
      <w:r>
        <w:rPr>
          <w:rFonts w:hint="eastAsia" w:ascii="宋体" w:hAnsi="宋体" w:cs="宋体"/>
          <w:sz w:val="24"/>
          <w:szCs w:val="24"/>
          <w:lang w:val="en-US" w:eastAsia="zh-CN"/>
        </w:rPr>
        <w:t>供应商</w:t>
      </w:r>
      <w:r>
        <w:rPr>
          <w:rFonts w:hint="eastAsia" w:ascii="宋体" w:hAnsi="宋体" w:eastAsia="宋体" w:cs="宋体"/>
          <w:sz w:val="24"/>
          <w:szCs w:val="24"/>
          <w:lang w:val="en-US" w:eastAsia="zh-CN"/>
        </w:rPr>
        <w:t>自行承担。</w:t>
      </w:r>
    </w:p>
    <w:p w14:paraId="4ACDBCDB">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cs="宋体"/>
          <w:sz w:val="24"/>
          <w:szCs w:val="24"/>
          <w:lang w:val="en-US" w:eastAsia="zh-CN"/>
        </w:rPr>
      </w:pPr>
      <w:r>
        <w:rPr>
          <w:rFonts w:hint="eastAsia" w:ascii="宋体" w:hAnsi="宋体" w:cs="宋体"/>
          <w:sz w:val="24"/>
          <w:szCs w:val="24"/>
          <w:lang w:val="en-US" w:eastAsia="zh-CN"/>
        </w:rPr>
        <w:t>供应商</w:t>
      </w:r>
      <w:r>
        <w:rPr>
          <w:rFonts w:hint="eastAsia" w:ascii="宋体" w:hAnsi="宋体" w:eastAsia="宋体" w:cs="宋体"/>
          <w:sz w:val="24"/>
          <w:szCs w:val="24"/>
          <w:lang w:val="en-US" w:eastAsia="zh-CN"/>
        </w:rPr>
        <w:t>可前往新疆政府采购网（http：//www.ccgp-xinjiang.gov.cn/） 下载专区，下载政采</w:t>
      </w:r>
      <w:r>
        <w:rPr>
          <w:rFonts w:hint="eastAsia" w:ascii="宋体" w:hAnsi="宋体" w:cs="宋体"/>
          <w:sz w:val="24"/>
          <w:szCs w:val="24"/>
          <w:lang w:val="en-US" w:eastAsia="zh-CN"/>
        </w:rPr>
        <w:t>云电子投标客户端，安装完成后，可通过账号密码或CA登录客户端进行投标文件制作。在使用政采云电子投标客户端时，建议使用WIN7及以上操作系统。如需咨询，请联系新疆CA服务热线0991-2819290。</w:t>
      </w:r>
    </w:p>
    <w:p w14:paraId="3D1053C4">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cs="宋体"/>
          <w:sz w:val="24"/>
          <w:szCs w:val="24"/>
          <w:lang w:val="en-US" w:eastAsia="zh-CN"/>
        </w:rPr>
      </w:pPr>
      <w:r>
        <w:rPr>
          <w:rFonts w:hint="eastAsia" w:ascii="宋体" w:hAnsi="宋体" w:cs="宋体"/>
          <w:sz w:val="24"/>
          <w:szCs w:val="24"/>
          <w:lang w:val="en-US" w:eastAsia="zh-CN"/>
        </w:rPr>
        <w:t>本项目采用不见面开标，供应商须在投标截止时间前通过CA在政采云平台上传加密的电子投标文件。供应商对不见面开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0A387872">
      <w:pPr>
        <w:keepNext w:val="0"/>
        <w:keepLines w:val="0"/>
        <w:pageBreakBefore w:val="0"/>
        <w:widowControl w:val="0"/>
        <w:numPr>
          <w:ilvl w:val="0"/>
          <w:numId w:val="4"/>
        </w:numP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cs="宋体"/>
          <w:sz w:val="24"/>
          <w:szCs w:val="24"/>
          <w:lang w:val="en-US" w:eastAsia="zh-CN"/>
        </w:rPr>
      </w:pPr>
      <w:r>
        <w:rPr>
          <w:rFonts w:hint="eastAsia" w:ascii="宋体" w:hAnsi="宋体" w:cs="宋体"/>
          <w:sz w:val="24"/>
          <w:szCs w:val="24"/>
          <w:lang w:val="en-US" w:eastAsia="zh-CN"/>
        </w:rPr>
        <w:t>供应商在开标前须提前配置好电脑浏览器，开标时请使用制作加密电子投标文件的CA锁进行解密及报价确认。本项目投标文件解密时间定为30分钟，如因自身原因导致无法正常解密，后果由供应商自行承担。</w:t>
      </w:r>
    </w:p>
    <w:p w14:paraId="16F9F8BB">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特别提示：</w:t>
      </w:r>
    </w:p>
    <w:p w14:paraId="7CE6D404">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采购限额标准以上，200万元以下的货物和服务采购项目、400万元以下的工程采购项目，适宜由中小企业提供的，采购人应当专门面向中小企业采购。</w:t>
      </w:r>
    </w:p>
    <w:p w14:paraId="43A7E996">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超过200万元的货物和服务采购项目、超过400万元的工程采购项目中适宜由中小企业提供的，预留该部分采购项目预算总额的30%以上专门面向中小企业采购，其中预留给小微企业的比例不低于60%。</w:t>
      </w:r>
    </w:p>
    <w:p w14:paraId="40EB230C">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12A0320">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00" w:firstLineChars="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lang w:val="en-US" w:eastAsia="zh-CN"/>
        </w:rPr>
        <w:t>接受大中型企业与小微企业组成联</w:t>
      </w:r>
      <w:r>
        <w:rPr>
          <w:rFonts w:hint="eastAsia" w:ascii="宋体" w:hAnsi="宋体" w:eastAsia="宋体" w:cs="宋体"/>
          <w:sz w:val="24"/>
          <w:szCs w:val="24"/>
          <w:highlight w:val="none"/>
          <w:lang w:val="en-US" w:eastAsia="zh-CN"/>
        </w:rPr>
        <w:t>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  </w:t>
      </w:r>
    </w:p>
    <w:p w14:paraId="034AF4D3">
      <w:pPr>
        <w:keepNext w:val="0"/>
        <w:keepLines w:val="0"/>
        <w:pageBreakBefore w:val="0"/>
        <w:widowControl w:val="0"/>
        <w:kinsoku/>
        <w:wordWrap w:val="0"/>
        <w:overflowPunct/>
        <w:topLinePunct/>
        <w:bidi w:val="0"/>
        <w:snapToGrid/>
        <w:spacing w:line="360" w:lineRule="auto"/>
        <w:rPr>
          <w:rFonts w:hint="eastAsia" w:ascii="宋体" w:hAnsi="宋体" w:eastAsia="宋体" w:cs="宋体"/>
          <w:b/>
          <w:bCs w:val="0"/>
          <w:color w:val="000000"/>
          <w:sz w:val="24"/>
          <w:szCs w:val="24"/>
          <w:highlight w:val="none"/>
          <w:lang w:val="en-US" w:eastAsia="zh-CN"/>
        </w:rPr>
      </w:pPr>
      <w:r>
        <w:rPr>
          <w:rFonts w:hint="eastAsia" w:ascii="宋体" w:hAnsi="宋体" w:eastAsia="宋体" w:cs="宋体"/>
          <w:b/>
          <w:bCs w:val="0"/>
          <w:color w:val="000000"/>
          <w:sz w:val="24"/>
          <w:szCs w:val="24"/>
          <w:highlight w:val="none"/>
          <w:lang w:val="en-US" w:eastAsia="zh-CN"/>
        </w:rPr>
        <w:t>七、凡对本次采购提出询问，请按以下方式联系。</w:t>
      </w:r>
      <w:bookmarkEnd w:id="36"/>
      <w:bookmarkEnd w:id="37"/>
    </w:p>
    <w:p w14:paraId="1C3E2497">
      <w:pPr>
        <w:keepNext w:val="0"/>
        <w:keepLines w:val="0"/>
        <w:pageBreakBefore w:val="0"/>
        <w:widowControl w:val="0"/>
        <w:kinsoku/>
        <w:overflowPunct/>
        <w:bidi w:val="0"/>
        <w:snapToGrid/>
        <w:spacing w:line="360" w:lineRule="auto"/>
        <w:ind w:firstLine="480" w:firstLineChars="200"/>
        <w:rPr>
          <w:rFonts w:hint="eastAsia" w:ascii="宋体" w:hAnsi="宋体" w:eastAsia="宋体" w:cs="宋体"/>
          <w:sz w:val="24"/>
          <w:szCs w:val="24"/>
          <w:highlight w:val="none"/>
          <w:lang w:val="en-US" w:eastAsia="zh-CN"/>
        </w:rPr>
      </w:pPr>
      <w:bookmarkStart w:id="38" w:name="_Toc20031"/>
      <w:r>
        <w:rPr>
          <w:rFonts w:hint="eastAsia" w:ascii="宋体" w:hAnsi="宋体" w:eastAsia="宋体" w:cs="宋体"/>
          <w:sz w:val="24"/>
          <w:szCs w:val="24"/>
          <w:highlight w:val="none"/>
          <w:lang w:val="en-US" w:eastAsia="zh-CN"/>
        </w:rPr>
        <w:t>1.采购人信息</w:t>
      </w:r>
      <w:bookmarkEnd w:id="38"/>
    </w:p>
    <w:p w14:paraId="31B688D7">
      <w:pPr>
        <w:tabs>
          <w:tab w:val="left" w:pos="360"/>
        </w:tabs>
        <w:spacing w:line="360" w:lineRule="auto"/>
        <w:ind w:firstLine="480" w:firstLineChars="200"/>
        <w:jc w:val="left"/>
        <w:rPr>
          <w:rFonts w:hint="default" w:ascii="宋体" w:hAnsi="宋体" w:eastAsia="宋体" w:cs="宋体"/>
          <w:kern w:val="0"/>
          <w:sz w:val="24"/>
          <w:highlight w:val="none"/>
          <w:lang w:val="en-US" w:eastAsia="zh-CN"/>
        </w:rPr>
      </w:pPr>
      <w:bookmarkStart w:id="39" w:name="_Toc28359086"/>
      <w:bookmarkStart w:id="40" w:name="_Toc18899"/>
      <w:bookmarkStart w:id="41" w:name="_Toc28359009"/>
      <w:r>
        <w:rPr>
          <w:rFonts w:hint="eastAsia" w:ascii="宋体" w:hAnsi="宋体" w:eastAsia="宋体" w:cs="宋体"/>
          <w:kern w:val="0"/>
          <w:sz w:val="24"/>
          <w:highlight w:val="none"/>
          <w:lang w:val="en-US" w:eastAsia="zh-CN"/>
        </w:rPr>
        <w:t>名    称</w:t>
      </w:r>
      <w:r>
        <w:rPr>
          <w:rFonts w:hint="eastAsia" w:ascii="宋体" w:hAnsi="宋体" w:eastAsia="宋体" w:cs="宋体"/>
          <w:kern w:val="0"/>
          <w:sz w:val="24"/>
          <w:highlight w:val="none"/>
          <w:lang w:eastAsia="zh-CN"/>
        </w:rPr>
        <w:t>：</w:t>
      </w:r>
      <w:r>
        <w:rPr>
          <w:rFonts w:hint="eastAsia" w:ascii="宋体" w:hAnsi="宋体" w:cs="宋体"/>
          <w:kern w:val="0"/>
          <w:sz w:val="24"/>
          <w:highlight w:val="none"/>
          <w:lang w:val="en-US" w:eastAsia="zh-CN"/>
        </w:rPr>
        <w:t>塔城市自然资源局</w:t>
      </w:r>
    </w:p>
    <w:p w14:paraId="59FD76E1">
      <w:pPr>
        <w:tabs>
          <w:tab w:val="left" w:pos="360"/>
        </w:tabs>
        <w:spacing w:line="360" w:lineRule="auto"/>
        <w:ind w:firstLine="480" w:firstLineChars="200"/>
        <w:jc w:val="left"/>
        <w:rPr>
          <w:rFonts w:hint="default" w:ascii="宋体" w:hAnsi="宋体" w:eastAsia="宋体" w:cs="宋体"/>
          <w:kern w:val="0"/>
          <w:sz w:val="24"/>
          <w:highlight w:val="none"/>
          <w:lang w:val="en-US" w:eastAsia="zh-CN"/>
        </w:rPr>
      </w:pPr>
      <w:r>
        <w:rPr>
          <w:rFonts w:hint="eastAsia" w:ascii="宋体" w:hAnsi="宋体" w:eastAsia="宋体" w:cs="宋体"/>
          <w:kern w:val="0"/>
          <w:sz w:val="24"/>
          <w:highlight w:val="none"/>
          <w:lang w:eastAsia="zh-CN"/>
        </w:rPr>
        <w:t>联系电话：</w:t>
      </w:r>
      <w:r>
        <w:rPr>
          <w:rFonts w:hint="eastAsia" w:ascii="宋体" w:hAnsi="宋体" w:cs="宋体"/>
          <w:kern w:val="0"/>
          <w:sz w:val="24"/>
          <w:highlight w:val="none"/>
          <w:lang w:val="en-US" w:eastAsia="zh-CN"/>
        </w:rPr>
        <w:t>15022807786</w:t>
      </w:r>
    </w:p>
    <w:p w14:paraId="6ADC0949">
      <w:pPr>
        <w:tabs>
          <w:tab w:val="left" w:pos="360"/>
        </w:tabs>
        <w:spacing w:line="360" w:lineRule="auto"/>
        <w:ind w:firstLine="480" w:firstLineChars="200"/>
        <w:jc w:val="left"/>
        <w:rPr>
          <w:rFonts w:hint="eastAsia" w:ascii="宋体" w:hAnsi="宋体" w:eastAsia="宋体" w:cs="宋体"/>
          <w:kern w:val="0"/>
          <w:sz w:val="24"/>
          <w:highlight w:val="none"/>
          <w:lang w:eastAsia="zh-CN"/>
        </w:rPr>
      </w:pPr>
      <w:r>
        <w:rPr>
          <w:rFonts w:hint="eastAsia" w:ascii="宋体" w:hAnsi="宋体" w:eastAsia="宋体" w:cs="宋体"/>
          <w:kern w:val="0"/>
          <w:sz w:val="24"/>
          <w:highlight w:val="none"/>
          <w:lang w:eastAsia="zh-CN"/>
        </w:rPr>
        <w:t>地    址：</w:t>
      </w:r>
      <w:r>
        <w:rPr>
          <w:rFonts w:hint="eastAsia" w:ascii="宋体" w:hAnsi="宋体" w:eastAsia="宋体" w:cs="宋体"/>
          <w:kern w:val="0"/>
          <w:sz w:val="24"/>
          <w:highlight w:val="none"/>
          <w:lang w:val="en-US" w:eastAsia="zh-CN"/>
        </w:rPr>
        <w:t>新疆塔城地区塔城市红楼街1号</w:t>
      </w:r>
    </w:p>
    <w:p w14:paraId="05D66895">
      <w:pPr>
        <w:tabs>
          <w:tab w:val="left" w:pos="360"/>
        </w:tabs>
        <w:spacing w:line="360" w:lineRule="auto"/>
        <w:ind w:firstLine="480" w:firstLineChars="200"/>
        <w:jc w:val="left"/>
        <w:rPr>
          <w:rFonts w:hint="eastAsia" w:ascii="宋体" w:hAnsi="宋体" w:eastAsia="宋体" w:cs="宋体"/>
          <w:kern w:val="0"/>
          <w:sz w:val="24"/>
          <w:highlight w:val="none"/>
          <w:lang w:eastAsia="zh-CN"/>
        </w:rPr>
      </w:pPr>
    </w:p>
    <w:p w14:paraId="392A1643">
      <w:pPr>
        <w:keepNext w:val="0"/>
        <w:keepLines w:val="0"/>
        <w:pageBreakBefore w:val="0"/>
        <w:widowControl w:val="0"/>
        <w:kinsoku/>
        <w:overflowPunct/>
        <w:bidi w:val="0"/>
        <w:snapToGrid/>
        <w:spacing w:line="360" w:lineRule="auto"/>
        <w:ind w:firstLine="480" w:firstLineChars="200"/>
        <w:rPr>
          <w:rFonts w:hint="eastAsia" w:ascii="宋体" w:hAnsi="宋体" w:eastAsia="宋体" w:cs="宋体"/>
          <w:sz w:val="24"/>
          <w:szCs w:val="24"/>
          <w:highlight w:val="none"/>
          <w:lang w:val="en-US" w:eastAsia="zh-CN"/>
        </w:rPr>
      </w:pPr>
    </w:p>
    <w:p w14:paraId="34FA2AAE">
      <w:pPr>
        <w:keepNext w:val="0"/>
        <w:keepLines w:val="0"/>
        <w:pageBreakBefore w:val="0"/>
        <w:widowControl w:val="0"/>
        <w:kinsoku/>
        <w:overflowPunct/>
        <w:bidi w:val="0"/>
        <w:snapToGrid/>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2.采购代理机构信息</w:t>
      </w:r>
      <w:bookmarkEnd w:id="39"/>
      <w:bookmarkEnd w:id="40"/>
      <w:bookmarkEnd w:id="41"/>
    </w:p>
    <w:p w14:paraId="509362DD">
      <w:pPr>
        <w:keepNext w:val="0"/>
        <w:keepLines w:val="0"/>
        <w:pageBreakBefore w:val="0"/>
        <w:widowControl w:val="0"/>
        <w:kinsoku/>
        <w:overflowPunct/>
        <w:bidi w:val="0"/>
        <w:snapToGrid/>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名</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称：</w:t>
      </w:r>
      <w:r>
        <w:rPr>
          <w:rFonts w:hint="eastAsia" w:ascii="宋体" w:hAnsi="宋体" w:cs="宋体"/>
          <w:sz w:val="24"/>
          <w:szCs w:val="24"/>
          <w:highlight w:val="none"/>
          <w:lang w:val="en-US" w:eastAsia="zh-CN"/>
        </w:rPr>
        <w:t>新疆新咨工程咨询有限公司</w:t>
      </w:r>
    </w:p>
    <w:p w14:paraId="16175D62">
      <w:pPr>
        <w:keepNext w:val="0"/>
        <w:keepLines w:val="0"/>
        <w:pageBreakBefore w:val="0"/>
        <w:widowControl w:val="0"/>
        <w:kinsoku/>
        <w:overflowPunct/>
        <w:bidi w:val="0"/>
        <w:snapToGrid/>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地</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址：</w:t>
      </w:r>
      <w:r>
        <w:rPr>
          <w:rFonts w:hint="eastAsia" w:ascii="宋体" w:hAnsi="宋体" w:cs="宋体"/>
          <w:sz w:val="24"/>
          <w:szCs w:val="24"/>
          <w:highlight w:val="none"/>
          <w:lang w:val="en-US" w:eastAsia="zh-CN"/>
        </w:rPr>
        <w:t>塔城市农民小区社区办公楼一楼</w:t>
      </w:r>
    </w:p>
    <w:p w14:paraId="269C04D1">
      <w:pPr>
        <w:keepNext w:val="0"/>
        <w:keepLines w:val="0"/>
        <w:pageBreakBefore w:val="0"/>
        <w:widowControl w:val="0"/>
        <w:kinsoku/>
        <w:overflowPunct/>
        <w:bidi w:val="0"/>
        <w:snapToGrid/>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联系方式：</w:t>
      </w:r>
      <w:r>
        <w:rPr>
          <w:rFonts w:hint="eastAsia" w:ascii="宋体" w:hAnsi="宋体" w:cs="宋体"/>
          <w:sz w:val="24"/>
          <w:szCs w:val="24"/>
          <w:highlight w:val="none"/>
          <w:lang w:val="en-US" w:eastAsia="zh-CN"/>
        </w:rPr>
        <w:t>13199900322</w:t>
      </w:r>
    </w:p>
    <w:p w14:paraId="099A0833">
      <w:pPr>
        <w:keepNext w:val="0"/>
        <w:keepLines w:val="0"/>
        <w:pageBreakBefore w:val="0"/>
        <w:widowControl w:val="0"/>
        <w:kinsoku/>
        <w:wordWrap w:val="0"/>
        <w:overflowPunct/>
        <w:topLinePunct/>
        <w:autoSpaceDE/>
        <w:autoSpaceDN/>
        <w:bidi w:val="0"/>
        <w:adjustRightInd/>
        <w:snapToGrid/>
        <w:spacing w:line="400" w:lineRule="exact"/>
        <w:ind w:firstLine="480" w:firstLineChars="200"/>
        <w:textAlignment w:val="auto"/>
        <w:rPr>
          <w:rFonts w:hint="eastAsia" w:ascii="宋体" w:hAnsi="宋体" w:eastAsia="宋体" w:cs="宋体"/>
          <w:kern w:val="2"/>
          <w:sz w:val="24"/>
          <w:highlight w:val="none"/>
          <w:lang w:val="en-US" w:eastAsia="zh-CN" w:bidi="ar-SA"/>
        </w:rPr>
      </w:pPr>
    </w:p>
    <w:p w14:paraId="0034D57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bookmarkStart w:id="42" w:name="_Toc28359021"/>
      <w:bookmarkStart w:id="43" w:name="_Toc35393639"/>
      <w:bookmarkStart w:id="44" w:name="_Toc28359098"/>
      <w:bookmarkStart w:id="45" w:name="_Toc35393808"/>
      <w:bookmarkStart w:id="46" w:name="_Toc2952"/>
      <w:bookmarkStart w:id="47" w:name="_Toc2401"/>
      <w:bookmarkStart w:id="48" w:name="_Toc22784"/>
      <w:bookmarkStart w:id="49" w:name="_Toc27035"/>
      <w:r>
        <w:rPr>
          <w:rFonts w:hint="eastAsia" w:ascii="宋体" w:hAnsi="宋体" w:eastAsia="宋体" w:cs="宋体"/>
          <w:color w:val="auto"/>
          <w:sz w:val="24"/>
          <w:szCs w:val="24"/>
          <w:highlight w:val="none"/>
          <w:lang w:val="en-US" w:eastAsia="zh-CN"/>
        </w:rPr>
        <w:t>3.项目联系方式</w:t>
      </w:r>
      <w:bookmarkEnd w:id="42"/>
      <w:bookmarkEnd w:id="43"/>
      <w:bookmarkEnd w:id="44"/>
      <w:bookmarkEnd w:id="45"/>
    </w:p>
    <w:p w14:paraId="66C154BA">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项目联系人：</w:t>
      </w:r>
      <w:r>
        <w:rPr>
          <w:rFonts w:hint="eastAsia" w:ascii="宋体" w:hAnsi="宋体" w:cs="宋体"/>
          <w:color w:val="auto"/>
          <w:kern w:val="0"/>
          <w:sz w:val="24"/>
          <w:highlight w:val="none"/>
          <w:lang w:val="en-US" w:eastAsia="zh-CN"/>
        </w:rPr>
        <w:t>王倩</w:t>
      </w:r>
      <w:r>
        <w:rPr>
          <w:rFonts w:hint="eastAsia" w:ascii="宋体" w:hAnsi="宋体" w:eastAsia="宋体" w:cs="宋体"/>
          <w:color w:val="auto"/>
          <w:kern w:val="0"/>
          <w:sz w:val="24"/>
          <w:highlight w:val="none"/>
          <w:lang w:val="en-US" w:eastAsia="zh-CN"/>
        </w:rPr>
        <w:t>（采购人）</w:t>
      </w:r>
      <w:r>
        <w:rPr>
          <w:rFonts w:hint="eastAsia" w:ascii="宋体" w:hAnsi="宋体" w:cs="宋体"/>
          <w:color w:val="auto"/>
          <w:kern w:val="0"/>
          <w:sz w:val="24"/>
          <w:highlight w:val="none"/>
          <w:lang w:val="en-US" w:eastAsia="zh-CN"/>
        </w:rPr>
        <w:t>陈鑫 、秦玉欣</w:t>
      </w:r>
      <w:r>
        <w:rPr>
          <w:rFonts w:hint="eastAsia" w:ascii="宋体" w:hAnsi="宋体" w:eastAsia="宋体" w:cs="宋体"/>
          <w:color w:val="auto"/>
          <w:kern w:val="0"/>
          <w:sz w:val="24"/>
          <w:highlight w:val="none"/>
          <w:lang w:eastAsia="zh-CN"/>
        </w:rPr>
        <w:t>（采购代理机构）</w:t>
      </w:r>
    </w:p>
    <w:p w14:paraId="78C97768">
      <w:pPr>
        <w:keepNext w:val="0"/>
        <w:keepLines w:val="0"/>
        <w:pageBreakBefore w:val="0"/>
        <w:widowControl w:val="0"/>
        <w:kinsoku/>
        <w:overflowPunct/>
        <w:bidi w:val="0"/>
        <w:snapToGrid/>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color w:val="auto"/>
          <w:sz w:val="24"/>
          <w:szCs w:val="24"/>
          <w:highlight w:val="none"/>
          <w:lang w:val="en-US" w:eastAsia="zh-CN"/>
        </w:rPr>
        <w:t>电      话：</w:t>
      </w:r>
      <w:r>
        <w:rPr>
          <w:rFonts w:hint="eastAsia" w:ascii="宋体" w:hAnsi="宋体" w:cs="宋体"/>
          <w:color w:val="auto"/>
          <w:sz w:val="24"/>
          <w:szCs w:val="24"/>
          <w:highlight w:val="none"/>
          <w:lang w:val="en-US" w:eastAsia="zh-CN"/>
        </w:rPr>
        <w:t>13199900322</w:t>
      </w:r>
    </w:p>
    <w:p w14:paraId="3A8C1B6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highlight w:val="none"/>
          <w:lang w:val="en-US" w:eastAsia="zh-CN"/>
        </w:rPr>
      </w:pPr>
    </w:p>
    <w:p w14:paraId="238A04DD">
      <w:pPr>
        <w:pStyle w:val="3"/>
        <w:jc w:val="center"/>
        <w:rPr>
          <w:rFonts w:hint="eastAsia" w:ascii="宋体" w:hAnsi="宋体" w:cs="宋体"/>
          <w:sz w:val="44"/>
          <w:highlight w:val="none"/>
        </w:rPr>
      </w:pPr>
      <w:bookmarkStart w:id="50" w:name="_Toc31507"/>
      <w:bookmarkStart w:id="51" w:name="_Toc27273"/>
      <w:r>
        <w:rPr>
          <w:rFonts w:hint="eastAsia" w:ascii="宋体" w:hAnsi="宋体" w:eastAsia="宋体" w:cs="宋体"/>
          <w:b/>
          <w:bCs/>
          <w:kern w:val="0"/>
          <w:sz w:val="36"/>
          <w:szCs w:val="36"/>
          <w:highlight w:val="none"/>
          <w:lang w:val="en-US" w:eastAsia="zh-CN" w:bidi="ar-SA"/>
        </w:rPr>
        <w:t>第二章、供应商须知</w:t>
      </w:r>
      <w:bookmarkEnd w:id="46"/>
      <w:bookmarkEnd w:id="47"/>
      <w:bookmarkEnd w:id="48"/>
      <w:bookmarkEnd w:id="49"/>
      <w:bookmarkEnd w:id="50"/>
      <w:bookmarkEnd w:id="51"/>
    </w:p>
    <w:p w14:paraId="391DE0E2">
      <w:pPr>
        <w:jc w:val="center"/>
        <w:outlineLvl w:val="9"/>
        <w:rPr>
          <w:rFonts w:hint="eastAsia" w:ascii="宋体" w:hAnsi="宋体" w:eastAsia="宋体" w:cs="宋体"/>
          <w:b w:val="0"/>
          <w:bCs w:val="0"/>
          <w:kern w:val="2"/>
          <w:sz w:val="32"/>
          <w:szCs w:val="32"/>
          <w:highlight w:val="none"/>
          <w:lang w:val="en-US" w:eastAsia="zh-CN" w:bidi="ar-SA"/>
        </w:rPr>
      </w:pPr>
      <w:bookmarkStart w:id="52" w:name="_Toc15212"/>
      <w:r>
        <w:rPr>
          <w:rFonts w:hint="eastAsia" w:ascii="宋体" w:hAnsi="宋体" w:eastAsia="宋体" w:cs="宋体"/>
          <w:b w:val="0"/>
          <w:bCs w:val="0"/>
          <w:kern w:val="2"/>
          <w:sz w:val="32"/>
          <w:szCs w:val="32"/>
          <w:highlight w:val="none"/>
          <w:lang w:val="en-US" w:eastAsia="zh-CN" w:bidi="ar-SA"/>
        </w:rPr>
        <w:t>前附表</w:t>
      </w:r>
      <w:bookmarkEnd w:id="52"/>
    </w:p>
    <w:tbl>
      <w:tblPr>
        <w:tblStyle w:val="24"/>
        <w:tblW w:w="104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
        <w:gridCol w:w="9685"/>
      </w:tblGrid>
      <w:tr w14:paraId="77E8A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755" w:type="dxa"/>
            <w:vAlign w:val="center"/>
          </w:tcPr>
          <w:p w14:paraId="64324615">
            <w:pPr>
              <w:pStyle w:val="12"/>
              <w:spacing w:line="240" w:lineRule="auto"/>
              <w:jc w:val="center"/>
              <w:rPr>
                <w:rFonts w:hint="eastAsia" w:hAnsi="宋体" w:eastAsia="宋体" w:cs="宋体"/>
                <w:sz w:val="24"/>
                <w:szCs w:val="24"/>
                <w:highlight w:val="none"/>
                <w:lang w:eastAsia="zh-CN"/>
              </w:rPr>
            </w:pPr>
            <w:r>
              <w:rPr>
                <w:rFonts w:hint="eastAsia" w:hAnsi="宋体" w:cs="宋体"/>
                <w:sz w:val="24"/>
                <w:szCs w:val="24"/>
                <w:highlight w:val="none"/>
                <w:lang w:eastAsia="zh-CN"/>
              </w:rPr>
              <w:t>序号</w:t>
            </w:r>
          </w:p>
        </w:tc>
        <w:tc>
          <w:tcPr>
            <w:tcW w:w="9685" w:type="dxa"/>
            <w:vAlign w:val="center"/>
          </w:tcPr>
          <w:p w14:paraId="464B1417">
            <w:pPr>
              <w:pStyle w:val="12"/>
              <w:spacing w:line="240" w:lineRule="auto"/>
              <w:jc w:val="center"/>
              <w:rPr>
                <w:rFonts w:hint="eastAsia" w:hAnsi="宋体" w:cs="宋体"/>
                <w:sz w:val="24"/>
                <w:szCs w:val="24"/>
                <w:highlight w:val="none"/>
              </w:rPr>
            </w:pPr>
            <w:r>
              <w:rPr>
                <w:rFonts w:hint="eastAsia" w:hAnsi="宋体" w:cs="宋体"/>
                <w:sz w:val="24"/>
                <w:szCs w:val="24"/>
                <w:highlight w:val="none"/>
              </w:rPr>
              <w:t>内容规定</w:t>
            </w:r>
          </w:p>
        </w:tc>
      </w:tr>
      <w:tr w14:paraId="4F2EB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755" w:type="dxa"/>
            <w:vAlign w:val="center"/>
          </w:tcPr>
          <w:p w14:paraId="2A3F5C91">
            <w:pPr>
              <w:pStyle w:val="12"/>
              <w:spacing w:line="240" w:lineRule="auto"/>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1</w:t>
            </w:r>
          </w:p>
        </w:tc>
        <w:tc>
          <w:tcPr>
            <w:tcW w:w="9685" w:type="dxa"/>
            <w:vAlign w:val="center"/>
          </w:tcPr>
          <w:p w14:paraId="6C875112">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项目名称：</w:t>
            </w:r>
            <w:r>
              <w:rPr>
                <w:rFonts w:hint="eastAsia" w:hAnsi="宋体" w:cs="宋体"/>
                <w:bCs/>
                <w:sz w:val="24"/>
                <w:szCs w:val="24"/>
                <w:highlight w:val="none"/>
                <w:lang w:eastAsia="zh-CN"/>
              </w:rPr>
              <w:t>塔城市2024年度国土变更调查项目</w:t>
            </w:r>
          </w:p>
          <w:p w14:paraId="7EB71550">
            <w:pPr>
              <w:pStyle w:val="12"/>
              <w:spacing w:line="360" w:lineRule="auto"/>
              <w:rPr>
                <w:rFonts w:hint="default" w:ascii="宋体" w:hAnsi="宋体" w:eastAsia="宋体" w:cs="宋体"/>
                <w:bCs/>
                <w:sz w:val="24"/>
                <w:szCs w:val="24"/>
                <w:highlight w:val="none"/>
                <w:lang w:val="en-US" w:eastAsia="zh-CN"/>
              </w:rPr>
            </w:pPr>
            <w:r>
              <w:rPr>
                <w:rFonts w:hint="eastAsia" w:ascii="宋体" w:hAnsi="宋体" w:eastAsia="宋体" w:cs="宋体"/>
                <w:bCs/>
                <w:sz w:val="24"/>
                <w:szCs w:val="24"/>
                <w:highlight w:val="none"/>
              </w:rPr>
              <w:t>竞争性磋商文件编号：</w:t>
            </w:r>
            <w:r>
              <w:rPr>
                <w:rFonts w:hint="eastAsia" w:hAnsi="宋体" w:cs="宋体"/>
                <w:bCs/>
                <w:sz w:val="24"/>
                <w:szCs w:val="24"/>
                <w:highlight w:val="none"/>
                <w:lang w:val="en-US" w:eastAsia="zh-CN"/>
              </w:rPr>
              <w:t>XZZB-FW-2025008</w:t>
            </w:r>
          </w:p>
        </w:tc>
      </w:tr>
      <w:tr w14:paraId="074CE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755" w:type="dxa"/>
            <w:vAlign w:val="center"/>
          </w:tcPr>
          <w:p w14:paraId="375AB3EF">
            <w:pPr>
              <w:pStyle w:val="12"/>
              <w:spacing w:line="240" w:lineRule="auto"/>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2</w:t>
            </w:r>
          </w:p>
        </w:tc>
        <w:tc>
          <w:tcPr>
            <w:tcW w:w="9685" w:type="dxa"/>
            <w:vAlign w:val="top"/>
          </w:tcPr>
          <w:p w14:paraId="78A1E723">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采</w:t>
            </w:r>
            <w:r>
              <w:rPr>
                <w:rFonts w:hint="eastAsia" w:hAnsi="宋体" w:eastAsia="宋体" w:cs="宋体"/>
                <w:bCs/>
                <w:sz w:val="24"/>
                <w:szCs w:val="24"/>
                <w:highlight w:val="none"/>
                <w:lang w:val="en-US" w:eastAsia="zh-CN"/>
              </w:rPr>
              <w:t xml:space="preserve"> </w:t>
            </w:r>
            <w:r>
              <w:rPr>
                <w:rFonts w:hint="eastAsia" w:ascii="宋体" w:hAnsi="宋体" w:eastAsia="宋体" w:cs="宋体"/>
                <w:bCs/>
                <w:sz w:val="24"/>
                <w:szCs w:val="24"/>
                <w:highlight w:val="none"/>
              </w:rPr>
              <w:t>购</w:t>
            </w:r>
            <w:r>
              <w:rPr>
                <w:rFonts w:hint="eastAsia" w:hAnsi="宋体" w:eastAsia="宋体" w:cs="宋体"/>
                <w:bCs/>
                <w:sz w:val="24"/>
                <w:szCs w:val="24"/>
                <w:highlight w:val="none"/>
                <w:lang w:val="en-US" w:eastAsia="zh-CN"/>
              </w:rPr>
              <w:t xml:space="preserve"> </w:t>
            </w:r>
            <w:r>
              <w:rPr>
                <w:rFonts w:hint="eastAsia" w:ascii="宋体" w:hAnsi="宋体" w:eastAsia="宋体" w:cs="宋体"/>
                <w:bCs/>
                <w:sz w:val="24"/>
                <w:szCs w:val="24"/>
                <w:highlight w:val="none"/>
              </w:rPr>
              <w:t>人：</w:t>
            </w:r>
            <w:r>
              <w:rPr>
                <w:rFonts w:hint="eastAsia" w:hAnsi="宋体" w:cs="宋体"/>
                <w:bCs/>
                <w:sz w:val="24"/>
                <w:szCs w:val="24"/>
                <w:highlight w:val="none"/>
                <w:lang w:val="en-US" w:eastAsia="zh-CN"/>
              </w:rPr>
              <w:t>塔城市自然资源局</w:t>
            </w:r>
          </w:p>
          <w:p w14:paraId="242BECA8">
            <w:pPr>
              <w:pStyle w:val="12"/>
              <w:spacing w:line="360" w:lineRule="auto"/>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rPr>
              <w:t>地</w:t>
            </w:r>
            <w:r>
              <w:rPr>
                <w:rFonts w:hint="eastAsia" w:hAnsi="宋体" w:eastAsia="宋体" w:cs="宋体"/>
                <w:bCs/>
                <w:sz w:val="24"/>
                <w:szCs w:val="24"/>
                <w:highlight w:val="none"/>
                <w:lang w:val="en-US" w:eastAsia="zh-CN"/>
              </w:rPr>
              <w:t xml:space="preserve">    </w:t>
            </w:r>
            <w:r>
              <w:rPr>
                <w:rFonts w:hint="eastAsia" w:ascii="宋体" w:hAnsi="宋体" w:eastAsia="宋体" w:cs="宋体"/>
                <w:bCs/>
                <w:sz w:val="24"/>
                <w:szCs w:val="24"/>
                <w:highlight w:val="none"/>
              </w:rPr>
              <w:t>址：</w:t>
            </w:r>
            <w:r>
              <w:rPr>
                <w:rFonts w:hint="eastAsia" w:hAnsi="宋体" w:cs="宋体"/>
                <w:bCs/>
                <w:sz w:val="24"/>
                <w:szCs w:val="24"/>
                <w:highlight w:val="none"/>
                <w:lang w:val="en-US" w:eastAsia="zh-CN"/>
              </w:rPr>
              <w:t>新疆塔城地区塔城市红楼街1号</w:t>
            </w:r>
          </w:p>
          <w:p w14:paraId="346B3D04">
            <w:pPr>
              <w:pStyle w:val="12"/>
              <w:spacing w:line="360" w:lineRule="auto"/>
              <w:rPr>
                <w:rFonts w:hint="default" w:hAnsi="宋体" w:eastAsia="宋体" w:cs="宋体"/>
                <w:bCs/>
                <w:sz w:val="24"/>
                <w:szCs w:val="24"/>
                <w:highlight w:val="none"/>
                <w:lang w:val="en-US" w:eastAsia="zh-CN"/>
              </w:rPr>
            </w:pPr>
            <w:r>
              <w:rPr>
                <w:rFonts w:hint="eastAsia" w:ascii="宋体" w:hAnsi="宋体" w:eastAsia="宋体" w:cs="宋体"/>
                <w:bCs/>
                <w:sz w:val="24"/>
                <w:szCs w:val="24"/>
                <w:highlight w:val="none"/>
              </w:rPr>
              <w:t>联</w:t>
            </w:r>
            <w:r>
              <w:rPr>
                <w:rFonts w:hint="eastAsia" w:hAnsi="宋体" w:eastAsia="宋体" w:cs="宋体"/>
                <w:bCs/>
                <w:sz w:val="24"/>
                <w:szCs w:val="24"/>
                <w:highlight w:val="none"/>
                <w:lang w:val="en-US" w:eastAsia="zh-CN"/>
              </w:rPr>
              <w:t xml:space="preserve"> </w:t>
            </w:r>
            <w:r>
              <w:rPr>
                <w:rFonts w:hint="eastAsia" w:ascii="宋体" w:hAnsi="宋体" w:eastAsia="宋体" w:cs="宋体"/>
                <w:bCs/>
                <w:sz w:val="24"/>
                <w:szCs w:val="24"/>
                <w:highlight w:val="none"/>
              </w:rPr>
              <w:t>系</w:t>
            </w:r>
            <w:r>
              <w:rPr>
                <w:rFonts w:hint="eastAsia" w:hAnsi="宋体" w:eastAsia="宋体" w:cs="宋体"/>
                <w:bCs/>
                <w:sz w:val="24"/>
                <w:szCs w:val="24"/>
                <w:highlight w:val="none"/>
                <w:lang w:val="en-US" w:eastAsia="zh-CN"/>
              </w:rPr>
              <w:t xml:space="preserve"> </w:t>
            </w:r>
            <w:r>
              <w:rPr>
                <w:rFonts w:hint="eastAsia" w:ascii="宋体" w:hAnsi="宋体" w:eastAsia="宋体" w:cs="宋体"/>
                <w:bCs/>
                <w:sz w:val="24"/>
                <w:szCs w:val="24"/>
                <w:highlight w:val="none"/>
              </w:rPr>
              <w:t>人</w:t>
            </w:r>
            <w:r>
              <w:rPr>
                <w:rFonts w:hint="eastAsia" w:hAnsi="宋体" w:eastAsia="宋体" w:cs="宋体"/>
                <w:bCs/>
                <w:sz w:val="24"/>
                <w:szCs w:val="24"/>
                <w:highlight w:val="none"/>
                <w:lang w:eastAsia="zh-CN"/>
              </w:rPr>
              <w:t>：</w:t>
            </w:r>
            <w:r>
              <w:rPr>
                <w:rFonts w:hint="eastAsia" w:hAnsi="宋体" w:cs="宋体"/>
                <w:color w:val="auto"/>
                <w:kern w:val="0"/>
                <w:sz w:val="24"/>
                <w:highlight w:val="none"/>
                <w:lang w:val="en-US" w:eastAsia="zh-CN"/>
              </w:rPr>
              <w:t>王倩</w:t>
            </w:r>
          </w:p>
          <w:p w14:paraId="7F5B1A2D">
            <w:pPr>
              <w:pStyle w:val="12"/>
              <w:spacing w:line="360" w:lineRule="auto"/>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rPr>
              <w:t>联系电话：</w:t>
            </w:r>
            <w:r>
              <w:rPr>
                <w:rFonts w:hint="eastAsia" w:ascii="宋体" w:hAnsi="宋体" w:cs="宋体"/>
                <w:kern w:val="0"/>
                <w:sz w:val="24"/>
                <w:highlight w:val="none"/>
                <w:lang w:val="en-US" w:eastAsia="zh-CN"/>
              </w:rPr>
              <w:t>15022807786</w:t>
            </w:r>
          </w:p>
        </w:tc>
      </w:tr>
      <w:tr w14:paraId="07DA2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4" w:hRule="atLeast"/>
          <w:jc w:val="center"/>
        </w:trPr>
        <w:tc>
          <w:tcPr>
            <w:tcW w:w="755" w:type="dxa"/>
            <w:vAlign w:val="center"/>
          </w:tcPr>
          <w:p w14:paraId="5F2BE32E">
            <w:pPr>
              <w:pStyle w:val="12"/>
              <w:spacing w:line="240" w:lineRule="auto"/>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3</w:t>
            </w:r>
          </w:p>
        </w:tc>
        <w:tc>
          <w:tcPr>
            <w:tcW w:w="9685" w:type="dxa"/>
            <w:vAlign w:val="center"/>
          </w:tcPr>
          <w:p w14:paraId="58A9B020">
            <w:pPr>
              <w:pStyle w:val="12"/>
              <w:spacing w:line="360" w:lineRule="auto"/>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采购代理机构：</w:t>
            </w:r>
            <w:r>
              <w:rPr>
                <w:rFonts w:hint="eastAsia" w:hAnsi="宋体" w:cs="宋体"/>
                <w:bCs/>
                <w:sz w:val="24"/>
                <w:szCs w:val="24"/>
                <w:highlight w:val="none"/>
                <w:lang w:val="en-US" w:eastAsia="zh-CN"/>
              </w:rPr>
              <w:t>新疆新咨工程咨询有限公司</w:t>
            </w:r>
          </w:p>
          <w:p w14:paraId="5EDD2CEC">
            <w:pPr>
              <w:pStyle w:val="12"/>
              <w:spacing w:line="360" w:lineRule="auto"/>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地    址：</w:t>
            </w:r>
            <w:r>
              <w:rPr>
                <w:rFonts w:hint="eastAsia" w:hAnsi="宋体" w:cs="宋体"/>
                <w:bCs/>
                <w:sz w:val="24"/>
                <w:szCs w:val="24"/>
                <w:highlight w:val="none"/>
                <w:lang w:val="en-US" w:eastAsia="zh-CN"/>
              </w:rPr>
              <w:t>塔城市农民小区社区办公楼一楼</w:t>
            </w:r>
          </w:p>
          <w:p w14:paraId="4ED55B7C">
            <w:pPr>
              <w:pStyle w:val="12"/>
              <w:spacing w:line="360" w:lineRule="auto"/>
              <w:rPr>
                <w:rFonts w:hint="default"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联 系 人：</w:t>
            </w:r>
            <w:r>
              <w:rPr>
                <w:rFonts w:hint="eastAsia" w:hAnsi="宋体" w:cs="宋体"/>
                <w:bCs/>
                <w:sz w:val="24"/>
                <w:szCs w:val="24"/>
                <w:highlight w:val="none"/>
                <w:lang w:val="en-US" w:eastAsia="zh-CN"/>
              </w:rPr>
              <w:t>陈鑫、秦玉欣</w:t>
            </w:r>
          </w:p>
          <w:p w14:paraId="4B946F6A">
            <w:pPr>
              <w:pStyle w:val="12"/>
              <w:spacing w:line="360" w:lineRule="auto"/>
              <w:rPr>
                <w:rFonts w:hint="default" w:ascii="宋体" w:hAnsi="宋体" w:eastAsia="宋体" w:cs="宋体"/>
                <w:bCs/>
                <w:sz w:val="24"/>
                <w:szCs w:val="24"/>
                <w:highlight w:val="none"/>
                <w:lang w:val="en-US"/>
              </w:rPr>
            </w:pPr>
            <w:r>
              <w:rPr>
                <w:rFonts w:hint="eastAsia" w:ascii="宋体" w:hAnsi="宋体" w:eastAsia="宋体" w:cs="宋体"/>
                <w:bCs/>
                <w:sz w:val="24"/>
                <w:szCs w:val="24"/>
                <w:highlight w:val="none"/>
                <w:lang w:val="en-US" w:eastAsia="zh-CN"/>
              </w:rPr>
              <w:t>联系电话：</w:t>
            </w:r>
            <w:r>
              <w:rPr>
                <w:rFonts w:hint="eastAsia" w:hAnsi="宋体" w:cs="宋体"/>
                <w:bCs/>
                <w:sz w:val="24"/>
                <w:szCs w:val="24"/>
                <w:highlight w:val="none"/>
                <w:lang w:val="en-US" w:eastAsia="zh-CN"/>
              </w:rPr>
              <w:t>13199900322</w:t>
            </w:r>
          </w:p>
        </w:tc>
      </w:tr>
      <w:tr w14:paraId="30CAA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5" w:type="dxa"/>
            <w:vAlign w:val="center"/>
          </w:tcPr>
          <w:p w14:paraId="18725EE0">
            <w:pPr>
              <w:pStyle w:val="12"/>
              <w:spacing w:line="240" w:lineRule="auto"/>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4</w:t>
            </w:r>
          </w:p>
        </w:tc>
        <w:tc>
          <w:tcPr>
            <w:tcW w:w="9685" w:type="dxa"/>
            <w:vAlign w:val="center"/>
          </w:tcPr>
          <w:p w14:paraId="205DEDD5">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响应文件有效期：递交响应文件截止之日起</w:t>
            </w:r>
            <w:r>
              <w:rPr>
                <w:rFonts w:hint="eastAsia" w:hAnsi="宋体" w:cs="宋体"/>
                <w:bCs/>
                <w:sz w:val="24"/>
                <w:szCs w:val="24"/>
                <w:highlight w:val="none"/>
                <w:lang w:val="en-US" w:eastAsia="zh-CN"/>
              </w:rPr>
              <w:t>90</w:t>
            </w:r>
            <w:r>
              <w:rPr>
                <w:rFonts w:hint="eastAsia" w:ascii="宋体" w:hAnsi="宋体" w:eastAsia="宋体" w:cs="宋体"/>
                <w:bCs/>
                <w:sz w:val="24"/>
                <w:szCs w:val="24"/>
                <w:highlight w:val="none"/>
              </w:rPr>
              <w:t>天（日历日）</w:t>
            </w:r>
          </w:p>
        </w:tc>
      </w:tr>
      <w:tr w14:paraId="20E90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5" w:hRule="atLeast"/>
          <w:jc w:val="center"/>
        </w:trPr>
        <w:tc>
          <w:tcPr>
            <w:tcW w:w="755" w:type="dxa"/>
            <w:vAlign w:val="center"/>
          </w:tcPr>
          <w:p w14:paraId="0D59D4D3">
            <w:pPr>
              <w:pStyle w:val="12"/>
              <w:spacing w:line="240" w:lineRule="auto"/>
              <w:jc w:val="center"/>
              <w:rPr>
                <w:rFonts w:hint="eastAsia" w:ascii="宋体" w:hAnsi="宋体" w:eastAsia="宋体" w:cs="宋体"/>
                <w:bCs/>
                <w:sz w:val="24"/>
                <w:szCs w:val="24"/>
                <w:highlight w:val="none"/>
                <w:lang w:eastAsia="zh-CN"/>
              </w:rPr>
            </w:pPr>
            <w:r>
              <w:rPr>
                <w:rFonts w:hint="eastAsia" w:ascii="宋体" w:hAnsi="宋体" w:eastAsia="宋体" w:cs="宋体"/>
                <w:bCs/>
                <w:sz w:val="24"/>
                <w:szCs w:val="24"/>
                <w:highlight w:val="none"/>
                <w:lang w:val="en-US" w:eastAsia="zh-CN"/>
              </w:rPr>
              <w:t>5</w:t>
            </w:r>
          </w:p>
        </w:tc>
        <w:tc>
          <w:tcPr>
            <w:tcW w:w="9685" w:type="dxa"/>
            <w:vAlign w:val="center"/>
          </w:tcPr>
          <w:p w14:paraId="08E2BB6C">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采购人不统一组织考察，各供应商自行对采购项目进行考察。</w:t>
            </w:r>
          </w:p>
          <w:p w14:paraId="2AA7C8F2">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供应商如有疑问，于</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hAnsi="宋体" w:cs="宋体"/>
                <w:sz w:val="24"/>
                <w:szCs w:val="24"/>
                <w:highlight w:val="none"/>
                <w:lang w:val="en-US" w:eastAsia="zh-CN"/>
              </w:rPr>
              <w:t>04</w:t>
            </w:r>
            <w:r>
              <w:rPr>
                <w:rFonts w:hint="eastAsia" w:ascii="宋体" w:hAnsi="宋体" w:eastAsia="宋体" w:cs="宋体"/>
                <w:sz w:val="24"/>
                <w:szCs w:val="24"/>
                <w:highlight w:val="none"/>
                <w:lang w:val="en-US" w:eastAsia="zh-CN"/>
              </w:rPr>
              <w:t>月</w:t>
            </w:r>
            <w:r>
              <w:rPr>
                <w:rFonts w:hint="eastAsia" w:hAnsi="宋体" w:cs="宋体"/>
                <w:sz w:val="24"/>
                <w:szCs w:val="24"/>
                <w:highlight w:val="none"/>
                <w:lang w:val="en-US" w:eastAsia="zh-CN"/>
              </w:rPr>
              <w:t>11</w:t>
            </w:r>
            <w:r>
              <w:rPr>
                <w:rFonts w:hint="eastAsia" w:ascii="宋体" w:hAnsi="宋体" w:eastAsia="宋体" w:cs="宋体"/>
                <w:sz w:val="24"/>
                <w:szCs w:val="24"/>
                <w:highlight w:val="none"/>
                <w:lang w:val="en-US" w:eastAsia="zh-CN"/>
              </w:rPr>
              <w:t>日</w:t>
            </w:r>
            <w:r>
              <w:rPr>
                <w:rFonts w:hint="eastAsia" w:ascii="宋体" w:hAnsi="宋体" w:eastAsia="宋体" w:cs="宋体"/>
                <w:bCs/>
                <w:sz w:val="24"/>
                <w:szCs w:val="24"/>
                <w:highlight w:val="none"/>
              </w:rPr>
              <w:t>19</w:t>
            </w:r>
            <w:r>
              <w:rPr>
                <w:rFonts w:hint="eastAsia" w:hAnsi="宋体" w:eastAsia="宋体" w:cs="宋体"/>
                <w:bCs/>
                <w:sz w:val="24"/>
                <w:szCs w:val="24"/>
                <w:highlight w:val="none"/>
                <w:lang w:eastAsia="zh-CN"/>
              </w:rPr>
              <w:t>：</w:t>
            </w:r>
            <w:r>
              <w:rPr>
                <w:rFonts w:hint="eastAsia" w:hAnsi="宋体" w:eastAsia="宋体" w:cs="宋体"/>
                <w:bCs/>
                <w:sz w:val="24"/>
                <w:szCs w:val="24"/>
                <w:highlight w:val="none"/>
                <w:lang w:val="en-US" w:eastAsia="zh-CN"/>
              </w:rPr>
              <w:t>00</w:t>
            </w:r>
            <w:r>
              <w:rPr>
                <w:rFonts w:hint="eastAsia" w:ascii="宋体" w:hAnsi="宋体" w:eastAsia="宋体" w:cs="宋体"/>
                <w:bCs/>
                <w:sz w:val="24"/>
                <w:szCs w:val="24"/>
                <w:highlight w:val="none"/>
              </w:rPr>
              <w:t>前将有关疑问以扫描件形式（必须加盖供应商公章）发送到邮箱</w:t>
            </w:r>
            <w:r>
              <w:rPr>
                <w:rFonts w:hint="eastAsia" w:hAnsi="宋体" w:eastAsia="宋体" w:cs="宋体"/>
                <w:bCs/>
                <w:sz w:val="24"/>
                <w:szCs w:val="24"/>
                <w:highlight w:val="none"/>
                <w:lang w:eastAsia="zh-CN"/>
              </w:rPr>
              <w:t>：</w:t>
            </w:r>
            <w:r>
              <w:rPr>
                <w:rFonts w:hint="eastAsia" w:hAnsi="宋体" w:cs="宋体"/>
                <w:sz w:val="24"/>
                <w:szCs w:val="24"/>
                <w:highlight w:val="none"/>
                <w:lang w:val="en-US" w:eastAsia="zh-CN"/>
              </w:rPr>
              <w:t>862754334@qq.com</w:t>
            </w:r>
            <w:r>
              <w:rPr>
                <w:rFonts w:hint="eastAsia" w:ascii="宋体" w:hAnsi="宋体" w:eastAsia="宋体" w:cs="宋体"/>
                <w:bCs/>
                <w:sz w:val="24"/>
                <w:szCs w:val="24"/>
                <w:highlight w:val="none"/>
              </w:rPr>
              <w:t xml:space="preserve"> ，采购人将对所提疑问以书面形式发至领取竞争性磋商文件的每位供应商。</w:t>
            </w:r>
          </w:p>
          <w:p w14:paraId="6E5C890E">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书面提问截止时间：</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hAnsi="宋体" w:cs="宋体"/>
                <w:sz w:val="24"/>
                <w:szCs w:val="24"/>
                <w:highlight w:val="none"/>
                <w:lang w:val="en-US" w:eastAsia="zh-CN"/>
              </w:rPr>
              <w:t>04</w:t>
            </w:r>
            <w:r>
              <w:rPr>
                <w:rFonts w:hint="eastAsia" w:ascii="宋体" w:hAnsi="宋体" w:eastAsia="宋体" w:cs="宋体"/>
                <w:sz w:val="24"/>
                <w:szCs w:val="24"/>
                <w:highlight w:val="none"/>
                <w:lang w:val="en-US" w:eastAsia="zh-CN"/>
              </w:rPr>
              <w:t>月</w:t>
            </w:r>
            <w:r>
              <w:rPr>
                <w:rFonts w:hint="eastAsia" w:hAnsi="宋体" w:cs="宋体"/>
                <w:sz w:val="24"/>
                <w:szCs w:val="24"/>
                <w:highlight w:val="none"/>
                <w:lang w:val="en-US" w:eastAsia="zh-CN"/>
              </w:rPr>
              <w:t>11</w:t>
            </w:r>
            <w:r>
              <w:rPr>
                <w:rFonts w:hint="eastAsia" w:ascii="宋体" w:hAnsi="宋体" w:cs="宋体"/>
                <w:sz w:val="24"/>
                <w:szCs w:val="24"/>
                <w:highlight w:val="none"/>
                <w:lang w:val="en-US" w:eastAsia="zh-CN"/>
              </w:rPr>
              <w:t xml:space="preserve"> </w:t>
            </w:r>
            <w:r>
              <w:rPr>
                <w:rFonts w:hint="eastAsia" w:ascii="宋体" w:hAnsi="宋体" w:eastAsia="宋体" w:cs="宋体"/>
                <w:sz w:val="24"/>
                <w:szCs w:val="24"/>
                <w:highlight w:val="none"/>
                <w:lang w:val="en-US" w:eastAsia="zh-CN"/>
              </w:rPr>
              <w:t>日</w:t>
            </w:r>
            <w:r>
              <w:rPr>
                <w:rFonts w:hint="eastAsia" w:ascii="宋体" w:hAnsi="宋体" w:eastAsia="宋体" w:cs="宋体"/>
                <w:bCs/>
                <w:sz w:val="24"/>
                <w:szCs w:val="24"/>
                <w:highlight w:val="none"/>
              </w:rPr>
              <w:t>19：00</w:t>
            </w:r>
          </w:p>
          <w:p w14:paraId="6D84E60D">
            <w:pPr>
              <w:pStyle w:val="12"/>
              <w:spacing w:line="360" w:lineRule="auto"/>
              <w:rPr>
                <w:rFonts w:hint="default" w:hAnsi="宋体" w:cs="宋体"/>
                <w:sz w:val="24"/>
                <w:szCs w:val="24"/>
                <w:highlight w:val="none"/>
                <w:lang w:val="en-US" w:eastAsia="zh-CN"/>
              </w:rPr>
            </w:pPr>
            <w:r>
              <w:rPr>
                <w:rFonts w:hint="eastAsia" w:ascii="宋体" w:hAnsi="宋体" w:eastAsia="宋体" w:cs="宋体"/>
                <w:bCs/>
                <w:sz w:val="24"/>
                <w:szCs w:val="24"/>
                <w:highlight w:val="none"/>
              </w:rPr>
              <w:t>电</w:t>
            </w:r>
            <w:r>
              <w:rPr>
                <w:rFonts w:hint="eastAsia" w:hAnsi="宋体" w:eastAsia="宋体" w:cs="宋体"/>
                <w:bCs/>
                <w:sz w:val="24"/>
                <w:szCs w:val="24"/>
                <w:highlight w:val="none"/>
                <w:lang w:val="en-US" w:eastAsia="zh-CN"/>
              </w:rPr>
              <w:t xml:space="preserve">  </w:t>
            </w:r>
            <w:r>
              <w:rPr>
                <w:rFonts w:hint="eastAsia" w:ascii="宋体" w:hAnsi="宋体" w:eastAsia="宋体" w:cs="宋体"/>
                <w:bCs/>
                <w:sz w:val="24"/>
                <w:szCs w:val="24"/>
                <w:highlight w:val="none"/>
              </w:rPr>
              <w:t>话：</w:t>
            </w:r>
            <w:r>
              <w:rPr>
                <w:rFonts w:hint="eastAsia" w:hAnsi="宋体" w:cs="宋体"/>
                <w:sz w:val="24"/>
                <w:szCs w:val="24"/>
                <w:highlight w:val="none"/>
                <w:lang w:val="en-US" w:eastAsia="zh-CN"/>
              </w:rPr>
              <w:t>13199900322</w:t>
            </w:r>
          </w:p>
          <w:p w14:paraId="0B87B4E7">
            <w:pPr>
              <w:pStyle w:val="12"/>
              <w:spacing w:line="360" w:lineRule="auto"/>
              <w:rPr>
                <w:rFonts w:hint="default" w:ascii="宋体" w:hAnsi="宋体" w:eastAsia="宋体" w:cs="宋体"/>
                <w:bCs/>
                <w:sz w:val="24"/>
                <w:szCs w:val="24"/>
                <w:highlight w:val="none"/>
                <w:lang w:val="en-US" w:eastAsia="zh-CN"/>
              </w:rPr>
            </w:pPr>
            <w:r>
              <w:rPr>
                <w:rFonts w:hint="eastAsia" w:ascii="宋体" w:hAnsi="宋体" w:eastAsia="宋体" w:cs="宋体"/>
                <w:bCs/>
                <w:sz w:val="24"/>
                <w:szCs w:val="24"/>
                <w:highlight w:val="none"/>
              </w:rPr>
              <w:t>联系人：</w:t>
            </w:r>
            <w:r>
              <w:rPr>
                <w:rFonts w:hint="eastAsia" w:hAnsi="宋体" w:cs="宋体"/>
                <w:bCs/>
                <w:sz w:val="24"/>
                <w:szCs w:val="24"/>
                <w:highlight w:val="none"/>
                <w:lang w:val="en-US" w:eastAsia="zh-CN"/>
              </w:rPr>
              <w:t>陈鑫、</w:t>
            </w:r>
            <w:r>
              <w:rPr>
                <w:rFonts w:hint="eastAsia" w:hAnsi="宋体" w:cs="宋体"/>
                <w:sz w:val="24"/>
                <w:szCs w:val="24"/>
                <w:highlight w:val="none"/>
                <w:lang w:val="en-US" w:eastAsia="zh-CN"/>
              </w:rPr>
              <w:t>秦玉欣</w:t>
            </w:r>
          </w:p>
        </w:tc>
      </w:tr>
      <w:tr w14:paraId="448B5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755" w:type="dxa"/>
            <w:vAlign w:val="center"/>
          </w:tcPr>
          <w:p w14:paraId="2A033B0C">
            <w:pPr>
              <w:pStyle w:val="12"/>
              <w:spacing w:line="240" w:lineRule="auto"/>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6</w:t>
            </w:r>
          </w:p>
        </w:tc>
        <w:tc>
          <w:tcPr>
            <w:tcW w:w="9685" w:type="dxa"/>
            <w:vAlign w:val="center"/>
          </w:tcPr>
          <w:p w14:paraId="4572223E">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政府采购云平台（www.zcygov.cn），</w:t>
            </w:r>
            <w:r>
              <w:rPr>
                <w:rFonts w:hint="eastAsia" w:hAnsi="宋体" w:cs="宋体"/>
                <w:bCs/>
                <w:sz w:val="24"/>
                <w:szCs w:val="24"/>
                <w:highlight w:val="none"/>
                <w:lang w:eastAsia="zh-CN"/>
              </w:rPr>
              <w:t>供应商</w:t>
            </w:r>
            <w:r>
              <w:rPr>
                <w:rFonts w:hint="eastAsia" w:ascii="宋体" w:hAnsi="宋体" w:eastAsia="宋体" w:cs="宋体"/>
                <w:bCs/>
                <w:sz w:val="24"/>
                <w:szCs w:val="24"/>
                <w:highlight w:val="none"/>
              </w:rPr>
              <w:t>应于投标截止时间之前将电子</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上传到“政采云”平台。</w:t>
            </w:r>
          </w:p>
          <w:p w14:paraId="2673C91D">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1.本项目实行网上投标，采用电子</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，若</w:t>
            </w:r>
            <w:r>
              <w:rPr>
                <w:rFonts w:hint="eastAsia" w:hAnsi="宋体" w:cs="宋体"/>
                <w:bCs/>
                <w:sz w:val="24"/>
                <w:szCs w:val="24"/>
                <w:highlight w:val="none"/>
                <w:lang w:eastAsia="zh-CN"/>
              </w:rPr>
              <w:t>供应商</w:t>
            </w:r>
            <w:r>
              <w:rPr>
                <w:rFonts w:hint="eastAsia" w:ascii="宋体" w:hAnsi="宋体" w:eastAsia="宋体" w:cs="宋体"/>
                <w:bCs/>
                <w:sz w:val="24"/>
                <w:szCs w:val="24"/>
                <w:highlight w:val="none"/>
              </w:rPr>
              <w:t>参与投标，应自行承担投标一切费用。</w:t>
            </w:r>
          </w:p>
          <w:p w14:paraId="712382DD">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2.</w:t>
            </w:r>
            <w:r>
              <w:rPr>
                <w:rFonts w:hint="eastAsia" w:hAnsi="宋体" w:cs="宋体"/>
                <w:bCs/>
                <w:sz w:val="24"/>
                <w:szCs w:val="24"/>
                <w:highlight w:val="none"/>
                <w:lang w:eastAsia="zh-CN"/>
              </w:rPr>
              <w:t>供应商</w:t>
            </w:r>
            <w:r>
              <w:rPr>
                <w:rFonts w:hint="eastAsia" w:ascii="宋体" w:hAnsi="宋体" w:eastAsia="宋体" w:cs="宋体"/>
                <w:bCs/>
                <w:sz w:val="24"/>
                <w:szCs w:val="24"/>
                <w:highlight w:val="none"/>
              </w:rPr>
              <w:t>应在开标前应确保成为新疆政府采购网正式注册入库</w:t>
            </w:r>
            <w:r>
              <w:rPr>
                <w:rFonts w:hint="eastAsia" w:hAnsi="宋体" w:cs="宋体"/>
                <w:bCs/>
                <w:sz w:val="24"/>
                <w:szCs w:val="24"/>
                <w:highlight w:val="none"/>
                <w:lang w:eastAsia="zh-CN"/>
              </w:rPr>
              <w:t>供应商</w:t>
            </w:r>
            <w:r>
              <w:rPr>
                <w:rFonts w:hint="eastAsia" w:ascii="宋体" w:hAnsi="宋体" w:eastAsia="宋体" w:cs="宋体"/>
                <w:bCs/>
                <w:sz w:val="24"/>
                <w:szCs w:val="24"/>
                <w:highlight w:val="none"/>
              </w:rPr>
              <w:t>，并完成CA数字证书申领。因未注册入库、未办理CA数字证书等原因造成无法递交电子版</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或递交电子</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失败等后果由</w:t>
            </w:r>
            <w:r>
              <w:rPr>
                <w:rFonts w:hint="eastAsia" w:hAnsi="宋体" w:cs="宋体"/>
                <w:bCs/>
                <w:sz w:val="24"/>
                <w:szCs w:val="24"/>
                <w:highlight w:val="none"/>
                <w:lang w:eastAsia="zh-CN"/>
              </w:rPr>
              <w:t>供应商</w:t>
            </w:r>
            <w:r>
              <w:rPr>
                <w:rFonts w:hint="eastAsia" w:ascii="宋体" w:hAnsi="宋体" w:eastAsia="宋体" w:cs="宋体"/>
                <w:bCs/>
                <w:sz w:val="24"/>
                <w:szCs w:val="24"/>
                <w:highlight w:val="none"/>
              </w:rPr>
              <w:t>自行承担。</w:t>
            </w:r>
          </w:p>
          <w:p w14:paraId="2C2EDBA0">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3.</w:t>
            </w:r>
            <w:r>
              <w:rPr>
                <w:rFonts w:hint="eastAsia" w:hAnsi="宋体" w:cs="宋体"/>
                <w:bCs/>
                <w:sz w:val="24"/>
                <w:szCs w:val="24"/>
                <w:highlight w:val="none"/>
                <w:lang w:eastAsia="zh-CN"/>
              </w:rPr>
              <w:t>供应商</w:t>
            </w:r>
            <w:r>
              <w:rPr>
                <w:rFonts w:hint="eastAsia" w:ascii="宋体" w:hAnsi="宋体" w:eastAsia="宋体" w:cs="宋体"/>
                <w:bCs/>
                <w:sz w:val="24"/>
                <w:szCs w:val="24"/>
                <w:highlight w:val="none"/>
              </w:rPr>
              <w:t>应使用最新版本的CA驱动和政采云投标客户端，客户端下载、安装完成后，可通过账号密码或CA登录客户端进行</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制作。在使用政采云投标客户端时，建议使用谷歌浏览器，电脑配置满足win7+64位以上操作系统（不能用mac或者linux系统）。客户端请至新疆政府采购网（www.ccgp-xinjiang.gov.cn）下载专区查看，如有问题可拨打政采云客户服务热线400-881-7190进行咨询。</w:t>
            </w:r>
          </w:p>
          <w:p w14:paraId="01DE317E">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5.</w:t>
            </w:r>
            <w:r>
              <w:rPr>
                <w:rFonts w:hint="eastAsia" w:hAnsi="宋体" w:cs="宋体"/>
                <w:bCs/>
                <w:sz w:val="24"/>
                <w:szCs w:val="24"/>
                <w:highlight w:val="none"/>
                <w:lang w:eastAsia="zh-CN"/>
              </w:rPr>
              <w:t>供应商</w:t>
            </w:r>
            <w:r>
              <w:rPr>
                <w:rFonts w:hint="eastAsia" w:ascii="宋体" w:hAnsi="宋体" w:eastAsia="宋体" w:cs="宋体"/>
                <w:bCs/>
                <w:sz w:val="24"/>
                <w:szCs w:val="24"/>
                <w:highlight w:val="none"/>
              </w:rPr>
              <w:t>应当在递交电子</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截止时间前，将生成的“电子加密</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”上传递交至“政府采购云平台”，递交电子</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截止时间以后上传递交的</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将被“政府采购云平台”拒收。</w:t>
            </w:r>
          </w:p>
          <w:p w14:paraId="127113D9">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6.</w:t>
            </w:r>
            <w:r>
              <w:rPr>
                <w:rFonts w:hint="eastAsia" w:hAnsi="宋体" w:cs="宋体"/>
                <w:bCs/>
                <w:sz w:val="24"/>
                <w:szCs w:val="24"/>
                <w:highlight w:val="none"/>
                <w:lang w:eastAsia="zh-CN"/>
              </w:rPr>
              <w:t>供应商</w:t>
            </w:r>
            <w:r>
              <w:rPr>
                <w:rFonts w:hint="eastAsia" w:ascii="宋体" w:hAnsi="宋体" w:eastAsia="宋体" w:cs="宋体"/>
                <w:bCs/>
                <w:sz w:val="24"/>
                <w:szCs w:val="24"/>
                <w:highlight w:val="none"/>
              </w:rPr>
              <w:t>登录政采云平台，在开标时间后30分钟内</w:t>
            </w:r>
            <w:r>
              <w:rPr>
                <w:rFonts w:hint="eastAsia" w:hAnsi="宋体" w:cs="宋体"/>
                <w:bCs/>
                <w:sz w:val="24"/>
                <w:szCs w:val="24"/>
                <w:highlight w:val="none"/>
                <w:lang w:eastAsia="zh-CN"/>
              </w:rPr>
              <w:t>（</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hAnsi="宋体" w:cs="宋体"/>
                <w:sz w:val="24"/>
                <w:szCs w:val="24"/>
                <w:highlight w:val="none"/>
                <w:lang w:val="en-US" w:eastAsia="zh-CN"/>
              </w:rPr>
              <w:t>04</w:t>
            </w:r>
            <w:r>
              <w:rPr>
                <w:rFonts w:hint="eastAsia" w:ascii="宋体" w:hAnsi="宋体" w:eastAsia="宋体" w:cs="宋体"/>
                <w:sz w:val="24"/>
                <w:szCs w:val="24"/>
                <w:highlight w:val="none"/>
                <w:lang w:val="en-US" w:eastAsia="zh-CN"/>
              </w:rPr>
              <w:t>月</w:t>
            </w:r>
            <w:r>
              <w:rPr>
                <w:rFonts w:hint="eastAsia" w:hAnsi="宋体" w:cs="宋体"/>
                <w:sz w:val="24"/>
                <w:szCs w:val="24"/>
                <w:highlight w:val="none"/>
                <w:lang w:val="en-US" w:eastAsia="zh-CN"/>
              </w:rPr>
              <w:t>15</w:t>
            </w:r>
            <w:r>
              <w:rPr>
                <w:rFonts w:hint="eastAsia" w:ascii="宋体" w:hAnsi="宋体" w:eastAsia="宋体" w:cs="宋体"/>
                <w:sz w:val="24"/>
                <w:szCs w:val="24"/>
                <w:highlight w:val="none"/>
                <w:lang w:val="en-US" w:eastAsia="zh-CN"/>
              </w:rPr>
              <w:t>日</w:t>
            </w:r>
            <w:r>
              <w:rPr>
                <w:rFonts w:hint="eastAsia" w:hAnsi="宋体" w:cs="宋体"/>
                <w:kern w:val="0"/>
                <w:sz w:val="24"/>
                <w:highlight w:val="none"/>
                <w:lang w:val="en-US" w:eastAsia="zh-CN"/>
              </w:rPr>
              <w:t>10:30-11:00</w:t>
            </w:r>
            <w:r>
              <w:rPr>
                <w:rFonts w:hint="eastAsia" w:hAnsi="宋体" w:cs="宋体"/>
                <w:bCs/>
                <w:sz w:val="24"/>
                <w:szCs w:val="24"/>
                <w:highlight w:val="none"/>
                <w:lang w:eastAsia="zh-CN"/>
              </w:rPr>
              <w:t>）</w:t>
            </w:r>
            <w:r>
              <w:rPr>
                <w:rFonts w:hint="eastAsia" w:ascii="宋体" w:hAnsi="宋体" w:eastAsia="宋体" w:cs="宋体"/>
                <w:bCs/>
                <w:sz w:val="24"/>
                <w:szCs w:val="24"/>
                <w:highlight w:val="none"/>
              </w:rPr>
              <w:t>用“项目采购-开标评标”功能进行解密</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。若</w:t>
            </w:r>
            <w:r>
              <w:rPr>
                <w:rFonts w:hint="eastAsia" w:hAnsi="宋体" w:cs="宋体"/>
                <w:bCs/>
                <w:sz w:val="24"/>
                <w:szCs w:val="24"/>
                <w:highlight w:val="none"/>
                <w:lang w:eastAsia="zh-CN"/>
              </w:rPr>
              <w:t>供应商</w:t>
            </w:r>
            <w:r>
              <w:rPr>
                <w:rFonts w:hint="eastAsia" w:ascii="宋体" w:hAnsi="宋体" w:eastAsia="宋体" w:cs="宋体"/>
                <w:bCs/>
                <w:sz w:val="24"/>
                <w:szCs w:val="24"/>
                <w:highlight w:val="none"/>
              </w:rPr>
              <w:t>在规定时间内未按时解密的，视为无效响应。解密与加密</w:t>
            </w:r>
            <w:r>
              <w:rPr>
                <w:rFonts w:hint="eastAsia" w:ascii="宋体" w:hAnsi="宋体" w:eastAsia="宋体" w:cs="宋体"/>
                <w:bCs/>
                <w:sz w:val="24"/>
                <w:szCs w:val="24"/>
                <w:highlight w:val="none"/>
                <w:lang w:eastAsia="zh-CN"/>
              </w:rPr>
              <w:t>投标文件</w:t>
            </w:r>
            <w:r>
              <w:rPr>
                <w:rFonts w:hint="eastAsia" w:ascii="宋体" w:hAnsi="宋体" w:eastAsia="宋体" w:cs="宋体"/>
                <w:bCs/>
                <w:sz w:val="24"/>
                <w:szCs w:val="24"/>
                <w:highlight w:val="none"/>
              </w:rPr>
              <w:t xml:space="preserve">须使用同一个CA。 </w:t>
            </w:r>
          </w:p>
        </w:tc>
      </w:tr>
      <w:tr w14:paraId="313B4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jc w:val="center"/>
        </w:trPr>
        <w:tc>
          <w:tcPr>
            <w:tcW w:w="755" w:type="dxa"/>
            <w:vAlign w:val="center"/>
          </w:tcPr>
          <w:p w14:paraId="5A8CE6D7">
            <w:pPr>
              <w:pStyle w:val="12"/>
              <w:spacing w:line="240" w:lineRule="auto"/>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7</w:t>
            </w:r>
          </w:p>
        </w:tc>
        <w:tc>
          <w:tcPr>
            <w:tcW w:w="9685" w:type="dxa"/>
            <w:vAlign w:val="center"/>
          </w:tcPr>
          <w:p w14:paraId="0DF5F3E6">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递交响应文件截止时间：</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hAnsi="宋体" w:cs="宋体"/>
                <w:sz w:val="24"/>
                <w:szCs w:val="24"/>
                <w:highlight w:val="none"/>
                <w:lang w:val="en-US" w:eastAsia="zh-CN"/>
              </w:rPr>
              <w:t>04</w:t>
            </w:r>
            <w:r>
              <w:rPr>
                <w:rFonts w:hint="eastAsia" w:ascii="宋体" w:hAnsi="宋体" w:eastAsia="宋体" w:cs="宋体"/>
                <w:sz w:val="24"/>
                <w:szCs w:val="24"/>
                <w:highlight w:val="none"/>
                <w:lang w:val="en-US" w:eastAsia="zh-CN"/>
              </w:rPr>
              <w:t>月</w:t>
            </w:r>
            <w:r>
              <w:rPr>
                <w:rFonts w:hint="eastAsia" w:hAnsi="宋体" w:cs="宋体"/>
                <w:sz w:val="24"/>
                <w:szCs w:val="24"/>
                <w:highlight w:val="none"/>
                <w:lang w:val="en-US" w:eastAsia="zh-CN"/>
              </w:rPr>
              <w:t>15</w:t>
            </w:r>
            <w:r>
              <w:rPr>
                <w:rFonts w:hint="eastAsia" w:ascii="宋体" w:hAnsi="宋体" w:eastAsia="宋体" w:cs="宋体"/>
                <w:sz w:val="24"/>
                <w:szCs w:val="24"/>
                <w:highlight w:val="none"/>
                <w:lang w:val="en-US" w:eastAsia="zh-CN"/>
              </w:rPr>
              <w:t>日</w:t>
            </w:r>
            <w:r>
              <w:rPr>
                <w:rFonts w:hint="eastAsia" w:ascii="宋体" w:hAnsi="宋体" w:cs="宋体"/>
                <w:sz w:val="24"/>
                <w:szCs w:val="24"/>
                <w:highlight w:val="none"/>
                <w:lang w:val="en-US" w:eastAsia="zh-CN"/>
              </w:rPr>
              <w:t>上午1</w:t>
            </w:r>
            <w:r>
              <w:rPr>
                <w:rFonts w:hint="eastAsia" w:hAnsi="宋体" w:cs="宋体"/>
                <w:sz w:val="24"/>
                <w:szCs w:val="24"/>
                <w:highlight w:val="none"/>
                <w:lang w:val="en-US" w:eastAsia="zh-CN"/>
              </w:rPr>
              <w:t>0</w:t>
            </w:r>
            <w:r>
              <w:rPr>
                <w:rFonts w:hint="eastAsia" w:ascii="宋体" w:hAnsi="宋体" w:cs="宋体"/>
                <w:sz w:val="24"/>
                <w:szCs w:val="24"/>
                <w:highlight w:val="none"/>
                <w:lang w:val="en-US" w:eastAsia="zh-CN"/>
              </w:rPr>
              <w:t>:</w:t>
            </w:r>
            <w:r>
              <w:rPr>
                <w:rFonts w:hint="eastAsia" w:hAnsi="宋体" w:cs="宋体"/>
                <w:sz w:val="24"/>
                <w:szCs w:val="24"/>
                <w:highlight w:val="none"/>
                <w:lang w:val="en-US" w:eastAsia="zh-CN"/>
              </w:rPr>
              <w:t>30</w:t>
            </w:r>
            <w:r>
              <w:rPr>
                <w:rFonts w:hint="eastAsia" w:ascii="宋体" w:hAnsi="宋体" w:eastAsia="宋体" w:cs="宋体"/>
                <w:kern w:val="2"/>
                <w:sz w:val="24"/>
                <w:highlight w:val="none"/>
                <w:lang w:val="en-US" w:eastAsia="zh-CN" w:bidi="ar-SA"/>
              </w:rPr>
              <w:t>（北京时间）</w:t>
            </w:r>
          </w:p>
          <w:p w14:paraId="79890D44">
            <w:pPr>
              <w:pStyle w:val="12"/>
              <w:spacing w:line="360" w:lineRule="auto"/>
              <w:rPr>
                <w:rFonts w:hint="eastAsia" w:ascii="宋体" w:hAnsi="宋体" w:eastAsia="宋体" w:cs="宋体"/>
                <w:bCs/>
                <w:sz w:val="24"/>
                <w:szCs w:val="24"/>
                <w:highlight w:val="none"/>
              </w:rPr>
            </w:pPr>
            <w:r>
              <w:rPr>
                <w:rFonts w:hint="eastAsia" w:ascii="宋体" w:hAnsi="宋体" w:eastAsia="宋体" w:cs="宋体"/>
                <w:bCs/>
                <w:sz w:val="24"/>
                <w:szCs w:val="24"/>
                <w:highlight w:val="none"/>
              </w:rPr>
              <w:t>递交响应文件地点：新疆政府采购网政采云平台（www.zcygov.cn）</w:t>
            </w:r>
          </w:p>
        </w:tc>
      </w:tr>
      <w:tr w14:paraId="3B420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jc w:val="center"/>
        </w:trPr>
        <w:tc>
          <w:tcPr>
            <w:tcW w:w="755" w:type="dxa"/>
            <w:vAlign w:val="center"/>
          </w:tcPr>
          <w:p w14:paraId="59C2EB51">
            <w:pPr>
              <w:pStyle w:val="12"/>
              <w:spacing w:line="240" w:lineRule="auto"/>
              <w:jc w:val="center"/>
              <w:rPr>
                <w:rFonts w:hint="eastAsia" w:ascii="宋体" w:hAnsi="宋体" w:eastAsia="宋体" w:cs="宋体"/>
                <w:bCs/>
                <w:sz w:val="24"/>
                <w:szCs w:val="24"/>
                <w:highlight w:val="none"/>
                <w:lang w:eastAsia="zh-CN"/>
              </w:rPr>
            </w:pPr>
            <w:r>
              <w:rPr>
                <w:rFonts w:hint="eastAsia" w:hAnsi="宋体" w:cs="宋体"/>
                <w:bCs/>
                <w:sz w:val="24"/>
                <w:szCs w:val="24"/>
                <w:highlight w:val="none"/>
                <w:lang w:val="en-US" w:eastAsia="zh-CN"/>
              </w:rPr>
              <w:t>8</w:t>
            </w:r>
          </w:p>
        </w:tc>
        <w:tc>
          <w:tcPr>
            <w:tcW w:w="9685" w:type="dxa"/>
            <w:vAlign w:val="center"/>
          </w:tcPr>
          <w:p w14:paraId="54E19474">
            <w:pPr>
              <w:spacing w:line="360" w:lineRule="auto"/>
              <w:rPr>
                <w:rFonts w:hint="eastAsia" w:ascii="宋体" w:hAnsi="宋体" w:eastAsia="宋体" w:cs="宋体"/>
                <w:bCs/>
                <w:sz w:val="24"/>
                <w:szCs w:val="24"/>
                <w:highlight w:val="none"/>
                <w:lang w:eastAsia="zh-CN"/>
              </w:rPr>
            </w:pPr>
            <w:r>
              <w:rPr>
                <w:rFonts w:hint="eastAsia" w:ascii="宋体" w:hAnsi="宋体"/>
                <w:b w:val="0"/>
                <w:bCs w:val="0"/>
                <w:sz w:val="24"/>
                <w:highlight w:val="none"/>
              </w:rPr>
              <w:t>本项目</w:t>
            </w:r>
            <w:r>
              <w:rPr>
                <w:rFonts w:hint="eastAsia" w:ascii="宋体" w:hAnsi="宋体"/>
                <w:b w:val="0"/>
                <w:bCs w:val="0"/>
                <w:sz w:val="24"/>
                <w:highlight w:val="none"/>
                <w:lang w:val="en-US" w:eastAsia="zh-CN"/>
              </w:rPr>
              <w:t>控制价</w:t>
            </w:r>
            <w:r>
              <w:rPr>
                <w:rFonts w:hint="eastAsia" w:ascii="宋体" w:hAnsi="宋体"/>
                <w:b w:val="0"/>
                <w:bCs w:val="0"/>
                <w:sz w:val="24"/>
                <w:highlight w:val="none"/>
                <w:lang w:eastAsia="zh-CN"/>
              </w:rPr>
              <w:t>：</w:t>
            </w:r>
            <w:r>
              <w:rPr>
                <w:rFonts w:hint="eastAsia" w:ascii="宋体" w:hAnsi="宋体"/>
                <w:b w:val="0"/>
                <w:bCs w:val="0"/>
                <w:sz w:val="24"/>
                <w:highlight w:val="none"/>
                <w:lang w:val="en-US" w:eastAsia="zh-CN"/>
              </w:rPr>
              <w:t>1100000</w:t>
            </w:r>
            <w:r>
              <w:rPr>
                <w:rFonts w:hint="eastAsia" w:ascii="宋体" w:hAnsi="宋体"/>
                <w:b w:val="0"/>
                <w:bCs w:val="0"/>
                <w:sz w:val="24"/>
                <w:highlight w:val="none"/>
              </w:rPr>
              <w:t>元</w:t>
            </w:r>
            <w:r>
              <w:rPr>
                <w:rFonts w:hint="eastAsia" w:ascii="宋体" w:hAnsi="宋体"/>
                <w:b w:val="0"/>
                <w:bCs w:val="0"/>
                <w:sz w:val="24"/>
                <w:highlight w:val="none"/>
                <w:lang w:eastAsia="zh-CN"/>
              </w:rPr>
              <w:t>（</w:t>
            </w:r>
            <w:r>
              <w:rPr>
                <w:rFonts w:hint="eastAsia" w:ascii="宋体" w:hAnsi="宋体"/>
                <w:b w:val="0"/>
                <w:bCs w:val="0"/>
                <w:sz w:val="24"/>
                <w:highlight w:val="none"/>
                <w:lang w:val="en-US" w:eastAsia="zh-CN"/>
              </w:rPr>
              <w:t>大写：人民币壹佰壹拾万元整</w:t>
            </w:r>
            <w:r>
              <w:rPr>
                <w:rFonts w:hint="eastAsia" w:ascii="宋体" w:hAnsi="宋体"/>
                <w:b w:val="0"/>
                <w:bCs w:val="0"/>
                <w:sz w:val="24"/>
                <w:highlight w:val="none"/>
                <w:lang w:eastAsia="zh-CN"/>
              </w:rPr>
              <w:t>）；</w:t>
            </w:r>
            <w:r>
              <w:rPr>
                <w:rFonts w:hint="eastAsia" w:ascii="宋体" w:hAnsi="宋体" w:eastAsia="宋体" w:cs="宋体"/>
                <w:b w:val="0"/>
                <w:bCs w:val="0"/>
                <w:sz w:val="24"/>
                <w:highlight w:val="none"/>
              </w:rPr>
              <w:t>各</w:t>
            </w:r>
            <w:r>
              <w:rPr>
                <w:rFonts w:hint="eastAsia" w:ascii="宋体" w:hAnsi="宋体" w:eastAsia="宋体" w:cs="宋体"/>
                <w:b w:val="0"/>
                <w:bCs w:val="0"/>
                <w:sz w:val="24"/>
                <w:highlight w:val="none"/>
                <w:lang w:val="en-US" w:eastAsia="zh-CN"/>
              </w:rPr>
              <w:t>供应商</w:t>
            </w:r>
            <w:r>
              <w:rPr>
                <w:rFonts w:hint="eastAsia" w:ascii="宋体" w:hAnsi="宋体" w:eastAsia="宋体" w:cs="宋体"/>
                <w:b w:val="0"/>
                <w:bCs w:val="0"/>
                <w:sz w:val="24"/>
                <w:highlight w:val="none"/>
              </w:rPr>
              <w:t>的投标报价超出此</w:t>
            </w:r>
            <w:r>
              <w:rPr>
                <w:rFonts w:hint="eastAsia" w:ascii="宋体" w:hAnsi="宋体" w:eastAsia="宋体" w:cs="宋体"/>
                <w:b w:val="0"/>
                <w:bCs w:val="0"/>
                <w:sz w:val="24"/>
                <w:highlight w:val="none"/>
                <w:lang w:val="en-US" w:eastAsia="zh-CN"/>
              </w:rPr>
              <w:t>预算金额的</w:t>
            </w:r>
            <w:r>
              <w:rPr>
                <w:rFonts w:hint="eastAsia" w:ascii="宋体" w:hAnsi="宋体" w:eastAsia="宋体" w:cs="宋体"/>
                <w:b w:val="0"/>
                <w:bCs w:val="0"/>
                <w:sz w:val="24"/>
                <w:highlight w:val="none"/>
              </w:rPr>
              <w:t>将作废标处理。</w:t>
            </w:r>
          </w:p>
        </w:tc>
      </w:tr>
      <w:tr w14:paraId="000A5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755" w:type="dxa"/>
            <w:vAlign w:val="center"/>
          </w:tcPr>
          <w:p w14:paraId="11F6B324">
            <w:pPr>
              <w:pStyle w:val="12"/>
              <w:spacing w:line="240" w:lineRule="auto"/>
              <w:jc w:val="center"/>
              <w:rPr>
                <w:rFonts w:hint="eastAsia" w:ascii="宋体" w:hAnsi="宋体" w:eastAsia="宋体" w:cs="宋体"/>
                <w:bCs/>
                <w:sz w:val="24"/>
                <w:szCs w:val="24"/>
                <w:highlight w:val="none"/>
                <w:lang w:val="en-US" w:eastAsia="zh-CN"/>
              </w:rPr>
            </w:pPr>
            <w:r>
              <w:rPr>
                <w:rFonts w:hint="eastAsia" w:hAnsi="宋体" w:cs="宋体"/>
                <w:bCs/>
                <w:sz w:val="24"/>
                <w:szCs w:val="24"/>
                <w:highlight w:val="none"/>
                <w:lang w:val="en-US" w:eastAsia="zh-CN"/>
              </w:rPr>
              <w:t>9</w:t>
            </w:r>
          </w:p>
        </w:tc>
        <w:tc>
          <w:tcPr>
            <w:tcW w:w="9685" w:type="dxa"/>
            <w:vAlign w:val="center"/>
          </w:tcPr>
          <w:p w14:paraId="3AC059B6">
            <w:pPr>
              <w:pStyle w:val="12"/>
              <w:numPr>
                <w:ilvl w:val="0"/>
                <w:numId w:val="0"/>
              </w:numPr>
              <w:spacing w:line="360" w:lineRule="auto"/>
              <w:rPr>
                <w:rFonts w:hint="eastAsia" w:ascii="宋体" w:hAnsi="宋体"/>
                <w:b w:val="0"/>
                <w:bCs w:val="0"/>
                <w:sz w:val="24"/>
                <w:highlight w:val="none"/>
              </w:rPr>
            </w:pPr>
            <w:r>
              <w:rPr>
                <w:rFonts w:hint="eastAsia" w:hAnsi="宋体"/>
                <w:b w:val="0"/>
                <w:bCs w:val="0"/>
                <w:sz w:val="24"/>
                <w:highlight w:val="none"/>
                <w:lang w:eastAsia="zh-CN"/>
              </w:rPr>
              <w:t>（</w:t>
            </w:r>
            <w:r>
              <w:rPr>
                <w:rFonts w:hint="eastAsia" w:hAnsi="宋体"/>
                <w:b w:val="0"/>
                <w:bCs w:val="0"/>
                <w:sz w:val="24"/>
                <w:highlight w:val="none"/>
                <w:lang w:val="en-US" w:eastAsia="zh-CN"/>
              </w:rPr>
              <w:t>1</w:t>
            </w:r>
            <w:r>
              <w:rPr>
                <w:rFonts w:hint="eastAsia" w:hAnsi="宋体"/>
                <w:b w:val="0"/>
                <w:bCs w:val="0"/>
                <w:sz w:val="24"/>
                <w:highlight w:val="none"/>
                <w:lang w:eastAsia="zh-CN"/>
              </w:rPr>
              <w:t>）</w:t>
            </w:r>
            <w:r>
              <w:rPr>
                <w:rFonts w:hint="eastAsia" w:ascii="宋体" w:hAnsi="宋体"/>
                <w:b w:val="0"/>
                <w:bCs w:val="0"/>
                <w:sz w:val="24"/>
                <w:highlight w:val="none"/>
              </w:rPr>
              <w:t>采购代理费：</w:t>
            </w:r>
            <w:r>
              <w:rPr>
                <w:rFonts w:hint="eastAsia" w:ascii="宋体" w:hAnsi="宋体"/>
                <w:b w:val="0"/>
                <w:bCs w:val="0"/>
                <w:sz w:val="24"/>
                <w:highlight w:val="none"/>
                <w:lang w:val="en-US" w:eastAsia="zh-CN"/>
              </w:rPr>
              <w:t>经与采购人协商，本项目采购代理服务费由成交供应商在领取成交通知书同时向采购代理机构支付</w:t>
            </w:r>
            <w:r>
              <w:rPr>
                <w:rFonts w:hint="eastAsia" w:hAnsi="宋体"/>
                <w:b w:val="0"/>
                <w:bCs w:val="0"/>
                <w:sz w:val="24"/>
                <w:highlight w:val="none"/>
                <w:lang w:val="en-US" w:eastAsia="zh-CN"/>
              </w:rPr>
              <w:t>，</w:t>
            </w:r>
            <w:r>
              <w:rPr>
                <w:rFonts w:hint="eastAsia" w:ascii="宋体" w:hAnsi="宋体"/>
                <w:b w:val="0"/>
                <w:bCs w:val="0"/>
                <w:sz w:val="24"/>
                <w:highlight w:val="none"/>
              </w:rPr>
              <w:t>由中标供应商支付，本项目采购代理费为：</w:t>
            </w:r>
            <w:r>
              <w:rPr>
                <w:rFonts w:hint="eastAsia" w:hAnsi="宋体"/>
                <w:b w:val="0"/>
                <w:bCs w:val="0"/>
                <w:sz w:val="24"/>
                <w:highlight w:val="none"/>
                <w:lang w:val="en-US" w:eastAsia="zh-CN"/>
              </w:rPr>
              <w:t>14000</w:t>
            </w:r>
            <w:r>
              <w:rPr>
                <w:rFonts w:hint="eastAsia" w:ascii="宋体" w:hAnsi="宋体"/>
                <w:b w:val="0"/>
                <w:bCs w:val="0"/>
                <w:sz w:val="24"/>
                <w:highlight w:val="none"/>
              </w:rPr>
              <w:t>元（大写：人民币</w:t>
            </w:r>
            <w:r>
              <w:rPr>
                <w:rFonts w:hint="eastAsia" w:hAnsi="宋体"/>
                <w:b w:val="0"/>
                <w:bCs w:val="0"/>
                <w:sz w:val="24"/>
                <w:highlight w:val="none"/>
                <w:lang w:val="en-US" w:eastAsia="zh-CN"/>
              </w:rPr>
              <w:t>壹万肆仟元</w:t>
            </w:r>
            <w:r>
              <w:rPr>
                <w:rFonts w:hint="eastAsia" w:ascii="宋体" w:hAnsi="宋体"/>
                <w:b w:val="0"/>
                <w:bCs w:val="0"/>
                <w:sz w:val="24"/>
                <w:highlight w:val="none"/>
              </w:rPr>
              <w:t>整）</w:t>
            </w:r>
          </w:p>
          <w:p w14:paraId="50A928EF">
            <w:pPr>
              <w:pStyle w:val="12"/>
              <w:numPr>
                <w:ilvl w:val="0"/>
                <w:numId w:val="0"/>
              </w:numPr>
              <w:spacing w:line="360" w:lineRule="auto"/>
              <w:rPr>
                <w:rFonts w:hint="eastAsia" w:ascii="宋体" w:hAnsi="宋体"/>
                <w:b w:val="0"/>
                <w:bCs w:val="0"/>
                <w:sz w:val="24"/>
                <w:highlight w:val="none"/>
              </w:rPr>
            </w:pPr>
            <w:r>
              <w:rPr>
                <w:rFonts w:hint="eastAsia" w:ascii="宋体" w:hAnsi="宋体"/>
                <w:b w:val="0"/>
                <w:bCs w:val="0"/>
                <w:sz w:val="24"/>
                <w:highlight w:val="none"/>
              </w:rPr>
              <w:t>（2）中标供应商领取中标通知书时支付采购代理费。此部分费用供应商自行考虑计入本次投标报价中，不因供应商漏报或忽略而后期追加费用。</w:t>
            </w:r>
          </w:p>
          <w:p w14:paraId="146ED653">
            <w:pPr>
              <w:pStyle w:val="12"/>
              <w:spacing w:line="360" w:lineRule="auto"/>
              <w:rPr>
                <w:rFonts w:hint="eastAsia" w:ascii="宋体" w:hAnsi="宋体"/>
                <w:b w:val="0"/>
                <w:bCs w:val="0"/>
                <w:sz w:val="24"/>
                <w:highlight w:val="none"/>
              </w:rPr>
            </w:pPr>
            <w:r>
              <w:rPr>
                <w:rFonts w:hint="eastAsia" w:ascii="宋体" w:hAnsi="宋体"/>
                <w:b w:val="0"/>
                <w:bCs w:val="0"/>
                <w:sz w:val="24"/>
                <w:highlight w:val="none"/>
              </w:rPr>
              <w:t>（3）缴纳账户信息：</w:t>
            </w:r>
          </w:p>
          <w:p w14:paraId="2E6E6287">
            <w:pPr>
              <w:pStyle w:val="12"/>
              <w:spacing w:line="360" w:lineRule="auto"/>
              <w:rPr>
                <w:rFonts w:hint="eastAsia" w:ascii="宋体" w:hAnsi="宋体"/>
                <w:b w:val="0"/>
                <w:bCs w:val="0"/>
                <w:sz w:val="24"/>
                <w:highlight w:val="none"/>
              </w:rPr>
            </w:pPr>
            <w:r>
              <w:rPr>
                <w:rFonts w:hint="eastAsia" w:ascii="宋体" w:hAnsi="宋体"/>
                <w:b w:val="0"/>
                <w:bCs w:val="0"/>
                <w:sz w:val="24"/>
                <w:highlight w:val="none"/>
              </w:rPr>
              <w:t>账户名称：</w:t>
            </w:r>
            <w:r>
              <w:rPr>
                <w:rFonts w:hint="eastAsia" w:ascii="宋体" w:hAnsi="宋体"/>
                <w:b w:val="0"/>
                <w:bCs w:val="0"/>
                <w:sz w:val="24"/>
                <w:highlight w:val="none"/>
                <w:lang w:eastAsia="zh-CN"/>
              </w:rPr>
              <w:t>新疆新咨工程咨询有限公司</w:t>
            </w:r>
            <w:r>
              <w:rPr>
                <w:rFonts w:hint="eastAsia" w:ascii="宋体" w:hAnsi="宋体"/>
                <w:b w:val="0"/>
                <w:bCs w:val="0"/>
                <w:sz w:val="24"/>
                <w:highlight w:val="none"/>
              </w:rPr>
              <w:t>克拉玛依</w:t>
            </w:r>
            <w:r>
              <w:rPr>
                <w:rFonts w:hint="eastAsia" w:hAnsi="宋体"/>
                <w:b w:val="0"/>
                <w:bCs w:val="0"/>
                <w:sz w:val="24"/>
                <w:highlight w:val="none"/>
                <w:lang w:val="en-US" w:eastAsia="zh-CN"/>
              </w:rPr>
              <w:t>市</w:t>
            </w:r>
            <w:r>
              <w:rPr>
                <w:rFonts w:hint="eastAsia" w:ascii="宋体" w:hAnsi="宋体"/>
                <w:b w:val="0"/>
                <w:bCs w:val="0"/>
                <w:sz w:val="24"/>
                <w:highlight w:val="none"/>
              </w:rPr>
              <w:t>分公司</w:t>
            </w:r>
          </w:p>
          <w:p w14:paraId="10E7BBD0">
            <w:pPr>
              <w:pStyle w:val="12"/>
              <w:spacing w:line="360" w:lineRule="auto"/>
              <w:rPr>
                <w:rFonts w:hint="eastAsia" w:ascii="宋体" w:hAnsi="宋体"/>
                <w:b w:val="0"/>
                <w:bCs w:val="0"/>
                <w:sz w:val="24"/>
                <w:highlight w:val="none"/>
              </w:rPr>
            </w:pPr>
            <w:r>
              <w:rPr>
                <w:rFonts w:hint="eastAsia" w:ascii="宋体" w:hAnsi="宋体"/>
                <w:b w:val="0"/>
                <w:bCs w:val="0"/>
                <w:sz w:val="24"/>
                <w:highlight w:val="none"/>
              </w:rPr>
              <w:t>开 户 行：</w:t>
            </w:r>
            <w:r>
              <w:rPr>
                <w:rFonts w:hint="eastAsia" w:ascii="宋体" w:hAnsi="宋体"/>
                <w:b w:val="0"/>
                <w:bCs w:val="0"/>
                <w:sz w:val="24"/>
                <w:highlight w:val="none"/>
                <w:lang w:val="en-US" w:eastAsia="zh-CN"/>
              </w:rPr>
              <w:t>中国工商银行股份有限公司克拉玛依迎宾支行</w:t>
            </w:r>
            <w:r>
              <w:rPr>
                <w:rFonts w:hint="eastAsia" w:ascii="宋体" w:hAnsi="宋体"/>
                <w:b w:val="0"/>
                <w:bCs w:val="0"/>
                <w:sz w:val="24"/>
                <w:highlight w:val="none"/>
              </w:rPr>
              <w:t xml:space="preserve">   </w:t>
            </w:r>
          </w:p>
          <w:p w14:paraId="7CA62C88">
            <w:pPr>
              <w:pStyle w:val="12"/>
              <w:spacing w:line="360" w:lineRule="auto"/>
              <w:rPr>
                <w:rFonts w:hint="eastAsia" w:ascii="宋体" w:hAnsi="宋体"/>
                <w:b/>
                <w:bCs/>
                <w:sz w:val="24"/>
                <w:highlight w:val="none"/>
              </w:rPr>
            </w:pPr>
            <w:r>
              <w:rPr>
                <w:rFonts w:hint="eastAsia" w:ascii="宋体" w:hAnsi="宋体"/>
                <w:b w:val="0"/>
                <w:bCs w:val="0"/>
                <w:sz w:val="24"/>
                <w:highlight w:val="none"/>
              </w:rPr>
              <w:t>账    号：</w:t>
            </w:r>
            <w:r>
              <w:rPr>
                <w:rFonts w:hint="eastAsia" w:ascii="宋体" w:hAnsi="宋体"/>
                <w:b w:val="0"/>
                <w:bCs w:val="0"/>
                <w:sz w:val="24"/>
                <w:highlight w:val="none"/>
                <w:lang w:val="en-US" w:eastAsia="zh-CN"/>
              </w:rPr>
              <w:t>3003 0203 0920 0153 009</w:t>
            </w:r>
          </w:p>
        </w:tc>
      </w:tr>
      <w:tr w14:paraId="2EDC2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3" w:hRule="atLeast"/>
          <w:jc w:val="center"/>
        </w:trPr>
        <w:tc>
          <w:tcPr>
            <w:tcW w:w="755" w:type="dxa"/>
            <w:vAlign w:val="center"/>
          </w:tcPr>
          <w:p w14:paraId="25A4E44F">
            <w:pPr>
              <w:pStyle w:val="12"/>
              <w:spacing w:line="240" w:lineRule="auto"/>
              <w:jc w:val="center"/>
              <w:rPr>
                <w:rFonts w:hint="default" w:hAnsi="宋体" w:cs="宋体"/>
                <w:bCs/>
                <w:sz w:val="24"/>
                <w:szCs w:val="24"/>
                <w:highlight w:val="none"/>
                <w:lang w:val="en-US" w:eastAsia="zh-CN"/>
              </w:rPr>
            </w:pPr>
            <w:r>
              <w:rPr>
                <w:rFonts w:hint="eastAsia" w:hAnsi="宋体" w:cs="宋体"/>
                <w:bCs/>
                <w:sz w:val="24"/>
                <w:szCs w:val="24"/>
                <w:highlight w:val="none"/>
                <w:lang w:val="en-US" w:eastAsia="zh-CN"/>
              </w:rPr>
              <w:t>10</w:t>
            </w:r>
          </w:p>
        </w:tc>
        <w:tc>
          <w:tcPr>
            <w:tcW w:w="9685" w:type="dxa"/>
            <w:vAlign w:val="center"/>
          </w:tcPr>
          <w:p w14:paraId="5E7009BD">
            <w:pPr>
              <w:pStyle w:val="12"/>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本项目采购标的对应的中小企业划分标准所属行业：根据工信部联企业〔2011〕300 号 </w:t>
            </w:r>
          </w:p>
          <w:p w14:paraId="23CBAAE0">
            <w:pPr>
              <w:pStyle w:val="12"/>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中小企业划型标准规定：</w:t>
            </w:r>
            <w:r>
              <w:rPr>
                <w:rFonts w:hint="eastAsia" w:ascii="宋体" w:hAnsi="宋体" w:eastAsia="宋体" w:cs="宋体"/>
                <w:color w:val="auto"/>
                <w:sz w:val="24"/>
                <w:szCs w:val="24"/>
                <w:highlight w:val="none"/>
                <w:u w:val="single"/>
                <w:lang w:val="en-US" w:eastAsia="zh-CN"/>
              </w:rPr>
              <w:t>其他未列明行业</w:t>
            </w:r>
            <w:r>
              <w:rPr>
                <w:rFonts w:hint="eastAsia" w:ascii="宋体" w:hAnsi="宋体" w:eastAsia="宋体" w:cs="宋体"/>
                <w:color w:val="auto"/>
                <w:sz w:val="24"/>
                <w:szCs w:val="24"/>
                <w:highlight w:val="none"/>
                <w:lang w:val="en-US" w:eastAsia="zh-CN"/>
              </w:rPr>
              <w:t>。</w:t>
            </w:r>
          </w:p>
        </w:tc>
      </w:tr>
    </w:tbl>
    <w:p w14:paraId="7BEBFD93">
      <w:pPr>
        <w:spacing w:line="360" w:lineRule="auto"/>
        <w:jc w:val="both"/>
        <w:rPr>
          <w:rFonts w:hint="eastAsia" w:ascii="宋体" w:hAnsi="宋体" w:cs="宋体"/>
          <w:sz w:val="28"/>
          <w:szCs w:val="21"/>
          <w:highlight w:val="none"/>
        </w:rPr>
      </w:pPr>
    </w:p>
    <w:p w14:paraId="72678BCB">
      <w:pPr>
        <w:pStyle w:val="2"/>
        <w:rPr>
          <w:rFonts w:hint="eastAsia"/>
        </w:rPr>
      </w:pPr>
    </w:p>
    <w:p w14:paraId="3CF9F62E">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center"/>
        <w:textAlignment w:val="auto"/>
        <w:rPr>
          <w:rFonts w:hint="eastAsia" w:ascii="宋体" w:hAnsi="宋体" w:eastAsia="宋体" w:cs="宋体"/>
          <w:b/>
          <w:bCs/>
          <w:sz w:val="28"/>
          <w:szCs w:val="28"/>
        </w:rPr>
      </w:pPr>
      <w:bookmarkStart w:id="53" w:name="_Toc26948"/>
      <w:bookmarkStart w:id="54" w:name="_Toc747"/>
      <w:bookmarkStart w:id="55" w:name="_Toc10597"/>
      <w:bookmarkStart w:id="56" w:name="_Toc21073"/>
      <w:r>
        <w:rPr>
          <w:rFonts w:hint="eastAsia" w:ascii="宋体" w:hAnsi="宋体" w:eastAsia="宋体" w:cs="宋体"/>
          <w:b/>
          <w:bCs/>
          <w:sz w:val="28"/>
          <w:szCs w:val="28"/>
        </w:rPr>
        <w:t>A</w:t>
      </w:r>
      <w:bookmarkStart w:id="57" w:name="_Toc154996576"/>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说明</w:t>
      </w:r>
    </w:p>
    <w:p w14:paraId="7B67114A">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58" w:name="_Toc233274811"/>
      <w:bookmarkStart w:id="59" w:name="_Toc246216180"/>
      <w:bookmarkStart w:id="60" w:name="_Toc243907571"/>
      <w:bookmarkStart w:id="61" w:name="_Toc243906311"/>
      <w:bookmarkStart w:id="62" w:name="_Toc20671"/>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适用范围</w:t>
      </w:r>
      <w:bookmarkEnd w:id="58"/>
      <w:bookmarkEnd w:id="59"/>
      <w:bookmarkEnd w:id="60"/>
      <w:bookmarkEnd w:id="61"/>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及磋商依据</w:t>
      </w:r>
      <w:bookmarkEnd w:id="62"/>
    </w:p>
    <w:p w14:paraId="627CC7C3">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适用范围</w:t>
      </w:r>
    </w:p>
    <w:p w14:paraId="0E98059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200" w:firstLine="480" w:firstLineChars="2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本竞争性磋商文件仅适用塔城市2024年度国土变更调查项目的采购。</w:t>
      </w:r>
    </w:p>
    <w:p w14:paraId="5345B7EB">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磋商依据</w:t>
      </w:r>
    </w:p>
    <w:p w14:paraId="4EB145FA">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200" w:firstLine="480" w:firstLineChars="2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根据《中华人民共和国政府采购法》、《中华人民共和国政府采购法实施条例》、《政府采购货物和服务招标投标管理办法》（中华人民共和国财政部令第87号）、《财政部关于印发〈政府采购竞争性磋商采购方式管理暂行办法〉的通知》（财库〔2014〕214号）及有关法律、法规。</w:t>
      </w:r>
      <w:bookmarkStart w:id="63" w:name="_Toc243906312"/>
      <w:bookmarkStart w:id="64" w:name="_Toc233274812"/>
      <w:bookmarkStart w:id="65" w:name="_Toc5511"/>
      <w:bookmarkStart w:id="66" w:name="_Toc246216181"/>
      <w:bookmarkStart w:id="67" w:name="_Toc243907572"/>
    </w:p>
    <w:p w14:paraId="765F690A">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定义</w:t>
      </w:r>
      <w:bookmarkEnd w:id="63"/>
      <w:bookmarkEnd w:id="64"/>
      <w:bookmarkEnd w:id="65"/>
      <w:bookmarkEnd w:id="66"/>
      <w:bookmarkEnd w:id="67"/>
    </w:p>
    <w:p w14:paraId="1626F1C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“采购人”系指塔城市自然资源局，在签订和执行合同阶段称“甲方”。</w:t>
      </w:r>
    </w:p>
    <w:p w14:paraId="20016CA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“采购代理机构”系指新疆新咨工程咨询有限公司。</w:t>
      </w:r>
    </w:p>
    <w:p w14:paraId="1B37A13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“供应商”系指具备资格并响应竞争性磋商文件要求提交响应文件的法人，供应商若中标，在签订和执行合同阶段称“乙方”。</w:t>
      </w:r>
    </w:p>
    <w:p w14:paraId="30AF4BF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“采购文件”系指由采购人向供应商发出的本采购项目的全部文件（包括修改文件、项目采购需求、补充文件、答疑纪要、各种通知和附件等）。</w:t>
      </w:r>
    </w:p>
    <w:p w14:paraId="2B545425">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“响应文件”系指供应商根据竞争性磋商文件提交的所有文件。</w:t>
      </w:r>
    </w:p>
    <w:p w14:paraId="09EE853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服务”系指合同条款、技术规范及标准、项目采购需求、本竞争性磋商文件规定，中标供应商为保证完成塔城市2024年度国土变更调查项目的采购应承担的所有工作，合同条款、技术规范及标准、项目采购需求、采购文件约定的全部内容及责任和义务。</w:t>
      </w:r>
    </w:p>
    <w:p w14:paraId="6C38F545">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凡提及的“天、日期、星期、月份和年份”系指公历日历的日历天、日期、星期、月份和年份。 </w:t>
      </w:r>
    </w:p>
    <w:p w14:paraId="67787C87">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68" w:name="_Toc243907573"/>
      <w:bookmarkStart w:id="69" w:name="_Toc243906313"/>
      <w:bookmarkStart w:id="70" w:name="_Toc233274813"/>
      <w:bookmarkStart w:id="71" w:name="_Toc246216182"/>
      <w:bookmarkStart w:id="72" w:name="_Toc26901"/>
      <w:bookmarkStart w:id="73" w:name="_Toc233274814"/>
      <w:bookmarkStart w:id="74" w:name="_Toc243907574"/>
      <w:bookmarkStart w:id="75" w:name="_Toc246216183"/>
      <w:bookmarkStart w:id="76" w:name="_Toc243906314"/>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采购范围</w:t>
      </w:r>
      <w:bookmarkEnd w:id="68"/>
      <w:bookmarkEnd w:id="69"/>
      <w:bookmarkEnd w:id="70"/>
      <w:bookmarkEnd w:id="71"/>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及</w:t>
      </w:r>
      <w:bookmarkEnd w:id="72"/>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服务期</w:t>
      </w:r>
    </w:p>
    <w:p w14:paraId="374CCB13">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采购范围：完成塔城市2024年度国土变更调查项目合同条款、项目采购需求、本竞争性磋商文件约定的全部内容及义务。 </w:t>
      </w:r>
    </w:p>
    <w:p w14:paraId="0D7D5CF5">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进度安排：详见采购需求。</w:t>
      </w:r>
    </w:p>
    <w:bookmarkEnd w:id="73"/>
    <w:bookmarkEnd w:id="74"/>
    <w:bookmarkEnd w:id="75"/>
    <w:bookmarkEnd w:id="76"/>
    <w:p w14:paraId="1326A5DC">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合格供应商资格要求</w:t>
      </w:r>
    </w:p>
    <w:p w14:paraId="2FDF23A9">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详见第一章“竞争性磋商公告”中的供应商资格要求。</w:t>
      </w:r>
      <w:bookmarkStart w:id="77" w:name="_Toc243907575"/>
      <w:bookmarkStart w:id="78" w:name="_Toc233274815"/>
      <w:bookmarkStart w:id="79" w:name="_Toc245897275"/>
      <w:bookmarkStart w:id="80" w:name="_Toc243906315"/>
    </w:p>
    <w:p w14:paraId="5DB971E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单位负责人为同一人或者存在直接控股、管理关系的不同供应商，不得参加同一合同项下的政府采购活动。</w:t>
      </w:r>
    </w:p>
    <w:p w14:paraId="35D701CE">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为采购项目提供整体设计、规范编制或者项目管理、监理、检测等服务的供应商，不得再参加该采购项目的其他采购活动。</w:t>
      </w:r>
    </w:p>
    <w:p w14:paraId="14B214DA">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在单一品目的货物采购采购中，同一品牌同一型号的产品有多家供应商参加磋商，只能按照一家供应商计算。</w:t>
      </w:r>
    </w:p>
    <w:p w14:paraId="5309553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同一分包的货物，制造商参与磋商的，不得再委托代理商参与磋商。</w:t>
      </w:r>
    </w:p>
    <w:p w14:paraId="1B74891C">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回避。政府采购活动中，采购人员及相关人员与供应商有下列利害关系之一的，应当回避：</w:t>
      </w:r>
    </w:p>
    <w:p w14:paraId="4809CE91">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参加采购活动前3年内与供应商存在劳动关系；</w:t>
      </w:r>
    </w:p>
    <w:p w14:paraId="53BA853A">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参加采购活动前3年内担任供应商的董事、监事；</w:t>
      </w:r>
    </w:p>
    <w:p w14:paraId="0032D77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参加采购活动前3年内是供应商的控股股东或者实际控制人；</w:t>
      </w:r>
    </w:p>
    <w:p w14:paraId="5B2CFEC1">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与供应商的法定代表人或者负责人有夫妻、直系血亲、三代以内旁系血亲或者近姻亲关系；</w:t>
      </w:r>
    </w:p>
    <w:p w14:paraId="75BD844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与供应商有其他可能影响政府采购活动公平、公正进行的关系。</w:t>
      </w:r>
    </w:p>
    <w:p w14:paraId="6F4F67C7">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磋商小组成员。</w:t>
      </w:r>
    </w:p>
    <w:p w14:paraId="1A31CF32">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供应商认为采购人员及相关人员与其他供应商有利害关系的，可以向采购代理机构书面提出回避申请，并说明理由。采购代理机构将及时询问被申请回避人员，有利害关系的被申请回避人员应当回避。</w:t>
      </w:r>
    </w:p>
    <w:p w14:paraId="6E0F8E36">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实地考察和费用</w:t>
      </w:r>
      <w:bookmarkEnd w:id="77"/>
      <w:bookmarkEnd w:id="78"/>
      <w:bookmarkEnd w:id="79"/>
      <w:bookmarkEnd w:id="80"/>
    </w:p>
    <w:p w14:paraId="085DC9A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实地考察</w:t>
      </w:r>
      <w:r>
        <w:rPr>
          <w:rFonts w:hint="eastAsia" w:ascii="宋体" w:hAnsi="宋体" w:cs="宋体"/>
          <w:snapToGrid w:val="0"/>
          <w:color w:val="000000"/>
          <w:kern w:val="0"/>
          <w:sz w:val="24"/>
          <w:szCs w:val="24"/>
          <w:lang w:val="en-US" w:eastAsia="zh-CN"/>
        </w:rPr>
        <w:t>：</w:t>
      </w:r>
      <w:r>
        <w:rPr>
          <w:rFonts w:hint="eastAsia" w:ascii="宋体" w:hAnsi="宋体" w:eastAsia="宋体" w:cs="宋体"/>
          <w:snapToGrid w:val="0"/>
          <w:color w:val="000000"/>
          <w:kern w:val="0"/>
          <w:sz w:val="24"/>
          <w:szCs w:val="24"/>
          <w:lang w:val="en-US" w:eastAsia="zh-CN"/>
        </w:rPr>
        <w:t>采购人不组织统一实地考察。供应商须对采购项目的现场及采购项目所涉及的国家、自治区、</w:t>
      </w:r>
      <w:r>
        <w:rPr>
          <w:rFonts w:hint="eastAsia" w:ascii="宋体" w:hAnsi="宋体" w:cs="宋体"/>
          <w:snapToGrid w:val="0"/>
          <w:color w:val="000000"/>
          <w:kern w:val="0"/>
          <w:sz w:val="24"/>
          <w:szCs w:val="24"/>
          <w:lang w:val="en-US" w:eastAsia="zh-CN"/>
        </w:rPr>
        <w:t>塔城</w:t>
      </w:r>
      <w:r>
        <w:rPr>
          <w:rFonts w:hint="eastAsia" w:ascii="宋体" w:hAnsi="宋体" w:eastAsia="宋体" w:cs="宋体"/>
          <w:snapToGrid w:val="0"/>
          <w:color w:val="000000"/>
          <w:kern w:val="0"/>
          <w:sz w:val="24"/>
          <w:szCs w:val="24"/>
          <w:lang w:val="en-US" w:eastAsia="zh-CN"/>
        </w:rPr>
        <w:t>地区、相关部门等与此相关的政策进行充分的调查、研究，参观并考察项目情况及其周围环境（包括当地气候条件及自然环境等）以取得所有与准备磋商和实施磋商有关的必要资料及信息。实地考察所发生的任何费用均由供应商自理。</w:t>
      </w:r>
    </w:p>
    <w:p w14:paraId="177AEE6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参与磋商费用</w:t>
      </w:r>
    </w:p>
    <w:p w14:paraId="7E4E335E">
      <w:pPr>
        <w:keepNext w:val="0"/>
        <w:keepLines w:val="0"/>
        <w:pageBreakBefore w:val="0"/>
        <w:widowControl/>
        <w:numPr>
          <w:ilvl w:val="0"/>
          <w:numId w:val="7"/>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供应商应承担所有与磋商准备和磋商有关的全部费用，不论磋商结果如何，采购人和采购代理机构无义务和责任承担供应商所发生的一切费用。</w:t>
      </w:r>
    </w:p>
    <w:p w14:paraId="779CE25F">
      <w:pPr>
        <w:keepNext w:val="0"/>
        <w:keepLines w:val="0"/>
        <w:pageBreakBefore w:val="0"/>
        <w:widowControl/>
        <w:numPr>
          <w:ilvl w:val="0"/>
          <w:numId w:val="7"/>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供应商在磋商准备、实地考察和磋商的全过程中，如果发生人身伤亡、财物或其它任何损失，不论何种原因所造成，均由供应商自行承担全部责任和损失。</w:t>
      </w:r>
    </w:p>
    <w:p w14:paraId="5C02295F">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81" w:name="_Toc233274816"/>
      <w:bookmarkStart w:id="82" w:name="_Toc243906316"/>
      <w:bookmarkStart w:id="83" w:name="_Toc245897276"/>
      <w:bookmarkStart w:id="84" w:name="_Toc243907576"/>
      <w:bookmarkStart w:id="85" w:name="_Toc11051"/>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法律适用</w:t>
      </w:r>
      <w:bookmarkEnd w:id="81"/>
      <w:bookmarkEnd w:id="82"/>
      <w:bookmarkEnd w:id="83"/>
      <w:bookmarkEnd w:id="84"/>
      <w:bookmarkEnd w:id="85"/>
    </w:p>
    <w:p w14:paraId="7C4E679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本次磋商活动及由本次磋商产生的合同受中国法律制约和保护。</w:t>
      </w:r>
    </w:p>
    <w:p w14:paraId="18930047">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86" w:name="_Toc243906317"/>
      <w:bookmarkStart w:id="87" w:name="_Toc245897277"/>
      <w:bookmarkStart w:id="88" w:name="_Toc243907577"/>
      <w:bookmarkStart w:id="89" w:name="_Toc233274817"/>
      <w:bookmarkStart w:id="90" w:name="_Toc1885"/>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竞争性磋商文件的约束力</w:t>
      </w:r>
      <w:bookmarkEnd w:id="86"/>
      <w:bookmarkEnd w:id="87"/>
      <w:bookmarkEnd w:id="88"/>
      <w:bookmarkEnd w:id="89"/>
      <w:bookmarkEnd w:id="90"/>
    </w:p>
    <w:p w14:paraId="05FC87B7">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供应商若中标，即被认为接受了本竞争性磋商文件中的所有条件和规定。是采购人与中标供应商签订合同的依据且是合同的组成部分。</w:t>
      </w:r>
    </w:p>
    <w:p w14:paraId="24BDC3F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技术资料</w:t>
      </w:r>
      <w:r>
        <w:rPr>
          <w:rFonts w:hint="eastAsia" w:ascii="宋体" w:hAnsi="宋体" w:cs="宋体"/>
          <w:snapToGrid w:val="0"/>
          <w:color w:val="000000"/>
          <w:kern w:val="0"/>
          <w:sz w:val="24"/>
          <w:szCs w:val="24"/>
          <w:lang w:val="en-US" w:eastAsia="zh-CN"/>
        </w:rPr>
        <w:t>：</w:t>
      </w:r>
      <w:r>
        <w:rPr>
          <w:rFonts w:hint="eastAsia" w:ascii="宋体" w:hAnsi="宋体" w:eastAsia="宋体" w:cs="宋体"/>
          <w:snapToGrid w:val="0"/>
          <w:color w:val="000000"/>
          <w:kern w:val="0"/>
          <w:sz w:val="24"/>
          <w:szCs w:val="24"/>
          <w:lang w:val="en-US" w:eastAsia="zh-CN"/>
        </w:rPr>
        <w:t>供应商确认采购人提供的技术资料（详见本竞争性磋商文件第三章）存在缺项、漏项或计算误差，应在前附表中规定的提问截止时间前，以书面方式向采购人或采购代理机构提出。供应商未在规定的时间内对采购人或采购代理机构提供的技术资料提出异议，视为供应商已认可采购人或采购代理机构提供的资料包含了所需的技术资料全部内容。</w:t>
      </w:r>
    </w:p>
    <w:p w14:paraId="5646B4CA">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磋商报价</w:t>
      </w:r>
      <w:bookmarkEnd w:id="57"/>
      <w:r>
        <w:rPr>
          <w:rFonts w:hint="eastAsia" w:ascii="宋体" w:hAnsi="宋体" w:cs="宋体"/>
          <w:snapToGrid w:val="0"/>
          <w:color w:val="000000"/>
          <w:kern w:val="0"/>
          <w:sz w:val="24"/>
          <w:szCs w:val="24"/>
          <w:lang w:val="en-US" w:eastAsia="zh-CN"/>
        </w:rPr>
        <w:t>：</w:t>
      </w:r>
      <w:r>
        <w:rPr>
          <w:rFonts w:hint="eastAsia" w:ascii="宋体" w:hAnsi="宋体" w:eastAsia="宋体" w:cs="宋体"/>
          <w:snapToGrid w:val="0"/>
          <w:color w:val="000000"/>
          <w:kern w:val="0"/>
          <w:sz w:val="24"/>
          <w:szCs w:val="24"/>
          <w:lang w:val="en-US" w:eastAsia="zh-CN"/>
        </w:rPr>
        <w:t>采购范围、本磋商文件及合同约定等完成本采购项目的全部费用（包括：人工费、调研、勘察、用车、差旅、税金等所有相关费用）。供应商认为需包含的其它费用。</w:t>
      </w:r>
    </w:p>
    <w:p w14:paraId="7719F3C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rPr>
      </w:pPr>
      <w:bookmarkStart w:id="91" w:name="_Toc16729"/>
      <w:r>
        <w:rPr>
          <w:rFonts w:hint="eastAsia" w:ascii="宋体" w:hAnsi="宋体" w:eastAsia="宋体" w:cs="宋体"/>
          <w:b/>
          <w:bCs/>
          <w:sz w:val="28"/>
          <w:szCs w:val="28"/>
        </w:rPr>
        <w:t>B</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磋商文件</w:t>
      </w:r>
      <w:bookmarkEnd w:id="91"/>
    </w:p>
    <w:p w14:paraId="102107DD">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92" w:name="_Toc233274819"/>
      <w:bookmarkStart w:id="93" w:name="_Toc243907579"/>
      <w:bookmarkStart w:id="94" w:name="_Toc17888"/>
      <w:bookmarkStart w:id="95" w:name="_Toc243906319"/>
      <w:bookmarkStart w:id="96" w:name="_Toc246216188"/>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竞争性磋商文件的组成</w:t>
      </w:r>
      <w:bookmarkEnd w:id="92"/>
      <w:bookmarkEnd w:id="93"/>
      <w:bookmarkEnd w:id="94"/>
      <w:bookmarkEnd w:id="95"/>
      <w:bookmarkEnd w:id="96"/>
    </w:p>
    <w:p w14:paraId="2A534F61">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本竞争性磋商文件是对塔城市2024年度国土变更调查项目磋商程序、合同条款进行说明。竞争性磋商文件包括下列内容：</w:t>
      </w:r>
    </w:p>
    <w:p w14:paraId="0E8B141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第一章  竞争性磋商公告</w:t>
      </w:r>
    </w:p>
    <w:p w14:paraId="74519A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第二章  供应商须知</w:t>
      </w:r>
    </w:p>
    <w:p w14:paraId="0AFF218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第三章  项目采购需求</w:t>
      </w:r>
    </w:p>
    <w:p w14:paraId="6B7EAE0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第四章  合同条款</w:t>
      </w:r>
    </w:p>
    <w:p w14:paraId="3E142C6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第五章  响应文件格式</w:t>
      </w:r>
    </w:p>
    <w:p w14:paraId="45D7AAC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第六章  评审标准（综合评分法）</w:t>
      </w:r>
    </w:p>
    <w:p w14:paraId="30936037">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 竞争性磋商文件以中文编印，以中文文本为准。</w:t>
      </w:r>
    </w:p>
    <w:p w14:paraId="2D2AC05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除非有特殊要求，竞争性磋商文件不单独提供采购项目使用地的自然环境、气候条件、劳动力及公用设施等情况，供应商被视为熟悉上述条件或若中标履行合同有关的一切情况。</w:t>
      </w:r>
    </w:p>
    <w:p w14:paraId="419F037B">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采购人向供应商提供的有关数据和资料，是采购人现有的能被供应商利用的资料，供应商对此做出的推论、理解和结论自行负责。</w:t>
      </w:r>
    </w:p>
    <w:p w14:paraId="7E09C336">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97" w:name="_Toc1610"/>
      <w:bookmarkStart w:id="98" w:name="_Toc243906320"/>
      <w:bookmarkStart w:id="99" w:name="_Toc233274820"/>
      <w:bookmarkStart w:id="100" w:name="_Toc245897280"/>
      <w:bookmarkStart w:id="101" w:name="_Toc243907580"/>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竞争性磋商文件的澄清</w:t>
      </w:r>
      <w:bookmarkEnd w:id="97"/>
      <w:bookmarkEnd w:id="98"/>
      <w:bookmarkEnd w:id="99"/>
      <w:bookmarkEnd w:id="100"/>
      <w:bookmarkEnd w:id="101"/>
    </w:p>
    <w:p w14:paraId="3C4FFF0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供应商对竞争性磋商文件如有疑问，可要求澄清，应按竞争性磋商文件“供应商须知前附表中的规定”以书面形式（必须加盖供应商公章）送达至新疆新咨工程咨询有限公司或发至邮箱：862754334@qq.com 。采购人和采购代理机构将视情况以书面形式予以答复，并发至领取竞争性磋商文件的每位供应商。答复中包括所提问题，但不包括问题的来源。</w:t>
      </w:r>
    </w:p>
    <w:p w14:paraId="01382AAB">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澄清内容包括所有需要回答的问题和答复，各供应商需登陆新疆政府采购网政采云 平台（www.zcygov.cn）进行查看并下载。如果上述答复涉及对磋商文件的修改或补充，则它将被视为磋商文件的组成部分。凡原先所发磋商文件中的内容与答复中的内容不一致之处，以最后书面答复为准。任何电话或口头咨询和答复的意思解释均不具有法律约束力。</w:t>
      </w:r>
    </w:p>
    <w:p w14:paraId="4AA78A51">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02" w:name="_Toc245897281"/>
      <w:bookmarkStart w:id="103" w:name="_Toc27323"/>
      <w:bookmarkStart w:id="104" w:name="_Toc243907581"/>
      <w:bookmarkStart w:id="105" w:name="_Toc233274821"/>
      <w:bookmarkStart w:id="106" w:name="_Toc243906321"/>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竞争性磋商文件的修改和补充</w:t>
      </w:r>
      <w:bookmarkEnd w:id="102"/>
      <w:bookmarkEnd w:id="103"/>
      <w:bookmarkEnd w:id="104"/>
      <w:bookmarkEnd w:id="105"/>
      <w:bookmarkEnd w:id="106"/>
    </w:p>
    <w:p w14:paraId="4996D8A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在递交响应文件截止日期5日前的任何时候，采购人可主动地或依据供应商要求澄清的疑问而修改、补充竞争性磋商文件，采购代理机构将对修改和补充的内容以书面形式发至新疆政府采购网，修改和补充文件将作为竞争性磋商文件的组成部分，对所有供应商具有约束力。</w:t>
      </w:r>
    </w:p>
    <w:p w14:paraId="0B5637B2">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为使供应商在准备响应文件时有合理的时间考虑竞争性磋商文件的修改和/或补充，采购代理机构可延长递交响应文件截止时间和开启时间，但至少应当在规定的递交响应文件的截止时间5日前，以书面形式通知所有获取竞争性磋商文件的每位供应商。</w:t>
      </w:r>
    </w:p>
    <w:p w14:paraId="55521663">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107" w:name="_Toc243907582"/>
      <w:bookmarkStart w:id="108" w:name="_Toc246216191"/>
      <w:bookmarkStart w:id="109" w:name="_Toc233274822"/>
      <w:bookmarkStart w:id="110" w:name="_Toc243906322"/>
      <w:bookmarkStart w:id="111" w:name="_Toc154996580"/>
      <w:r>
        <w:rPr>
          <w:rFonts w:hint="eastAsia" w:ascii="宋体" w:hAnsi="宋体" w:eastAsia="宋体" w:cs="宋体"/>
          <w:snapToGrid w:val="0"/>
          <w:color w:val="000000"/>
          <w:kern w:val="0"/>
          <w:sz w:val="24"/>
          <w:szCs w:val="24"/>
          <w:lang w:val="en-US" w:eastAsia="zh-CN"/>
        </w:rPr>
        <w:t>采购代理机构对采购文件作出的澄清、修改在政采云平台内进行披露，请供应商及时关注并获取相关资料。因登记有误、线路故障或其它任何意外情形，导致供应商未及时获取的，采购代理机构不因此承担任何责任，且有关的采购活动继续有效进行。当采购文件的澄清、修改及进行其他答复等就同一内容的表述不一致时，以最后发布的内容为准。</w:t>
      </w:r>
    </w:p>
    <w:p w14:paraId="2F7F98F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rPr>
      </w:pPr>
      <w:bookmarkStart w:id="112" w:name="_Toc23883"/>
      <w:r>
        <w:rPr>
          <w:rFonts w:hint="eastAsia" w:ascii="宋体" w:hAnsi="宋体" w:eastAsia="宋体" w:cs="宋体"/>
          <w:b/>
          <w:bCs/>
          <w:sz w:val="28"/>
          <w:szCs w:val="28"/>
        </w:rPr>
        <w:t>C</w:t>
      </w:r>
      <w:r>
        <w:rPr>
          <w:rFonts w:hint="eastAsia" w:ascii="宋体" w:hAnsi="宋体" w:eastAsia="宋体" w:cs="宋体"/>
          <w:b/>
          <w:bCs/>
          <w:sz w:val="28"/>
          <w:szCs w:val="28"/>
          <w:lang w:val="en-US" w:eastAsia="zh-CN"/>
        </w:rPr>
        <w:t xml:space="preserve">   </w:t>
      </w:r>
      <w:r>
        <w:rPr>
          <w:rFonts w:hint="eastAsia" w:ascii="宋体" w:hAnsi="宋体" w:eastAsia="宋体" w:cs="宋体"/>
          <w:b/>
          <w:bCs/>
          <w:sz w:val="28"/>
          <w:szCs w:val="28"/>
        </w:rPr>
        <w:t>响应文件的编写</w:t>
      </w:r>
      <w:bookmarkEnd w:id="107"/>
      <w:bookmarkEnd w:id="108"/>
      <w:bookmarkEnd w:id="109"/>
      <w:bookmarkEnd w:id="110"/>
      <w:bookmarkEnd w:id="112"/>
    </w:p>
    <w:p w14:paraId="6F66B272">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13" w:name="_Toc243907583"/>
      <w:bookmarkStart w:id="114" w:name="_Toc243906323"/>
      <w:bookmarkStart w:id="115" w:name="_Toc245897283"/>
      <w:bookmarkStart w:id="116" w:name="_Toc13094"/>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响应文件的编写</w:t>
      </w:r>
      <w:bookmarkEnd w:id="113"/>
      <w:bookmarkEnd w:id="114"/>
      <w:bookmarkEnd w:id="115"/>
      <w:bookmarkEnd w:id="116"/>
    </w:p>
    <w:p w14:paraId="562E9FB5">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必须详细阅读竞争性磋商文件的章、节、条款、格式等所有内容，按竞争性磋商文件的要求提交响应文件，并保证所提供的全部文件及相关资料的真实性，以使其对竞争性磋商文件做出实质性响应。供应商应仔细阅读并充分理解竞争性磋商文件、技术规范及标准、项目采购需求、合同条款后编制响应文件。</w:t>
      </w:r>
    </w:p>
    <w:p w14:paraId="020C796A">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17" w:name="_Toc233274824"/>
      <w:bookmarkStart w:id="118" w:name="_Toc243907584"/>
      <w:bookmarkStart w:id="119" w:name="_Toc16737"/>
      <w:bookmarkStart w:id="120" w:name="_Toc245897284"/>
      <w:bookmarkStart w:id="121" w:name="_Toc243906324"/>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响应文件的语言及计量单位</w:t>
      </w:r>
      <w:bookmarkEnd w:id="117"/>
      <w:bookmarkEnd w:id="118"/>
      <w:bookmarkEnd w:id="119"/>
      <w:bookmarkEnd w:id="120"/>
      <w:bookmarkEnd w:id="121"/>
    </w:p>
    <w:p w14:paraId="2127863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响应文件及供应商和采购人及采购代理机构就有关磋商的所有文件和来往函件，应以中文书写。供应商可以提交用其他语言（原文）打印的资料，但必须翻译成中文，当原文和译文（中文）之间存有差异和/或矛盾时，以中文为准。</w:t>
      </w:r>
    </w:p>
    <w:p w14:paraId="7D556661">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除在竞争性磋商文件的项目采购需求中另有规定外，计量单位应使用中华人民共和国法定计量单位（国际单位制和国家选定的其它计量单位）。如供应商采用其它计量单位，需事先得到采购人的同意。 </w:t>
      </w:r>
    </w:p>
    <w:p w14:paraId="28A723D3">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22" w:name="_Toc24056"/>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响应文件的组成：</w:t>
      </w:r>
      <w:bookmarkEnd w:id="122"/>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（以下响应文件格式详见第五章“响应文件格式”）</w:t>
      </w:r>
    </w:p>
    <w:p w14:paraId="0FABC67E">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资格证明文件（后续供应商在线制作响应文件时需对资格审查项进行逐一关联响应）</w:t>
      </w:r>
      <w:bookmarkEnd w:id="111"/>
      <w:bookmarkStart w:id="123" w:name="_Toc243907594"/>
      <w:bookmarkStart w:id="124" w:name="_Toc243906333"/>
      <w:bookmarkStart w:id="125" w:name="_Toc246216203"/>
      <w:bookmarkStart w:id="126" w:name="_Toc233274834"/>
      <w:r>
        <w:rPr>
          <w:rFonts w:hint="eastAsia" w:ascii="宋体" w:hAnsi="宋体" w:eastAsia="宋体" w:cs="宋体"/>
          <w:snapToGrid w:val="0"/>
          <w:color w:val="000000"/>
          <w:kern w:val="0"/>
          <w:sz w:val="24"/>
          <w:szCs w:val="24"/>
          <w:lang w:val="en-US" w:eastAsia="zh-CN"/>
        </w:rPr>
        <w:t>资格证明文件应简要客观反映企业面貌，使采购人对其有感性了解，必须如实提供，如发现失实之处将影响其成交。资格证明文件包括但不仅限于以下内容，供应商对照第六章“1、资格性审查”提供必要的证明材料：</w:t>
      </w:r>
    </w:p>
    <w:p w14:paraId="538D1A6C">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封面</w:t>
      </w:r>
    </w:p>
    <w:p w14:paraId="37113E96">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资格性/符合性自查表（详见文件格式1）；</w:t>
      </w:r>
    </w:p>
    <w:p w14:paraId="0B218DC9">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法定代表人资格证明书（详见格式2）；</w:t>
      </w:r>
    </w:p>
    <w:p w14:paraId="09636E35">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法定代表人授权委托书（详见格式3）；</w:t>
      </w:r>
    </w:p>
    <w:p w14:paraId="69AC2ECD">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有效期内的三证合一企业营业执照（复印件）；</w:t>
      </w:r>
    </w:p>
    <w:p w14:paraId="1CA9965B">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lang w:eastAsia="zh-CN"/>
        </w:rPr>
        <w:t>供应商</w:t>
      </w:r>
      <w:r>
        <w:rPr>
          <w:rFonts w:hint="eastAsia" w:ascii="宋体" w:hAnsi="宋体" w:eastAsia="宋体" w:cs="宋体"/>
          <w:sz w:val="24"/>
          <w:szCs w:val="24"/>
        </w:rPr>
        <w:t>基本情况表（详见格式4）；</w:t>
      </w:r>
    </w:p>
    <w:p w14:paraId="124F7BFE">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诚信声明（详见格式5）；</w:t>
      </w:r>
    </w:p>
    <w:p w14:paraId="66EBFDF9">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提供上年度（202</w:t>
      </w:r>
      <w:r>
        <w:rPr>
          <w:rFonts w:hint="eastAsia" w:ascii="宋体" w:hAnsi="宋体" w:eastAsia="宋体" w:cs="宋体"/>
          <w:sz w:val="24"/>
          <w:szCs w:val="24"/>
          <w:lang w:val="en-US" w:eastAsia="zh-CN"/>
        </w:rPr>
        <w:t>3</w:t>
      </w:r>
      <w:r>
        <w:rPr>
          <w:rFonts w:hint="eastAsia" w:ascii="宋体" w:hAnsi="宋体" w:eastAsia="宋体" w:cs="宋体"/>
          <w:sz w:val="24"/>
          <w:szCs w:val="24"/>
        </w:rPr>
        <w:t>年度</w:t>
      </w:r>
      <w:r>
        <w:rPr>
          <w:rFonts w:hint="eastAsia" w:ascii="宋体" w:hAnsi="宋体" w:eastAsia="宋体" w:cs="宋体"/>
          <w:sz w:val="24"/>
          <w:szCs w:val="24"/>
          <w:lang w:val="en-US" w:eastAsia="zh-CN"/>
        </w:rPr>
        <w:t>或2024年度</w:t>
      </w:r>
      <w:r>
        <w:rPr>
          <w:rFonts w:hint="eastAsia" w:ascii="宋体" w:hAnsi="宋体" w:eastAsia="宋体" w:cs="宋体"/>
          <w:sz w:val="24"/>
          <w:szCs w:val="24"/>
        </w:rPr>
        <w:t>）财务会计报告/企业财务报表（包括资产负债表、损益表、利润表、现金流量表，新成立的公司提供情况说明）</w:t>
      </w:r>
    </w:p>
    <w:p w14:paraId="0C2D834B">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无重大违法记录承诺书</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格式6</w:t>
      </w:r>
      <w:r>
        <w:rPr>
          <w:rFonts w:hint="eastAsia" w:ascii="宋体" w:hAnsi="宋体" w:eastAsia="宋体" w:cs="宋体"/>
          <w:sz w:val="24"/>
          <w:szCs w:val="24"/>
          <w:lang w:eastAsia="zh-CN"/>
        </w:rPr>
        <w:t>）；</w:t>
      </w:r>
    </w:p>
    <w:p w14:paraId="14E9DEE2">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具有履行合同所必需的设备和专业技术能力的承诺书</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格式7</w:t>
      </w:r>
      <w:r>
        <w:rPr>
          <w:rFonts w:hint="eastAsia" w:ascii="宋体" w:hAnsi="宋体" w:eastAsia="宋体" w:cs="宋体"/>
          <w:sz w:val="24"/>
          <w:szCs w:val="24"/>
          <w:lang w:eastAsia="zh-CN"/>
        </w:rPr>
        <w:t>）</w:t>
      </w:r>
    </w:p>
    <w:p w14:paraId="1C98931E">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202</w:t>
      </w:r>
      <w:r>
        <w:rPr>
          <w:rFonts w:hint="eastAsia" w:ascii="宋体" w:hAnsi="宋体" w:eastAsia="宋体" w:cs="宋体"/>
          <w:sz w:val="24"/>
          <w:szCs w:val="24"/>
          <w:lang w:val="en-US" w:eastAsia="zh-CN"/>
        </w:rPr>
        <w:t>4</w:t>
      </w:r>
      <w:r>
        <w:rPr>
          <w:rFonts w:hint="eastAsia" w:ascii="宋体" w:hAnsi="宋体" w:eastAsia="宋体" w:cs="宋体"/>
          <w:sz w:val="24"/>
          <w:szCs w:val="24"/>
        </w:rPr>
        <w:t>年以来（</w:t>
      </w:r>
      <w:r>
        <w:rPr>
          <w:rFonts w:hint="eastAsia" w:ascii="宋体" w:hAnsi="宋体" w:cs="宋体"/>
          <w:sz w:val="24"/>
          <w:szCs w:val="24"/>
          <w:lang w:val="en-US" w:eastAsia="zh-CN"/>
        </w:rPr>
        <w:t>任意连续</w:t>
      </w:r>
      <w:r>
        <w:rPr>
          <w:rFonts w:hint="eastAsia" w:ascii="宋体" w:hAnsi="宋体" w:eastAsia="宋体" w:cs="宋体"/>
          <w:sz w:val="24"/>
          <w:szCs w:val="24"/>
        </w:rPr>
        <w:t>三个月）依法缴纳税收和社会保障资金的良好记录的证明材料（附复印件）</w:t>
      </w:r>
    </w:p>
    <w:p w14:paraId="52845E77">
      <w:pPr>
        <w:keepNext w:val="0"/>
        <w:keepLines w:val="0"/>
        <w:pageBreakBefore w:val="0"/>
        <w:widowControl w:val="0"/>
        <w:numPr>
          <w:ilvl w:val="0"/>
          <w:numId w:val="8"/>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供应商未被列入“信用中国”网站（www.creditchina.gov.cn）失信被执行人、重大税收违法案件当事人名单及中国政府采购网（www.ccgp.gov.cn）“政府采购严重违法失信行为信息记录”</w:t>
      </w:r>
      <w:r>
        <w:rPr>
          <w:rFonts w:hint="eastAsia" w:ascii="宋体" w:hAnsi="宋体" w:eastAsia="宋体" w:cs="宋体"/>
          <w:sz w:val="24"/>
          <w:szCs w:val="24"/>
          <w:lang w:val="en-US" w:eastAsia="zh-CN"/>
        </w:rPr>
        <w:t>相关截图</w:t>
      </w:r>
    </w:p>
    <w:p w14:paraId="7BFA1C45">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商务部分主要包括但不限于以下内容：</w:t>
      </w:r>
    </w:p>
    <w:p w14:paraId="04BDA5D5">
      <w:pPr>
        <w:keepNext w:val="0"/>
        <w:keepLines w:val="0"/>
        <w:pageBreakBefore w:val="0"/>
        <w:widowControl w:val="0"/>
        <w:numPr>
          <w:ilvl w:val="0"/>
          <w:numId w:val="9"/>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响应函（详见格式</w:t>
      </w:r>
      <w:r>
        <w:rPr>
          <w:rFonts w:hint="eastAsia" w:ascii="宋体" w:hAnsi="宋体" w:eastAsia="宋体" w:cs="宋体"/>
          <w:sz w:val="24"/>
          <w:szCs w:val="24"/>
          <w:lang w:val="en-US" w:eastAsia="zh-CN"/>
        </w:rPr>
        <w:t>8</w:t>
      </w:r>
      <w:r>
        <w:rPr>
          <w:rFonts w:hint="eastAsia" w:ascii="宋体" w:hAnsi="宋体" w:eastAsia="宋体" w:cs="宋体"/>
          <w:sz w:val="24"/>
          <w:szCs w:val="24"/>
        </w:rPr>
        <w:t>）；</w:t>
      </w:r>
    </w:p>
    <w:p w14:paraId="55C7609E">
      <w:pPr>
        <w:keepNext w:val="0"/>
        <w:keepLines w:val="0"/>
        <w:pageBreakBefore w:val="0"/>
        <w:widowControl w:val="0"/>
        <w:numPr>
          <w:ilvl w:val="0"/>
          <w:numId w:val="9"/>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商务报价一览表</w:t>
      </w:r>
      <w:r>
        <w:rPr>
          <w:rFonts w:hint="eastAsia" w:ascii="宋体" w:hAnsi="宋体" w:cs="宋体"/>
          <w:bCs/>
          <w:sz w:val="24"/>
          <w:szCs w:val="24"/>
          <w:highlight w:val="none"/>
          <w:lang w:eastAsia="zh-CN"/>
        </w:rPr>
        <w:t>（首次）</w:t>
      </w:r>
      <w:r>
        <w:rPr>
          <w:rFonts w:hint="eastAsia" w:ascii="宋体" w:hAnsi="宋体" w:eastAsia="宋体" w:cs="宋体"/>
          <w:sz w:val="24"/>
          <w:szCs w:val="24"/>
        </w:rPr>
        <w:t>（详见格式</w:t>
      </w:r>
      <w:r>
        <w:rPr>
          <w:rFonts w:hint="eastAsia" w:ascii="宋体" w:hAnsi="宋体" w:eastAsia="宋体" w:cs="宋体"/>
          <w:sz w:val="24"/>
          <w:szCs w:val="24"/>
          <w:lang w:val="en-US" w:eastAsia="zh-CN"/>
        </w:rPr>
        <w:t>9</w:t>
      </w:r>
      <w:r>
        <w:rPr>
          <w:rFonts w:hint="eastAsia" w:ascii="宋体" w:hAnsi="宋体" w:eastAsia="宋体" w:cs="宋体"/>
          <w:sz w:val="24"/>
          <w:szCs w:val="24"/>
        </w:rPr>
        <w:t>）；</w:t>
      </w:r>
    </w:p>
    <w:p w14:paraId="635BD29B">
      <w:pPr>
        <w:keepNext w:val="0"/>
        <w:keepLines w:val="0"/>
        <w:pageBreakBefore w:val="0"/>
        <w:widowControl w:val="0"/>
        <w:numPr>
          <w:ilvl w:val="0"/>
          <w:numId w:val="9"/>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商务条款偏离表（详见格式</w:t>
      </w:r>
      <w:r>
        <w:rPr>
          <w:rFonts w:hint="eastAsia" w:ascii="宋体" w:hAnsi="宋体" w:eastAsia="宋体" w:cs="宋体"/>
          <w:sz w:val="24"/>
          <w:szCs w:val="24"/>
          <w:lang w:val="en-US" w:eastAsia="zh-CN"/>
        </w:rPr>
        <w:t>10</w:t>
      </w:r>
      <w:r>
        <w:rPr>
          <w:rFonts w:hint="eastAsia" w:ascii="宋体" w:hAnsi="宋体" w:eastAsia="宋体" w:cs="宋体"/>
          <w:sz w:val="24"/>
          <w:szCs w:val="24"/>
        </w:rPr>
        <w:t>）；</w:t>
      </w:r>
    </w:p>
    <w:p w14:paraId="0706AFF8">
      <w:pPr>
        <w:keepNext w:val="0"/>
        <w:keepLines w:val="0"/>
        <w:pageBreakBefore w:val="0"/>
        <w:widowControl w:val="0"/>
        <w:numPr>
          <w:ilvl w:val="0"/>
          <w:numId w:val="9"/>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w:t>
      </w:r>
      <w:r>
        <w:rPr>
          <w:rFonts w:hint="eastAsia" w:ascii="宋体" w:hAnsi="宋体" w:eastAsia="宋体" w:cs="宋体"/>
          <w:sz w:val="24"/>
          <w:szCs w:val="24"/>
          <w:lang w:val="zh-CN"/>
        </w:rPr>
        <w:t>20</w:t>
      </w:r>
      <w:r>
        <w:rPr>
          <w:rFonts w:hint="eastAsia" w:ascii="宋体" w:hAnsi="宋体" w:eastAsia="宋体" w:cs="宋体"/>
          <w:sz w:val="24"/>
          <w:szCs w:val="24"/>
          <w:lang w:val="en-US" w:eastAsia="zh-CN"/>
        </w:rPr>
        <w:t>2</w:t>
      </w:r>
      <w:r>
        <w:rPr>
          <w:rFonts w:hint="eastAsia" w:ascii="宋体" w:hAnsi="宋体" w:cs="宋体"/>
          <w:sz w:val="24"/>
          <w:szCs w:val="24"/>
          <w:lang w:val="en-US" w:eastAsia="zh-CN"/>
        </w:rPr>
        <w:t>1</w:t>
      </w:r>
      <w:r>
        <w:rPr>
          <w:rFonts w:hint="eastAsia" w:ascii="宋体" w:hAnsi="宋体" w:eastAsia="宋体" w:cs="宋体"/>
          <w:sz w:val="24"/>
          <w:szCs w:val="24"/>
          <w:lang w:val="zh-CN"/>
        </w:rPr>
        <w:t>年1月1日至今</w:t>
      </w:r>
      <w:r>
        <w:rPr>
          <w:rFonts w:hint="eastAsia" w:ascii="宋体" w:hAnsi="宋体" w:eastAsia="宋体" w:cs="宋体"/>
          <w:sz w:val="24"/>
          <w:szCs w:val="24"/>
        </w:rPr>
        <w:t>）同类项目业绩表（详见格式</w:t>
      </w:r>
      <w:r>
        <w:rPr>
          <w:rFonts w:hint="eastAsia" w:ascii="宋体" w:hAnsi="宋体" w:eastAsia="宋体" w:cs="宋体"/>
          <w:sz w:val="24"/>
          <w:szCs w:val="24"/>
          <w:lang w:val="en-US" w:eastAsia="zh-CN"/>
        </w:rPr>
        <w:t>11</w:t>
      </w:r>
      <w:r>
        <w:rPr>
          <w:rFonts w:hint="eastAsia" w:ascii="宋体" w:hAnsi="宋体" w:eastAsia="宋体" w:cs="宋体"/>
          <w:sz w:val="24"/>
          <w:szCs w:val="24"/>
        </w:rPr>
        <w:t>）；</w:t>
      </w:r>
    </w:p>
    <w:p w14:paraId="275B6AF7">
      <w:pPr>
        <w:keepNext w:val="0"/>
        <w:keepLines w:val="0"/>
        <w:pageBreakBefore w:val="0"/>
        <w:widowControl w:val="0"/>
        <w:numPr>
          <w:ilvl w:val="0"/>
          <w:numId w:val="9"/>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供应商认为有必要提供的声明及文件资料</w:t>
      </w:r>
    </w:p>
    <w:p w14:paraId="0ED449C9">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技术部分主要包括但不限于以下内容：</w:t>
      </w:r>
    </w:p>
    <w:p w14:paraId="2F39A76C">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技术</w:t>
      </w:r>
      <w:r>
        <w:rPr>
          <w:rFonts w:hint="eastAsia" w:ascii="宋体" w:hAnsi="宋体" w:eastAsia="宋体" w:cs="宋体"/>
          <w:sz w:val="24"/>
          <w:szCs w:val="24"/>
          <w:lang w:val="en-US" w:eastAsia="zh-CN"/>
        </w:rPr>
        <w:t>服务人员明细表（格式12）</w:t>
      </w:r>
    </w:p>
    <w:p w14:paraId="3F783D2C">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中小企业声明函（格式13）</w:t>
      </w:r>
    </w:p>
    <w:p w14:paraId="11D573C3">
      <w:pPr>
        <w:keepNext w:val="0"/>
        <w:keepLines w:val="0"/>
        <w:pageBreakBefore w:val="0"/>
        <w:widowControl w:val="0"/>
        <w:numPr>
          <w:ilvl w:val="0"/>
          <w:numId w:val="10"/>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供应商认为有必要提供的文件资料</w:t>
      </w:r>
      <w:r>
        <w:rPr>
          <w:rFonts w:hint="eastAsia" w:ascii="宋体" w:hAnsi="宋体" w:eastAsia="宋体" w:cs="宋体"/>
          <w:sz w:val="24"/>
          <w:szCs w:val="24"/>
          <w:lang w:val="en-US" w:eastAsia="zh-CN"/>
        </w:rPr>
        <w:t>及评分表需要提供的资料</w:t>
      </w:r>
    </w:p>
    <w:p w14:paraId="6AA41A8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bCs/>
          <w:sz w:val="24"/>
          <w:szCs w:val="24"/>
        </w:rPr>
      </w:pPr>
      <w:r>
        <w:rPr>
          <w:rFonts w:hint="eastAsia" w:ascii="宋体" w:hAnsi="宋体" w:eastAsia="宋体" w:cs="宋体"/>
          <w:b/>
          <w:bCs/>
          <w:sz w:val="24"/>
          <w:szCs w:val="24"/>
        </w:rPr>
        <w:t>特别说明：</w:t>
      </w:r>
    </w:p>
    <w:p w14:paraId="1C18479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①上述各种证件、证书复印件须加盖供应商公章。如未按要求加盖供应商公章者，可能导致其响应文件无效。</w:t>
      </w:r>
    </w:p>
    <w:p w14:paraId="2895429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②供应商应如实提供资料，并保证真实可靠，不得弄虚作假。如供应商隐瞒事实真相、弄虚作假，一经查实，取消该供应商的投标资格，若中标的，取消其中标资格。</w:t>
      </w:r>
    </w:p>
    <w:p w14:paraId="4FB28AE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③响应文件包括但不限于以上内容，各供应商应对照“第三章 项目采购需求”及“第六章 评审标准（综合评分法）”提供相关的证明资料。</w:t>
      </w:r>
    </w:p>
    <w:p w14:paraId="52AD5F01">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响应文件格式</w:t>
      </w:r>
    </w:p>
    <w:p w14:paraId="30B6FDF4">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127" w:name="_Toc3663"/>
      <w:r>
        <w:rPr>
          <w:rFonts w:hint="eastAsia" w:ascii="宋体" w:hAnsi="宋体" w:eastAsia="宋体" w:cs="宋体"/>
          <w:snapToGrid w:val="0"/>
          <w:color w:val="000000"/>
          <w:kern w:val="0"/>
          <w:sz w:val="24"/>
          <w:szCs w:val="24"/>
          <w:lang w:val="en-US" w:eastAsia="zh-CN"/>
        </w:rPr>
        <w:t>供应商应按本章“14、响应文件的组成”中的要求提供响应文件，文件格式可参考第五章“响应文件格式”。若表格的栏目设计不够，供应商可按照同一格式自制表格填写；未提出的格式，供应商应自行拟定格式佐证响应。</w:t>
      </w:r>
    </w:p>
    <w:p w14:paraId="0C87E49B">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商务报价</w:t>
      </w:r>
      <w:bookmarkEnd w:id="127"/>
    </w:p>
    <w:p w14:paraId="1FE822AA">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供应商的商务报价应是为采购人提供全部服务，以及合同条款、技术规范及标准、项目采购需求、本竞争性磋商文件约定的所有费用的总和。</w:t>
      </w:r>
    </w:p>
    <w:p w14:paraId="2B74E035">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任何因供应商忽视或误解采购范围、技术规范及标准、项目采购需求、合同条款和项目现场情况，若中标，采购人将不予批准由此而产生的索赔或供货期延长申请。</w:t>
      </w:r>
    </w:p>
    <w:p w14:paraId="26B47D8C">
      <w:pPr>
        <w:keepNext w:val="0"/>
        <w:keepLines w:val="0"/>
        <w:pageBreakBefore w:val="0"/>
        <w:widowControl w:val="0"/>
        <w:numPr>
          <w:ilvl w:val="0"/>
          <w:numId w:val="11"/>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商务报价中不得包含合同条款、技术规范及标准、项目采购需求、本竞争性磋商文件要求以外的其他内容。</w:t>
      </w:r>
    </w:p>
    <w:p w14:paraId="7E377F0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商务报价总价应包括的内容和计价因素</w:t>
      </w:r>
    </w:p>
    <w:p w14:paraId="4956F68A">
      <w:pPr>
        <w:keepNext w:val="0"/>
        <w:keepLines w:val="0"/>
        <w:pageBreakBefore w:val="0"/>
        <w:widowControl w:val="0"/>
        <w:numPr>
          <w:ilvl w:val="0"/>
          <w:numId w:val="12"/>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完成</w:t>
      </w:r>
      <w:r>
        <w:rPr>
          <w:rFonts w:hint="eastAsia" w:ascii="宋体" w:hAnsi="宋体" w:eastAsia="宋体" w:cs="宋体"/>
          <w:sz w:val="24"/>
          <w:szCs w:val="24"/>
          <w:lang w:eastAsia="zh-CN"/>
        </w:rPr>
        <w:t>塔城市2024年度国土变更调查项目</w:t>
      </w:r>
      <w:r>
        <w:rPr>
          <w:rFonts w:hint="eastAsia" w:ascii="宋体" w:hAnsi="宋体" w:eastAsia="宋体" w:cs="宋体"/>
          <w:sz w:val="24"/>
          <w:szCs w:val="24"/>
        </w:rPr>
        <w:t>的采购应承担的所有工作，合同条款、技术规范及标准、项目采购需求、采购文件约定的全部内容及责任和义务。</w:t>
      </w:r>
    </w:p>
    <w:p w14:paraId="230CC534">
      <w:pPr>
        <w:keepNext w:val="0"/>
        <w:keepLines w:val="0"/>
        <w:pageBreakBefore w:val="0"/>
        <w:widowControl w:val="0"/>
        <w:numPr>
          <w:ilvl w:val="0"/>
          <w:numId w:val="12"/>
        </w:numPr>
        <w:kinsoku/>
        <w:wordWrap/>
        <w:overflowPunct/>
        <w:topLinePunct w:val="0"/>
        <w:autoSpaceDE/>
        <w:autoSpaceDN/>
        <w:bidi w:val="0"/>
        <w:adjustRightInd/>
        <w:snapToGrid/>
        <w:spacing w:line="360" w:lineRule="auto"/>
        <w:ind w:left="0" w:leftChars="0" w:firstLine="400" w:firstLineChars="0"/>
        <w:textAlignment w:val="auto"/>
        <w:rPr>
          <w:rFonts w:hint="eastAsia" w:ascii="宋体" w:hAnsi="宋体" w:eastAsia="宋体" w:cs="宋体"/>
          <w:sz w:val="24"/>
          <w:szCs w:val="24"/>
        </w:rPr>
      </w:pPr>
      <w:r>
        <w:rPr>
          <w:rFonts w:hint="eastAsia" w:ascii="宋体" w:hAnsi="宋体" w:eastAsia="宋体" w:cs="宋体"/>
          <w:sz w:val="24"/>
          <w:szCs w:val="24"/>
        </w:rPr>
        <w:t>供应商根据对本磋商文件、技术规范和标准、项目采购需求、合同条款的理解，应达到的技术指标、检验及验收标准等要求，结合市场情况进行商务报价。供应商应充分考虑合同执行期内的市场风险和国家政策性调整风险等因素对商务报价的影响。</w:t>
      </w:r>
    </w:p>
    <w:p w14:paraId="72C8BA9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128" w:name="_Toc246216197"/>
      <w:bookmarkStart w:id="129" w:name="_Toc233274828"/>
      <w:bookmarkStart w:id="130" w:name="_Toc243906327"/>
      <w:bookmarkStart w:id="131" w:name="_Toc243907588"/>
      <w:r>
        <w:rPr>
          <w:rFonts w:hint="eastAsia" w:ascii="宋体" w:hAnsi="宋体" w:eastAsia="宋体" w:cs="宋体"/>
          <w:snapToGrid w:val="0"/>
          <w:color w:val="000000"/>
          <w:kern w:val="0"/>
          <w:sz w:val="24"/>
          <w:szCs w:val="24"/>
          <w:lang w:val="en-US" w:eastAsia="zh-CN"/>
        </w:rPr>
        <w:t>供应商应按照磋商文件所附的格式完整地填写商务报价一览表。供应商应对采购范围内的全部内容进行报价。</w:t>
      </w:r>
    </w:p>
    <w:p w14:paraId="4FCD866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供应商若中标，不得以任何理由在合同执行期间予以价格调整。任何包含价格调整的要求将被认为是非响应而予以拒绝。</w:t>
      </w:r>
    </w:p>
    <w:bookmarkEnd w:id="128"/>
    <w:bookmarkEnd w:id="129"/>
    <w:bookmarkEnd w:id="130"/>
    <w:bookmarkEnd w:id="131"/>
    <w:p w14:paraId="2C9C0F46">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32" w:name="_Toc5922"/>
      <w:bookmarkStart w:id="133" w:name="_Toc245897288"/>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商务报价货币</w:t>
      </w:r>
      <w:bookmarkEnd w:id="132"/>
      <w:bookmarkEnd w:id="133"/>
    </w:p>
    <w:p w14:paraId="15BA214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商务报价一览表和响应文件中的所有报价一律使用人民币（RMB）填报。</w:t>
      </w:r>
    </w:p>
    <w:p w14:paraId="35D36458">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34" w:name="_Toc243906328"/>
      <w:bookmarkStart w:id="135" w:name="_Toc245897289"/>
      <w:bookmarkStart w:id="136" w:name="_Toc243907589"/>
      <w:bookmarkStart w:id="137" w:name="_Toc27281"/>
      <w:bookmarkStart w:id="138" w:name="_Toc233274829"/>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供应商资格证明文件</w:t>
      </w:r>
      <w:bookmarkEnd w:id="134"/>
      <w:bookmarkEnd w:id="135"/>
      <w:bookmarkEnd w:id="136"/>
      <w:bookmarkEnd w:id="137"/>
      <w:bookmarkEnd w:id="138"/>
    </w:p>
    <w:p w14:paraId="20D4B2D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供应商必须提交证明其有资格参加磋商和中标后有能力履行合同的文件。</w:t>
      </w:r>
    </w:p>
    <w:p w14:paraId="1D00D606">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39" w:name="_Toc245897290"/>
      <w:bookmarkStart w:id="140" w:name="_Toc243907590"/>
      <w:bookmarkStart w:id="141" w:name="_Toc243906329"/>
      <w:bookmarkStart w:id="142" w:name="_Toc13375"/>
      <w:bookmarkStart w:id="143" w:name="_Toc233274830"/>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提供的服务符合竞争性磋商文件规定的技术响应文件</w:t>
      </w:r>
      <w:bookmarkEnd w:id="139"/>
      <w:bookmarkEnd w:id="140"/>
      <w:bookmarkEnd w:id="141"/>
      <w:bookmarkEnd w:id="142"/>
      <w:bookmarkEnd w:id="143"/>
    </w:p>
    <w:p w14:paraId="3D44F602">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供应商须提交证明其拟供服务符合竞争性磋商文件、技术规范及标准、项目采购需求规定的技术响应文件，作为响应文件的一部分；</w:t>
      </w:r>
    </w:p>
    <w:p w14:paraId="07E025AE">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上述文件可以是文字资料、图纸和数据，并须提供主要技术性能的详细描述及设备清单和所提供服务的详细说明；</w:t>
      </w:r>
    </w:p>
    <w:p w14:paraId="00C87244">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供应商应逐条对竞争性磋商文件、项目采购需求、合同条款等进行仔细阅读，提出自己提供的服务是否对其做出了实质性的响应。</w:t>
      </w:r>
    </w:p>
    <w:p w14:paraId="5C895CA2">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44" w:name="_Toc8762"/>
      <w:bookmarkStart w:id="145" w:name="_Toc233274831"/>
      <w:bookmarkStart w:id="146" w:name="_Toc243907591"/>
      <w:bookmarkStart w:id="147" w:name="_Toc243906330"/>
      <w:bookmarkStart w:id="148" w:name="_Toc245897291"/>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响应文件有效期</w:t>
      </w:r>
      <w:bookmarkEnd w:id="144"/>
      <w:bookmarkEnd w:id="145"/>
      <w:bookmarkEnd w:id="146"/>
      <w:bookmarkEnd w:id="147"/>
      <w:bookmarkEnd w:id="148"/>
    </w:p>
    <w:p w14:paraId="318A18F3">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响应文件有效期为递交响应文件截止之日起90天（日历日）。供应商的响应文件有效期比规定的有效期短的，将被视为非响应而予以拒绝。</w:t>
      </w:r>
    </w:p>
    <w:p w14:paraId="5F7B464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特殊情况下，在原有效期届满之前，采购人可征得供应商的同意延长其有效期，这种要求与答复均应以书面形式。供应商拒绝延长的，其响应文件失效。同意延长有效期的供应商，既不要求也不允许其修改响应文件。</w:t>
      </w:r>
    </w:p>
    <w:p w14:paraId="0DC20F1C">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49" w:name="_Toc243906331"/>
      <w:bookmarkStart w:id="150" w:name="_Toc245897292"/>
      <w:bookmarkStart w:id="151" w:name="_Toc243907592"/>
      <w:bookmarkStart w:id="152" w:name="_Toc233274832"/>
      <w:bookmarkStart w:id="153" w:name="_Toc29290"/>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响应文件的签署及规定</w:t>
      </w:r>
      <w:bookmarkEnd w:id="149"/>
      <w:bookmarkEnd w:id="150"/>
      <w:bookmarkEnd w:id="151"/>
      <w:bookmarkEnd w:id="152"/>
      <w:bookmarkEnd w:id="153"/>
    </w:p>
    <w:p w14:paraId="024C4611">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响应文件采用电子文档。响应文件中应按照采购文件第五章响应文件格式中规定签字、盖章的地方必须按其规定签字、盖章。</w:t>
      </w:r>
    </w:p>
    <w:p w14:paraId="305161F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若供应商对响应文件做必要修改或澄清，则应在修改或澄清处加盖供应商公章或由法定代表人或法定代表人授权代表签字确认。</w:t>
      </w:r>
    </w:p>
    <w:p w14:paraId="4C9E8AE2">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在响应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099B089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D</w:t>
      </w:r>
      <w:r>
        <w:rPr>
          <w:rFonts w:hint="eastAsia" w:ascii="宋体" w:hAnsi="宋体" w:cs="宋体"/>
          <w:b/>
          <w:bCs/>
          <w:sz w:val="28"/>
          <w:szCs w:val="28"/>
          <w:lang w:val="en-US" w:eastAsia="zh-CN"/>
        </w:rPr>
        <w:t xml:space="preserve">   </w:t>
      </w:r>
      <w:r>
        <w:rPr>
          <w:rFonts w:hint="eastAsia" w:ascii="宋体" w:hAnsi="宋体" w:eastAsia="宋体" w:cs="宋体"/>
          <w:b/>
          <w:bCs/>
          <w:sz w:val="28"/>
          <w:szCs w:val="28"/>
        </w:rPr>
        <w:t>响应文件的递交、修改和撤回</w:t>
      </w:r>
      <w:bookmarkEnd w:id="123"/>
      <w:bookmarkEnd w:id="124"/>
      <w:bookmarkEnd w:id="125"/>
      <w:bookmarkEnd w:id="126"/>
    </w:p>
    <w:p w14:paraId="0CF2AF9F">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54" w:name="_Toc243907600"/>
      <w:bookmarkStart w:id="155" w:name="_Toc243906339"/>
      <w:bookmarkStart w:id="156" w:name="_Toc233274840"/>
      <w:bookmarkStart w:id="157" w:name="_Toc246216209"/>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响应文件递交的方式</w:t>
      </w:r>
    </w:p>
    <w:p w14:paraId="79E873C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响应文件制作完成并生成加密标书，在投标截止时间前，供应商需将加密的响应文件上传至政采云平台。（详见第二章“供应商须知前附表”）</w:t>
      </w:r>
    </w:p>
    <w:p w14:paraId="2B83D3C5">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投标截止时间以平台显示的时间为准，逾期系统将自动关闭，未完成上传的响应文件视为逾期送达，将被拒绝。</w:t>
      </w:r>
    </w:p>
    <w:p w14:paraId="1F240E2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zh-CN"/>
        </w:rPr>
        <w:t>供应商成功上传电子加密响应文件后，可自行打印响应文件接收回执。</w:t>
      </w:r>
    </w:p>
    <w:p w14:paraId="794BDB00">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58" w:name="_Toc243907597"/>
      <w:bookmarkStart w:id="159" w:name="_Toc233274837"/>
      <w:bookmarkStart w:id="160" w:name="_Toc243906336"/>
      <w:bookmarkStart w:id="161" w:name="_Toc245897297"/>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迟交的</w:t>
      </w:r>
      <w:bookmarkEnd w:id="158"/>
      <w:bookmarkEnd w:id="159"/>
      <w:bookmarkEnd w:id="160"/>
      <w:bookmarkEnd w:id="161"/>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响应文件</w:t>
      </w:r>
    </w:p>
    <w:p w14:paraId="0B070097">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162" w:name="_Toc243907598"/>
      <w:bookmarkStart w:id="163" w:name="_Toc243906337"/>
      <w:bookmarkStart w:id="164" w:name="_Toc245897298"/>
      <w:bookmarkStart w:id="165" w:name="_Toc233274838"/>
      <w:r>
        <w:rPr>
          <w:rFonts w:hint="eastAsia" w:ascii="宋体" w:hAnsi="宋体" w:eastAsia="宋体" w:cs="宋体"/>
          <w:snapToGrid w:val="0"/>
          <w:color w:val="000000"/>
          <w:kern w:val="0"/>
          <w:sz w:val="24"/>
          <w:szCs w:val="24"/>
          <w:lang w:val="en-US" w:eastAsia="zh-CN"/>
        </w:rPr>
        <w:t>拒绝接收在规定的响应文件接收截止时间后递交的任何响应文件。</w:t>
      </w:r>
      <w:bookmarkStart w:id="166" w:name="_Toc213839733"/>
      <w:bookmarkEnd w:id="166"/>
    </w:p>
    <w:p w14:paraId="4947C0E0">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响应文件的修改和撤回</w:t>
      </w:r>
      <w:bookmarkEnd w:id="162"/>
      <w:bookmarkEnd w:id="163"/>
      <w:bookmarkEnd w:id="164"/>
      <w:bookmarkEnd w:id="165"/>
    </w:p>
    <w:p w14:paraId="700F9A4A">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供应商在投标截止时间前，可以对其所递交的响应文件进行修改并重新上传，但以投标截止时间前最后一次上传的响应文件为有效响应文件。在投标截止时间后，供应商不得要求修改或撤回其响应文件。</w:t>
      </w:r>
    </w:p>
    <w:p w14:paraId="087DCF9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E</w:t>
      </w:r>
      <w:r>
        <w:rPr>
          <w:rFonts w:hint="eastAsia" w:ascii="宋体" w:hAnsi="宋体" w:cs="宋体"/>
          <w:b/>
          <w:bCs/>
          <w:sz w:val="28"/>
          <w:szCs w:val="28"/>
          <w:lang w:val="en-US" w:eastAsia="zh-CN"/>
        </w:rPr>
        <w:t xml:space="preserve">   </w:t>
      </w:r>
      <w:r>
        <w:rPr>
          <w:rFonts w:hint="eastAsia" w:ascii="宋体" w:hAnsi="宋体" w:eastAsia="宋体" w:cs="宋体"/>
          <w:b/>
          <w:bCs/>
          <w:sz w:val="28"/>
          <w:szCs w:val="28"/>
        </w:rPr>
        <w:t>磋商、评审、</w:t>
      </w:r>
      <w:bookmarkEnd w:id="154"/>
      <w:bookmarkEnd w:id="155"/>
      <w:bookmarkEnd w:id="156"/>
      <w:bookmarkEnd w:id="157"/>
      <w:r>
        <w:rPr>
          <w:rFonts w:hint="eastAsia" w:ascii="宋体" w:hAnsi="宋体" w:eastAsia="宋体" w:cs="宋体"/>
          <w:b/>
          <w:bCs/>
          <w:sz w:val="28"/>
          <w:szCs w:val="28"/>
        </w:rPr>
        <w:t>确定中标供应商</w:t>
      </w:r>
    </w:p>
    <w:p w14:paraId="2AEFE34A">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67" w:name="_Toc21048"/>
      <w:bookmarkStart w:id="168" w:name="_Toc245897302"/>
      <w:bookmarkStart w:id="169" w:name="_Toc233274842"/>
      <w:bookmarkStart w:id="170" w:name="_Toc243906341"/>
      <w:bookmarkStart w:id="171" w:name="_Toc243907602"/>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磋商会议</w:t>
      </w:r>
      <w:bookmarkEnd w:id="167"/>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及磋商小组</w:t>
      </w:r>
    </w:p>
    <w:p w14:paraId="5D4A5173">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采购人在本供应商须知前附表规定的时间和地点组织磋商会议。</w:t>
      </w:r>
    </w:p>
    <w:p w14:paraId="6A9DA62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开标由采购代理机构主持，财政部门和有关监督部门可视情况派员现场监督。</w:t>
      </w:r>
    </w:p>
    <w:p w14:paraId="214762A2">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次采用不见面开标方式，在规定的投标截止时间（开标时间）和供应商须知前附表规定的地点开标。供应商的法定代表人或其委托代理人无需到达开标现场，仅需在任意地点通过政采云不见面开标系统，使用CA密钥完成远程解密、提疑澄清、开标唱标、结果公布等交互环节。</w:t>
      </w:r>
    </w:p>
    <w:p w14:paraId="30FB34C7">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开标前供应商完成设备测试，保证摄像头及麦克风正常使用。自开标时间起至评标结束，供应商须登录新疆政府采购平台并保持网络畅通，随时答复评标委员会的疑问。若供应商未在规定时间内答复的，由此产生的后果将由供应商自行承担。</w:t>
      </w:r>
    </w:p>
    <w:p w14:paraId="14DE73A9">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法定代表人或法定代表人授权委托人参与远程交互，中途不得更换，在废标、澄清、提疑、传送文件等特殊情况下需要交互时，供应商一端参与交互的人员将均被视为是供应商的授权委托人或法人代表，供应商不得以不承认交互人员的资格或身份等为借口推脱，供应商自行承担随意更换人员所导致的一切后果。</w:t>
      </w:r>
    </w:p>
    <w:p w14:paraId="64B9E3E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响应文件的解密：供应商登录政采云平台，在开标时间后30分钟内（</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ascii="宋体" w:hAnsi="宋体" w:cs="宋体"/>
          <w:sz w:val="24"/>
          <w:szCs w:val="24"/>
          <w:highlight w:val="none"/>
          <w:lang w:val="en-US" w:eastAsia="zh-CN"/>
        </w:rPr>
        <w:t>04</w:t>
      </w:r>
      <w:r>
        <w:rPr>
          <w:rFonts w:hint="eastAsia" w:ascii="宋体" w:hAnsi="宋体" w:eastAsia="宋体" w:cs="宋体"/>
          <w:sz w:val="24"/>
          <w:szCs w:val="24"/>
          <w:highlight w:val="none"/>
          <w:lang w:val="en-US" w:eastAsia="zh-CN"/>
        </w:rPr>
        <w:t>月</w:t>
      </w:r>
      <w:r>
        <w:rPr>
          <w:rFonts w:hint="eastAsia" w:ascii="宋体" w:hAnsi="宋体" w:cs="宋体"/>
          <w:sz w:val="24"/>
          <w:szCs w:val="24"/>
          <w:highlight w:val="none"/>
          <w:lang w:val="en-US" w:eastAsia="zh-CN"/>
        </w:rPr>
        <w:t>15</w:t>
      </w:r>
      <w:r>
        <w:rPr>
          <w:rFonts w:hint="eastAsia" w:ascii="宋体" w:hAnsi="宋体" w:eastAsia="宋体" w:cs="宋体"/>
          <w:sz w:val="24"/>
          <w:szCs w:val="24"/>
          <w:highlight w:val="none"/>
          <w:lang w:val="en-US" w:eastAsia="zh-CN"/>
        </w:rPr>
        <w:t>日</w:t>
      </w:r>
      <w:r>
        <w:rPr>
          <w:rFonts w:hint="eastAsia" w:ascii="宋体" w:hAnsi="宋体" w:eastAsia="宋体" w:cs="宋体"/>
          <w:snapToGrid w:val="0"/>
          <w:color w:val="000000"/>
          <w:kern w:val="0"/>
          <w:sz w:val="24"/>
          <w:szCs w:val="24"/>
          <w:lang w:val="en-US" w:eastAsia="zh-CN"/>
        </w:rPr>
        <w:t>10:30-11:00）用“项目采购-开标评标”功能进行解密响应文件。若供应商在规定时间内（</w:t>
      </w:r>
      <w:r>
        <w:rPr>
          <w:rFonts w:hint="eastAsia" w:ascii="宋体" w:hAnsi="宋体" w:eastAsia="宋体" w:cs="宋体"/>
          <w:sz w:val="24"/>
          <w:szCs w:val="24"/>
          <w:highlight w:val="none"/>
          <w:lang w:eastAsia="zh-CN"/>
        </w:rPr>
        <w:t>202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eastAsia="zh-CN"/>
        </w:rPr>
        <w:t>年</w:t>
      </w:r>
      <w:r>
        <w:rPr>
          <w:rFonts w:hint="eastAsia" w:ascii="宋体" w:hAnsi="宋体" w:cs="宋体"/>
          <w:sz w:val="24"/>
          <w:szCs w:val="24"/>
          <w:highlight w:val="none"/>
          <w:lang w:val="en-US" w:eastAsia="zh-CN"/>
        </w:rPr>
        <w:t>04</w:t>
      </w:r>
      <w:r>
        <w:rPr>
          <w:rFonts w:hint="eastAsia" w:ascii="宋体" w:hAnsi="宋体" w:eastAsia="宋体" w:cs="宋体"/>
          <w:sz w:val="24"/>
          <w:szCs w:val="24"/>
          <w:highlight w:val="none"/>
          <w:lang w:val="en-US" w:eastAsia="zh-CN"/>
        </w:rPr>
        <w:t>月</w:t>
      </w:r>
      <w:r>
        <w:rPr>
          <w:rFonts w:hint="eastAsia" w:ascii="宋体" w:hAnsi="宋体" w:cs="宋体"/>
          <w:sz w:val="24"/>
          <w:szCs w:val="24"/>
          <w:highlight w:val="none"/>
          <w:lang w:val="en-US" w:eastAsia="zh-CN"/>
        </w:rPr>
        <w:t>15</w:t>
      </w:r>
      <w:r>
        <w:rPr>
          <w:rFonts w:hint="eastAsia" w:ascii="宋体" w:hAnsi="宋体" w:eastAsia="宋体" w:cs="宋体"/>
          <w:sz w:val="24"/>
          <w:szCs w:val="24"/>
          <w:highlight w:val="none"/>
          <w:lang w:val="en-US" w:eastAsia="zh-CN"/>
        </w:rPr>
        <w:t>日</w:t>
      </w:r>
      <w:r>
        <w:rPr>
          <w:rFonts w:hint="eastAsia" w:ascii="宋体" w:hAnsi="宋体" w:eastAsia="宋体" w:cs="宋体"/>
          <w:snapToGrid w:val="0"/>
          <w:color w:val="000000"/>
          <w:kern w:val="0"/>
          <w:sz w:val="24"/>
          <w:szCs w:val="24"/>
          <w:lang w:val="en-US" w:eastAsia="zh-CN"/>
        </w:rPr>
        <w:t>10:30-11:00）未按时解密的，视为无效投标。解密与加密响应文件须使用同一个CA。（详见第二章“供应商须知前附表”）</w:t>
      </w:r>
    </w:p>
    <w:p w14:paraId="55CB07A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供应商应在开启报价30分钟内进行签字确认。</w:t>
      </w:r>
    </w:p>
    <w:p w14:paraId="3CFFF11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开标完毕，进行下一步评标。</w:t>
      </w:r>
    </w:p>
    <w:bookmarkEnd w:id="168"/>
    <w:bookmarkEnd w:id="169"/>
    <w:bookmarkEnd w:id="170"/>
    <w:bookmarkEnd w:id="171"/>
    <w:p w14:paraId="1A757342">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磋商小组成员组成：按照《中华人民共和国政府采购法》、《政府采购竞争性磋商采购方式管理暂行办法》及相关法律、法规规定组建，由采购人代表和评审专家组成。磋商小组将负责对供应商提交的响应文件进行磋商、评审，确保磋商、评审过程公正、合法、保密，并向采购人推荐中标供应商。</w:t>
      </w:r>
    </w:p>
    <w:p w14:paraId="59DFD77A">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磋商</w:t>
      </w:r>
    </w:p>
    <w:p w14:paraId="70D3E7A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磋商小组所有成员集中与单一供应商分别进行磋商。供应商应由法定代表人或法定代表人授权的供应商代表及专业技术人员参与磋商。供应商所作的重要答复均应以书面形式予以补充，并经法定代表人或授权人签署，作为响应文件的一部分，对供应商具有约束力，但不得对磋商内容进行实质性修改。在磋商中，磋商的任何一方不得透露与磋商有关的其他供应商的技术资料和其他信息。</w:t>
      </w:r>
    </w:p>
    <w:p w14:paraId="1B4EBF33">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在磋商小组与各供应商进行了相同轮次的磋商后，为了更好地实现采购目标，磋商小组可以修改竞争性磋商文件，但涉及实质性变动的，将以书面形式通知所有参加磋商的供应商。供应商收到修改竞争性磋商文件的通知后，可以决定是否继续参加磋商活动。</w:t>
      </w:r>
    </w:p>
    <w:p w14:paraId="626922B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供应商应当按照竞争性磋商文件的变动情况和磋商小组的要求重新提交响应文件，并由其法定代表人或委托代理人签字或者加盖公章。由委托代理人签字的，应当附法定代表人授权书。</w:t>
      </w:r>
    </w:p>
    <w:p w14:paraId="53C643AB">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竞争性磋商文件能够详细列明采购标的的技术、服务要求的，磋商小组在磋商结束后，磋商小组应当要求所有实质性响应的供应商在规定时间内提交最后报价，最后报价是供应商响应文件的有效组成部分。</w:t>
      </w:r>
    </w:p>
    <w:p w14:paraId="1E19666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竞争性磋商文件不能详细列明采购标的的技术、服务要求，需经磋商由供应商提供最终整修方案或解决方案的，磋商结束后，磋商小组应当按照少数服从多数的原则投票推荐3家以上供应商的整修方案或者解决方案，并要求其在规定时间内提交最后报价。</w:t>
      </w:r>
    </w:p>
    <w:p w14:paraId="30B301A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已提交响应文件的供应商，在提交最后报价之前，可以根据磋商情况退出磋商。</w:t>
      </w:r>
    </w:p>
    <w:p w14:paraId="023BFA17">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磋商小组判断响应文件的响应性仅基于响应文件本身而不依靠任何外部证据，但响应文件有不真实、不正确的内容除外。</w:t>
      </w:r>
    </w:p>
    <w:p w14:paraId="0F2DCF14">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如果响应文件实质上没有响应竞争性磋商文件的要求，磋商小组将予以拒绝，供应商不得通过修正或撤消不符合要求的偏离或保留，而使其成为实质上响应。</w:t>
      </w:r>
    </w:p>
    <w:p w14:paraId="7FEC124F">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72" w:name="_Toc31800"/>
      <w:bookmarkStart w:id="173" w:name="_Toc245897304"/>
      <w:bookmarkStart w:id="174" w:name="_Toc243907605"/>
      <w:bookmarkStart w:id="175" w:name="_Toc243906344"/>
      <w:bookmarkStart w:id="176" w:name="_Toc233274843"/>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评审</w:t>
      </w:r>
      <w:bookmarkEnd w:id="172"/>
      <w:bookmarkEnd w:id="173"/>
      <w:bookmarkEnd w:id="174"/>
      <w:bookmarkEnd w:id="175"/>
      <w:bookmarkEnd w:id="176"/>
    </w:p>
    <w:p w14:paraId="2B204AE8">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经磋商确定最终采购需求和提交最后报价的供应商后，由磋商小组采用综合评分法对提交最后报价的供应商响应文件和最后报价进行综合评分。</w:t>
      </w:r>
    </w:p>
    <w:p w14:paraId="11E9BF41">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磋商小组将对实质性响应竞争性磋商文件的响应文件进行详细评审和比较。对技术要求、价格等进行比较，并与竞争性磋商文件、项目采购需求和采购人的实际需要进行比较和评价。</w:t>
      </w:r>
    </w:p>
    <w:p w14:paraId="1EBEA7EB">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商务报价错误的修正</w:t>
      </w:r>
    </w:p>
    <w:p w14:paraId="432F23B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如果发现商务报价存在计算或表达上错误，则按下列原则进行修正：</w:t>
      </w:r>
    </w:p>
    <w:p w14:paraId="2301F9A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100"/>
        <w:jc w:val="left"/>
        <w:textAlignment w:val="baseline"/>
        <w:rPr>
          <w:rFonts w:hint="eastAsia" w:ascii="宋体" w:hAnsi="宋体" w:eastAsia="宋体" w:cs="宋体"/>
          <w:snapToGrid w:val="0"/>
          <w:color w:val="000000"/>
          <w:kern w:val="0"/>
          <w:sz w:val="24"/>
          <w:szCs w:val="24"/>
          <w:lang w:val="en-US" w:eastAsia="zh-CN"/>
        </w:rPr>
      </w:pPr>
      <w:bookmarkStart w:id="177" w:name="_Toc243907606"/>
      <w:bookmarkStart w:id="178" w:name="_Toc224620150"/>
      <w:bookmarkStart w:id="179" w:name="_Toc245897305"/>
      <w:bookmarkStart w:id="180" w:name="_Toc224622928"/>
      <w:bookmarkStart w:id="181" w:name="_Toc243906345"/>
      <w:bookmarkStart w:id="182" w:name="_Toc224624628"/>
      <w:bookmarkStart w:id="183" w:name="_Toc224624767"/>
      <w:bookmarkStart w:id="184" w:name="_Toc224623451"/>
      <w:bookmarkStart w:id="185" w:name="_Toc224624488"/>
      <w:bookmarkStart w:id="186" w:name="_Toc224620071"/>
      <w:bookmarkStart w:id="187" w:name="_Toc224623663"/>
      <w:bookmarkStart w:id="188" w:name="_Toc224623557"/>
      <w:r>
        <w:rPr>
          <w:rFonts w:hint="eastAsia" w:ascii="宋体" w:hAnsi="宋体" w:eastAsia="宋体" w:cs="宋体"/>
          <w:snapToGrid w:val="0"/>
          <w:color w:val="000000"/>
          <w:kern w:val="0"/>
          <w:sz w:val="24"/>
          <w:szCs w:val="24"/>
          <w:lang w:val="en-US" w:eastAsia="zh-CN"/>
        </w:rPr>
        <w:t>（1）用数字表示的数额与用文字表示的数额不一致时，以文字数额为准；</w:t>
      </w:r>
    </w:p>
    <w:p w14:paraId="5C7D4FD3">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（2）单价与工程量的乘积与总价之间不一致时，以单价为准。若单价有明显小数点错位，应以总价为准，并修改单价。</w:t>
      </w:r>
    </w:p>
    <w:p w14:paraId="61E436B3">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磋商小组将按第27.3条原则修正商务报价，并要求供应商进行确认。确认后的报价和文件将对供应商具有约束力。并以修正后的报价作为评审的依据。</w:t>
      </w:r>
    </w:p>
    <w:p w14:paraId="4D0566F4">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89" w:name="_Toc24366"/>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响应文件的澄清</w:t>
      </w:r>
      <w:bookmarkEnd w:id="177"/>
      <w:bookmarkEnd w:id="178"/>
      <w:bookmarkEnd w:id="179"/>
      <w:bookmarkEnd w:id="180"/>
      <w:bookmarkEnd w:id="181"/>
      <w:bookmarkEnd w:id="182"/>
      <w:bookmarkEnd w:id="183"/>
      <w:bookmarkEnd w:id="184"/>
      <w:bookmarkEnd w:id="185"/>
      <w:bookmarkEnd w:id="186"/>
      <w:bookmarkEnd w:id="187"/>
      <w:bookmarkEnd w:id="188"/>
      <w:bookmarkEnd w:id="189"/>
    </w:p>
    <w:p w14:paraId="313240F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为有助于对响应文件的审查、评价和比较，磋商小组在评审过程中有权随时请供应商对其响应文件进行澄清，有关澄清的要求和答复应以书面形式提交，供应商对澄清问题的书面答复应有法定代表人或委托代理人签字或盖章，但不得寻求、提供或允许对最后报价或响应文件中的其他实质性内容做任何更改。</w:t>
      </w:r>
    </w:p>
    <w:p w14:paraId="58842AE1">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法定代表人或委托代理人在评审过程中应保证随时接受磋商小组质询。若供应商法定代表人或委托代理人因故不能接受质询，其响应文件仍有效，但应视为供应商已默认磋商小组对缺席的质询所作出的结论。</w:t>
      </w:r>
    </w:p>
    <w:p w14:paraId="2739B3AA">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磋商小组允许供应商通过澄清答复修正其最后报价中不构成重大偏离的、微小的、非正规的、不一致的或不规范的地方，但这些修正不能影响任何供应商的相关名次排列。</w:t>
      </w:r>
    </w:p>
    <w:p w14:paraId="28ED892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如果供应商在响应文件中未对竞争性磋商文件、技术规格及标准、项目采购需求、合同条款等提出偏离意见或澄清，将视同供应商同意上述文件的全部条款和要求。</w:t>
      </w:r>
    </w:p>
    <w:p w14:paraId="24369977">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90" w:name="_Toc233274845"/>
      <w:bookmarkStart w:id="191" w:name="_Toc243907607"/>
      <w:bookmarkStart w:id="192" w:name="_Toc243906346"/>
      <w:bookmarkStart w:id="193" w:name="_Toc245897306"/>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重大偏离</w:t>
      </w:r>
      <w:bookmarkEnd w:id="190"/>
      <w:bookmarkEnd w:id="191"/>
      <w:bookmarkEnd w:id="192"/>
      <w:bookmarkEnd w:id="193"/>
    </w:p>
    <w:p w14:paraId="7141A27B">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194" w:name="_Toc245897307"/>
      <w:bookmarkStart w:id="195" w:name="_Toc243906347"/>
      <w:bookmarkStart w:id="196" w:name="_Toc243907608"/>
      <w:bookmarkStart w:id="197" w:name="_Toc233274846"/>
      <w:r>
        <w:rPr>
          <w:rFonts w:hint="eastAsia" w:ascii="宋体" w:hAnsi="宋体" w:eastAsia="宋体" w:cs="宋体"/>
          <w:snapToGrid w:val="0"/>
          <w:color w:val="000000"/>
          <w:kern w:val="0"/>
          <w:sz w:val="24"/>
          <w:szCs w:val="24"/>
          <w:lang w:val="en-US" w:eastAsia="zh-CN"/>
        </w:rPr>
        <w:t>重大偏离是指实质上影响合同的采购范围、供货期、质量和性能等，或者实质上不满足竞争性磋商文件的要求，而且限制了采购人的权力或减轻了供应商的义务。纠正或承认这些偏离将会对其他实质上响应要求的供应商合理的竞争地位产生不公正的影响。</w:t>
      </w:r>
    </w:p>
    <w:bookmarkEnd w:id="194"/>
    <w:bookmarkEnd w:id="195"/>
    <w:bookmarkEnd w:id="196"/>
    <w:bookmarkEnd w:id="197"/>
    <w:p w14:paraId="18FFB635">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无效响应文件</w:t>
      </w:r>
    </w:p>
    <w:p w14:paraId="249E3BA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响应文件有下列情形之一的，由磋商小组评审后按无效响应文件处理：</w:t>
      </w:r>
    </w:p>
    <w:p w14:paraId="076EB89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供应商的商务报价高于采购项目预算；</w:t>
      </w:r>
    </w:p>
    <w:p w14:paraId="6A959C57">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响应文件附有采购人不能接受条件的；</w:t>
      </w:r>
    </w:p>
    <w:p w14:paraId="1E3C8BBE">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出现重大偏离的；</w:t>
      </w:r>
    </w:p>
    <w:p w14:paraId="7F2E338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对竞争性磋商文件提出的实质性要求和条件未能实质性响应；</w:t>
      </w:r>
    </w:p>
    <w:p w14:paraId="0EDEA83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left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《中华人民共和国政府采购法》、《政府采购竞争性磋商采购方式管理暂行办法》及相关法律法规及竞争性磋商文件明确规定可以作无效响应的其他情形。</w:t>
      </w:r>
    </w:p>
    <w:p w14:paraId="7B998584">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198" w:name="_Toc243906348"/>
      <w:bookmarkStart w:id="199" w:name="_Toc245897308"/>
      <w:bookmarkStart w:id="200" w:name="_Toc233274847"/>
      <w:bookmarkStart w:id="201" w:name="_Toc243907609"/>
      <w:bookmarkStart w:id="202" w:name="_Toc13958"/>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评审</w:t>
      </w:r>
      <w:bookmarkEnd w:id="198"/>
      <w:bookmarkEnd w:id="199"/>
      <w:bookmarkEnd w:id="200"/>
      <w:bookmarkEnd w:id="201"/>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标准</w:t>
      </w:r>
      <w:bookmarkEnd w:id="202"/>
    </w:p>
    <w:p w14:paraId="0C8CB6A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203" w:name="_Toc6083"/>
      <w:bookmarkStart w:id="204" w:name="_Toc243906349"/>
      <w:bookmarkStart w:id="205" w:name="_Toc243907610"/>
      <w:bookmarkStart w:id="206" w:name="_Toc245897309"/>
      <w:bookmarkStart w:id="207" w:name="_Toc233274848"/>
      <w:r>
        <w:rPr>
          <w:rFonts w:hint="eastAsia" w:ascii="宋体" w:hAnsi="宋体" w:eastAsia="宋体" w:cs="宋体"/>
          <w:snapToGrid w:val="0"/>
          <w:color w:val="000000"/>
          <w:kern w:val="0"/>
          <w:sz w:val="24"/>
          <w:szCs w:val="24"/>
          <w:lang w:val="en-US" w:eastAsia="zh-CN"/>
        </w:rPr>
        <w:t>本项目评审严格按照竞争性磋商文件的要求和条件进行。</w:t>
      </w:r>
      <w:bookmarkEnd w:id="203"/>
    </w:p>
    <w:p w14:paraId="66AD6BA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208" w:name="_Toc18030"/>
      <w:r>
        <w:rPr>
          <w:rFonts w:hint="eastAsia" w:ascii="宋体" w:hAnsi="宋体" w:eastAsia="宋体" w:cs="宋体"/>
          <w:snapToGrid w:val="0"/>
          <w:color w:val="000000"/>
          <w:kern w:val="0"/>
          <w:sz w:val="24"/>
          <w:szCs w:val="24"/>
          <w:lang w:val="en-US" w:eastAsia="zh-CN"/>
        </w:rPr>
        <w:t>按照《财政部关于在政府采购活动中查询及使用信用记录有关问题的通知》（财库〔2016〕125号）的要求，根据开标当日“信用中国”网站（www.creditchina.gov.cn）、中国政府采购网（www.ccgp.gov.cn）的信息，对列入失信被执行人、重大税收违法案件当事人名单、政府采购严重违法失信行为记录名单及其他不符合《中华人民共和国政府采购法》第二十二条规定条件的供应商，拒绝参与政府采购活动，同时对信用信息查询记录和证据进行打印存档。</w:t>
      </w:r>
      <w:bookmarkEnd w:id="208"/>
    </w:p>
    <w:p w14:paraId="37114C21">
      <w:pPr>
        <w:keepNext w:val="0"/>
        <w:keepLines w:val="0"/>
        <w:pageBreakBefore w:val="0"/>
        <w:widowControl/>
        <w:numPr>
          <w:ilvl w:val="0"/>
          <w:numId w:val="13"/>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bookmarkStart w:id="209" w:name="_Toc27318"/>
      <w:r>
        <w:rPr>
          <w:rFonts w:hint="eastAsia" w:ascii="宋体" w:hAnsi="宋体" w:eastAsia="宋体" w:cs="宋体"/>
          <w:snapToGrid w:val="0"/>
          <w:color w:val="000000"/>
          <w:kern w:val="0"/>
          <w:sz w:val="24"/>
          <w:szCs w:val="24"/>
          <w:lang w:val="en-US" w:eastAsia="zh-CN"/>
        </w:rPr>
        <w:t>登录“中国执行信息公开网”（网址：shixin.court.gov.cn）失信被执行人名单库查询。（如查询到该公司信息，说明该公司为失信被执行人），拒绝参与政府采购活动，同时对信用信息查询记录和证据进行打印存档。</w:t>
      </w:r>
      <w:bookmarkEnd w:id="209"/>
    </w:p>
    <w:p w14:paraId="676DB6DA">
      <w:pPr>
        <w:keepNext w:val="0"/>
        <w:keepLines w:val="0"/>
        <w:pageBreakBefore w:val="0"/>
        <w:widowControl/>
        <w:numPr>
          <w:ilvl w:val="0"/>
          <w:numId w:val="13"/>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bookmarkStart w:id="210" w:name="_Toc14009"/>
      <w:r>
        <w:rPr>
          <w:rFonts w:hint="eastAsia" w:ascii="宋体" w:hAnsi="宋体" w:eastAsia="宋体" w:cs="宋体"/>
          <w:snapToGrid w:val="0"/>
          <w:color w:val="000000"/>
          <w:kern w:val="0"/>
          <w:sz w:val="24"/>
          <w:szCs w:val="24"/>
          <w:lang w:val="en-US" w:eastAsia="zh-CN"/>
        </w:rPr>
        <w:t>响应文件初审。初审分为资格性审查和符合性审查。</w:t>
      </w:r>
      <w:bookmarkEnd w:id="210"/>
    </w:p>
    <w:p w14:paraId="7083454D">
      <w:pPr>
        <w:keepNext w:val="0"/>
        <w:keepLines w:val="0"/>
        <w:pageBreakBefore w:val="0"/>
        <w:widowControl/>
        <w:numPr>
          <w:ilvl w:val="0"/>
          <w:numId w:val="13"/>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bookmarkStart w:id="211" w:name="_Toc2827"/>
      <w:r>
        <w:rPr>
          <w:rFonts w:hint="eastAsia" w:ascii="宋体" w:hAnsi="宋体" w:eastAsia="宋体" w:cs="宋体"/>
          <w:snapToGrid w:val="0"/>
          <w:color w:val="000000"/>
          <w:kern w:val="0"/>
          <w:sz w:val="24"/>
          <w:szCs w:val="24"/>
          <w:lang w:val="en-US" w:eastAsia="zh-CN"/>
        </w:rPr>
        <w:t>资格性检查。依据法律法规和竞争性磋商文件的规定，对响应文件中的资格条件等进行审查，以确定供应商是否具备磋商资格。</w:t>
      </w:r>
      <w:bookmarkEnd w:id="211"/>
    </w:p>
    <w:p w14:paraId="028D234A">
      <w:pPr>
        <w:keepNext w:val="0"/>
        <w:keepLines w:val="0"/>
        <w:pageBreakBefore w:val="0"/>
        <w:widowControl/>
        <w:numPr>
          <w:ilvl w:val="0"/>
          <w:numId w:val="13"/>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bookmarkStart w:id="212" w:name="_Toc31794"/>
      <w:r>
        <w:rPr>
          <w:rFonts w:hint="eastAsia" w:ascii="宋体" w:hAnsi="宋体" w:eastAsia="宋体" w:cs="宋体"/>
          <w:snapToGrid w:val="0"/>
          <w:color w:val="000000"/>
          <w:kern w:val="0"/>
          <w:sz w:val="24"/>
          <w:szCs w:val="24"/>
          <w:lang w:val="en-US" w:eastAsia="zh-CN"/>
        </w:rPr>
        <w:t>符合性检查。依据竞争性磋商文件的规定，从响应文件的有效性、完整性和对竞争性磋商文件的响应程度进行审查，以确定是否对竞争性磋商文件的实质性要求作出响应。</w:t>
      </w:r>
      <w:bookmarkEnd w:id="212"/>
    </w:p>
    <w:p w14:paraId="2EE2A8B1">
      <w:pPr>
        <w:keepNext w:val="0"/>
        <w:keepLines w:val="0"/>
        <w:pageBreakBefore w:val="0"/>
        <w:widowControl/>
        <w:numPr>
          <w:ilvl w:val="0"/>
          <w:numId w:val="13"/>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bookmarkStart w:id="213" w:name="_Toc22746"/>
      <w:r>
        <w:rPr>
          <w:rFonts w:hint="eastAsia" w:ascii="宋体" w:hAnsi="宋体" w:eastAsia="宋体" w:cs="宋体"/>
          <w:snapToGrid w:val="0"/>
          <w:color w:val="000000"/>
          <w:kern w:val="0"/>
          <w:sz w:val="24"/>
          <w:szCs w:val="24"/>
          <w:lang w:val="en-US" w:eastAsia="zh-CN"/>
        </w:rPr>
        <w:t>澄清有关问题。对响应文件中含义不明确、同类问题表述不一致或者有明显文字和计算错误的内容，磋商小组可以书面形式要求供应商作出必要的澄清、说明或者纠正。供应商的澄清、说明或者补正应当采用书面形式，由其授权的代表签字，并不得超出响应文件的范围或者改变响应文件的实质性内容。</w:t>
      </w:r>
      <w:bookmarkEnd w:id="213"/>
    </w:p>
    <w:p w14:paraId="3BD9C2B0">
      <w:pPr>
        <w:keepNext w:val="0"/>
        <w:keepLines w:val="0"/>
        <w:pageBreakBefore w:val="0"/>
        <w:widowControl/>
        <w:numPr>
          <w:ilvl w:val="0"/>
          <w:numId w:val="13"/>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bookmarkStart w:id="214" w:name="_Toc827"/>
      <w:r>
        <w:rPr>
          <w:rFonts w:hint="eastAsia" w:ascii="宋体" w:hAnsi="宋体" w:eastAsia="宋体" w:cs="宋体"/>
          <w:snapToGrid w:val="0"/>
          <w:color w:val="000000"/>
          <w:kern w:val="0"/>
          <w:sz w:val="24"/>
          <w:szCs w:val="24"/>
          <w:lang w:val="en-US" w:eastAsia="zh-CN"/>
        </w:rPr>
        <w:t>比较与评价。磋商小组按磋商文件中规定的评审方法和标准，对资格性审查和符合性审查均合格的响应文件进行商务和技术评估，综合比较与评价。</w:t>
      </w:r>
      <w:bookmarkEnd w:id="214"/>
    </w:p>
    <w:p w14:paraId="74BBDF9F">
      <w:pPr>
        <w:keepNext w:val="0"/>
        <w:keepLines w:val="0"/>
        <w:pageBreakBefore w:val="0"/>
        <w:widowControl/>
        <w:numPr>
          <w:ilvl w:val="0"/>
          <w:numId w:val="13"/>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bookmarkStart w:id="215" w:name="_Toc4343"/>
      <w:r>
        <w:rPr>
          <w:rFonts w:hint="eastAsia" w:ascii="宋体" w:hAnsi="宋体" w:eastAsia="宋体" w:cs="宋体"/>
          <w:snapToGrid w:val="0"/>
          <w:color w:val="000000"/>
          <w:kern w:val="0"/>
          <w:sz w:val="24"/>
          <w:szCs w:val="24"/>
          <w:lang w:val="en-US" w:eastAsia="zh-CN"/>
        </w:rPr>
        <w:t>磋商结束后，磋商小组应当要求所有实质性响应的供应商在规定时间内提交最后报价。两轮（若有）以上报价的，供应商在未提高响应文件中承诺的其服务质量的情况下，其最后报价不得高于对该项目之前的报价，否则，磋商小组应当对其响应文件按无效处理，不允许进入综合评分，并书面告知供应商，说明理由。</w:t>
      </w:r>
      <w:bookmarkEnd w:id="215"/>
    </w:p>
    <w:p w14:paraId="1169631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216" w:name="_Toc5972"/>
      <w:r>
        <w:rPr>
          <w:rFonts w:hint="eastAsia" w:ascii="宋体" w:hAnsi="宋体" w:eastAsia="宋体" w:cs="宋体"/>
          <w:snapToGrid w:val="0"/>
          <w:color w:val="000000"/>
          <w:kern w:val="0"/>
          <w:sz w:val="24"/>
          <w:szCs w:val="24"/>
          <w:lang w:val="en-US" w:eastAsia="zh-CN"/>
        </w:rPr>
        <w:t>本项目评审采用综合评分法，严格按照竞争性磋商文件的要求和条件进行。</w:t>
      </w:r>
      <w:bookmarkEnd w:id="216"/>
    </w:p>
    <w:p w14:paraId="437F0DF7">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217" w:name="_Toc13053"/>
      <w:r>
        <w:rPr>
          <w:rFonts w:hint="eastAsia" w:ascii="宋体" w:hAnsi="宋体" w:eastAsia="宋体" w:cs="宋体"/>
          <w:snapToGrid w:val="0"/>
          <w:color w:val="000000"/>
          <w:kern w:val="0"/>
          <w:sz w:val="24"/>
          <w:szCs w:val="24"/>
          <w:lang w:val="en-US" w:eastAsia="zh-CN"/>
        </w:rPr>
        <w:t>评审分值：</w:t>
      </w:r>
      <w:bookmarkEnd w:id="217"/>
      <w:bookmarkStart w:id="218" w:name="_Toc23415"/>
      <w:r>
        <w:rPr>
          <w:rFonts w:hint="eastAsia" w:ascii="宋体" w:hAnsi="宋体" w:eastAsia="宋体" w:cs="宋体"/>
          <w:snapToGrid w:val="0"/>
          <w:color w:val="000000"/>
          <w:kern w:val="0"/>
          <w:sz w:val="24"/>
          <w:szCs w:val="24"/>
          <w:lang w:val="en-US" w:eastAsia="zh-CN"/>
        </w:rPr>
        <w:t>总分值为100分，其中价格部分分值为10分，其余部分分值为90分。具体评标方法详本竞争性磋商文件第六章“评标方法（综合评分法）”</w:t>
      </w:r>
    </w:p>
    <w:p w14:paraId="792EA81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推荐中标候选供应商</w:t>
      </w:r>
      <w:bookmarkEnd w:id="218"/>
    </w:p>
    <w:p w14:paraId="44140529">
      <w:pPr>
        <w:keepNext w:val="0"/>
        <w:keepLines w:val="0"/>
        <w:pageBreakBefore w:val="0"/>
        <w:widowControl/>
        <w:numPr>
          <w:ilvl w:val="0"/>
          <w:numId w:val="14"/>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bookmarkStart w:id="219" w:name="_Toc6296"/>
      <w:r>
        <w:rPr>
          <w:rFonts w:hint="eastAsia" w:ascii="宋体" w:hAnsi="宋体" w:eastAsia="宋体" w:cs="宋体"/>
          <w:snapToGrid w:val="0"/>
          <w:color w:val="000000"/>
          <w:kern w:val="0"/>
          <w:sz w:val="24"/>
          <w:szCs w:val="24"/>
          <w:lang w:val="en-US" w:eastAsia="zh-CN"/>
        </w:rPr>
        <w:t>各供应商的评审得分由高至低排序，评审得分排列前3名的供应商被推荐为中标候选供应商。评审得分相同的，按照最后报价由低到高的顺序推荐。评审得分且最后报价相同的，按照技术指标优劣顺序推荐。</w:t>
      </w:r>
      <w:bookmarkEnd w:id="219"/>
    </w:p>
    <w:p w14:paraId="1078244F">
      <w:pPr>
        <w:keepNext w:val="0"/>
        <w:keepLines w:val="0"/>
        <w:pageBreakBefore w:val="0"/>
        <w:widowControl/>
        <w:numPr>
          <w:ilvl w:val="0"/>
          <w:numId w:val="14"/>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bookmarkStart w:id="220" w:name="_Toc696"/>
      <w:r>
        <w:rPr>
          <w:rFonts w:hint="eastAsia" w:ascii="宋体" w:hAnsi="宋体" w:eastAsia="宋体" w:cs="宋体"/>
          <w:snapToGrid w:val="0"/>
          <w:color w:val="000000"/>
          <w:kern w:val="0"/>
          <w:sz w:val="24"/>
          <w:szCs w:val="24"/>
          <w:lang w:val="en-US" w:eastAsia="zh-CN"/>
        </w:rPr>
        <w:t>评分计算结果保留两位小数，第三位小数四舍五入。</w:t>
      </w:r>
      <w:bookmarkEnd w:id="220"/>
    </w:p>
    <w:p w14:paraId="0952CA88">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221" w:name="_Toc20547"/>
      <w:r>
        <w:rPr>
          <w:rFonts w:hint="eastAsia" w:ascii="宋体" w:hAnsi="宋体" w:eastAsia="宋体" w:cs="宋体"/>
          <w:snapToGrid w:val="0"/>
          <w:color w:val="000000"/>
          <w:kern w:val="0"/>
          <w:sz w:val="24"/>
          <w:szCs w:val="24"/>
          <w:lang w:val="en-US" w:eastAsia="zh-CN"/>
        </w:rPr>
        <w:t>磋商小组复核。磋商小组评分汇总结束后，磋商小组应当进行评审复核，对拟推荐为中标候选供应商的、报价最低的、供应商资格审查未通过的、供应商响应文件作无效处理的重点复核。</w:t>
      </w:r>
      <w:bookmarkEnd w:id="221"/>
    </w:p>
    <w:p w14:paraId="1E7EF89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222" w:name="_Toc12942"/>
      <w:r>
        <w:rPr>
          <w:rFonts w:hint="eastAsia" w:ascii="宋体" w:hAnsi="宋体" w:eastAsia="宋体" w:cs="宋体"/>
          <w:snapToGrid w:val="0"/>
          <w:color w:val="000000"/>
          <w:kern w:val="0"/>
          <w:sz w:val="24"/>
          <w:szCs w:val="24"/>
          <w:lang w:val="en-US" w:eastAsia="zh-CN"/>
        </w:rPr>
        <w:t>采购人根据磋商小组推荐的中标候选供应商及有关规定确定第一名为中标供应商。</w:t>
      </w:r>
      <w:bookmarkEnd w:id="222"/>
    </w:p>
    <w:p w14:paraId="5B9A1972">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223" w:name="_Toc1194"/>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采购人依法接受和拒绝任一或所有供应商的权力</w:t>
      </w:r>
      <w:bookmarkEnd w:id="223"/>
    </w:p>
    <w:p w14:paraId="28A78F2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采购人保留确定中标供应商之前的任何时候依法接受或拒绝任一或所有供应商的权力，对受影响的供应商不承担任何责任，也无义务向受影响的供应商解释采取这一行动的理由。</w:t>
      </w:r>
    </w:p>
    <w:p w14:paraId="0B066535">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224" w:name="_Toc26264"/>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中标通知</w:t>
      </w:r>
      <w:bookmarkEnd w:id="204"/>
      <w:bookmarkEnd w:id="205"/>
      <w:bookmarkEnd w:id="206"/>
      <w:bookmarkEnd w:id="207"/>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书</w:t>
      </w:r>
      <w:bookmarkEnd w:id="224"/>
    </w:p>
    <w:p w14:paraId="3A4F01E1">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采购人确定中标供应商后，及时通知采购代理机构，采购代理机构将按程序公告中标结果，同时向中标供应商发出中标通知书，中标通知书一经发出即发生法律效力。</w:t>
      </w:r>
    </w:p>
    <w:p w14:paraId="4F236424">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《中标通知书》将是合同的组成部分。</w:t>
      </w:r>
    </w:p>
    <w:p w14:paraId="52281058">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225" w:name="_Toc3148"/>
      <w:bookmarkStart w:id="226" w:name="_Toc243907611"/>
      <w:bookmarkStart w:id="227" w:name="_Toc243906350"/>
      <w:bookmarkStart w:id="228" w:name="_Toc245897310"/>
      <w:bookmarkStart w:id="229" w:name="_Toc233274849"/>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纪律与保密事项</w:t>
      </w:r>
      <w:bookmarkEnd w:id="225"/>
      <w:bookmarkEnd w:id="226"/>
      <w:bookmarkEnd w:id="227"/>
      <w:bookmarkEnd w:id="228"/>
      <w:bookmarkEnd w:id="229"/>
    </w:p>
    <w:p w14:paraId="592A3439">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凡参与磋商工作的有关人员均应自觉接受有关主管部门的监督，不得向他人透露可能影响公平竞争的有关磋商的其他情况。</w:t>
      </w:r>
    </w:p>
    <w:p w14:paraId="6070CA0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领取本竞争性磋商文件及其它相关资料者，应对文件进行保密，不得用作本次磋商以外的任何用途。由采购人向供应商提供的图纸、技术资料和所有其它资料，均视为保密资料，除非得到采购人的同意，不得向第三方透露。</w:t>
      </w:r>
    </w:p>
    <w:p w14:paraId="0AC2B1B8">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不得与采购人串通磋商，不得向采购人或者磋商小组成员行贿谋取中标，不得以他人名义参与磋商或者以其它任何方式弄虚作假骗取参与磋商；供应商不得以任何方式干扰、影响评审工作。如果供应商或者其他利害关系人通过捏造事实、伪造证明材料等方式提出质疑，干扰政府采购活动正常进行的，属于严重不良行为，采购人、采购代理机构将提请财政部门将其列入不良行为记录名单，并依法予以处罚。</w:t>
      </w:r>
    </w:p>
    <w:p w14:paraId="6D90014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不得在磋商过程中互相串通、结盟、损害磋商的公正性和竞争性，或以任何方式影响其他供应商参与正当磋商。扰乱磋商市场，破坏公平竞争原则。如供应商在磋商过程中互相串通，一经查实，将取消磋商资格。</w:t>
      </w:r>
    </w:p>
    <w:p w14:paraId="114CF80A">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磋商之日起直至授予中标供应商合同为止，凡属于对响应文件的审查、澄清、评价、比较有关的资料和中标供应商的推荐情况及与评审有关的其他任何情况均严格保密。</w:t>
      </w:r>
    </w:p>
    <w:p w14:paraId="719E8F04">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从磋商之日起至授予合同期间，供应商试图向磋商小组、采购代理机构施加任何影响或对采购人的比较及授予合同的决定进行影响，都可能导致其响应文件被拒绝。</w:t>
      </w:r>
    </w:p>
    <w:p w14:paraId="295F3C04">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除供应商被要求对响应文件进行澄清外，从磋商之时起至授予合同期间，供应商不得就与其响应文件有关的事项主动与磋商小组、采购代理机构以及采购人联系。</w:t>
      </w:r>
    </w:p>
    <w:p w14:paraId="0139450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中标供应商确定后，采购人不对未中标供应商就评审过程以及未能中标原因作出任何解释，未中标供应商不得向磋商小组或其他有关人员询问评审过程的情况和索取评审过程的资料。</w:t>
      </w:r>
    </w:p>
    <w:p w14:paraId="269ED46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rPr>
      </w:pPr>
      <w:bookmarkStart w:id="230" w:name="_Toc26532"/>
      <w:r>
        <w:rPr>
          <w:rFonts w:hint="eastAsia" w:ascii="宋体" w:hAnsi="宋体" w:eastAsia="宋体" w:cs="宋体"/>
          <w:b/>
          <w:bCs/>
          <w:sz w:val="28"/>
          <w:szCs w:val="28"/>
        </w:rPr>
        <w:t>F</w:t>
      </w:r>
      <w:r>
        <w:rPr>
          <w:rFonts w:hint="eastAsia" w:ascii="宋体" w:hAnsi="宋体" w:cs="宋体"/>
          <w:b/>
          <w:bCs/>
          <w:sz w:val="28"/>
          <w:szCs w:val="28"/>
          <w:lang w:val="en-US" w:eastAsia="zh-CN"/>
        </w:rPr>
        <w:t xml:space="preserve">   </w:t>
      </w:r>
      <w:r>
        <w:rPr>
          <w:rFonts w:hint="eastAsia" w:ascii="宋体" w:hAnsi="宋体" w:eastAsia="宋体" w:cs="宋体"/>
          <w:b/>
          <w:bCs/>
          <w:sz w:val="28"/>
          <w:szCs w:val="28"/>
        </w:rPr>
        <w:t>授予合同</w:t>
      </w:r>
      <w:bookmarkEnd w:id="230"/>
      <w:bookmarkStart w:id="231" w:name="_Toc243907618"/>
      <w:bookmarkStart w:id="232" w:name="_Toc243906355"/>
      <w:bookmarkStart w:id="233" w:name="_Toc233274853"/>
      <w:bookmarkStart w:id="234" w:name="_Toc245897315"/>
    </w:p>
    <w:bookmarkEnd w:id="231"/>
    <w:bookmarkEnd w:id="232"/>
    <w:bookmarkEnd w:id="233"/>
    <w:bookmarkEnd w:id="234"/>
    <w:p w14:paraId="49F1E9BA">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235" w:name="_Toc9074"/>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授予合同标准</w:t>
      </w:r>
      <w:bookmarkEnd w:id="235"/>
    </w:p>
    <w:p w14:paraId="364593E4">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本采购项目的采购合同将授予按本须知第31条所确定中标供应商。</w:t>
      </w:r>
    </w:p>
    <w:p w14:paraId="3D22FBB9">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236" w:name="_Toc245897317"/>
      <w:bookmarkStart w:id="237" w:name="_Toc11509"/>
      <w:bookmarkStart w:id="238" w:name="_Toc243906357"/>
      <w:bookmarkStart w:id="239" w:name="_Toc243907620"/>
      <w:bookmarkStart w:id="240" w:name="_Toc233274855"/>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3签订合同</w:t>
      </w:r>
      <w:bookmarkEnd w:id="236"/>
      <w:bookmarkEnd w:id="237"/>
      <w:bookmarkEnd w:id="238"/>
      <w:bookmarkEnd w:id="239"/>
      <w:bookmarkEnd w:id="240"/>
    </w:p>
    <w:p w14:paraId="26F4D78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中标供应商应当自中标通知书发出之日起三十日内，按照竞争性磋商文件和中标供应商的响应文件订立书面合同。中标供应商不得要求订立背离本响应文件合同条款等响应文件实质性内容的其他协议。</w:t>
      </w:r>
    </w:p>
    <w:p w14:paraId="1A71665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中标通知书、中标供应商的响应文件及其澄清文件、技术规范及标准、项目采购需求、本竞争性磋商文件（含修改文件或补充文件）及答疑纪要等，均为签订合同的依据。</w:t>
      </w:r>
    </w:p>
    <w:p w14:paraId="24347093">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采购人如不按本须知36.1条规定与中标供应商签订合同，或者采购人、中标供应商签订背离合同实质性内容的协议，由监督管理部门责令其改正。</w:t>
      </w:r>
    </w:p>
    <w:p w14:paraId="1CD08DE5">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中标供应商如不按本须知36.1条规定与采购人签订合同，则按违约处理，采购人将有权取消中标供应商资格，给采购人造成损失，还应当予以赔偿，同时依法承担相应的法律责</w:t>
      </w:r>
      <w:r>
        <w:rPr>
          <w:rFonts w:hint="eastAsia" w:ascii="宋体" w:hAnsi="宋体" w:cs="宋体"/>
          <w:snapToGrid w:val="0"/>
          <w:color w:val="000000"/>
          <w:kern w:val="0"/>
          <w:sz w:val="24"/>
          <w:szCs w:val="24"/>
          <w:lang w:val="en-US" w:eastAsia="zh-CN"/>
        </w:rPr>
        <w:t>任</w:t>
      </w:r>
      <w:r>
        <w:rPr>
          <w:rFonts w:hint="eastAsia" w:ascii="宋体" w:hAnsi="宋体" w:eastAsia="宋体" w:cs="宋体"/>
          <w:snapToGrid w:val="0"/>
          <w:color w:val="000000"/>
          <w:kern w:val="0"/>
          <w:sz w:val="24"/>
          <w:szCs w:val="24"/>
          <w:lang w:val="en-US" w:eastAsia="zh-CN"/>
        </w:rPr>
        <w:t>。</w:t>
      </w:r>
    </w:p>
    <w:p w14:paraId="03774D14">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中标供应商拒绝与采购人签订合同的，采购人可以按照评审报告推荐的中标候选供应商名单排序，确定下一名候选供应商为中标供应商，并组织重新选定的中标供应商和采购人签订合同，也可以重新开展政府采购活动。</w:t>
      </w:r>
    </w:p>
    <w:p w14:paraId="53582C75">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bookmarkStart w:id="241" w:name="_Toc9818"/>
      <w:bookmarkStart w:id="242" w:name="_Toc245897318"/>
      <w:bookmarkStart w:id="243" w:name="_Toc243907621"/>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合同的签订准则</w:t>
      </w:r>
      <w:bookmarkEnd w:id="241"/>
      <w:bookmarkEnd w:id="242"/>
      <w:bookmarkEnd w:id="243"/>
    </w:p>
    <w:p w14:paraId="338FB54B">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合同签订必须由采购人、中标供应商双方法定代表人或其委托代理人签署并加盖法人公章后方能生效。</w:t>
      </w:r>
    </w:p>
    <w:p w14:paraId="251FB97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合同转包（实质性要求）</w:t>
      </w:r>
    </w:p>
    <w:p w14:paraId="03A14198">
      <w:pPr>
        <w:keepNext w:val="0"/>
        <w:keepLines w:val="0"/>
        <w:pageBreakBefore w:val="0"/>
        <w:widowControl/>
        <w:numPr>
          <w:ilvl w:val="0"/>
          <w:numId w:val="15"/>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采购项目严禁中标供应商将任何政府采购合同义务转包。本项目所称转包，是指中标供应商将政府采购合同义务转让给第三人，并退出现有政府采购合同当事人双方的权利义务关系，受让人（即第三人）成为政府采购合同的另一方当事人的行为。</w:t>
      </w:r>
    </w:p>
    <w:p w14:paraId="6F26378C">
      <w:pPr>
        <w:keepNext w:val="0"/>
        <w:keepLines w:val="0"/>
        <w:pageBreakBefore w:val="0"/>
        <w:widowControl/>
        <w:numPr>
          <w:ilvl w:val="0"/>
          <w:numId w:val="15"/>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zh-CN"/>
        </w:rPr>
        <w:t>中标供应商转包的，视同拒绝履行政府采购合同义务，将依法追究法律责任。</w:t>
      </w:r>
    </w:p>
    <w:p w14:paraId="0AA95A40">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3验收</w:t>
      </w:r>
    </w:p>
    <w:p w14:paraId="5A7CE89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z w:val="24"/>
          <w:szCs w:val="24"/>
        </w:rPr>
      </w:pPr>
      <w:r>
        <w:rPr>
          <w:rFonts w:hint="eastAsia" w:ascii="宋体" w:hAnsi="宋体" w:eastAsia="宋体" w:cs="宋体"/>
          <w:snapToGrid w:val="0"/>
          <w:color w:val="000000"/>
          <w:kern w:val="0"/>
          <w:sz w:val="24"/>
          <w:szCs w:val="24"/>
          <w:lang w:val="en-US" w:eastAsia="zh-CN"/>
        </w:rPr>
        <w:t>本项目采购人将严格按照政府采购相关法律法规要求进行验收。</w:t>
      </w:r>
    </w:p>
    <w:p w14:paraId="344AB1E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G</w:t>
      </w:r>
      <w:r>
        <w:rPr>
          <w:rFonts w:hint="eastAsia" w:ascii="宋体" w:hAnsi="宋体" w:cs="宋体"/>
          <w:b/>
          <w:bCs/>
          <w:sz w:val="28"/>
          <w:szCs w:val="28"/>
          <w:lang w:val="en-US" w:eastAsia="zh-CN"/>
        </w:rPr>
        <w:t xml:space="preserve">   </w:t>
      </w:r>
      <w:r>
        <w:rPr>
          <w:rFonts w:hint="eastAsia" w:ascii="宋体" w:hAnsi="宋体" w:eastAsia="宋体" w:cs="宋体"/>
          <w:b/>
          <w:bCs/>
          <w:sz w:val="28"/>
          <w:szCs w:val="28"/>
        </w:rPr>
        <w:t>询问、质疑、投诉</w:t>
      </w:r>
    </w:p>
    <w:p w14:paraId="324474A8">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询问</w:t>
      </w:r>
    </w:p>
    <w:p w14:paraId="6A61DEE7">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供应商对采购活动事项有疑问的，可以向采购人或采购代理机构提出询问，采购人或采购代理机构应当在三个工作日内对供应商依法提出的询问作出答复，但答复的内容不得涉及商业秘密。</w:t>
      </w:r>
    </w:p>
    <w:p w14:paraId="00E4C8E5">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质疑</w:t>
      </w:r>
    </w:p>
    <w:p w14:paraId="54F137B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供应商认为竞争性磋商文件、采购过程和中标结果使自己的合法权益受到损害的，可以在知道或者应知其权益受到损害之日起七个工作日内，将质疑文件原件和必要的证明材料书面送达采购人或采购代理机构。</w:t>
      </w:r>
    </w:p>
    <w:p w14:paraId="4FF1C25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如对竞争性磋商文件技术指标、参数、评分标准有质疑，向采购人提出，由采购人按相关规定做出答复或委托采购代理机构代为答复。供应商如对采购过程和采购结果有质疑，向采购代理机构提出，由采购代理机构按相关规定作出答复。</w:t>
      </w:r>
    </w:p>
    <w:p w14:paraId="5DB3DB61">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上述应知其权益受到损害之日是指： </w:t>
      </w:r>
    </w:p>
    <w:p w14:paraId="285CB0AC">
      <w:pPr>
        <w:keepNext w:val="0"/>
        <w:keepLines w:val="0"/>
        <w:pageBreakBefore w:val="0"/>
        <w:widowControl/>
        <w:numPr>
          <w:ilvl w:val="0"/>
          <w:numId w:val="16"/>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对竞争性磋商文件提出质疑的，为竞争性磋商文件公告期限届满之日起计算； </w:t>
      </w:r>
    </w:p>
    <w:p w14:paraId="34E53AC4">
      <w:pPr>
        <w:keepNext w:val="0"/>
        <w:keepLines w:val="0"/>
        <w:pageBreakBefore w:val="0"/>
        <w:widowControl/>
        <w:numPr>
          <w:ilvl w:val="0"/>
          <w:numId w:val="16"/>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对采购过程提出质疑的，自采购程序环节结束之日起计算；</w:t>
      </w:r>
    </w:p>
    <w:p w14:paraId="7518930B">
      <w:pPr>
        <w:keepNext w:val="0"/>
        <w:keepLines w:val="0"/>
        <w:pageBreakBefore w:val="0"/>
        <w:widowControl/>
        <w:numPr>
          <w:ilvl w:val="0"/>
          <w:numId w:val="16"/>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对中标结果提出质疑的，自中标结果公告期限届满之日起计算。</w:t>
      </w:r>
    </w:p>
    <w:p w14:paraId="67E2643B">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质疑供应商在法定质疑期内应当一次性提出针对同一采购环节提出质疑。</w:t>
      </w:r>
    </w:p>
    <w:p w14:paraId="0D16FAC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质疑文件应包括以下主要内容，并按照“谁主张、谁举证”的原则，附上相关证明材料。否则，采购代理机构不予受理【财政部发布了《政府采购供应商质疑函范本》和《政府采购供应商投诉书范本》，两范本指供应商提出质疑、投诉人提起投诉时，应提交的质疑函、投诉书和必要的证明材料（下载路径：中国政府采购网→下载专区）】：　　　　　　　</w:t>
      </w:r>
    </w:p>
    <w:p w14:paraId="2D736DED">
      <w:pPr>
        <w:keepNext w:val="0"/>
        <w:keepLines w:val="0"/>
        <w:pageBreakBefore w:val="0"/>
        <w:widowControl/>
        <w:numPr>
          <w:ilvl w:val="0"/>
          <w:numId w:val="17"/>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供应商的姓名或者名称、地址、邮编、联系人及联系电话（包括座机、手机、传真号码等）； </w:t>
      </w:r>
    </w:p>
    <w:p w14:paraId="0041AFB5">
      <w:pPr>
        <w:keepNext w:val="0"/>
        <w:keepLines w:val="0"/>
        <w:pageBreakBefore w:val="0"/>
        <w:widowControl/>
        <w:numPr>
          <w:ilvl w:val="0"/>
          <w:numId w:val="17"/>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质疑项目的名称、项目编号、包号、采购公告发布时间、递交响应文件或响应文件截止时间； </w:t>
      </w:r>
    </w:p>
    <w:p w14:paraId="01EEF37B">
      <w:pPr>
        <w:keepNext w:val="0"/>
        <w:keepLines w:val="0"/>
        <w:pageBreakBefore w:val="0"/>
        <w:widowControl/>
        <w:numPr>
          <w:ilvl w:val="0"/>
          <w:numId w:val="17"/>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具体、明确的质疑事项和与质疑事项相关的请求； </w:t>
      </w:r>
    </w:p>
    <w:p w14:paraId="03EF4B35">
      <w:pPr>
        <w:keepNext w:val="0"/>
        <w:keepLines w:val="0"/>
        <w:pageBreakBefore w:val="0"/>
        <w:widowControl/>
        <w:numPr>
          <w:ilvl w:val="0"/>
          <w:numId w:val="17"/>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事实依据（具体条款，认为自己合法权益受到损害或可能受到损害的相关证据材料。如涉及到产品功能或技术指标的，应出具相关制造商的证明文件）； </w:t>
      </w:r>
    </w:p>
    <w:p w14:paraId="69084E06">
      <w:pPr>
        <w:keepNext w:val="0"/>
        <w:keepLines w:val="0"/>
        <w:pageBreakBefore w:val="0"/>
        <w:widowControl/>
        <w:numPr>
          <w:ilvl w:val="0"/>
          <w:numId w:val="17"/>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必要的法律依据； </w:t>
      </w:r>
    </w:p>
    <w:p w14:paraId="417CF749">
      <w:pPr>
        <w:keepNext w:val="0"/>
        <w:keepLines w:val="0"/>
        <w:pageBreakBefore w:val="0"/>
        <w:widowControl/>
        <w:numPr>
          <w:ilvl w:val="0"/>
          <w:numId w:val="17"/>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提起质疑的日期；</w:t>
      </w:r>
    </w:p>
    <w:p w14:paraId="7EF145D0">
      <w:pPr>
        <w:keepNext w:val="0"/>
        <w:keepLines w:val="0"/>
        <w:pageBreakBefore w:val="0"/>
        <w:widowControl/>
        <w:numPr>
          <w:ilvl w:val="0"/>
          <w:numId w:val="17"/>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质疑文件应当署名，质疑人为自然人的，应当由本人签字并附有效身份证明；质疑人为法人或其他组织的，应当由法定代表人签字并加盖单位公章；</w:t>
      </w:r>
    </w:p>
    <w:p w14:paraId="05317D0C">
      <w:pPr>
        <w:keepNext w:val="0"/>
        <w:keepLines w:val="0"/>
        <w:pageBreakBefore w:val="0"/>
        <w:widowControl/>
        <w:numPr>
          <w:ilvl w:val="0"/>
          <w:numId w:val="17"/>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供应商委托代理质疑的，应当提交授权委托书，并载明代理人的姓名或者名称、代理事项、 具体权限、期限和相关事项。</w:t>
      </w:r>
    </w:p>
    <w:p w14:paraId="7C12943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质疑供应商是指直接参加本项目采购活动的供应商，未参加政府采购活动的供应商或在采购活动中自身权益未受到损害的供应商所提出的质疑不予受理。</w:t>
      </w:r>
    </w:p>
    <w:p w14:paraId="34E9750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采购人、采购代理机构在收到供应商的书面质疑后将及时组织调查核实，在七个工作日内作出答复，并以书面形式通知质疑供应商和其他有关供应商，答复的内容不涉及商业秘密。</w:t>
      </w:r>
    </w:p>
    <w:p w14:paraId="3A296E45">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投诉</w:t>
      </w:r>
    </w:p>
    <w:p w14:paraId="0959629E">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质疑供应商对采购人、采购代理机构的答复不满意，或采购人、采购代理机构未在规定的时间内作出答复的，可以在答复期满后十五个工作日内向采购项目同级财政部门提起投诉。</w:t>
      </w:r>
    </w:p>
    <w:p w14:paraId="500C0EF5">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rPr>
        <w:t>供应商投诉的事项不得超出已质疑事项的范围，但基于质疑答复内容提出的投诉事项除外。</w:t>
      </w:r>
    </w:p>
    <w:p w14:paraId="0F16D78C">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highlight w:val="none"/>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highlight w:val="none"/>
          <w:lang w:val="en-US" w:eastAsia="zh-CN"/>
          <w14:textOutline w14:w="4358" w14:cap="sq" w14:cmpd="sng">
            <w14:solidFill>
              <w14:srgbClr w14:val="000000"/>
            </w14:solidFill>
            <w14:prstDash w14:val="solid"/>
            <w14:bevel/>
          </w14:textOutline>
        </w:rPr>
        <w:t>4诚实信用</w:t>
      </w:r>
    </w:p>
    <w:p w14:paraId="16B66A60">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z w:val="24"/>
          <w:szCs w:val="24"/>
          <w:highlight w:val="none"/>
        </w:rPr>
      </w:pPr>
      <w:r>
        <w:rPr>
          <w:rFonts w:hint="eastAsia" w:ascii="宋体" w:hAnsi="宋体" w:eastAsia="宋体" w:cs="宋体"/>
          <w:snapToGrid w:val="0"/>
          <w:color w:val="000000"/>
          <w:kern w:val="0"/>
          <w:sz w:val="24"/>
          <w:szCs w:val="24"/>
          <w:highlight w:val="none"/>
          <w:lang w:val="en-US" w:eastAsia="zh-CN"/>
        </w:rPr>
        <w:t>供应商不得虚假承诺，否则，按照提供虚假材料谋取中标处理。</w:t>
      </w:r>
    </w:p>
    <w:p w14:paraId="06DCAA6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8"/>
          <w:szCs w:val="28"/>
        </w:rPr>
      </w:pPr>
      <w:r>
        <w:rPr>
          <w:rFonts w:hint="eastAsia" w:ascii="宋体" w:hAnsi="宋体" w:eastAsia="宋体" w:cs="宋体"/>
          <w:b/>
          <w:bCs/>
          <w:sz w:val="28"/>
          <w:szCs w:val="28"/>
        </w:rPr>
        <w:t>H   义务、工作纪律</w:t>
      </w:r>
    </w:p>
    <w:p w14:paraId="0C892A0F">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磋商小组在政府采购活动中承担以下义务：</w:t>
      </w:r>
    </w:p>
    <w:p w14:paraId="52867B5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遵守评审工作纪律；</w:t>
      </w:r>
    </w:p>
    <w:p w14:paraId="4B468FDD">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按照客观、公正、审慎的原则，根据竞争性磋商文件规定的评审程序、评审方法和评审标准进行独立评审；</w:t>
      </w:r>
    </w:p>
    <w:p w14:paraId="70BDD9AE">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不得泄露评审文件、评审情况和在评审过程中获悉的商业秘密；</w:t>
      </w:r>
    </w:p>
    <w:p w14:paraId="0391DC7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及时向财政部门报告评审过程中发现的采购人、采购代理机构向评审专家做倾向性、误导性的解释或者说明，以及供应商行贿、提供虚假材料或者串通等违法行为；</w:t>
      </w:r>
    </w:p>
    <w:p w14:paraId="1145B2A1">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发现竞争性磋商文件内容违反国家有关强制性规定或者竞争性磋商文件存在歧义、重大缺陷导致评审工作无法进行时，停止评审并向采购人或者采购代理机构书面说明情况；</w:t>
      </w:r>
    </w:p>
    <w:p w14:paraId="4A8D7FE4">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及时向财政、监察等部门举报在评审过程中受到非法干预的情况；</w:t>
      </w:r>
    </w:p>
    <w:p w14:paraId="739D99CF">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配合答复处理供应商的询问、质疑和投诉等事项；</w:t>
      </w:r>
    </w:p>
    <w:p w14:paraId="45998913">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法律、法规和规章规定的其他义务。</w:t>
      </w:r>
    </w:p>
    <w:p w14:paraId="121C4DE6">
      <w:pPr>
        <w:keepNext w:val="0"/>
        <w:keepLines w:val="0"/>
        <w:pageBreakBefore w:val="0"/>
        <w:widowControl/>
        <w:numPr>
          <w:ilvl w:val="0"/>
          <w:numId w:val="6"/>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磋商小组在政府采购活动中应当遵守以下工作纪律：</w:t>
      </w:r>
    </w:p>
    <w:p w14:paraId="600EAFE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不得参加与自己有《中华人民共和国政府采购法实施条例》第九条规定的利害关系的政府采购项目的评标活动。发现参加了与自己有利害关系的评审活动，须主动提出回避，退出评审；</w:t>
      </w:r>
    </w:p>
    <w:p w14:paraId="069141C7">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评审前，应当将通讯工具或者相关电子设备交由采购代理机构统一保管；</w:t>
      </w:r>
    </w:p>
    <w:p w14:paraId="461D7A28">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评审过程中，不得与外界联系，因发生不可预见情况，确实需要与外界联系的，应当在监督人员监督之下办理；</w:t>
      </w:r>
    </w:p>
    <w:p w14:paraId="54DC0A9B">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评审过程中，不得发表影响评审公正的倾向性、歧视性言论，不得征询或者接受采购人的倾向性意见，不得明示或暗示供应商在澄清时表达与其响应文件原义不同的意见，不得以竞争性磋商文件没有规定的评审方法和标准作为评审的依据，不得修改或者细化评审程序、评审方法、评审因素和评审标准，不得违规撰写评审意见，不得拒绝对自己的评审意见签字确认；</w:t>
      </w:r>
    </w:p>
    <w:p w14:paraId="3AC5766C">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在评审过程中和评审结束后，不得记录、复制或带走任何评审资料，不得向外界透露评审内容；</w:t>
      </w:r>
    </w:p>
    <w:p w14:paraId="17964286">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评审现场服从采购代理机构工作人员的管理，接受现场监督人员的合法监督；</w:t>
      </w:r>
    </w:p>
    <w:p w14:paraId="7F9934C5">
      <w:pPr>
        <w:keepNext w:val="0"/>
        <w:keepLines w:val="0"/>
        <w:pageBreakBefore w:val="0"/>
        <w:widowControl/>
        <w:numPr>
          <w:ilvl w:val="1"/>
          <w:numId w:val="6"/>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遵守有关廉洁自律规定，不得私下接触供应商，不得收受供应商及有关业务单位和个人的财物或好处，不得接受采购代理机构的请托。</w:t>
      </w:r>
    </w:p>
    <w:p w14:paraId="5622C6E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p>
    <w:p w14:paraId="0381F736">
      <w:pPr>
        <w:numPr>
          <w:ilvl w:val="0"/>
          <w:numId w:val="0"/>
        </w:numPr>
        <w:spacing w:line="360" w:lineRule="auto"/>
        <w:jc w:val="both"/>
        <w:rPr>
          <w:rFonts w:hint="eastAsia" w:ascii="宋体" w:hAnsi="宋体" w:eastAsia="宋体" w:cs="宋体"/>
          <w:b/>
          <w:bCs/>
          <w:kern w:val="0"/>
          <w:sz w:val="36"/>
          <w:szCs w:val="36"/>
          <w:highlight w:val="none"/>
          <w:lang w:val="en-US" w:eastAsia="zh-CN" w:bidi="ar-SA"/>
        </w:rPr>
      </w:pPr>
    </w:p>
    <w:p w14:paraId="59F4020E">
      <w:pPr>
        <w:rPr>
          <w:rFonts w:hint="eastAsia"/>
          <w:highlight w:val="yellow"/>
          <w:lang w:val="en-US" w:eastAsia="zh-CN"/>
        </w:rPr>
      </w:pPr>
      <w:r>
        <w:rPr>
          <w:rFonts w:hint="eastAsia"/>
          <w:highlight w:val="yellow"/>
          <w:lang w:val="en-US" w:eastAsia="zh-CN"/>
        </w:rPr>
        <w:br w:type="page"/>
      </w:r>
    </w:p>
    <w:p w14:paraId="468CB809">
      <w:pPr>
        <w:pStyle w:val="3"/>
        <w:numPr>
          <w:ilvl w:val="0"/>
          <w:numId w:val="18"/>
        </w:numPr>
        <w:bidi w:val="0"/>
        <w:rPr>
          <w:rFonts w:hint="eastAsia"/>
          <w:highlight w:val="none"/>
          <w:lang w:val="en-US" w:eastAsia="zh-CN"/>
        </w:rPr>
      </w:pPr>
      <w:bookmarkStart w:id="244" w:name="_Toc1256"/>
      <w:r>
        <w:rPr>
          <w:rFonts w:hint="eastAsia"/>
          <w:highlight w:val="none"/>
          <w:lang w:val="en-US" w:eastAsia="zh-CN"/>
        </w:rPr>
        <w:t>项目采购需求</w:t>
      </w:r>
      <w:bookmarkEnd w:id="53"/>
      <w:bookmarkEnd w:id="54"/>
      <w:bookmarkEnd w:id="55"/>
      <w:bookmarkEnd w:id="56"/>
      <w:bookmarkEnd w:id="244"/>
      <w:bookmarkStart w:id="245" w:name="_Toc13200"/>
      <w:bookmarkStart w:id="246" w:name="_Toc15242"/>
      <w:bookmarkStart w:id="247" w:name="_Toc6481"/>
      <w:bookmarkStart w:id="248" w:name="_Toc490672253"/>
      <w:bookmarkStart w:id="249" w:name="_Toc14376"/>
    </w:p>
    <w:p w14:paraId="454DBCFA">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一、工作任务</w:t>
      </w:r>
    </w:p>
    <w:p w14:paraId="359AA1B3">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（一）开展遥感监测</w:t>
      </w:r>
    </w:p>
    <w:p w14:paraId="21538ED9">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根据年度国土变更调查工作需要，部组织采集覆盖全国的最新遥感影像数据，以公益卫星遥感影像为主、商业卫星遥感影像为辅、航空遥感影像为补充；以第三次全国国土调查（以下简称“三调”）初始调查正射影像图为基准，加工制作分县的正射影像图；利用正射影像图与上年度变更调查成果、以及本年度日常变更结果、自然资源监测成果和国土调查与林草湿调查地类对接工作成果（以下简称“地类对接成果”）等进行比对，并结合自然资源管理信息，分类提取地类不一致的疑似变化图斑；监测“推（堆）土区”“拆除未尽区”“光伏板区”“工厂化种植”四个单独图层变化状况；监测标注“未耕种”“休耕”耕地地类及种植变化情况和灾毁耕地图斑变化情况；监测临时用地范围内变化情况；汇总整理年度全覆盖遥感监测成果，分县制作年度全覆盖遥感监测成果，分批提供地方辅助开展年度变更调查工作。</w:t>
      </w:r>
    </w:p>
    <w:p w14:paraId="7FD40978">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（二）用地管理信息下发</w:t>
      </w:r>
    </w:p>
    <w:p w14:paraId="0186E852">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部组织整理在部综合信息监管平台备案的年度农转用建设用地项目图斑、补充耕地项目图斑、城乡建设用地增减挂钩项目图斑、临时用地图斑等各类管理信息，及时下发各地辅助开展变更调查。我市根据自然资源管理各类项目实际实施情况，及时补充完善部综合信息监管平台报备的各类用地管理信息。</w:t>
      </w:r>
    </w:p>
    <w:p w14:paraId="73DC6F33">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（三）开展实地调查举证与建库工作</w:t>
      </w:r>
    </w:p>
    <w:p w14:paraId="6235359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市自然资源局负责做好我市国土变更调查举证、自检和数据库建库工作，并对我市国土变更调查成果的真实性负责。市自然资源局按照年度国土变更调查工作要求，做好涉及林地、草地、湿地变化及不一致图斑的实地举证和地类认定工作，并积极落实对上级自然资源主管部门审核结果的整改等工作。</w:t>
      </w:r>
    </w:p>
    <w:p w14:paraId="657BCF8C">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塔城市以2024年12月31日为标准时点，以部下发的年度全覆盖遥感监测成果为基础，结合自治区及以下各项监测工作中自行发现的各类国土利用变化信息，以及各类自然资源管理信息等，制作2024年度变更调查外业调查工作底图（以下简称“工作底图”）。以实地现状认定地类为原则，查清工作底图上每一块变化图斑的地类、面积、属性、权属等实际情况；对需要举证的图斑，逐一实地拍照举证，通过自治区统一举证平台及时在线提交；日常变更图斑经与2024年度遥感监测成果核实确认一致的，可直接按照变更调查要求生成增量数据，无需重复实地举证；日常变更图斑与2024年度遥感监测成果不一致的，需再次实地调查举证。市自然资源局按照年度变更调查要求，结合地类对接成果，做好涉及林地、草地、湿地变化图斑的实地举证和地类认定，并及时根据上级自然资源主管部门审核结果进行整改。对部局已完成共同认定且最新遥感影像显示无明显变化的，无需重复实地举证；其他均应由自然资源主管部门共同开展实地举证、认定地类。</w:t>
      </w:r>
    </w:p>
    <w:p w14:paraId="629499CD">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（四）配合开展2024年度变更调查成果自治区级、国家级核查</w:t>
      </w:r>
    </w:p>
    <w:p w14:paraId="50671255">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根据国家要求，塔城市人民政府对塔城市2024年度国土变更调查成果的真实性负责。自治区自然资源厅要对县级调查单元的2024年度变更调查成果进行全面检查，自然资源部组织对县级调查单元的2024年度变更调查成果开展国家级内业和“互联网+”在线核查。在核查阶段，市自然资源局组织人员配合自治区级、国家级核查，对自治区、国家反馈的疑似错误图斑，将实地核实修改或补充举证，并将整改成果上报自然资源部。</w:t>
      </w:r>
    </w:p>
    <w:p w14:paraId="43991BFC">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（五）开展2024年度耕地资源分区分类评价更新与监测</w:t>
      </w:r>
    </w:p>
    <w:p w14:paraId="692FA63A">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自2024年起，“耕地资源质量分类”调整为“耕地资源分区分类评价”，工作内容与指标体系仍按《第三次全国国土调查耕地资源质量分类工作方案》（国土调查办发〔2020〕13号）执行，在2023年度耕地资源质量分类成果及本年度变更调查成果基础上，结合2024年度年度土地综合整治、高标准农田建设等项目竣工验收资料，根据部统一要求，组织开展塔城市2024年度耕地资源分区分类评价更新，数据更新入库与汇总分析等工作，全面掌握我市2024年度内耕地资源分区分类变化情况。</w:t>
      </w:r>
    </w:p>
    <w:p w14:paraId="0773B889">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（六）日常变更</w:t>
      </w:r>
    </w:p>
    <w:p w14:paraId="4B7907D3">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我市将根据国土调查监测、耕地保护、督察执法、用途管制、生态修复等工作需要，适时开展日常变更、结果核实与报送工作，经地区、自治区全面核查通过后报部。部将组织开展日常变更核查、数据质检及动态汇总统计，年底进行复核，对复核发现日常变更图斑地类与最新遥感影像特征明显不一致的，纳入年度全覆盖遥感监测成果并核实。</w:t>
      </w:r>
    </w:p>
    <w:p w14:paraId="662F8A03">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二、工作程序和方法</w:t>
      </w:r>
    </w:p>
    <w:p w14:paraId="0D57B223">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（一）调查界线及技术指标</w:t>
      </w:r>
    </w:p>
    <w:p w14:paraId="6286A9F7">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2024年度变更调查的调查界线的调整原则、数学基础、调查分类、调查精度等内容按照《国土变更调查技术规程》执行。</w:t>
      </w:r>
    </w:p>
    <w:p w14:paraId="2603B630">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调查界线原则上以2023年度调查界线为准。县级调查界线如果发生变化（包括：名称、代码、界线位置）需要调整的，应依据相关主管部门的批准文件及相关资料进行调查界线调整。</w:t>
      </w:r>
    </w:p>
    <w:p w14:paraId="0D621A24">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（二）遥感监测</w:t>
      </w:r>
    </w:p>
    <w:p w14:paraId="12D4C97D">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1.卫星遥感数据采集</w:t>
      </w:r>
    </w:p>
    <w:p w14:paraId="1C3C3D51">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塔城市2024年度变更调查卫星遥感影像采集由部统一组织完成，原则上优先使用亚米级分辨率遥感影像，覆盖不足的以2米级分辨率卫星遥感影像为补充。时间主体时相为2024年8至11月份，监测周期总体上稳定在一年左右。遥感影像数据质量要求及数据分发原则按照《2024年度全国国土利用动态全覆盖遥感监测技术方案》执行。</w:t>
      </w:r>
    </w:p>
    <w:p w14:paraId="5D45E4AD">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2.正射影像图制作和变化信息提取</w:t>
      </w:r>
    </w:p>
    <w:p w14:paraId="7014B7C2">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以“三调”初始调查正射影像及其他高精度纠正控制资料、高程数据等为基准，加工制作分县的正射影像图。</w:t>
      </w:r>
    </w:p>
    <w:p w14:paraId="4E87C218">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利用正射影像图与上年度国土调查数据库地类、本年度日常变更结果、自然资源监测成果和地类对接成果进行比对，并结合自然资源管理信息，分类型提取年度国土利用疑似变化图斑。其中，自然资源管理信息包括：上年度未种植农作物的耕地图斑以及其他需持续跟踪图斑，临时用地备案图斑，设施农用地备案图斑、全域土地综合整治上传国土空间规划“一张图”整治区域图斑，历史遗留废弃矿山生态修复范围地类变化图斑，季度卫片图斑，“长牙齿”硬措施图斑，退耕还林还草落地上图成果范围内地块图斑，生态保护红线范围内地块图斑和地方上报的红树林地变化图斑，耕地灾毁图斑等。</w:t>
      </w:r>
    </w:p>
    <w:p w14:paraId="437AB52D">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一是疑似新增建设用地监测。监测上年度地类为非建设用地但影像特征为疑似新增建设用地（含新增建设推（堆）土、设施农用地改变用途）的变化情况，分类型提取疑似新增建设图斑。</w:t>
      </w:r>
    </w:p>
    <w:p w14:paraId="421A0CB1">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二是耕地流出变化监测。监测上年度地类为耕地但影像特征为明显非耕地的变化情况，分类型提取疑似耕地流出变化图斑，并对绿化造林、挖湖造景等情况进行标注。从2024年起，开展耕地种植属性为“未耕种”或“休耕”的变化情况持续跟踪监测工作（直至遥感影像显示或地方自主举证“已耕种”或变为其他地类为止）。</w:t>
      </w:r>
    </w:p>
    <w:p w14:paraId="48B0DA70">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三是建设用地和设施农用地变化监测。监测上年度地类为建设用地和设施农用地的变化情况，分类型提取疑似拆除和复耕复绿等变化图斑。</w:t>
      </w:r>
    </w:p>
    <w:p w14:paraId="5B998202">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四是非耕农用地变化监测。监测上年度地类为园地、林地、草地及其他非耕农用地的变化情况，分类型提取影像特征与上年度地类明显不一致的变化图斑。</w:t>
      </w:r>
    </w:p>
    <w:p w14:paraId="622C43FB">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五是未利用地变化监测。监测上年度地类为未利用地的变化情况，分类型提取影像特征与上年度地类明显不一致的变化图斑，重点提取人类活动导致的变化。</w:t>
      </w:r>
    </w:p>
    <w:p w14:paraId="1722164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六是新增围填海监测。依据上年度和本年度两期正射遥感影像，结合上年度变更调查成果，分类型提取影像特征为新增围填海的图斑。</w:t>
      </w:r>
    </w:p>
    <w:p w14:paraId="009F5B57">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七是单独图层变化监测。监测上年度“推（堆）土区”“光伏板区”“拆除未尽区”“工厂化种植”四个单独图层的变化情况，分类型提取单独图层与影像特征不一致的变化图斑。</w:t>
      </w:r>
    </w:p>
    <w:p w14:paraId="4CC86781">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八是日常变更结果监测。监测日常变更结果的变化情况，分类型提取日常变更结果与最新影像特征明显不一致的变化图斑。</w:t>
      </w:r>
    </w:p>
    <w:p w14:paraId="1C761517">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九是地类对接成果监测。监测地类对接成果的变化情况，分类型提取地类对接成果与最新影像特征明显不一致的变化图斑。</w:t>
      </w:r>
    </w:p>
    <w:p w14:paraId="2C56476A">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（三）县级调查</w:t>
      </w:r>
    </w:p>
    <w:p w14:paraId="5A6FC51A">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1.农村土地利用现状变更调查</w:t>
      </w:r>
    </w:p>
    <w:p w14:paraId="2A748154">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（1）工作底图制作</w:t>
      </w:r>
    </w:p>
    <w:p w14:paraId="05ED1FDD">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以塔城市为单位，在部下发的2024年度正射影像图基础上，叠加以下图斑或矢量数据，制作2024年度变更调查工作底图。</w:t>
      </w:r>
    </w:p>
    <w:p w14:paraId="0B93FF87">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①部下发的遥感监测图斑；省级及以下本年度内监测发现的各类国土利用变化图斑（包括耕地保护、开发利用、国土空间规划、用途管制、生态修复、督察执法等相关部门日常管理工作中发现的地类变化图斑）。</w:t>
      </w:r>
    </w:p>
    <w:p w14:paraId="03C327CC">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②部下发的各类用地管理信息的矢量数据，包括建设用地审批、临时用地和设施农用地备案等矢量数据，以及占补平衡补充耕地等用地管理信息。根据地方报备进度，分批次下发各类用地管理信息，最晚一批于2025年1月15日前下发。</w:t>
      </w:r>
    </w:p>
    <w:p w14:paraId="76B22F24">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③市自然资源局自行收集尚未报部备案的各类自然资源用地管理信息的矢量数据，自然资源管理项目包括城乡建设用地增减挂钩、土地综合整治、补充耕地项目、生态修复、废弃矿山治理、退耕还林还草、国土绿化、沙地治理、河湖治理、移民撤村等。尚未报部备案的，应于2025年1月15日前完成备案，后续将以报部备案的信息开展相关套合分析工作。不属于应报部备案的，须在汇交成果时一并提交佐证材料，以便后续核查工作参考。</w:t>
      </w:r>
    </w:p>
    <w:p w14:paraId="4ECD2020">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④上年度变更调查跟踪图斑（包括以往承诺举证图斑、冰雪覆盖图斑、无法到达图斑、日常监测监管疑似变化图斑、“互联网+”在线核查疑似问题图斑、耕地灾毁图斑及“国土调查云”平台推送的疑似变化线索等）。</w:t>
      </w:r>
    </w:p>
    <w:p w14:paraId="352A7507">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⑤我市自主发现的其他变化图斑。</w:t>
      </w:r>
    </w:p>
    <w:p w14:paraId="09F17CA6">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（2）外业调查</w:t>
      </w:r>
    </w:p>
    <w:p w14:paraId="34D3E9C3">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以2024年12月31日为标准时点，按照以实地现状认定地类的原则，对工作底图中所有的调查图斑，应实地逐图斑核实确认图斑地类，调绘图斑边界，记录更新图斑权属、恢复属性、城镇村及工矿用地属性、废弃属性、耕地种植属性、耕地细化类型、单独图层等各类信息变化情况；对影像未能反映的新增地物进行补测和调查。依据实际调查成果，结合城乡建设用地增减挂钩及土地综合整治等自然资源管理成果，对城镇村范围、“推（堆）土区”“光伏板区”“拆除未尽区”“工厂化种植”等单独图层范围进行更新。</w:t>
      </w:r>
    </w:p>
    <w:p w14:paraId="05858513">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2024年度变更调查的地类调查主要依据土地利用方式、主要用途、经营特点和覆被特征等因素认定地类，认定要求应与“三调”实施方案、技术规程、补充通知、技术问答以及国务院第三次全国国土调查领导小组办公室对地方调查问题的答复和《自然资源管理工作中涉及地类的有关问题解答》（自然资办函〔2023〕1804号）等保持一致。其中，需要说明的事项如下：</w:t>
      </w:r>
    </w:p>
    <w:p w14:paraId="5BE5A5F2">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①关于耕地调查</w:t>
      </w:r>
    </w:p>
    <w:p w14:paraId="15A2138B">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对于上年度变更调查成果、日常变更结果为非耕地，本年度现状达到耕地认定标准的，应全部按耕地调查（以下简称“新增耕地”）。</w:t>
      </w:r>
    </w:p>
    <w:p w14:paraId="45443A13">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严格新增耕地认定，新增耕地必须是现状利用地表耕作层种植粮、棉、油、糖、蔬菜、饲料饲草等农作物，每年可以种植一季及一季以上的土地。</w:t>
      </w:r>
    </w:p>
    <w:p w14:paraId="27DC7BE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于已采取实质性恢复、复垦、开发等措施，现状与周边现有耕地基本一致，但因调查时点原因，实地现状尚无法佐证耕种状态的新增耕地，可根据主要用途和是否具备耕作条件认定地类。从园地、林地等农用地恢复，实地已平整，原地类特征已改变（或虽零星间种、套种林木、园艺等作物，但达不到林地或园地认定标准），已具备耕作条件的土地，可变更为耕地。从建设用地或设施农用地等复垦，实地建（构）筑物已拆除、场地已平整，无建筑垃圾，已具备耕作条件的土地，可变更为耕地。从未利用地开发，实地已平整，已具备耕作条件的土地，可变更为耕地。上述新增耕地，应现场询问当地群众实际耕种情况或耕种计划，如实填写相应的种植属性（不得填写“休耕”或“未耕种”），并在“备注”字段标注“2024未种植”。部将对此类新增耕地进行持续跟踪监测，直至遥感影像显示或地方自主提供已种植符合耕地认定标准农作物的证明信息或变更为其他地类为止，再去除“2024未种植”备注字段信息。</w:t>
      </w:r>
    </w:p>
    <w:p w14:paraId="089F44FD">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于现状是荒草、推（堆）土等不具有耕作条件或耕种迹象的地块不得认定为新增耕地，应按现状调查。禁止仅依据土地综合整治验收文件或以承诺整改复耕、计划整改复耕等方式认定新增耕地。禁止将修剪枝杈降低树木郁闭度覆盖度的林地、园地，简单放水的坑塘等未采取实质恢复措施的土地认定为耕地。禁止将草地上人工种植多年生牧草或用于草种繁育的土地变更认定为耕地。</w:t>
      </w:r>
    </w:p>
    <w:p w14:paraId="414C9C7B">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新增耕地，根据实际情况标注“林区耕地”“牧区耕地”“沙化荒漠化耕地”“石漠化耕地”“盐碱化耕地”等细化属性。“河道耕地”和“湖区耕地”由部统一标注。对于河道、湖区范围有调整的，应以县级调查单元为单位整体制作河道、湖区范围调整方案，经省级自然资源和水利主管部门共同认定报部审核后由部组织调整。已标注“林区耕地”“牧区耕地”“沙化荒漠化耕地”“石漠化耕地”的，不得删除耕地细化调查属性。关于种植属性，特别是耕地“未耕种”或“休耕”地块，县级自然资源主管部门应与农业农村主管部门及当地群众沟通，及时了解耕地种植情况并更新耕地种植属性。</w:t>
      </w:r>
    </w:p>
    <w:p w14:paraId="5CA51893">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对于采伐更新造林过程中临时耕种形成的新增耕地，标注“2024采伐更新”图斑属性。</w:t>
      </w:r>
    </w:p>
    <w:p w14:paraId="5A4B382F">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按照《第三次全国国土调查实施方案》（国土调查办发〔2018〕18号）、《关于明确巩固退耕还林还草成果有关问题处置意见》（自然资发〔2023〕176号）有关要求，对照国家林业和草原局确定的第二轮退耕还林还草落地上图成果和最新复核成果，对耕地种植属性标注情况进行梳理。对于在第二轮退耕还林还草落地上图成果范围内，实地为间种或套种林木、果树但尚未达到林地、园地认定标准的图斑，按耕地调查，耕地种植属性统一标注为“林粮间作”。对于在第二轮退耕还林还草落地上图成果范围外的耕地图斑，全面核实梳理，实地确为间种或套种林木、果树但尚未达到林地、园地认定标准的，耕地种植属性统一标注为“间作套种”。对实地不再间作、套种的，应按实地现状认定地类。对于部分符合标注要求的，可根据最小上图面积标准分割图斑。</w:t>
      </w:r>
    </w:p>
    <w:p w14:paraId="769A11A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土地综合整治项目区备案范围外的新增耕地的田坎系数必须与报备的田坎系数一致。对土地综合整治项目涉及归并田块、削减田坎新增耕地地块的，须重新计算和更新田坎系数，按照《关于进一步加强补充耕地项目管理 严格新增耕地核实认定的通知》（自然资办发〔2022〕36号）要求，以整理前后实测田坎净减少面积作为新增耕地面积。县级自然资源主管部门应结合土地综合整治项目立项和有关审核资料，形成统一规范的田坎系数更新报备材料，省对田坎系数更新实地真实性负责；项目区内其他类型的新增耕地可采用实测田坎方式或沿用报备的田坎系数计算田坎面积。对因实施土地综合整治或因数字高程模型（DEM）现势性不够等技术原因，导致耕地坡度图结果与实际坡度不一致的，可按照《关于按照实地现状认定地类 规范国土调查成果应用的通知》（自然资办发〔2023〕59号）有关要求，据实更新耕地坡度级。</w:t>
      </w:r>
    </w:p>
    <w:p w14:paraId="7A3F250E">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上年度国土调查数据库耕地图斑或日常变更认定的耕地图斑，因灾毁导致地表耕作层破坏且短期内无法通过简单治理恢复耕种（即已不再具备耕作条件）而变为未利用地的，须待灾毁情形稳定后，提供相关灾毁媒体报道和实地举证照片等，并标注“2024灾毁”图斑属性。对于因洪水淹没导致种植的农作物受损但地表耕作层未损毁的，不得变更地类。</w:t>
      </w:r>
    </w:p>
    <w:p w14:paraId="1D58CD19">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②关于其他农用地及单独图层</w:t>
      </w:r>
    </w:p>
    <w:p w14:paraId="41A1E538">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1）上年度国土调查数据库地类为耕地，实地现状为园地、林地、草地、坑塘水面的，按现状调查，并根据实际情况标注相应的恢复属性。</w:t>
      </w:r>
    </w:p>
    <w:p w14:paraId="19C8D3E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对此前标注恢复属性的园地、林地、草地、坑塘水面等图斑，实地地类发生变化的，需按照实地现状变更地类，并根据实地现状更新相应的恢复属性。对此前标注“即可恢复”属性的图斑，经实地评估后认定为“工程恢复”的，需更新该类图斑的恢复属性。对此前标注“工程恢复”的图斑，如现状未发生变化或果树林木等未采伐更新的，不得将恢复属性变更为“即可恢复”。</w:t>
      </w:r>
    </w:p>
    <w:p w14:paraId="6F427A4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3）上年度变更调查成果中涉及以下3种情形的园地和林地，且本年度地类未变化的，由县级林草和自然资源主管部门结合地类对接工作实地逐图斑调查举证后，对相关的园地和林地二级地类图斑进行细化树种类型属性标注：一是实际种植油茶、油橄榄、文冠果和油棕的，标注“木本油料”属性；二是实际种植油桐、杜仲、厚朴、银杏、黄柏、乌桕、棕榈、白蜡树、栓皮栎的，标注“工业原料”属性；三是实际为自然生长、非集约经营规模化种植核桃和板栗的标注“干果经济”属性，集约经营规模化种植核桃和板栗的不标注属性。上述涉及标注树种类型属性图斑的地类保持不变。对于部分符合标注要求的，可根据最小上图面积标准分割图斑。</w:t>
      </w:r>
    </w:p>
    <w:p w14:paraId="5DBB7E7E">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4）直接用于经营畜禽、水产养殖、种植作物的生产设施用地或辅助生产设施用地，按设施农用地调查，已按建设用地供地的按照工业用地调查；新增建（构）筑物图斑内直接利用地表耕作层种植作物的，按照种植作物类型分别调查为耕地、园地或林地等。对于在设施农用地或工业用地中，采用工厂化模式种植食用农作物的，按生产设施实际用地范围更新“工厂化种植”单独图层。</w:t>
      </w:r>
    </w:p>
    <w:p w14:paraId="55E5CCED">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5）对于黄土高原等有关地区新建的以拦沙、淤地、改善小流域生态等为目的淤地（拦沙）坝用地，在按“水工建筑用地”地类调查基础上标注“YDB”图斑属性（淤地坝）。</w:t>
      </w:r>
    </w:p>
    <w:p w14:paraId="4428B4CE">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③关于建设用地及单独图层</w:t>
      </w:r>
    </w:p>
    <w:p w14:paraId="53C65C9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于用途不明，实地为推（堆）土状态的，暂按上年度国土调查数据库地类调查，并在“推（堆）土区”图层表示。对于已完成建设用地审批或已在部综合信息监管平台备案，实地已开工的部分，按建设用地调查，不得在“推（堆）土区”图层表示，实际建设范围与批准范围不一致的，按实地范围调查；对于其他地基已开挖、建筑施工主体工程已达到“正负零”（即基础结构施工已完成）的部分，应按实际用途认定地类，不得在“推（堆）土区”图层表示。对于无任何项目施工痕迹，仅临时堆放纯土或少量农业生产设施材料的，可按上年度国土调查数据库地类调查，在“推（堆）土区”图层表示。对于堆放固体物品、建筑材料、垃圾、长期停放车辆等的，应按相应建设用地调查，不得在“推（堆）土区”图层表示。</w:t>
      </w:r>
    </w:p>
    <w:p w14:paraId="014605BC">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道路已建成的，按征地范围调查，同时应将公路路面范围录入到数据库“路面范围”图层。正在施工的道路，路基已形成（包括桥梁桥墩已建成）但未铺设路（桥）面的，按道路调查；道路两侧因施工未完成而形成的现状推（堆）土部分，应按推（堆）土区有关要求调查。</w:t>
      </w:r>
    </w:p>
    <w:p w14:paraId="6E475C8B">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现有“推（堆）土区”图层内，不符合上述要求或实地已达到相应地类认定标准的，应如实变更地类，并在“推（堆）土区”单独图层中删除。</w:t>
      </w:r>
    </w:p>
    <w:p w14:paraId="794E5233">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实地为拆除（瓦砾状）、未复耕复绿或尚无其他明确现状用途的，按照原建（构）筑物地类调查，并在“拆除未尽区”图层表示。实地瓦砾已清除平整并复耕复绿或能够明确用途的，按相应地类变更，并在“拆除未尽区”单独图层中删除。</w:t>
      </w:r>
    </w:p>
    <w:p w14:paraId="7CA1EC7A">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新增光伏发电项目中，配套设施用地按工业用地调查；光伏板阵列用地按地表地类调查；符合光伏用地标准，位于方阵内部和四周，直接配套光伏方阵的道路，按农村道路调查，其他道路按相应建设用地调查。按照新增光伏板阵列用地范围建立“光伏板区”单独图层；对已拆除灭失的光伏板阵列用地，按地表地类调查，并在“光伏板区”单独图层中删除。</w:t>
      </w:r>
    </w:p>
    <w:p w14:paraId="199C24C9">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对于在设施农用地或工业用地中，采用工厂化模式种植食用农作物的，按生产设施实际用地范围录入“工厂化种植”单独图层；对不再采用工厂化模式种植食用农作物的，在“工厂化种植”单独图层中删除。</w:t>
      </w:r>
    </w:p>
    <w:p w14:paraId="337F0CC8">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④其他</w:t>
      </w:r>
    </w:p>
    <w:p w14:paraId="7CDE5C19">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于上年度国土调查数据库地类为耕地，现状为生长牧草或杂草，或种植属性为“未耕种”“休耕”的耕地，实际已不再具备耕作条件的，应由县级自然资源主管部门核实并征求农业农村、林草等部门意见后，可按草地调查，按要求标注恢复属性，并将核实情况、变化原因、分布及面积（属于省级以上移民搬迁或生态修复等工程的，应提供能够落实空间范围的批文或规划等相关证明材料），形成专题报告报上级自然资源主管部门审核。省级自然资源主管部门核实汇总形成本省专题报告，随年度变更调查初报成果报部审核。以下几种情形恢复属性标注的要求如下：</w:t>
      </w:r>
    </w:p>
    <w:p w14:paraId="749D2CDD">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一是位于退耕还林还草落地上图成果范围内，现状为杂草的，按草地调查，不标注恢复属性；</w:t>
      </w:r>
    </w:p>
    <w:p w14:paraId="1FB1A115">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二是实地为冲沟或沟壑，按其他草地调查且须标注“工程恢复”属性；</w:t>
      </w:r>
    </w:p>
    <w:p w14:paraId="38C18C4E">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三是现状为绿化草地或种植草皮（不含公园绿地）的，按其他草地调查，绿化草地图斑应标注“即可恢复”属性，种植草皮用于售卖的图斑应标注“工程恢复”属性。</w:t>
      </w:r>
    </w:p>
    <w:p w14:paraId="16D7C8EA">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对于原地类为盐碱地的图斑，若现状植被覆盖度超过5%，应按草地调查。</w:t>
      </w:r>
    </w:p>
    <w:p w14:paraId="65867A32">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对于全国耕地后备资源调查评价成果范围内实地现状为草地的，一律按“后备耕地”调查。</w:t>
      </w:r>
    </w:p>
    <w:p w14:paraId="58E86944">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（3）调查举证</w:t>
      </w:r>
    </w:p>
    <w:p w14:paraId="1D70716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可采用实地举证（含无人机举证）、类型举证、承诺举证、高清遥感影像举证等方式开展图斑举证工作。</w:t>
      </w:r>
    </w:p>
    <w:p w14:paraId="378C8978">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①实地举证内容与方法</w:t>
      </w:r>
    </w:p>
    <w:p w14:paraId="481907FE">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我市在开展外业调查的同时，应使用具有卫星定位和方向传感器的设备，利用“互联网+”举证软件，对需举证的图斑拍摄包含图斑实地坐标、拍摄方位角、拍摄时间的举证照片或视频。举证照片与举证说明等综合信息形成加密举证数据包，上传至“国土调查云”平台。我市根据自治区统一安排，使用自治区指定的平台举证。</w:t>
      </w:r>
    </w:p>
    <w:p w14:paraId="5B753763">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在2024年度各类监测工作中利用“国土调查云”已经举证的图斑，若2024年底的遥感影像特征与图斑举证照片反映地类一致的，不需要重复举证；若2024年底的遥感影像特征相比图斑举证照片发生变化的，必须重新举证。</w:t>
      </w:r>
    </w:p>
    <w:p w14:paraId="712AD33B">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②图斑举证要求</w:t>
      </w:r>
    </w:p>
    <w:p w14:paraId="642CAE5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1）我市要按照国家统一技术要求，对于年度变化图斑，影像判读地类明显能够支持更新图斑地类的，无需实地举证；影像不能明确地类或更新地类与影像判读地类不一致的，应逐一拍照举证；对于新增耕地需拍摄种植作物特征照片，并填写种植作物类型；对于人工拍摄困难（含因季节性原因无法到达进行人工拍摄）的图斑，可采取无人机举证、连续图斑分段举证、类似图斑典型举证等优化举证方式。采取无人机举证的，应符合“互联网+”举证系统的接口技术要求；采取连续图斑分段举证的，应限于线状图斑的典型区段，对于线状图斑的非典型区段应逐一举证；采取类似图斑典型举证的，应限定在同一地貌单元或同一地类图斑邻近的连续区域，影像特征一致的，如山区同一平坝范围内耕地、园地，或同一农场范围内统一修建、规律分布、形态一致的看护房等，不得随意扩大类似图斑典型举证范围，更不得以行政区域为范围采取同一类型图斑典型举证；对于因突发公共事件等不可抗原因，暂时无法进入内部拍照举证的设施农用地，以及因极端天气、地质灾害等原因暂时无法开展外业举证的，可采取承诺举证的方式，由是自然资源局核实并承诺涉及图斑的调查地类及标注信息的真实性，待突发公共事件或极端天气、地质灾害等结束后，再补充举证。市自然资源局要对调查成果质量负责，后期如发现严重质量问题将按照弄虚作假严肃处理。对于采用类型举证、承诺举证因降雪等天气原因或其他自然灾害原因实际无法开展补充举证的，必须在举证信息表的类举标注字段，填写“类型举证”“承诺举证” “积雪覆盖”“按规程无需举证”或“无法到达”等情况，未填写相关情况的视为未举证。对于人类活动较少区域、调查人员实际无法或极难到达的特殊地区的举证要求，按照《国务院第三次全国国土调查领导小组办公室关于优化特殊地区举证方式的通知》（国土调查办发﹝2019﹞22号）执行。</w:t>
      </w:r>
    </w:p>
    <w:p w14:paraId="124153D1">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采用类型举证方式进行举证的，所有类举的图斑均需挂接类举照片，不符合类型举证要求的（如影像特征不一致、举证区域非集中连片等），不得采用类型举证方式进行举证。“无法到达”等图斑将列入下一年度的跟踪图斑。涉及行政区划调整的图斑，在行政区划调整前已经举证的，可以通过“国土调查云”共享举证照片，无需重复举证。</w:t>
      </w:r>
    </w:p>
    <w:p w14:paraId="0144C0EF">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3）举证照片应在实地选择正确方向拍摄，应能足以说明调查地类与影像特征不一致区域的土地利用情况。举证照片应能够反映图斑全貌和利用特征，应在三个及以上不同站立点拍摄，同一站立点同一方向只能上传一张最佳照片，每个图斑不得少于3张举证照片。涉及园地和林地间地类变化的，举证照片除应反映地类现状情况外，还须反映种植苗木特征、株数、郁闭度及作物行距株距等可以区分园地和林地的情况。对于举证照片无法充分反映整体现状的地块图斑，可拍摄一段10秒左右的举证视频。</w:t>
      </w:r>
    </w:p>
    <w:p w14:paraId="35476449">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4）耕地举证要求。对2024年度新增耕地、耕地内部二级类变化的图斑，不论影像是否支持以上地类变更，必须全部逐图斑实地举证，并提供现状是种植粮棉油糖菜及饲料饲草等农作物，且农作物出土长苗的举证照片。对于2024年度日常变更工作中，最新遥感影像特征与地块图斑举证照片反映地类一致的，应按照日常变更调查认定的地类、边界、属性进行变更，无需重复调查举证；最新遥感影像已不具备耕地特征或实地已改变的，应重新调查举证。耕地的梯田、坡地类型属性发生变化的，必须实地拍照举证。</w:t>
      </w:r>
    </w:p>
    <w:p w14:paraId="099DBA18">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因实施城乡建设用地增减挂钩、占补平衡补充耕地、土地综合整治和生态修复等土地开发、复垦和整理项目，以及日常变更涉及新增耕地或恢复为耕地的，须符合新增耕地认定要求，且不得采用“承诺举证”“无法到达”“积雪覆盖”“按规程无需举证”等方式举证。</w:t>
      </w:r>
    </w:p>
    <w:p w14:paraId="000FBF09">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5）林地、草地和湿地举证要求。市自然资源局要及时与林草局沟通，切实发挥市林草湿调查监测工作专班的作用，按照自然资源部、国家林业和草原局《关于共同做好森林、草原、湿地调查监测工作的意见》（自然资发〔2022〕5号）和《关于开展2023年全国森林、草原、湿地调查监测工作的通知》（自然资发〔2023〕78号），《自治区自然资源厅 自治区林业和草原局关于开展2023年自治区森林、草原、湿地调查监测工作的通知》（新自然资发〔2023〕97号）等要求，共同做好森林、草原、湿地调查监测工作和国土变更调查工作的衔接。市自然资源局收到部下发的监测成果后，应将涉及林地、草地、湿地的变化图斑转送林草局。对于涉及林地、草地、湿地地类变更的图斑，以及森林、草原、湿地调查监测工作发现的林地、草地、湿地地类变化图斑，市自然资源局要会同林草部门，共同完成实地调查和举证工作，纳入年度国土变更调查成果，未经核实举证的（符合不举证情形的除外），不得纳入年度国土变更调查。对林草部门认为应通过的，但自然资源局审核未通过的图斑，可由林草部门逐级上报林草主管部门协调同级自然资源主管部门共同审核。</w:t>
      </w:r>
    </w:p>
    <w:p w14:paraId="6FC43C34">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6）建（构）筑物举证要求。为保证建设用地和设施农用地调查的准确性，对部下发的疑似新增建设图斑，调查时要逐图斑拍照举证（依据影像能够明显判断为建设用地的，可不举证）。按建设用地调查的图斑，如果外部举证照片不足以确认为建设用地的，还应拍摄内部照片；按设施农用地调查的图斑，应拍摄建筑物内、外部照片或能够反映用途的建（构）筑物照片（依据影像特征能够准确认定的打谷场等可不举证），其中在“工厂化种植”单独图层标注的，应拍摄反映工厂化种植的特征；部下发的疑似建（构）筑物图斑，实地不是建设用地或设施农用地的，应拍摄举证照片；对影像明显反映是建（构）筑物，但未按照建设用地或设施农用地调查的图斑，应拍摄建（构）筑物内部举证照片，证明建（构）筑物内部是利用地表种植的现状特征。</w:t>
      </w:r>
    </w:p>
    <w:p w14:paraId="605BD3A5">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7）“后备耕地”举证要求。未经自然资源部、国家林业和草原局同意，“后备耕地”地类与“草地”地类间不得相互转换，实地变化为其他地类的应拍照举证后据实变更地类。</w:t>
      </w:r>
    </w:p>
    <w:p w14:paraId="332A5CE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8）未利用地举证要求。非未利用地图斑变更为盐碱地、沼泽地、沙地、裸土地、裸岩石砾地等未利用地的，必须全部实地举证。同时，市自然资源局应核实并征求农业农村、林草等相关部门意见，了解变化原因、分布及面积，说明核实情况及汇总面积形成专题报告随初报成果一并报上级部门审核。</w:t>
      </w:r>
    </w:p>
    <w:p w14:paraId="0224E718">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对于未利用地内部变化图斑，如遥感影像不能准确判断地类正确的，应全部予以举证后方可变更地类。</w:t>
      </w:r>
    </w:p>
    <w:p w14:paraId="529EB29A">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2.城镇村庄内部土地利用现状变更调查</w:t>
      </w:r>
    </w:p>
    <w:p w14:paraId="565522A5">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（1）调查内容与方法</w:t>
      </w:r>
    </w:p>
    <w:p w14:paraId="476E07F3">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城镇内部国土利用现状变更调查与农村国土利用现状变更调查同步开展，在汇总时分别统计。充分利用城市国土空间监测、地籍调查和不动产登记成果等，开展2023年度变更调查城镇村庄内部国土利用现状二级地类调查更新工作。应及时将城市国土空间监测发现的城镇内部国土利用变化，纳入年度国土变更调查。</w:t>
      </w:r>
    </w:p>
    <w:p w14:paraId="2CA532AF">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（2）调查要求</w:t>
      </w:r>
    </w:p>
    <w:p w14:paraId="4C851C4A">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在对城镇村庄内部现状进行细化调查时，要在部下发的城镇村及工矿用地图层基础上，首先对该图层进行增量更新，确定2023年度城镇村及工矿用地图层范围。城镇村及工矿用地图层包括城市（201、201A）、建制镇（202、202A）、村庄（203）、采矿用地（204）、风景名胜和特殊用地（205）范围。城市（201）、建制镇（202）范围按照集中连片的原则更新，独立的工业用地范围应更新相应的201A和202A范围。城镇外部的采矿用地（204）、风景名胜及特殊用地（205）等按总体使用范围或审批范围进行更新。</w:t>
      </w:r>
    </w:p>
    <w:p w14:paraId="6507B958">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村庄（203）范围按照以下规则更新：原村庄（203）变更为城市（201、201A）、建制镇（202、202A）、采矿用地（204）、风景名胜及特殊用地（205）的，应对村庄范围进行扣除；原村庄（203）范围边缘建设用地当年拆除已复耕复绿的，应同步扣除村庄（203）范围；对于上一年度国土变更调查后新增的村庄用地（不包括新增范围内未建设的土地）、原村庄（203）范围外新增的建设用地，按建设用地实际范围勾绘并更新村庄（203）范围，不得将非建设用地地类划入村庄（203）范围。部下发的村庄（203）范围内部，实地建设用地拆除的，除以下情况外应继续保留在村庄（203）范围内：一是各地根据城乡建设用地增减挂钩项目、土地综合整治项目备案信息，可将已验收的拆旧区图斑、土地综合整治图斑分别与村庄（203）中的非建设用地叠加，对重叠部分，相应扣除村庄范围；二是对于地方政府及有关部门为改善农村生产生活条件，实施各类整治项目实际形成村庄（203）范围内实地建设用地已不存在的，其中整个村庄图斑或位于村庄范围边缘、集中连片且未纳入村庄规划建设范围的，可以县级及以上人民政府相关部门项目验收文件为依据，由省级自然资源主管部门审核通过后，擦除村庄图斑或扣减村庄范围，省级审核情况形成专题报告随初报成果报部。</w:t>
      </w:r>
    </w:p>
    <w:p w14:paraId="251501B9">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新增城镇村及工矿用地均应标注20X属性。</w:t>
      </w:r>
    </w:p>
    <w:p w14:paraId="48DD213C">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3.权属界线上图和补充调查</w:t>
      </w:r>
    </w:p>
    <w:p w14:paraId="5985A804">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我市根据集体土地所有权日常登记工作掌握的权属变化情况，采用增量更新的方式，开展年度变更调查权属更新。对权属界线发生变化的，要将已按照集体土地所有权地籍调查确定的成果，及时纳入年度变更调查。已完成集体土地所有权确权登记工作的地区，要按照《关于加快完成集体土地所有权登记成果更新汇交的通知》（自然资发〔2022〕19号）、《关于持续深化集体土地所有权登记成果更新应用的通知》（自然资办发〔2024〕3号）等文件要求，保持年度变更调查的所有权权属边界与确权登记成果一致。</w:t>
      </w:r>
    </w:p>
    <w:p w14:paraId="4E60581D">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（四）地类前置检查</w:t>
      </w:r>
    </w:p>
    <w:p w14:paraId="6C17477B">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1.总体要求</w:t>
      </w:r>
    </w:p>
    <w:p w14:paraId="4972984F">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我市要根据部下发监测图斑和自主变更图斑，及时完成外业实地调查举证和地类认定工作，总体要求如下：</w:t>
      </w:r>
    </w:p>
    <w:p w14:paraId="710A1C17">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1）开展部下发监测图斑的外业调查举证和地类认定。我市要及时开展部下发图斑的外业调查举证和地类认定工作，并及时上报地区局和厅开展地类核查和整改工作。自治区自然资源厅及时将通过地类核查的图斑提交国家核查。</w:t>
      </w:r>
    </w:p>
    <w:p w14:paraId="72D2F36F">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同步开展自主变更图斑调查举证和地类认定。我市在开展部下发图斑调查举证和地类认定工作的同时，还要对国家提取的变化图斑外地方发现的各地类变化情况进行补充提取，并开展调查举证和地类认定工作。自主变更图斑的调查举证和地类认定工作，要确保在2024年2月8日前完成，不得影响自治区自然资源厅按时向部报送县级初报成果。</w:t>
      </w:r>
    </w:p>
    <w:p w14:paraId="5FA944BD">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3）全面响应部下发的涉及建设用地、耕地等重点地类变化图斑。对于部下发的涉及建设用地、耕地等重点地类变化图斑，应及时进行调查举证和地类认定。2024年2月8日前逾期未响应的，部将根据内业判读结果确定地类并反馈核查意见，地方须根据核查意见变更地类。</w:t>
      </w:r>
    </w:p>
    <w:p w14:paraId="3F635F65">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2.地类核查要求</w:t>
      </w:r>
    </w:p>
    <w:p w14:paraId="26A68FE9">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市自然资源局依托举证平台，结合部下发的遥感影像、实地调查举证成果、用地管理信息等，对接收的地类认定成果及时组织逐图斑地类核查工作，重点核查地类认定、耕地种植属性和恢复属性标注的准确性，以及举证照片的真实性和规范性。核查不通过的图斑，是自然资源局按照相关要求补充调查举证、修改完善并逐级上报复核，直至通过国家级复核。</w:t>
      </w:r>
    </w:p>
    <w:p w14:paraId="4BF07A69">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（五）2024年度国土调查数据库更新</w:t>
      </w:r>
    </w:p>
    <w:p w14:paraId="3B8CADB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须按照年度变更调查数据库更新统一标准要求、技术方法及质量要求等，基于逐级地类核查成果、日常变更图斑中无需举证的图斑，结合权属界线上图和补充调查等工作成果，采用增量更新的方式，开展2024年度国土调查数据库更新工作。</w:t>
      </w:r>
    </w:p>
    <w:p w14:paraId="43412D27">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1.数据库更新方法</w:t>
      </w:r>
    </w:p>
    <w:p w14:paraId="790EE008">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采用数据库变更软件，以部下发的上年度国土调查数据库为基础，将发生变化的信息逐条录入并更新生成上年度国土调查数据库与2024年12月31日标准时点之间的增量变化信息，输出相关变更统计报表。</w:t>
      </w:r>
    </w:p>
    <w:p w14:paraId="637F1B17">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严格按照通过日常变更图斑核实确认结果和年度变更调查地类核查成果，更新地类图斑的地类及种植属性信息。同时，结合相关调查成果更新图斑细化、耕地类型、城镇村标注等其他属性信息。在此基础上，结合权属界线上图和补充调查等工作成果，确定图斑边界范围，更新地类图斑图层，并基于城镇村庄内部土地利用现状变更调查结果，更新“城镇村等用地”图层。</w:t>
      </w:r>
    </w:p>
    <w:p w14:paraId="6C2760C5">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综合利用日常变更图斑核实确认结果、年度变更调查地类核查成果、年度全覆盖遥感监测成果等，全面更新“推（堆）土区”“光伏板区”“拆除未尽区”“工厂化种植”等单独图层。对实地现状地类发生变化的，须从相应的单独图层中删除。</w:t>
      </w:r>
    </w:p>
    <w:p w14:paraId="18C71CC6">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田坎系数原则上应与耕地图斑坡度级对应的田坎系数一致。①对因属性信息变化导致原耕地图斑分割的（因实施土地综合整治等项目除外），若分割后的图斑仍均为耕地的，相应分割后的图斑坡度及田坎系数继承原图斑坡度及田坎系数。②若原耕地图斑因部分地类发生变化或由于工程原因产生图斑分割或合并的，分割或合并后仍是耕地的部分，坡度级面积占比发生变化时，根据部检查合格的坡度图和报备的田坎系数同步调整耕地坡度与田坎系数。③对确因土地综合整治等项目引起的实际田坎系数与区域田坎系数不一致的，须提供日常变更等核查通过的田坎系数有关材料，经核实后更新相关信息。</w:t>
      </w:r>
    </w:p>
    <w:p w14:paraId="7285C784">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采用的数据库更新软件，必须满足部数据库更新技术相关要求，支持增量数据导出、耕地坡度级自动赋值、统计报表自动计算等功能。</w:t>
      </w:r>
    </w:p>
    <w:p w14:paraId="6AEDDD94">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年度更新数据包通过国家级最终质量检查与确认后，开展我市年度国土调查数据库更新工作。</w:t>
      </w:r>
    </w:p>
    <w:p w14:paraId="6E5BE400">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2.增量数据质量检查要求</w:t>
      </w:r>
    </w:p>
    <w:p w14:paraId="24E2F5F7">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部制定统一的数据库更新标准与质量检查规则，研发数据库质检软件并下发各地。我市应按照部统一技术要求，利用部下发的数据库质检软件，导入增量变化信息生成县级2024年度变更调查更新数据包（以下简称“更新数据包”），并开展更新数据包与2023年度国土调查数据库的校核与数据质检工作。更新数据包必须通过部下发的最新版数据库质检软件所有检查项的检查，确保数据成果无错误。</w:t>
      </w:r>
    </w:p>
    <w:p w14:paraId="704A2EAA">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（六）2024年度变更调查初报成果汇总分析</w:t>
      </w:r>
    </w:p>
    <w:p w14:paraId="7B754C10">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根据年度变更调查初报成果，市自然资源局及时开展各类用地变化情况等初步汇总分析，形成系列成果。</w:t>
      </w:r>
    </w:p>
    <w:p w14:paraId="7E9F4AAB">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（七）2024年度变更调查更新成果全面检查</w:t>
      </w:r>
    </w:p>
    <w:p w14:paraId="74394FDD">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严格执行分阶段和分级检查的检查制度，认真做好塔城市2024年度变更调查更新成果检查与核查。</w:t>
      </w:r>
    </w:p>
    <w:p w14:paraId="01902DE6">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1. 县级自查</w:t>
      </w:r>
    </w:p>
    <w:p w14:paraId="5B01B6EF">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组织对塔城市2024年度变更调查更新成果进行100%全面自检，确保成果的完整性、规范性、真实性和准确性；同时，利用全国统一的数据库质量检查软件检查统一时点增量数据的规范性。</w:t>
      </w:r>
    </w:p>
    <w:p w14:paraId="658EA7AE">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 配合自治区级、国家级核查</w:t>
      </w:r>
    </w:p>
    <w:p w14:paraId="6C2E6E71">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根据国家要求，塔城市人民政府对塔城市2024年度国土变更调查成果的真实性负责。自治区自然资源厅要对县级调查单元的2024年度变更调查成果进行全面检查，自然资源部组织对县级调查单元的2024年度变更调查成果开展国家级内业和“互联网+”在线核查。在核查阶段，市自然资源局组织人员配合自治区级、国家级核查，对自治区、国家反馈的疑似错误图斑，将实地核实修改或补充举证，并将整改成果上报自然资源部。</w:t>
      </w:r>
    </w:p>
    <w:p w14:paraId="5174E1F3">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（八）耕地资源分区分类评价年度更新</w:t>
      </w:r>
    </w:p>
    <w:p w14:paraId="136066BC">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依据年度变更调查初报成果，提取包含新增、二级地类发生变化耕地和新增可恢复农用地、恢复属性发生变化的地类图斑，收集年度验收的土地综合整治、高标准农田建设等项目的矢量范围，并按照耕地资源分区分类年度更新技术要求，开展实地调查，将调查信息上传至“国土调查云”平台的耕地资源分区分类模块。</w:t>
      </w:r>
    </w:p>
    <w:p w14:paraId="7C2D8385">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部依据年度国土调查数据库下发耕地和可恢复为耕地的地类图层，以及包含新增、二级地类发生变化耕地和新增可恢复农用地、恢复属性发生变化的地类图层，用于地方开展补充调查和图斑赋值。</w:t>
      </w:r>
    </w:p>
    <w:p w14:paraId="457A830F">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根据部下发图层，提取质量建设图斑形成质量建设图层，并补充调整实地调查信息；结合实地调查和上年度耕地资源质量分类结果，确定并填写部下发需要赋值图斑和质量建设图斑的分区分类属性信息，形成年度分区分类更新库并上交部。</w:t>
      </w:r>
    </w:p>
    <w:p w14:paraId="5A99E5ED">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部检查通过地方上交更新库后，统一生成包含所有耕地和可恢复农用地图斑的年度分区分类库，统计分析年度耕地和可恢复农用地分区分类数据，以及新增、减少、二级地类变化、质量建设耕地和新增、减少可恢复农用地、恢复属性发生变化地类、质量建设可恢复农用地分区分类数据。</w:t>
      </w:r>
    </w:p>
    <w:p w14:paraId="1CD09492">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三、主要成果</w:t>
      </w:r>
    </w:p>
    <w:p w14:paraId="583BD8E5">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主要成果包括国土调查数据库、统计汇总表格和年度国土利用变化情况分析报告。</w:t>
      </w:r>
    </w:p>
    <w:p w14:paraId="632512BA">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此外，要做好遥感监测图斑、外业调查举证资料、调查过程中的各类统计表、增量数据及其他有关证明、说明材料等调查工作中形成的各类过程性信息资料的收集整理。</w:t>
      </w:r>
    </w:p>
    <w:p w14:paraId="4C1EDF42">
      <w:pPr>
        <w:pStyle w:val="23"/>
        <w:spacing w:line="360" w:lineRule="auto"/>
        <w:ind w:left="0" w:leftChars="0" w:firstLine="0" w:firstLineChars="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四、进度安排</w:t>
      </w:r>
    </w:p>
    <w:p w14:paraId="7DFE760A">
      <w:pPr>
        <w:pStyle w:val="23"/>
        <w:keepNext w:val="0"/>
        <w:keepLines w:val="0"/>
        <w:pageBreakBefore w:val="0"/>
        <w:widowControl w:val="0"/>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2024年8月1日至9月30日，部组织开展前三季度日常变更结果汇集工作，及时分发地方开展年度变更调查，并开展耕地调查监测预警分析。</w:t>
      </w:r>
    </w:p>
    <w:p w14:paraId="4E578489">
      <w:pPr>
        <w:pStyle w:val="23"/>
        <w:keepNext w:val="0"/>
        <w:keepLines w:val="0"/>
        <w:pageBreakBefore w:val="0"/>
        <w:widowControl w:val="0"/>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8月1日至12月15日，部组织开展遥感监测，采集覆盖全国的卫星遥感影像，制作正射影像图，提取年度遥感监测图斑并陆续分发地方，同时向国家林业和草原局提供涉及林地、草地和湿地变化的遥感监测图斑。</w:t>
      </w:r>
    </w:p>
    <w:p w14:paraId="1FCCE12B">
      <w:pPr>
        <w:pStyle w:val="23"/>
        <w:keepNext w:val="0"/>
        <w:keepLines w:val="0"/>
        <w:pageBreakBefore w:val="0"/>
        <w:widowControl w:val="0"/>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2025年1月15日前，县级完成日常变更图斑核实确认和年度遥感监测图斑调查举证，逐级开展地类核查，在此基础上更新县级数据库并逐级上报全面检查。省级自然资源主管部门组织各地完成补充报备用地管理信息。</w:t>
      </w:r>
    </w:p>
    <w:p w14:paraId="615AAB4D">
      <w:pPr>
        <w:pStyle w:val="23"/>
        <w:keepNext w:val="0"/>
        <w:keepLines w:val="0"/>
        <w:pageBreakBefore w:val="0"/>
        <w:widowControl w:val="0"/>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2月15日前，省级自然资源主管部门组织完成省级全面检查和整改，向部报送县级年度变更调查初报成果。省级自然资源主管部门应加强与省级林草主管部门的沟通协调，按时完成涉及林草湿变化图斑的省级检查整改和确定。</w:t>
      </w:r>
    </w:p>
    <w:p w14:paraId="29790E0C">
      <w:pPr>
        <w:pStyle w:val="23"/>
        <w:keepNext w:val="0"/>
        <w:keepLines w:val="0"/>
        <w:pageBreakBefore w:val="0"/>
        <w:widowControl w:val="0"/>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5月15日前，部组织完成县级调查成果国家级内业核查，开展“互联网+”在线核查、外业抽查核实、数据库质量检查、数据库修改和更新入库及数据汇总分析等。同时，下发2024年度耕地资源分区分类评价更新涉及的相关图层。省级自然资源主管部门配合部组织县级调查单元完成相应整改和完善。</w:t>
      </w:r>
    </w:p>
    <w:p w14:paraId="4A0ECF75">
      <w:pPr>
        <w:pStyle w:val="23"/>
        <w:keepNext w:val="0"/>
        <w:keepLines w:val="0"/>
        <w:pageBreakBefore w:val="0"/>
        <w:widowControl w:val="0"/>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5月31日前，部组织完成国土调查最终数据库质检和更新入库及数据汇总分析，形成2024年度变更调查成果。</w:t>
      </w:r>
    </w:p>
    <w:p w14:paraId="654FF28F">
      <w:pPr>
        <w:pStyle w:val="23"/>
        <w:keepNext w:val="0"/>
        <w:keepLines w:val="0"/>
        <w:pageBreakBefore w:val="0"/>
        <w:widowControl w:val="0"/>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7月31日前，各省级自然资源部门组织完成本省耕地资源分区分类评价和成果检查，并上报部。</w:t>
      </w:r>
    </w:p>
    <w:p w14:paraId="7B89F091">
      <w:pPr>
        <w:pStyle w:val="23"/>
        <w:keepNext w:val="0"/>
        <w:keepLines w:val="0"/>
        <w:pageBreakBefore w:val="0"/>
        <w:widowControl w:val="0"/>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8月31日前，部组织完成耕地资源分区分类评价年度更新成果检查、入库及数据汇总分析。</w:t>
      </w:r>
    </w:p>
    <w:p w14:paraId="5AC2D9A1">
      <w:pPr>
        <w:pStyle w:val="23"/>
        <w:keepNext w:val="0"/>
        <w:keepLines w:val="0"/>
        <w:pageBreakBefore w:val="0"/>
        <w:widowControl w:val="0"/>
        <w:kinsoku/>
        <w:wordWrap/>
        <w:overflowPunct/>
        <w:topLinePunct w:val="0"/>
        <w:autoSpaceDE/>
        <w:autoSpaceDN/>
        <w:bidi w:val="0"/>
        <w:adjustRightInd/>
        <w:snapToGrid/>
        <w:spacing w:line="360" w:lineRule="auto"/>
        <w:ind w:left="0" w:leftChars="0" w:firstLine="448" w:firstLineChars="200"/>
        <w:textAlignment w:val="auto"/>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2025年日常变更根据实际情况适时开展。</w:t>
      </w:r>
    </w:p>
    <w:p w14:paraId="0770AB48">
      <w:pPr>
        <w:pStyle w:val="23"/>
        <w:spacing w:line="360" w:lineRule="auto"/>
        <w:ind w:left="0" w:leftChars="0" w:firstLine="0" w:firstLineChars="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五、实施保障</w:t>
      </w:r>
    </w:p>
    <w:p w14:paraId="3751A513">
      <w:pPr>
        <w:pStyle w:val="23"/>
        <w:spacing w:line="360" w:lineRule="auto"/>
        <w:ind w:left="0" w:leftChars="0" w:firstLine="448" w:firstLineChars="20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塔城市2024年度国土变更调查工作应按照“政府统一领导、部门分工协作、各方共同参与”的形式组织实施，按照“统一制作底图、内业判读地类，地方实地调查、地类在线举证，国家核查验收、统一分发成果”的流程推进。</w:t>
      </w:r>
    </w:p>
    <w:p w14:paraId="306BAE3A">
      <w:pPr>
        <w:pStyle w:val="23"/>
        <w:spacing w:line="360" w:lineRule="auto"/>
        <w:ind w:left="0" w:leftChars="0" w:firstLine="0" w:firstLineChars="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（一）组织保障</w:t>
      </w:r>
    </w:p>
    <w:p w14:paraId="41B3978A">
      <w:pPr>
        <w:pStyle w:val="23"/>
        <w:spacing w:line="360" w:lineRule="auto"/>
        <w:ind w:left="0" w:leftChars="0" w:firstLine="448" w:firstLineChars="20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市自然资源局负责塔城市2024年度变更调查工作的组织实施、县级自查及数据上报、工作报告起草等具体业务和日常管理事务。具体包括制定实施方案和细则、开展宣传工作、开展各级培训、确定承担单位、核实调查底图和行政界线、组织具体调查工作、组织检查与指导工作、组织预检验收和核查、开展调查数据库和管理系统建设、成果汇总等。</w:t>
      </w:r>
    </w:p>
    <w:p w14:paraId="411DC52F">
      <w:pPr>
        <w:pStyle w:val="23"/>
        <w:spacing w:line="360" w:lineRule="auto"/>
        <w:ind w:left="0" w:leftChars="0" w:firstLine="448" w:firstLineChars="20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具体调查工作，应按照政府采购法相关规定，由专业技术队伍承担。</w:t>
      </w:r>
    </w:p>
    <w:p w14:paraId="12F85719">
      <w:pPr>
        <w:pStyle w:val="23"/>
        <w:spacing w:line="360" w:lineRule="auto"/>
        <w:ind w:left="0" w:leftChars="0" w:firstLine="0" w:firstLineChars="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（二）技术保障</w:t>
      </w:r>
    </w:p>
    <w:p w14:paraId="5F21A490">
      <w:pPr>
        <w:pStyle w:val="23"/>
        <w:spacing w:line="360" w:lineRule="auto"/>
        <w:ind w:left="0" w:leftChars="0" w:firstLine="0" w:firstLineChars="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1.统一技术标准规范</w:t>
      </w:r>
    </w:p>
    <w:p w14:paraId="0B29CAC8">
      <w:pPr>
        <w:pStyle w:val="23"/>
        <w:spacing w:line="360" w:lineRule="auto"/>
        <w:ind w:left="0" w:leftChars="0" w:firstLine="448" w:firstLineChars="20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 xml:space="preserve">自然资源部组织编写2024年度变更调查实施方案和相关技术规程、规定等。自治区自然资源厅根据国家统一的规定、方案，并结合自治区情况，制定相应的细则。市自然资源局依据国家、自治区制定的调查规范、标准和细则，制定调查的具体方案。 </w:t>
      </w:r>
    </w:p>
    <w:p w14:paraId="5E6E7CE4">
      <w:pPr>
        <w:pStyle w:val="23"/>
        <w:spacing w:line="360" w:lineRule="auto"/>
        <w:ind w:left="0" w:leftChars="0" w:firstLine="0" w:firstLineChars="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2.采用高新技术和先进设备</w:t>
      </w:r>
    </w:p>
    <w:p w14:paraId="1EF8E411">
      <w:pPr>
        <w:pStyle w:val="23"/>
        <w:spacing w:line="360" w:lineRule="auto"/>
        <w:ind w:left="0" w:leftChars="0" w:firstLine="448" w:firstLineChars="20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在执行统一标准和规范的同时，充分利用现有设备，进一步充实、完善国土调查工作的软、硬件环境。充分应用成熟、实用的现代高新技术手段，以遥感、地理信息系统、全球定位系统、互联网+和网络技术为核心，全面提升调查的科技含量。</w:t>
      </w:r>
    </w:p>
    <w:p w14:paraId="664745BE">
      <w:pPr>
        <w:pStyle w:val="23"/>
        <w:spacing w:line="360" w:lineRule="auto"/>
        <w:ind w:left="0" w:leftChars="0" w:firstLine="0" w:firstLineChars="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（三）机制保障</w:t>
      </w:r>
    </w:p>
    <w:p w14:paraId="34B0C63A">
      <w:pPr>
        <w:pStyle w:val="23"/>
        <w:spacing w:line="360" w:lineRule="auto"/>
        <w:ind w:left="0" w:leftChars="0" w:firstLine="0" w:firstLineChars="0"/>
        <w:rPr>
          <w:rFonts w:hint="eastAsia" w:ascii="宋体" w:hAnsi="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1.建立自查机制</w:t>
      </w:r>
    </w:p>
    <w:p w14:paraId="7A3AF95E">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highlight w:val="none"/>
          <w:lang w:val="en-US" w:eastAsia="zh-CN"/>
        </w:rPr>
        <w:t>要切实采取相应措施，严格自查机制，确保变更调查</w:t>
      </w:r>
      <w:r>
        <w:rPr>
          <w:rFonts w:hint="eastAsia" w:ascii="宋体" w:hAnsi="宋体" w:cs="宋体"/>
          <w:color w:val="auto"/>
          <w:spacing w:val="-8"/>
          <w:sz w:val="24"/>
          <w:szCs w:val="24"/>
          <w:lang w:val="en-US" w:eastAsia="zh-CN"/>
        </w:rPr>
        <w:t>的数据、图件与实地三者一致。采用分阶段成果检查制度，每一阶段成果需经检查合格后方可转入下一阶段,避免将错误带入下阶段工作。国土调查办公室应及时组织对调查成果进行全面自检，以确保成果的完整性、规范性、真实性和准确性，根据自检结果组织全面整改，编写自检及整改报告，报市领导小组审定后再报地区和自治区复检。</w:t>
      </w:r>
    </w:p>
    <w:p w14:paraId="2D2C4544">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2.建立质量保障目标责任制</w:t>
      </w:r>
    </w:p>
    <w:p w14:paraId="772EDA3A">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本次调查对数据真实性实行分级目标责任制，每个调查区设立第一责任人，将数据真实性与干部考核挂钩。对虚报、瞒报土地调查数据的，按照《中华人民共和国土地管理法》和《中华人民共和国统计法》有关规定，追究相关当事人法律责任，并对相关领导追究相应的行政责任。为保证调查成果客观、真实和准确，避免主观人为干扰和弄虚作假，所有调查成果应全部存档，确保全过程可溯源检查。</w:t>
      </w:r>
    </w:p>
    <w:p w14:paraId="5FCFCB73">
      <w:pPr>
        <w:pStyle w:val="23"/>
        <w:spacing w:line="360" w:lineRule="auto"/>
        <w:ind w:left="0" w:leftChars="0" w:firstLine="0" w:firstLineChars="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3.涉密数据保密要求</w:t>
      </w:r>
    </w:p>
    <w:p w14:paraId="1475A9F0">
      <w:pPr>
        <w:pStyle w:val="23"/>
        <w:spacing w:line="360" w:lineRule="auto"/>
        <w:ind w:left="0" w:leftChars="0" w:firstLine="448" w:firstLineChars="200"/>
        <w:rPr>
          <w:rFonts w:hint="eastAsia" w:ascii="宋体" w:hAnsi="宋体" w:cs="宋体"/>
          <w:color w:val="auto"/>
          <w:spacing w:val="-8"/>
          <w:sz w:val="24"/>
          <w:szCs w:val="24"/>
          <w:lang w:val="en-US" w:eastAsia="zh-CN"/>
        </w:rPr>
      </w:pPr>
      <w:r>
        <w:rPr>
          <w:rFonts w:hint="eastAsia" w:ascii="宋体" w:hAnsi="宋体" w:cs="宋体"/>
          <w:color w:val="auto"/>
          <w:spacing w:val="-8"/>
          <w:sz w:val="24"/>
          <w:szCs w:val="24"/>
          <w:lang w:val="en-US" w:eastAsia="zh-CN"/>
        </w:rPr>
        <w:t>本次调查过程中涉及的数据、材料及取得的成果等均应按照国家要求的保密级别进行管理和使用。参与调查的单位和个人，对调查工作中使用或者获得的属于国家秘密的文件资料、信息数据，必须严格执行国家有关保密法律法规，确保不发生泄密。本次调查和确权成果，将按照国家要求统一发布，任何单位和个人不得擅自公布调查和确权成果。在国家未发布相关规定前，相关成果不向社会公开。</w:t>
      </w:r>
    </w:p>
    <w:p w14:paraId="1B3C2161">
      <w:pPr>
        <w:numPr>
          <w:ilvl w:val="0"/>
          <w:numId w:val="0"/>
        </w:numPr>
        <w:kinsoku/>
        <w:spacing w:before="10" w:after="156" w:afterLines="50" w:line="360" w:lineRule="auto"/>
        <w:outlineLvl w:val="1"/>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kern w:val="2"/>
          <w:sz w:val="24"/>
          <w:szCs w:val="24"/>
          <w:highlight w:val="none"/>
          <w:lang w:val="en-US" w:eastAsia="zh-CN" w:bidi="ar-SA"/>
        </w:rPr>
        <w:t>六、对供应商的服务要求</w:t>
      </w:r>
    </w:p>
    <w:p w14:paraId="0BD23662">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1.供应商应为完成本项目提供充足的工作保障力量，以保障项目能顺利实施并能按照采购人的要求在规定时间内保质保量完成项目所有工作内容。</w:t>
      </w:r>
    </w:p>
    <w:p w14:paraId="16B0D621">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2.供应商应按照相关法律法规及有关规定完成测绘工作，测绘成果须符合国家及地方现行相关技术标准、规范要求。</w:t>
      </w:r>
    </w:p>
    <w:p w14:paraId="0E76692C">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3.验收标准：按照</w:t>
      </w:r>
      <w:r>
        <w:rPr>
          <w:rFonts w:hint="eastAsia" w:ascii="宋体" w:hAnsi="宋体" w:cs="宋体"/>
          <w:color w:val="auto"/>
          <w:sz w:val="24"/>
          <w:highlight w:val="none"/>
          <w:lang w:val="en-US" w:eastAsia="zh-CN"/>
        </w:rPr>
        <w:t>磋商文件</w:t>
      </w:r>
      <w:r>
        <w:rPr>
          <w:rFonts w:hint="eastAsia" w:ascii="宋体" w:hAnsi="宋体" w:eastAsia="宋体" w:cs="宋体"/>
          <w:color w:val="auto"/>
          <w:sz w:val="24"/>
          <w:highlight w:val="none"/>
          <w:lang w:val="en-US" w:eastAsia="zh-CN"/>
        </w:rPr>
        <w:t>及地籍图编制技术技术规范直至通过自治区或国家审核验收。</w:t>
      </w:r>
    </w:p>
    <w:p w14:paraId="2FA12B89">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 在项目实施过程中，提供完整的质量服务保障，随时按照国家、 自治区反馈意见进行整改，确保成果达到国家级数据库质量检查验收标准。</w:t>
      </w:r>
    </w:p>
    <w:p w14:paraId="5B574D9D">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安全责任：供应商须按有关规定采取严格的项目实施安全措施，承担由于自身安全措施不力造成的事故责任和因此发生的费用及后果。中标人投入本项目工作人员的人身安全由中标人负责。中标人应为本项目工作人员购买人身意外伤害险及与项目实施有关的一切保险。凡在项目实施过程中发生安全责任事故或其他责任事故，均由中标人承担全部民事和刑事责任，采购人概不负责。如因项目质量问题及更换不及时造成的人身伤害成交供应商应依法承担全部责任。</w:t>
      </w:r>
    </w:p>
    <w:p w14:paraId="09D48F8A">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6.保密要求: 须严格遵守国家测绘、保密等法律法规，严防泄密事件发生，所有数据成果不得用于其他用途，对违反相关法律法规的单位、人员，一经查出，严惩不贷。</w:t>
      </w:r>
    </w:p>
    <w:p w14:paraId="05036DFB">
      <w:pPr>
        <w:pStyle w:val="23"/>
        <w:spacing w:line="360" w:lineRule="auto"/>
        <w:ind w:left="0" w:leftChars="0" w:firstLine="0" w:firstLineChars="0"/>
        <w:rPr>
          <w:rFonts w:hint="eastAsia" w:ascii="宋体" w:hAnsi="宋体" w:eastAsia="宋体" w:cs="宋体"/>
          <w:color w:val="auto"/>
          <w:spacing w:val="-8"/>
          <w:sz w:val="24"/>
          <w:szCs w:val="24"/>
          <w:highlight w:val="none"/>
          <w:lang w:val="en-US" w:eastAsia="zh-CN"/>
        </w:rPr>
      </w:pPr>
      <w:r>
        <w:rPr>
          <w:rFonts w:hint="eastAsia" w:ascii="宋体" w:hAnsi="宋体" w:cs="宋体"/>
          <w:color w:val="auto"/>
          <w:spacing w:val="-8"/>
          <w:sz w:val="24"/>
          <w:szCs w:val="24"/>
          <w:highlight w:val="none"/>
          <w:lang w:val="en-US" w:eastAsia="zh-CN"/>
        </w:rPr>
        <w:t>七、</w:t>
      </w:r>
      <w:r>
        <w:rPr>
          <w:rFonts w:hint="eastAsia" w:ascii="宋体" w:hAnsi="宋体" w:eastAsia="宋体" w:cs="宋体"/>
          <w:color w:val="auto"/>
          <w:spacing w:val="-8"/>
          <w:sz w:val="24"/>
          <w:szCs w:val="24"/>
          <w:highlight w:val="none"/>
          <w:lang w:val="en-US" w:eastAsia="zh-CN"/>
        </w:rPr>
        <w:t>付款方式</w:t>
      </w:r>
    </w:p>
    <w:p w14:paraId="5A5BAA1D">
      <w:pPr>
        <w:pStyle w:val="23"/>
        <w:spacing w:line="360" w:lineRule="auto"/>
        <w:ind w:left="0" w:leftChars="0" w:firstLine="448" w:firstLineChars="200"/>
        <w:rPr>
          <w:rFonts w:hint="eastAsia" w:ascii="宋体" w:hAnsi="宋体" w:eastAsia="宋体" w:cs="宋体"/>
          <w:color w:val="auto"/>
          <w:spacing w:val="-8"/>
          <w:sz w:val="24"/>
          <w:szCs w:val="24"/>
          <w:highlight w:val="none"/>
          <w:lang w:val="en-US" w:eastAsia="zh-CN"/>
        </w:rPr>
      </w:pPr>
      <w:r>
        <w:rPr>
          <w:rFonts w:hint="eastAsia" w:ascii="宋体" w:hAnsi="宋体" w:eastAsia="宋体" w:cs="宋体"/>
          <w:color w:val="auto"/>
          <w:spacing w:val="-8"/>
          <w:sz w:val="24"/>
          <w:szCs w:val="24"/>
          <w:highlight w:val="none"/>
          <w:lang w:val="en-US" w:eastAsia="zh-CN"/>
        </w:rPr>
        <w:t>第一期付款：</w:t>
      </w:r>
      <w:r>
        <w:rPr>
          <w:rFonts w:hint="eastAsia" w:ascii="宋体" w:hAnsi="宋体" w:eastAsia="宋体" w:cs="宋体"/>
          <w:color w:val="auto"/>
          <w:kern w:val="2"/>
          <w:sz w:val="24"/>
          <w:szCs w:val="22"/>
          <w:highlight w:val="none"/>
          <w:lang w:val="en-US" w:eastAsia="zh-CN" w:bidi="ar-SA"/>
        </w:rPr>
        <w:t>乙方汇交初始数据库后并通过自治区核查组核查后，甲方向乙方支付工程款的50％,金额</w:t>
      </w:r>
      <w:r>
        <w:rPr>
          <w:rFonts w:hint="eastAsia" w:ascii="宋体" w:hAnsi="宋体" w:cs="宋体"/>
          <w:color w:val="auto"/>
          <w:kern w:val="2"/>
          <w:sz w:val="24"/>
          <w:szCs w:val="22"/>
          <w:highlight w:val="none"/>
          <w:u w:val="single"/>
          <w:lang w:val="en-US" w:eastAsia="zh-CN" w:bidi="ar-SA"/>
        </w:rPr>
        <w:t>550000</w:t>
      </w:r>
      <w:r>
        <w:rPr>
          <w:rFonts w:hint="eastAsia" w:ascii="宋体" w:hAnsi="宋体" w:eastAsia="宋体" w:cs="宋体"/>
          <w:color w:val="auto"/>
          <w:kern w:val="2"/>
          <w:sz w:val="24"/>
          <w:szCs w:val="22"/>
          <w:highlight w:val="none"/>
          <w:u w:val="single"/>
          <w:lang w:val="en-US" w:eastAsia="zh-CN" w:bidi="ar-SA"/>
        </w:rPr>
        <w:t>.00元</w:t>
      </w:r>
      <w:r>
        <w:rPr>
          <w:rFonts w:hint="eastAsia" w:ascii="宋体" w:hAnsi="宋体" w:eastAsia="宋体" w:cs="宋体"/>
          <w:color w:val="auto"/>
          <w:kern w:val="2"/>
          <w:sz w:val="24"/>
          <w:szCs w:val="22"/>
          <w:highlight w:val="none"/>
          <w:lang w:val="en-US" w:eastAsia="zh-CN" w:bidi="ar-SA"/>
        </w:rPr>
        <w:t>（大写：</w:t>
      </w:r>
      <w:r>
        <w:rPr>
          <w:rFonts w:hint="eastAsia" w:ascii="宋体" w:hAnsi="宋体" w:cs="宋体"/>
          <w:color w:val="auto"/>
          <w:kern w:val="2"/>
          <w:sz w:val="24"/>
          <w:szCs w:val="22"/>
          <w:highlight w:val="none"/>
          <w:u w:val="single"/>
          <w:lang w:val="en-US" w:eastAsia="zh-CN" w:bidi="ar-SA"/>
        </w:rPr>
        <w:t>伍</w:t>
      </w:r>
      <w:r>
        <w:rPr>
          <w:rFonts w:hint="eastAsia" w:ascii="宋体" w:hAnsi="宋体" w:eastAsia="宋体" w:cs="宋体"/>
          <w:color w:val="auto"/>
          <w:kern w:val="2"/>
          <w:sz w:val="24"/>
          <w:szCs w:val="22"/>
          <w:highlight w:val="none"/>
          <w:u w:val="single"/>
          <w:lang w:val="en-US" w:eastAsia="zh-CN" w:bidi="ar-SA"/>
        </w:rPr>
        <w:t>拾</w:t>
      </w:r>
      <w:r>
        <w:rPr>
          <w:rFonts w:hint="eastAsia" w:ascii="宋体" w:hAnsi="宋体" w:cs="宋体"/>
          <w:color w:val="auto"/>
          <w:kern w:val="2"/>
          <w:sz w:val="24"/>
          <w:szCs w:val="22"/>
          <w:highlight w:val="none"/>
          <w:u w:val="single"/>
          <w:lang w:val="en-US" w:eastAsia="zh-CN" w:bidi="ar-SA"/>
        </w:rPr>
        <w:t>伍</w:t>
      </w:r>
      <w:r>
        <w:rPr>
          <w:rFonts w:hint="eastAsia" w:ascii="宋体" w:hAnsi="宋体" w:eastAsia="宋体" w:cs="宋体"/>
          <w:color w:val="auto"/>
          <w:kern w:val="2"/>
          <w:sz w:val="24"/>
          <w:szCs w:val="22"/>
          <w:highlight w:val="none"/>
          <w:u w:val="single"/>
          <w:lang w:val="en-US" w:eastAsia="zh-CN" w:bidi="ar-SA"/>
        </w:rPr>
        <w:t>万元整</w:t>
      </w:r>
      <w:r>
        <w:rPr>
          <w:rFonts w:hint="eastAsia" w:ascii="宋体" w:hAnsi="宋体" w:eastAsia="宋体" w:cs="宋体"/>
          <w:color w:val="auto"/>
          <w:kern w:val="2"/>
          <w:sz w:val="24"/>
          <w:szCs w:val="22"/>
          <w:highlight w:val="none"/>
          <w:lang w:val="en-US" w:eastAsia="zh-CN" w:bidi="ar-SA"/>
        </w:rPr>
        <w:t>）。</w:t>
      </w:r>
    </w:p>
    <w:p w14:paraId="729536DF">
      <w:pPr>
        <w:pStyle w:val="23"/>
        <w:spacing w:line="360" w:lineRule="auto"/>
        <w:ind w:left="0" w:leftChars="0" w:firstLine="448" w:firstLineChars="200"/>
        <w:rPr>
          <w:rFonts w:hint="eastAsia" w:ascii="宋体" w:hAnsi="宋体" w:eastAsia="宋体" w:cs="宋体"/>
          <w:color w:val="auto"/>
          <w:spacing w:val="-8"/>
          <w:sz w:val="24"/>
          <w:szCs w:val="24"/>
          <w:highlight w:val="none"/>
          <w:lang w:val="en-US" w:eastAsia="zh-CN"/>
        </w:rPr>
      </w:pPr>
      <w:r>
        <w:rPr>
          <w:rFonts w:hint="eastAsia" w:ascii="宋体" w:hAnsi="宋体" w:eastAsia="宋体" w:cs="宋体"/>
          <w:color w:val="auto"/>
          <w:spacing w:val="-8"/>
          <w:sz w:val="24"/>
          <w:szCs w:val="24"/>
          <w:highlight w:val="none"/>
          <w:lang w:val="en-US" w:eastAsia="zh-CN"/>
        </w:rPr>
        <w:t>第二期付款：</w:t>
      </w:r>
      <w:r>
        <w:rPr>
          <w:rFonts w:hint="eastAsia" w:ascii="宋体" w:hAnsi="宋体" w:cs="宋体"/>
          <w:color w:val="auto"/>
          <w:spacing w:val="-8"/>
          <w:sz w:val="24"/>
          <w:szCs w:val="24"/>
          <w:highlight w:val="none"/>
          <w:lang w:val="en-US" w:eastAsia="zh-CN"/>
        </w:rPr>
        <w:t>乙</w:t>
      </w:r>
      <w:r>
        <w:rPr>
          <w:rFonts w:hint="eastAsia" w:ascii="宋体" w:hAnsi="宋体" w:eastAsia="宋体" w:cs="宋体"/>
          <w:color w:val="auto"/>
          <w:kern w:val="2"/>
          <w:sz w:val="24"/>
          <w:szCs w:val="22"/>
          <w:highlight w:val="none"/>
          <w:lang w:val="en-US" w:eastAsia="zh-CN" w:bidi="ar-SA"/>
        </w:rPr>
        <w:t>方向自然资源部汇交数据，并通过部核查组核查后，甲方向乙方支付工程款的40%,金额</w:t>
      </w:r>
      <w:r>
        <w:rPr>
          <w:rFonts w:hint="eastAsia" w:ascii="宋体" w:hAnsi="宋体" w:cs="宋体"/>
          <w:color w:val="auto"/>
          <w:kern w:val="2"/>
          <w:sz w:val="24"/>
          <w:szCs w:val="22"/>
          <w:highlight w:val="none"/>
          <w:u w:val="single"/>
          <w:lang w:val="en-US" w:eastAsia="zh-CN" w:bidi="ar-SA"/>
        </w:rPr>
        <w:t>44</w:t>
      </w:r>
      <w:r>
        <w:rPr>
          <w:rFonts w:hint="eastAsia" w:ascii="宋体" w:hAnsi="宋体" w:eastAsia="宋体" w:cs="宋体"/>
          <w:color w:val="auto"/>
          <w:kern w:val="2"/>
          <w:sz w:val="24"/>
          <w:szCs w:val="22"/>
          <w:highlight w:val="none"/>
          <w:u w:val="single"/>
          <w:lang w:val="en-US" w:eastAsia="zh-CN" w:bidi="ar-SA"/>
        </w:rPr>
        <w:t>0000.00元</w:t>
      </w:r>
      <w:r>
        <w:rPr>
          <w:rFonts w:hint="eastAsia" w:ascii="宋体" w:hAnsi="宋体" w:eastAsia="宋体" w:cs="宋体"/>
          <w:color w:val="auto"/>
          <w:kern w:val="2"/>
          <w:sz w:val="24"/>
          <w:szCs w:val="22"/>
          <w:highlight w:val="none"/>
          <w:lang w:val="en-US" w:eastAsia="zh-CN" w:bidi="ar-SA"/>
        </w:rPr>
        <w:t>（大写：</w:t>
      </w:r>
      <w:r>
        <w:rPr>
          <w:rFonts w:hint="eastAsia" w:ascii="宋体" w:hAnsi="宋体" w:cs="宋体"/>
          <w:color w:val="auto"/>
          <w:kern w:val="2"/>
          <w:sz w:val="24"/>
          <w:szCs w:val="22"/>
          <w:highlight w:val="none"/>
          <w:u w:val="single"/>
          <w:lang w:val="en-US" w:eastAsia="zh-CN" w:bidi="ar-SA"/>
        </w:rPr>
        <w:t>肆</w:t>
      </w:r>
      <w:r>
        <w:rPr>
          <w:rFonts w:hint="eastAsia" w:ascii="宋体" w:hAnsi="宋体" w:eastAsia="宋体" w:cs="宋体"/>
          <w:color w:val="auto"/>
          <w:kern w:val="2"/>
          <w:sz w:val="24"/>
          <w:szCs w:val="22"/>
          <w:highlight w:val="none"/>
          <w:u w:val="single"/>
          <w:lang w:val="en-US" w:eastAsia="zh-CN" w:bidi="ar-SA"/>
        </w:rPr>
        <w:t>拾</w:t>
      </w:r>
      <w:r>
        <w:rPr>
          <w:rFonts w:hint="eastAsia" w:ascii="宋体" w:hAnsi="宋体" w:cs="宋体"/>
          <w:color w:val="auto"/>
          <w:kern w:val="2"/>
          <w:sz w:val="24"/>
          <w:szCs w:val="22"/>
          <w:highlight w:val="none"/>
          <w:u w:val="single"/>
          <w:lang w:val="en-US" w:eastAsia="zh-CN" w:bidi="ar-SA"/>
        </w:rPr>
        <w:t>肆</w:t>
      </w:r>
      <w:r>
        <w:rPr>
          <w:rFonts w:hint="eastAsia" w:ascii="宋体" w:hAnsi="宋体" w:eastAsia="宋体" w:cs="宋体"/>
          <w:color w:val="auto"/>
          <w:kern w:val="2"/>
          <w:sz w:val="24"/>
          <w:szCs w:val="22"/>
          <w:highlight w:val="none"/>
          <w:u w:val="single"/>
          <w:lang w:val="en-US" w:eastAsia="zh-CN" w:bidi="ar-SA"/>
        </w:rPr>
        <w:t>万元整</w:t>
      </w:r>
      <w:r>
        <w:rPr>
          <w:rFonts w:hint="eastAsia" w:ascii="宋体" w:hAnsi="宋体" w:eastAsia="宋体" w:cs="宋体"/>
          <w:color w:val="auto"/>
          <w:kern w:val="2"/>
          <w:sz w:val="24"/>
          <w:szCs w:val="22"/>
          <w:highlight w:val="none"/>
          <w:lang w:val="en-US" w:eastAsia="zh-CN" w:bidi="ar-SA"/>
        </w:rPr>
        <w:t>）</w:t>
      </w:r>
    </w:p>
    <w:p w14:paraId="5235F4DE">
      <w:pPr>
        <w:pStyle w:val="23"/>
        <w:spacing w:line="360" w:lineRule="auto"/>
        <w:ind w:left="0" w:leftChars="0" w:firstLine="448" w:firstLineChars="200"/>
        <w:rPr>
          <w:rFonts w:hint="eastAsia" w:ascii="宋体" w:hAnsi="宋体" w:eastAsia="宋体" w:cs="宋体"/>
          <w:color w:val="auto"/>
          <w:kern w:val="2"/>
          <w:sz w:val="24"/>
          <w:szCs w:val="22"/>
          <w:highlight w:val="none"/>
          <w:lang w:val="en-US" w:eastAsia="zh-CN" w:bidi="ar-SA"/>
        </w:rPr>
      </w:pPr>
      <w:r>
        <w:rPr>
          <w:rFonts w:hint="eastAsia" w:ascii="宋体" w:hAnsi="宋体" w:eastAsia="宋体" w:cs="宋体"/>
          <w:color w:val="auto"/>
          <w:spacing w:val="-8"/>
          <w:sz w:val="24"/>
          <w:szCs w:val="24"/>
          <w:highlight w:val="none"/>
          <w:lang w:val="en-US" w:eastAsia="zh-CN"/>
        </w:rPr>
        <w:t>第三期付款：</w:t>
      </w:r>
      <w:r>
        <w:rPr>
          <w:rFonts w:hint="eastAsia" w:ascii="宋体" w:hAnsi="宋体" w:eastAsia="宋体" w:cs="宋体"/>
          <w:color w:val="auto"/>
          <w:kern w:val="2"/>
          <w:sz w:val="24"/>
          <w:szCs w:val="22"/>
          <w:highlight w:val="none"/>
          <w:lang w:val="en-US" w:eastAsia="zh-CN" w:bidi="ar-SA"/>
        </w:rPr>
        <w:t>通过国家核查后的最终成果，向</w:t>
      </w:r>
      <w:r>
        <w:rPr>
          <w:rFonts w:hint="eastAsia" w:ascii="宋体" w:hAnsi="宋体" w:cs="宋体"/>
          <w:color w:val="auto"/>
          <w:kern w:val="2"/>
          <w:sz w:val="24"/>
          <w:szCs w:val="22"/>
          <w:highlight w:val="none"/>
          <w:lang w:val="en-US" w:eastAsia="zh-CN" w:bidi="ar-SA"/>
        </w:rPr>
        <w:t>甲方</w:t>
      </w:r>
      <w:r>
        <w:rPr>
          <w:rFonts w:hint="eastAsia" w:ascii="宋体" w:hAnsi="宋体" w:eastAsia="宋体" w:cs="宋体"/>
          <w:color w:val="auto"/>
          <w:kern w:val="2"/>
          <w:sz w:val="24"/>
          <w:szCs w:val="22"/>
          <w:highlight w:val="none"/>
          <w:lang w:val="en-US" w:eastAsia="zh-CN" w:bidi="ar-SA"/>
        </w:rPr>
        <w:t>移交后，支付</w:t>
      </w:r>
      <w:r>
        <w:rPr>
          <w:rFonts w:hint="eastAsia" w:ascii="宋体" w:hAnsi="宋体" w:cs="宋体"/>
          <w:color w:val="auto"/>
          <w:kern w:val="2"/>
          <w:sz w:val="24"/>
          <w:szCs w:val="22"/>
          <w:highlight w:val="none"/>
          <w:lang w:val="en-US" w:eastAsia="zh-CN" w:bidi="ar-SA"/>
        </w:rPr>
        <w:t>乙方</w:t>
      </w:r>
      <w:r>
        <w:rPr>
          <w:rFonts w:hint="eastAsia" w:ascii="宋体" w:hAnsi="宋体" w:eastAsia="宋体" w:cs="宋体"/>
          <w:color w:val="auto"/>
          <w:kern w:val="2"/>
          <w:sz w:val="24"/>
          <w:szCs w:val="22"/>
          <w:highlight w:val="none"/>
          <w:lang w:val="en-US" w:eastAsia="zh-CN" w:bidi="ar-SA"/>
        </w:rPr>
        <w:t>工程款的10%，金额</w:t>
      </w:r>
      <w:r>
        <w:rPr>
          <w:rFonts w:hint="eastAsia" w:ascii="宋体" w:hAnsi="宋体" w:cs="宋体"/>
          <w:color w:val="auto"/>
          <w:kern w:val="2"/>
          <w:sz w:val="24"/>
          <w:szCs w:val="22"/>
          <w:highlight w:val="none"/>
          <w:u w:val="single"/>
          <w:lang w:val="en-US" w:eastAsia="zh-CN" w:bidi="ar-SA"/>
        </w:rPr>
        <w:t>1100</w:t>
      </w:r>
      <w:r>
        <w:rPr>
          <w:rFonts w:hint="eastAsia" w:ascii="宋体" w:hAnsi="宋体" w:eastAsia="宋体" w:cs="宋体"/>
          <w:color w:val="auto"/>
          <w:kern w:val="2"/>
          <w:sz w:val="24"/>
          <w:szCs w:val="22"/>
          <w:highlight w:val="none"/>
          <w:u w:val="single"/>
          <w:lang w:val="en-US" w:eastAsia="zh-CN" w:bidi="ar-SA"/>
        </w:rPr>
        <w:t>00.00元</w:t>
      </w:r>
      <w:r>
        <w:rPr>
          <w:rFonts w:hint="eastAsia" w:ascii="宋体" w:hAnsi="宋体" w:eastAsia="宋体" w:cs="宋体"/>
          <w:color w:val="auto"/>
          <w:kern w:val="2"/>
          <w:sz w:val="24"/>
          <w:szCs w:val="22"/>
          <w:highlight w:val="none"/>
          <w:lang w:val="en-US" w:eastAsia="zh-CN" w:bidi="ar-SA"/>
        </w:rPr>
        <w:t>（大写：</w:t>
      </w:r>
      <w:r>
        <w:rPr>
          <w:rFonts w:hint="eastAsia" w:ascii="宋体" w:hAnsi="宋体" w:cs="宋体"/>
          <w:color w:val="auto"/>
          <w:kern w:val="2"/>
          <w:sz w:val="24"/>
          <w:szCs w:val="22"/>
          <w:highlight w:val="none"/>
          <w:u w:val="single"/>
          <w:lang w:val="en-US" w:eastAsia="zh-CN" w:bidi="ar-SA"/>
        </w:rPr>
        <w:t>壹拾壹万元</w:t>
      </w:r>
      <w:r>
        <w:rPr>
          <w:rFonts w:hint="eastAsia" w:ascii="宋体" w:hAnsi="宋体" w:eastAsia="宋体" w:cs="宋体"/>
          <w:color w:val="auto"/>
          <w:kern w:val="2"/>
          <w:sz w:val="24"/>
          <w:szCs w:val="22"/>
          <w:highlight w:val="none"/>
          <w:u w:val="single"/>
          <w:lang w:val="en-US" w:eastAsia="zh-CN" w:bidi="ar-SA"/>
        </w:rPr>
        <w:t>整</w:t>
      </w:r>
      <w:r>
        <w:rPr>
          <w:rFonts w:hint="eastAsia" w:ascii="宋体" w:hAnsi="宋体" w:eastAsia="宋体" w:cs="宋体"/>
          <w:color w:val="auto"/>
          <w:kern w:val="2"/>
          <w:sz w:val="24"/>
          <w:szCs w:val="22"/>
          <w:highlight w:val="none"/>
          <w:lang w:val="en-US" w:eastAsia="zh-CN" w:bidi="ar-SA"/>
        </w:rPr>
        <w:t>）</w:t>
      </w:r>
    </w:p>
    <w:p w14:paraId="6384DF99">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p>
    <w:p w14:paraId="68B68ED3">
      <w:pPr>
        <w:pStyle w:val="23"/>
        <w:spacing w:line="360" w:lineRule="auto"/>
        <w:ind w:left="0" w:leftChars="0" w:firstLine="0" w:firstLineChars="0"/>
        <w:rPr>
          <w:rFonts w:hint="eastAsia" w:ascii="宋体" w:hAnsi="宋体" w:eastAsia="宋体" w:cs="宋体"/>
          <w:color w:val="auto"/>
          <w:spacing w:val="-8"/>
          <w:sz w:val="24"/>
          <w:szCs w:val="24"/>
          <w:lang w:eastAsia="zh-CN"/>
        </w:rPr>
      </w:pPr>
    </w:p>
    <w:p w14:paraId="4816036D">
      <w:pPr>
        <w:rPr>
          <w:rFonts w:hint="eastAsia"/>
          <w:lang w:val="en-US" w:eastAsia="zh-CN"/>
        </w:rPr>
      </w:pPr>
    </w:p>
    <w:bookmarkEnd w:id="245"/>
    <w:bookmarkEnd w:id="246"/>
    <w:bookmarkEnd w:id="247"/>
    <w:bookmarkEnd w:id="248"/>
    <w:bookmarkEnd w:id="249"/>
    <w:p w14:paraId="1E558EEC">
      <w:pPr>
        <w:pStyle w:val="3"/>
        <w:bidi w:val="0"/>
        <w:rPr>
          <w:rFonts w:hint="eastAsia" w:ascii="Times New Roman" w:hAnsi="Times New Roman" w:eastAsia="宋体" w:cs="Times New Roman"/>
          <w:highlight w:val="none"/>
          <w:lang w:val="en-US" w:eastAsia="zh-CN"/>
        </w:rPr>
      </w:pPr>
      <w:bookmarkStart w:id="250" w:name="_Toc1699"/>
      <w:bookmarkStart w:id="251" w:name="_Toc29406"/>
    </w:p>
    <w:p w14:paraId="2DD29D06">
      <w:pPr>
        <w:pStyle w:val="3"/>
        <w:bidi w:val="0"/>
        <w:rPr>
          <w:rFonts w:hint="eastAsia" w:ascii="Times New Roman" w:hAnsi="Times New Roman" w:eastAsia="宋体" w:cs="Times New Roman"/>
          <w:highlight w:val="none"/>
          <w:lang w:val="en-US" w:eastAsia="zh-CN"/>
        </w:rPr>
      </w:pPr>
    </w:p>
    <w:p w14:paraId="6ACF065D">
      <w:pPr>
        <w:rPr>
          <w:rFonts w:hint="eastAsia" w:ascii="Times New Roman" w:hAnsi="Times New Roman" w:eastAsia="宋体" w:cs="Times New Roman"/>
          <w:highlight w:val="none"/>
          <w:lang w:val="en-US" w:eastAsia="zh-CN"/>
        </w:rPr>
      </w:pPr>
    </w:p>
    <w:p w14:paraId="30872EFD">
      <w:pPr>
        <w:pStyle w:val="23"/>
        <w:rPr>
          <w:rFonts w:hint="eastAsia" w:ascii="Times New Roman" w:hAnsi="Times New Roman" w:eastAsia="宋体" w:cs="Times New Roman"/>
          <w:highlight w:val="none"/>
          <w:lang w:val="en-US" w:eastAsia="zh-CN"/>
        </w:rPr>
      </w:pPr>
    </w:p>
    <w:p w14:paraId="50EB32E9">
      <w:pPr>
        <w:pStyle w:val="23"/>
        <w:rPr>
          <w:rFonts w:hint="eastAsia" w:ascii="Times New Roman" w:hAnsi="Times New Roman" w:eastAsia="宋体" w:cs="Times New Roman"/>
          <w:highlight w:val="none"/>
          <w:lang w:val="en-US" w:eastAsia="zh-CN"/>
        </w:rPr>
      </w:pPr>
    </w:p>
    <w:p w14:paraId="1B5E3465">
      <w:pPr>
        <w:pStyle w:val="23"/>
        <w:rPr>
          <w:rFonts w:hint="eastAsia" w:ascii="Times New Roman" w:hAnsi="Times New Roman" w:eastAsia="宋体" w:cs="Times New Roman"/>
          <w:highlight w:val="none"/>
          <w:lang w:val="en-US" w:eastAsia="zh-CN"/>
        </w:rPr>
      </w:pPr>
    </w:p>
    <w:p w14:paraId="1BE3BDE5">
      <w:pPr>
        <w:pStyle w:val="23"/>
        <w:rPr>
          <w:rFonts w:hint="eastAsia" w:ascii="Times New Roman" w:hAnsi="Times New Roman" w:eastAsia="宋体" w:cs="Times New Roman"/>
          <w:highlight w:val="none"/>
          <w:lang w:val="en-US" w:eastAsia="zh-CN"/>
        </w:rPr>
      </w:pPr>
    </w:p>
    <w:p w14:paraId="2A19F152">
      <w:pPr>
        <w:pStyle w:val="23"/>
        <w:rPr>
          <w:rFonts w:hint="eastAsia" w:ascii="Times New Roman" w:hAnsi="Times New Roman" w:eastAsia="宋体" w:cs="Times New Roman"/>
          <w:highlight w:val="none"/>
          <w:lang w:val="en-US" w:eastAsia="zh-CN"/>
        </w:rPr>
      </w:pPr>
    </w:p>
    <w:p w14:paraId="3DE261F5">
      <w:pPr>
        <w:pStyle w:val="23"/>
        <w:rPr>
          <w:rFonts w:hint="eastAsia" w:ascii="Times New Roman" w:hAnsi="Times New Roman" w:eastAsia="宋体" w:cs="Times New Roman"/>
          <w:highlight w:val="none"/>
          <w:lang w:val="en-US" w:eastAsia="zh-CN"/>
        </w:rPr>
      </w:pPr>
    </w:p>
    <w:p w14:paraId="314E3062">
      <w:pPr>
        <w:pStyle w:val="23"/>
        <w:rPr>
          <w:rFonts w:hint="eastAsia" w:ascii="Times New Roman" w:hAnsi="Times New Roman" w:eastAsia="宋体" w:cs="Times New Roman"/>
          <w:highlight w:val="none"/>
          <w:lang w:val="en-US" w:eastAsia="zh-CN"/>
        </w:rPr>
      </w:pPr>
    </w:p>
    <w:p w14:paraId="38357BAD">
      <w:pPr>
        <w:pStyle w:val="23"/>
        <w:rPr>
          <w:rFonts w:hint="eastAsia" w:ascii="Times New Roman" w:hAnsi="Times New Roman" w:eastAsia="宋体" w:cs="Times New Roman"/>
          <w:highlight w:val="none"/>
          <w:lang w:val="en-US" w:eastAsia="zh-CN"/>
        </w:rPr>
      </w:pPr>
    </w:p>
    <w:p w14:paraId="36DE3487">
      <w:pPr>
        <w:pStyle w:val="23"/>
        <w:rPr>
          <w:rFonts w:hint="eastAsia" w:ascii="Times New Roman" w:hAnsi="Times New Roman" w:eastAsia="宋体" w:cs="Times New Roman"/>
          <w:highlight w:val="none"/>
          <w:lang w:val="en-US" w:eastAsia="zh-CN"/>
        </w:rPr>
      </w:pPr>
    </w:p>
    <w:p w14:paraId="356C6EC4">
      <w:pPr>
        <w:pStyle w:val="23"/>
        <w:rPr>
          <w:rFonts w:hint="eastAsia" w:ascii="Times New Roman" w:hAnsi="Times New Roman" w:eastAsia="宋体" w:cs="Times New Roman"/>
          <w:highlight w:val="none"/>
          <w:lang w:val="en-US" w:eastAsia="zh-CN"/>
        </w:rPr>
      </w:pPr>
    </w:p>
    <w:p w14:paraId="2FD33052">
      <w:pPr>
        <w:pStyle w:val="23"/>
        <w:rPr>
          <w:rFonts w:hint="eastAsia" w:ascii="Times New Roman" w:hAnsi="Times New Roman" w:eastAsia="宋体" w:cs="Times New Roman"/>
          <w:highlight w:val="none"/>
          <w:lang w:val="en-US" w:eastAsia="zh-CN"/>
        </w:rPr>
      </w:pPr>
    </w:p>
    <w:p w14:paraId="6882D02E">
      <w:pPr>
        <w:pStyle w:val="23"/>
        <w:rPr>
          <w:rFonts w:hint="eastAsia" w:ascii="Times New Roman" w:hAnsi="Times New Roman" w:eastAsia="宋体" w:cs="Times New Roman"/>
          <w:highlight w:val="none"/>
          <w:lang w:val="en-US" w:eastAsia="zh-CN"/>
        </w:rPr>
      </w:pPr>
    </w:p>
    <w:p w14:paraId="64FE9FE0">
      <w:pPr>
        <w:pStyle w:val="23"/>
        <w:rPr>
          <w:rFonts w:hint="eastAsia" w:ascii="Times New Roman" w:hAnsi="Times New Roman" w:eastAsia="宋体" w:cs="Times New Roman"/>
          <w:highlight w:val="none"/>
          <w:lang w:val="en-US" w:eastAsia="zh-CN"/>
        </w:rPr>
      </w:pPr>
    </w:p>
    <w:p w14:paraId="4D213B55">
      <w:pPr>
        <w:pStyle w:val="23"/>
        <w:rPr>
          <w:rFonts w:hint="eastAsia" w:ascii="Times New Roman" w:hAnsi="Times New Roman" w:eastAsia="宋体" w:cs="Times New Roman"/>
          <w:highlight w:val="none"/>
          <w:lang w:val="en-US" w:eastAsia="zh-CN"/>
        </w:rPr>
      </w:pPr>
    </w:p>
    <w:p w14:paraId="0BC5BC7C">
      <w:pPr>
        <w:pStyle w:val="23"/>
        <w:rPr>
          <w:rFonts w:hint="eastAsia" w:ascii="Times New Roman" w:hAnsi="Times New Roman" w:eastAsia="宋体" w:cs="Times New Roman"/>
          <w:highlight w:val="none"/>
          <w:lang w:val="en-US" w:eastAsia="zh-CN"/>
        </w:rPr>
      </w:pPr>
    </w:p>
    <w:p w14:paraId="700F07DB">
      <w:pPr>
        <w:pStyle w:val="23"/>
        <w:rPr>
          <w:rFonts w:hint="eastAsia" w:ascii="Times New Roman" w:hAnsi="Times New Roman" w:eastAsia="宋体" w:cs="Times New Roman"/>
          <w:highlight w:val="none"/>
          <w:lang w:val="en-US" w:eastAsia="zh-CN"/>
        </w:rPr>
      </w:pPr>
    </w:p>
    <w:p w14:paraId="79D3B572">
      <w:pPr>
        <w:rPr>
          <w:rFonts w:hint="eastAsia"/>
          <w:lang w:val="en-US" w:eastAsia="zh-CN"/>
        </w:rPr>
      </w:pPr>
    </w:p>
    <w:p w14:paraId="37916682">
      <w:pPr>
        <w:pStyle w:val="3"/>
        <w:bidi w:val="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第四章、合同条款</w:t>
      </w:r>
      <w:bookmarkEnd w:id="250"/>
    </w:p>
    <w:p w14:paraId="6A814FE7">
      <w:pPr>
        <w:jc w:val="center"/>
        <w:rPr>
          <w:rFonts w:hint="eastAsia" w:ascii="宋体" w:hAnsi="宋体" w:cs="宋体"/>
          <w:sz w:val="24"/>
          <w:szCs w:val="24"/>
          <w:highlight w:val="none"/>
          <w:lang w:val="en-US" w:eastAsia="zh-CN"/>
        </w:rPr>
      </w:pPr>
    </w:p>
    <w:p w14:paraId="7F8EBDB8">
      <w:pPr>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（具体合同条款由中标供应商与采购人协商签订）</w:t>
      </w:r>
    </w:p>
    <w:p w14:paraId="4BDB4EAC">
      <w:pPr>
        <w:jc w:val="center"/>
        <w:rPr>
          <w:rFonts w:hint="default" w:ascii="宋体" w:hAnsi="宋体" w:cs="宋体"/>
          <w:sz w:val="24"/>
          <w:szCs w:val="24"/>
          <w:highlight w:val="none"/>
          <w:lang w:val="en-US" w:eastAsia="zh-CN"/>
        </w:rPr>
      </w:pPr>
    </w:p>
    <w:p w14:paraId="3BCA26E3">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定义</w:t>
      </w:r>
    </w:p>
    <w:p w14:paraId="3040DFAD">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合同”系指甲乙双方共同签署的、合同中载明的甲乙双方所达成的协议，包括：中标/成交通知书；合同条款；投标文件及承诺；项目采购需求；磋商文件（含补充文件、修改文件）及答疑纪要；双方约定的其他所有文件等构成合同的所有文件的总称。</w:t>
      </w:r>
    </w:p>
    <w:p w14:paraId="1F1B2BD8">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“甲方”系指塔城市自然资源局。</w:t>
      </w:r>
    </w:p>
    <w:p w14:paraId="19543671">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“乙方”系指取得成交资格，提供合同服务的中标单位。</w:t>
      </w:r>
    </w:p>
    <w:p w14:paraId="74C7C6E4">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“合同价款”系指根据合同条款、技术规范及标准、项目采购需求、本磋商文件的规定，乙方在正确、完整地履行合同义务后，甲方应支付给乙方实际所供合同货物的金额。</w:t>
      </w:r>
    </w:p>
    <w:p w14:paraId="087C8B40">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合同货物”系指按合同条款、技术规范及标准、项目采购需求、本磋商文件规定，中标人须向招标人提供塔城市2024年度国土变更调查项目安装、调试验收合格并正常使用所需的全部设备、材料等（含手册、规范、标准及相关技术资料等）。</w:t>
      </w:r>
    </w:p>
    <w:p w14:paraId="0F2BD5A6">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服务”系指合同条款、技术规范及标准、项目采购需求、本磋商文件规定，中标单位为保证完成塔城市2024年度国土变更调查项目应承担的所有工作，配合招标人完成与此服务相关的合同条款、技术规范及标准、项目采购需求、磋商文件约定的全部内容及责任和义务。</w:t>
      </w:r>
    </w:p>
    <w:p w14:paraId="3EE6C2D7">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凡提及的“天、日期、星期、月份和年份”系指公历日历的日历天、日期、星期、月份和年份。</w:t>
      </w:r>
    </w:p>
    <w:p w14:paraId="77B880B3">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52" w:name="_Toc246216233"/>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适用范围</w:t>
      </w:r>
      <w:bookmarkEnd w:id="252"/>
    </w:p>
    <w:p w14:paraId="53DDDEA1">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本合同条款适用于本次塔城市2024年度国土变更调查项目。</w:t>
      </w:r>
    </w:p>
    <w:p w14:paraId="7BE47A22">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53" w:name="_Toc246216234"/>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合同价格</w:t>
      </w:r>
      <w:bookmarkEnd w:id="253"/>
    </w:p>
    <w:p w14:paraId="4CE519AB">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合同价款为：人民币元(大写：人民币    )。</w:t>
      </w:r>
    </w:p>
    <w:p w14:paraId="3FFD239A">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合同价款：</w:t>
      </w:r>
    </w:p>
    <w:p w14:paraId="2EC35167">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54" w:name="_Toc260246971"/>
      <w:bookmarkStart w:id="255" w:name="_Toc260247209"/>
      <w:bookmarkStart w:id="256" w:name="_Toc260247210"/>
      <w:bookmarkStart w:id="257" w:name="_Toc231451677"/>
      <w:bookmarkStart w:id="258" w:name="_Toc246216237"/>
      <w:bookmarkStart w:id="259" w:name="_Toc260246972"/>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支付条款</w:t>
      </w:r>
      <w:bookmarkEnd w:id="254"/>
      <w:bookmarkEnd w:id="255"/>
    </w:p>
    <w:bookmarkEnd w:id="256"/>
    <w:bookmarkEnd w:id="257"/>
    <w:bookmarkEnd w:id="258"/>
    <w:bookmarkEnd w:id="259"/>
    <w:p w14:paraId="7C3C25A0">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260" w:name="_Toc258681731"/>
      <w:r>
        <w:rPr>
          <w:rFonts w:hint="eastAsia" w:ascii="宋体" w:hAnsi="宋体" w:eastAsia="宋体" w:cs="宋体"/>
          <w:snapToGrid w:val="0"/>
          <w:color w:val="000000"/>
          <w:kern w:val="0"/>
          <w:sz w:val="24"/>
          <w:szCs w:val="24"/>
          <w:lang w:val="en-US" w:eastAsia="zh-CN"/>
        </w:rPr>
        <w:t>本合同的支付币种为人民币。由甲乙双方签订合同时自行约定。</w:t>
      </w:r>
    </w:p>
    <w:p w14:paraId="0F63D02E">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t>服务期</w:t>
      </w:r>
    </w:p>
    <w:p w14:paraId="3A68B43D">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132" w:line="360" w:lineRule="auto"/>
        <w:ind w:leftChars="0"/>
        <w:jc w:val="left"/>
        <w:textAlignment w:val="baseline"/>
        <w:rPr>
          <w:rFonts w:hint="eastAsia" w:ascii="宋体" w:hAnsi="宋体" w:eastAsia="宋体" w:cs="宋体"/>
          <w:snapToGrid w:val="0"/>
          <w:color w:val="000000"/>
          <w:spacing w:val="-4"/>
          <w:kern w:val="0"/>
          <w:sz w:val="24"/>
          <w:szCs w:val="24"/>
          <w:lang w:val="en-US" w:eastAsia="zh-CN"/>
          <w14:textOutline w14:w="4358" w14:cap="sq" w14:cmpd="sng">
            <w14:solidFill>
              <w14:srgbClr w14:val="000000"/>
            </w14:solidFill>
            <w14:prstDash w14:val="solid"/>
            <w14:bevel/>
          </w14:textOutline>
        </w:rPr>
      </w:pPr>
    </w:p>
    <w:bookmarkEnd w:id="260"/>
    <w:p w14:paraId="50D81978">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61" w:name="_Toc260247219"/>
      <w:bookmarkStart w:id="262" w:name="_Toc260246981"/>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技术资料</w:t>
      </w:r>
    </w:p>
    <w:p w14:paraId="0C38E977">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263" w:name="_Toc258681733"/>
      <w:r>
        <w:rPr>
          <w:rFonts w:hint="eastAsia" w:ascii="宋体" w:hAnsi="宋体" w:eastAsia="宋体" w:cs="宋体"/>
          <w:snapToGrid w:val="0"/>
          <w:color w:val="000000"/>
          <w:kern w:val="0"/>
          <w:sz w:val="24"/>
          <w:szCs w:val="24"/>
          <w:lang w:val="en-US" w:eastAsia="zh-CN"/>
        </w:rPr>
        <w:t>乙方应准备与服务相符的技术资料，并于合同生效后七日内送（或寄）至甲方，例如：手册、标准和服务手册等。如本条款所述资料有不完整或丢失，乙方应在收到甲方通知后3日内免费另寄（送）。</w:t>
      </w:r>
    </w:p>
    <w:bookmarkEnd w:id="263"/>
    <w:p w14:paraId="3406B6F7">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乙方人员</w:t>
      </w:r>
      <w:bookmarkEnd w:id="261"/>
      <w:bookmarkEnd w:id="262"/>
    </w:p>
    <w:p w14:paraId="04F2E62A">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乙方应委派有经验的技术人员进行塔城市2024年度国土变更调查项目相关等服务。乙方应对塔城市2024年度国土变更调查项目相关的质量负责，使其符合技术规范和有关标准的要求。</w:t>
      </w:r>
    </w:p>
    <w:p w14:paraId="53517319">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如果甲方认为乙方派遣的执行本项目的有关人员不称职，将有权要求乙方更换，乙方对于甲方的此类要求应予以满足。</w:t>
      </w:r>
    </w:p>
    <w:p w14:paraId="27C4AC28">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64" w:name="_Toc258681749"/>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乙方履约延误和延期赔偿</w:t>
      </w:r>
      <w:bookmarkEnd w:id="264"/>
    </w:p>
    <w:p w14:paraId="5DF5EB58">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 xml:space="preserve"> 如果乙方未能按合同规定的时间按期提供服务，将加收延期赔偿或终止合同。</w:t>
      </w:r>
    </w:p>
    <w:p w14:paraId="4A236CC7">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在履约过程中，如果乙方可能遇到妨碍按时提供服务的情况时，应及时以书面形式将迟延的事实、可能迟延的期限和原因通知甲方。甲方在收到乙方通知后，应尽快对情况进行分析，并确定是否同意延长交货时间以及是否收取误期赔偿费。延期应通过修改合同的方式由乙方认可。如乙方在原定提供服务期限后7天未提供服务，则甲方有权终止合同。</w:t>
      </w:r>
    </w:p>
    <w:p w14:paraId="30BBD730">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如乙方未能就合理提供服务日期达成一致意见，甲方有权将服务价降低到双方同意的水平，并由乙方赔偿由此造成的所有损失。</w:t>
      </w:r>
    </w:p>
    <w:p w14:paraId="1A822ADD">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65" w:name="_Toc258681751"/>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违约责任</w:t>
      </w:r>
      <w:bookmarkEnd w:id="265"/>
      <w:bookmarkStart w:id="266" w:name="_Toc258681752"/>
    </w:p>
    <w:p w14:paraId="2B7E3D52">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若乙方未按本项目采购需求承担相关工作，由此造成的责任和损失由乙方自行承担。</w:t>
      </w:r>
    </w:p>
    <w:p w14:paraId="2BCCA49D">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不可抗力</w:t>
      </w:r>
      <w:bookmarkEnd w:id="266"/>
    </w:p>
    <w:p w14:paraId="409E6940">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267" w:name="_Toc258681753"/>
      <w:r>
        <w:rPr>
          <w:rFonts w:hint="eastAsia" w:ascii="宋体" w:hAnsi="宋体" w:eastAsia="宋体" w:cs="宋体"/>
          <w:snapToGrid w:val="0"/>
          <w:color w:val="000000"/>
          <w:kern w:val="0"/>
          <w:sz w:val="24"/>
          <w:szCs w:val="24"/>
          <w:lang w:val="en-US" w:eastAsia="zh-CN"/>
        </w:rPr>
        <w:t>甲乙双方任一方由于受不可抗力事件的影响而不能履行合同时，履行合同的期限应予以延长，其延长的期限应相当于事件所影响的时间。不可抗力事件系指甲乙双方在缔结合同时所不能预见的，并且它的发生及其后果是无法避免和无法克服的事件，诸如战争、严重火灾、洪水、台风以及其他双方商定的事件。但不包括违约或疏忽。</w:t>
      </w:r>
    </w:p>
    <w:p w14:paraId="73DFB04A">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在不可抗力事件发生后，受不可抗力影响的一方应尽快以书面形式（如电报、传真或电传）将不可抗力的情况和原因通知对方，并于事件发生后14天内将有关当局出具的证明文件用特快专递或挂号信寄给对方审阅确认。除对方书面另行要求外，受不可抗力影响的一方应尽实际可能继续履行合同义务，并积极寻求采取合理的方案履行未受不可抗力影响的其他合同事项。</w:t>
      </w:r>
    </w:p>
    <w:p w14:paraId="764C890E">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如果不可抗力事件的影响持续45天以上，双方应通过友好协商在合理的时间内达成进一步履行合同的协议。</w:t>
      </w:r>
    </w:p>
    <w:p w14:paraId="3A8DF9FC">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如果因不可抗力而导致合同实施延误或不能履行合同义务的，受不可抗力影响的一方不应承担违约责任。</w:t>
      </w:r>
    </w:p>
    <w:p w14:paraId="0721F025">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税费</w:t>
      </w:r>
      <w:bookmarkEnd w:id="267"/>
    </w:p>
    <w:p w14:paraId="234D16AD">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根据国家现行税法规定对与本合同有关的一切税费，包括按税法规定应由甲方承担的税费，均已包括在合同总价款之中，甲方不再与乙方另行结算税费。</w:t>
      </w:r>
    </w:p>
    <w:p w14:paraId="65430640">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68" w:name="_Toc258681754"/>
      <w:bookmarkStart w:id="269" w:name="_Toc243905150"/>
      <w:bookmarkStart w:id="270" w:name="_Toc243904847"/>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争端的解决</w:t>
      </w:r>
      <w:bookmarkEnd w:id="268"/>
      <w:bookmarkEnd w:id="269"/>
      <w:bookmarkEnd w:id="270"/>
    </w:p>
    <w:p w14:paraId="419243B2">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甲乙双方应通过友好协商，解决在执行本合同过程中所发生的或与本合同有关的一切争端。当事人不愿和解、调解或者和解、调解不成，向项目所在地人民法院提出诉讼。</w:t>
      </w:r>
    </w:p>
    <w:p w14:paraId="14CF3187">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在双方之间的争议尚未解决之前，如甲方以书面形式坚持要求乙方按其意见行事，则乙方应按甲方的意见执行，但由此产生的一切不良后果和责任均应有乙方承担。但乙方不能因此而故意采取可能导致不良后果的行为。</w:t>
      </w:r>
    </w:p>
    <w:p w14:paraId="76A821EE">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71" w:name="_Toc258681755"/>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违约终止合同</w:t>
      </w:r>
      <w:bookmarkEnd w:id="271"/>
    </w:p>
    <w:p w14:paraId="7DF444C2">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在甲方对乙方违约而采取的任何补救措施不受影响的情况下，甲方可在下列情况下向乙方发出书面通知书，提出终止部分或全部合同：</w:t>
      </w:r>
    </w:p>
    <w:p w14:paraId="3775F2F2">
      <w:pPr>
        <w:keepNext w:val="0"/>
        <w:keepLines w:val="0"/>
        <w:pageBreakBefore w:val="0"/>
        <w:widowControl/>
        <w:numPr>
          <w:ilvl w:val="0"/>
          <w:numId w:val="20"/>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乙方未能在合同规定的限期或甲方同意延长的限期内提供服务。</w:t>
      </w:r>
    </w:p>
    <w:p w14:paraId="1CEBDDBF">
      <w:pPr>
        <w:keepNext w:val="0"/>
        <w:keepLines w:val="0"/>
        <w:pageBreakBefore w:val="0"/>
        <w:widowControl/>
        <w:numPr>
          <w:ilvl w:val="0"/>
          <w:numId w:val="20"/>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乙方未能履行合同规定的其他任何义务。</w:t>
      </w:r>
    </w:p>
    <w:p w14:paraId="3869F5A2">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如果甲方根据上述第13.1条的规定，终止了部分或全部合同，乙方除应退还终止的部分或全部合同价款外，还应按本合同第9.1条的规定承担的违约责任。同时，乙方仍应继续执行合同中未终止的部分。</w:t>
      </w:r>
    </w:p>
    <w:p w14:paraId="38225A5B">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在终止合同后，甲方有权按下面方式对乙方进行处置；</w:t>
      </w:r>
    </w:p>
    <w:p w14:paraId="5C6C1D01">
      <w:pPr>
        <w:keepNext w:val="0"/>
        <w:keepLines w:val="0"/>
        <w:pageBreakBefore w:val="0"/>
        <w:widowControl/>
        <w:numPr>
          <w:ilvl w:val="0"/>
          <w:numId w:val="21"/>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赔偿设备、材料损失和因乙方违约而造成的维护管理期延期的损失；</w:t>
      </w:r>
    </w:p>
    <w:p w14:paraId="55160941">
      <w:pPr>
        <w:keepNext w:val="0"/>
        <w:keepLines w:val="0"/>
        <w:pageBreakBefore w:val="0"/>
        <w:widowControl/>
        <w:numPr>
          <w:ilvl w:val="0"/>
          <w:numId w:val="21"/>
        </w:numPr>
        <w:kinsoku w:val="0"/>
        <w:wordWrap/>
        <w:overflowPunct/>
        <w:topLinePunct w:val="0"/>
        <w:autoSpaceDE w:val="0"/>
        <w:autoSpaceDN w:val="0"/>
        <w:bidi w:val="0"/>
        <w:adjustRightInd w:val="0"/>
        <w:snapToGrid w:val="0"/>
        <w:spacing w:line="360" w:lineRule="auto"/>
        <w:ind w:left="0" w:leftChars="0" w:firstLine="400" w:firstLineChars="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乙方退场，并向甲方赔偿因乙方违约而造成的维护管理期延期的损失，以及甲方更换新单位所发生的一切费用。</w:t>
      </w:r>
    </w:p>
    <w:p w14:paraId="6D33FB7D">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72" w:name="_Toc258681756"/>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破产终止合同</w:t>
      </w:r>
      <w:bookmarkEnd w:id="272"/>
    </w:p>
    <w:p w14:paraId="24CB47E7">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当乙方破产或丧失清偿能力，甲方可在任何时候以书面形式通知乙方终止合同而不给乙方补偿。该终止合同的行为将不损害或影响甲方在本合同项下已经或将要采取的任何其他行动或补救措施的权力。</w:t>
      </w:r>
    </w:p>
    <w:p w14:paraId="30778008">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73" w:name="_Toc258681758"/>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合同修改</w:t>
      </w:r>
      <w:bookmarkEnd w:id="273"/>
    </w:p>
    <w:p w14:paraId="4C654CCD">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欲对合同条款作出任何改动，均须由甲乙双方签署书面的合同修改书。</w:t>
      </w:r>
    </w:p>
    <w:p w14:paraId="0AB3B0C8">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乙方的书面承诺被甲方接受后视作合同附件，与合同具有同等法律效力</w:t>
      </w:r>
      <w:bookmarkStart w:id="274" w:name="_Toc258681759"/>
      <w:r>
        <w:rPr>
          <w:rFonts w:hint="eastAsia" w:ascii="宋体" w:hAnsi="宋体" w:eastAsia="宋体" w:cs="宋体"/>
          <w:snapToGrid w:val="0"/>
          <w:color w:val="000000"/>
          <w:kern w:val="0"/>
          <w:sz w:val="24"/>
          <w:szCs w:val="24"/>
          <w:lang w:val="en-US" w:eastAsia="zh-CN"/>
        </w:rPr>
        <w:t>。</w:t>
      </w:r>
    </w:p>
    <w:p w14:paraId="0C6C5B81">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转让和分包</w:t>
      </w:r>
      <w:bookmarkEnd w:id="274"/>
    </w:p>
    <w:p w14:paraId="102C9573">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bookmarkStart w:id="275" w:name="_Toc258681760"/>
      <w:r>
        <w:rPr>
          <w:rFonts w:hint="eastAsia" w:ascii="宋体" w:hAnsi="宋体" w:eastAsia="宋体" w:cs="宋体"/>
          <w:snapToGrid w:val="0"/>
          <w:color w:val="000000"/>
          <w:kern w:val="0"/>
          <w:sz w:val="24"/>
          <w:szCs w:val="24"/>
          <w:lang w:val="en-US" w:eastAsia="zh-CN"/>
        </w:rPr>
        <w:t>本项目不允许以任何形式的转让和分包。</w:t>
      </w:r>
    </w:p>
    <w:bookmarkEnd w:id="275"/>
    <w:p w14:paraId="6F1EA7EC">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适用法律</w:t>
      </w:r>
    </w:p>
    <w:p w14:paraId="78B3205B">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本合同的适用法律为中华人民共和国的现行法律和地方法规。</w:t>
      </w:r>
    </w:p>
    <w:p w14:paraId="2E811FA3">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76" w:name="_Toc258681761"/>
      <w:bookmarkStart w:id="277" w:name="_Toc243905151"/>
      <w:bookmarkStart w:id="278" w:name="_Toc243904848"/>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适用语言和计量单位</w:t>
      </w:r>
      <w:bookmarkEnd w:id="276"/>
      <w:bookmarkEnd w:id="277"/>
      <w:bookmarkEnd w:id="278"/>
    </w:p>
    <w:p w14:paraId="43F2BF57">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本合同的适用语言为中文，所有与本合同有关的来往函件、通知及其他文件均应使用中文。</w:t>
      </w:r>
    </w:p>
    <w:p w14:paraId="73B3EA36">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乙方可以提交用其他语言(原文)打印的资料，但必须翻译成中文，当原文和译文(中文)之间存有差异和/或矛盾时，以中文为准。</w:t>
      </w:r>
    </w:p>
    <w:p w14:paraId="1D9D9456">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除“项目采购需求”另有规定外，计量单位应使用国家标准规定的法定计量单位。</w:t>
      </w:r>
    </w:p>
    <w:p w14:paraId="4E92ABE4">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79" w:name="_Toc258681763"/>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通知</w:t>
      </w:r>
      <w:bookmarkEnd w:id="279"/>
    </w:p>
    <w:p w14:paraId="7EA26895">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本合同一方给另一方的通知均应以书面或电报、电传或传真的形式发送，而另一方应以书面形式确认并送到对方明确的地址。</w:t>
      </w:r>
    </w:p>
    <w:p w14:paraId="71386C32">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通知以送到日期或通知书的生效日期为生效日期，两者中以晚的一个日期为准。</w:t>
      </w:r>
    </w:p>
    <w:p w14:paraId="3CB62BD0">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80" w:name="_Toc258681764"/>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合同文件及资料的使用</w:t>
      </w:r>
      <w:bookmarkEnd w:id="280"/>
    </w:p>
    <w:p w14:paraId="7DDC3D2B">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除了乙方执行合同人员外，在未经甲方同意的情况下，乙方不得将合同、合同中规定、规格、计划、或乙方为上述内容向甲方提供的资料透露给任何人。乙方须在对外保密的前提下，对其工作人员提供有关情况，所提供情况仅限于执行合同必不可少的范围内。</w:t>
      </w:r>
    </w:p>
    <w:p w14:paraId="4B49E056">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除非执行合同需要，在事先未得到甲方书面同意的情况下，乙方不得使用第21.1款所列的任何文件和资料。</w:t>
      </w:r>
    </w:p>
    <w:p w14:paraId="29CAAE9E">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除合同本身以外列明的所有资料始终为甲方财产，若甲方要求，乙方应于其合同义务履行完毕后将这些资料（包括所有副本）退还甲方。</w:t>
      </w:r>
    </w:p>
    <w:p w14:paraId="7D76A6D8">
      <w:pPr>
        <w:keepNext w:val="0"/>
        <w:keepLines w:val="0"/>
        <w:pageBreakBefore w:val="0"/>
        <w:widowControl/>
        <w:numPr>
          <w:ilvl w:val="0"/>
          <w:numId w:val="19"/>
        </w:numPr>
        <w:kinsoku w:val="0"/>
        <w:wordWrap/>
        <w:overflowPunct/>
        <w:topLinePunct w:val="0"/>
        <w:autoSpaceDE w:val="0"/>
        <w:autoSpaceDN w:val="0"/>
        <w:bidi w:val="0"/>
        <w:adjustRightInd w:val="0"/>
        <w:snapToGrid w:val="0"/>
        <w:spacing w:before="132" w:line="360" w:lineRule="auto"/>
        <w:ind w:left="425" w:leftChars="0" w:hanging="425" w:firstLineChars="0"/>
        <w:jc w:val="left"/>
        <w:textAlignment w:val="baseline"/>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pPr>
      <w:bookmarkStart w:id="281" w:name="_Toc258681765"/>
      <w:r>
        <w:rPr>
          <w:rFonts w:hint="eastAsia" w:ascii="宋体" w:hAnsi="宋体" w:eastAsia="宋体" w:cs="宋体"/>
          <w:snapToGrid w:val="0"/>
          <w:color w:val="000000"/>
          <w:spacing w:val="-4"/>
          <w:kern w:val="0"/>
          <w:sz w:val="24"/>
          <w:szCs w:val="24"/>
          <w:lang w:val="en-US" w:eastAsia="en-US"/>
          <w14:textOutline w14:w="4358" w14:cap="sq" w14:cmpd="sng">
            <w14:solidFill>
              <w14:srgbClr w14:val="000000"/>
            </w14:solidFill>
            <w14:prstDash w14:val="solid"/>
            <w14:bevel/>
          </w14:textOutline>
        </w:rPr>
        <w:t>合同生效及其它</w:t>
      </w:r>
      <w:bookmarkEnd w:id="281"/>
    </w:p>
    <w:p w14:paraId="00002011">
      <w:pPr>
        <w:keepNext w:val="0"/>
        <w:keepLines w:val="0"/>
        <w:pageBreakBefore w:val="0"/>
        <w:widowControl/>
        <w:numPr>
          <w:ilvl w:val="1"/>
          <w:numId w:val="19"/>
        </w:numPr>
        <w:kinsoku w:val="0"/>
        <w:wordWrap/>
        <w:overflowPunct/>
        <w:topLinePunct w:val="0"/>
        <w:autoSpaceDE w:val="0"/>
        <w:autoSpaceDN w:val="0"/>
        <w:bidi w:val="0"/>
        <w:adjustRightInd w:val="0"/>
        <w:snapToGrid w:val="0"/>
        <w:spacing w:line="360" w:lineRule="auto"/>
        <w:ind w:firstLine="240" w:firstLineChars="100"/>
        <w:jc w:val="left"/>
        <w:textAlignment w:val="baseline"/>
        <w:rPr>
          <w:rFonts w:hint="eastAsia" w:ascii="宋体" w:hAnsi="宋体" w:eastAsia="宋体" w:cs="宋体"/>
          <w:snapToGrid w:val="0"/>
          <w:color w:val="000000"/>
          <w:kern w:val="0"/>
          <w:sz w:val="24"/>
          <w:szCs w:val="24"/>
          <w:lang w:val="en-US" w:eastAsia="zh-CN"/>
        </w:rPr>
      </w:pPr>
      <w:r>
        <w:rPr>
          <w:rFonts w:hint="eastAsia" w:ascii="宋体" w:hAnsi="宋体" w:eastAsia="宋体" w:cs="宋体"/>
          <w:snapToGrid w:val="0"/>
          <w:color w:val="000000"/>
          <w:kern w:val="0"/>
          <w:sz w:val="24"/>
          <w:szCs w:val="24"/>
          <w:lang w:val="en-US" w:eastAsia="zh-CN"/>
        </w:rPr>
        <w:t>合同正本一式贰份，甲乙双方各执壹份；副本一式陆份，以满足甲乙双方及相关备案部门的需求。本合同经双方法定代表人或其授权的委托代理人签署并加盖法人公章后生效。</w:t>
      </w:r>
    </w:p>
    <w:p w14:paraId="387AF23C"/>
    <w:p w14:paraId="040418BD">
      <w:pPr>
        <w:pStyle w:val="5"/>
        <w:rPr>
          <w:rFonts w:hint="eastAsia" w:ascii="宋体" w:hAnsi="宋体" w:cs="宋体"/>
          <w:highlight w:val="none"/>
        </w:rPr>
      </w:pPr>
    </w:p>
    <w:p w14:paraId="75391D6C">
      <w:pPr>
        <w:rPr>
          <w:rFonts w:hint="eastAsia" w:ascii="宋体" w:hAnsi="宋体" w:cs="宋体"/>
          <w:highlight w:val="none"/>
        </w:rPr>
      </w:pPr>
    </w:p>
    <w:p w14:paraId="50C23C23">
      <w:pPr>
        <w:rPr>
          <w:rFonts w:hint="eastAsia" w:ascii="宋体" w:hAnsi="宋体" w:eastAsia="宋体" w:cs="宋体"/>
          <w:b/>
          <w:bCs/>
          <w:kern w:val="0"/>
          <w:sz w:val="36"/>
          <w:szCs w:val="36"/>
          <w:highlight w:val="none"/>
          <w:lang w:val="en-US" w:eastAsia="zh-CN" w:bidi="ar-SA"/>
        </w:rPr>
      </w:pPr>
      <w:bookmarkStart w:id="282" w:name="_Toc16260"/>
      <w:bookmarkStart w:id="283" w:name="_Toc27037"/>
      <w:bookmarkStart w:id="284" w:name="_Toc6340"/>
      <w:r>
        <w:rPr>
          <w:rFonts w:hint="eastAsia" w:ascii="宋体" w:hAnsi="宋体" w:eastAsia="宋体" w:cs="宋体"/>
          <w:b/>
          <w:bCs/>
          <w:kern w:val="0"/>
          <w:sz w:val="36"/>
          <w:szCs w:val="36"/>
          <w:highlight w:val="none"/>
          <w:lang w:val="en-US" w:eastAsia="zh-CN" w:bidi="ar-SA"/>
        </w:rPr>
        <w:br w:type="page"/>
      </w:r>
    </w:p>
    <w:p w14:paraId="21BE4DE2">
      <w:pPr>
        <w:jc w:val="center"/>
        <w:rPr>
          <w:rFonts w:hint="eastAsia" w:ascii="宋体" w:hAnsi="宋体" w:eastAsia="宋体" w:cs="宋体"/>
          <w:b/>
          <w:bCs/>
          <w:kern w:val="0"/>
          <w:sz w:val="36"/>
          <w:szCs w:val="36"/>
          <w:highlight w:val="none"/>
          <w:lang w:val="en-US" w:eastAsia="zh-CN" w:bidi="ar-SA"/>
        </w:rPr>
      </w:pPr>
      <w:r>
        <w:rPr>
          <w:rFonts w:hint="eastAsia" w:ascii="宋体" w:hAnsi="宋体" w:eastAsia="宋体" w:cs="宋体"/>
          <w:b/>
          <w:bCs/>
          <w:kern w:val="0"/>
          <w:sz w:val="36"/>
          <w:szCs w:val="36"/>
          <w:highlight w:val="none"/>
          <w:lang w:val="en-US" w:eastAsia="zh-CN" w:bidi="ar-SA"/>
        </w:rPr>
        <w:t>第五章、响应文件格式</w:t>
      </w:r>
      <w:bookmarkEnd w:id="251"/>
      <w:bookmarkEnd w:id="282"/>
      <w:bookmarkEnd w:id="283"/>
      <w:bookmarkEnd w:id="284"/>
    </w:p>
    <w:p w14:paraId="6EE68BC7">
      <w:pPr>
        <w:spacing w:line="360" w:lineRule="auto"/>
        <w:ind w:firstLine="480" w:firstLineChars="200"/>
        <w:rPr>
          <w:rFonts w:hint="eastAsia" w:ascii="宋体" w:hAnsi="宋体" w:cs="宋体"/>
          <w:sz w:val="24"/>
          <w:szCs w:val="24"/>
          <w:highlight w:val="none"/>
        </w:rPr>
      </w:pPr>
    </w:p>
    <w:p w14:paraId="473F9A42">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 xml:space="preserve">格式1   </w:t>
      </w:r>
      <w:r>
        <w:rPr>
          <w:rFonts w:hint="eastAsia" w:ascii="宋体" w:hAnsi="宋体" w:cs="宋体"/>
          <w:bCs/>
          <w:sz w:val="24"/>
          <w:szCs w:val="24"/>
          <w:highlight w:val="none"/>
        </w:rPr>
        <w:t>资格性/符合性自查表</w:t>
      </w:r>
    </w:p>
    <w:p w14:paraId="7E9AAF46">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格式2   法定代表人资格证明书</w:t>
      </w:r>
    </w:p>
    <w:p w14:paraId="1A1C0822">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格式3   法定代表人授权委托书</w:t>
      </w:r>
    </w:p>
    <w:p w14:paraId="2A58A31E">
      <w:pPr>
        <w:spacing w:line="360" w:lineRule="auto"/>
        <w:ind w:firstLine="480" w:firstLineChars="200"/>
        <w:rPr>
          <w:rFonts w:hint="eastAsia" w:ascii="宋体" w:hAnsi="宋体" w:cs="宋体"/>
          <w:bCs/>
          <w:sz w:val="24"/>
          <w:szCs w:val="24"/>
          <w:highlight w:val="none"/>
        </w:rPr>
      </w:pPr>
      <w:r>
        <w:rPr>
          <w:rFonts w:hint="eastAsia" w:ascii="宋体" w:hAnsi="宋体" w:cs="宋体"/>
          <w:bCs/>
          <w:sz w:val="24"/>
          <w:szCs w:val="24"/>
          <w:highlight w:val="none"/>
        </w:rPr>
        <w:t xml:space="preserve">格式4   </w:t>
      </w:r>
      <w:r>
        <w:rPr>
          <w:rFonts w:hint="eastAsia" w:ascii="宋体" w:hAnsi="宋体" w:cs="宋体"/>
          <w:bCs/>
          <w:sz w:val="24"/>
          <w:szCs w:val="24"/>
          <w:highlight w:val="none"/>
          <w:lang w:eastAsia="zh-CN"/>
        </w:rPr>
        <w:t>供应商</w:t>
      </w:r>
      <w:r>
        <w:rPr>
          <w:rFonts w:hint="eastAsia" w:ascii="宋体" w:hAnsi="宋体" w:cs="宋体"/>
          <w:bCs/>
          <w:sz w:val="24"/>
          <w:szCs w:val="24"/>
          <w:highlight w:val="none"/>
        </w:rPr>
        <w:t>基本情况表</w:t>
      </w:r>
    </w:p>
    <w:p w14:paraId="3849E0ED">
      <w:pPr>
        <w:spacing w:line="360" w:lineRule="auto"/>
        <w:ind w:firstLine="480" w:firstLineChars="200"/>
        <w:rPr>
          <w:rFonts w:hint="eastAsia" w:ascii="宋体" w:hAnsi="宋体" w:cs="宋体"/>
          <w:bCs/>
          <w:sz w:val="24"/>
          <w:szCs w:val="24"/>
          <w:highlight w:val="none"/>
        </w:rPr>
      </w:pPr>
      <w:r>
        <w:rPr>
          <w:rFonts w:hint="eastAsia" w:ascii="宋体" w:hAnsi="宋体" w:cs="宋体"/>
          <w:bCs/>
          <w:sz w:val="24"/>
          <w:szCs w:val="24"/>
          <w:highlight w:val="none"/>
        </w:rPr>
        <w:t>格式5   诚信声明</w:t>
      </w:r>
    </w:p>
    <w:p w14:paraId="67F0A5EC">
      <w:pPr>
        <w:spacing w:line="360" w:lineRule="auto"/>
        <w:ind w:firstLine="480" w:firstLineChars="200"/>
        <w:rPr>
          <w:rFonts w:hint="eastAsia" w:ascii="宋体" w:hAnsi="宋体" w:cs="宋体"/>
          <w:bCs/>
          <w:sz w:val="24"/>
          <w:szCs w:val="24"/>
          <w:highlight w:val="none"/>
        </w:rPr>
      </w:pPr>
      <w:r>
        <w:rPr>
          <w:rFonts w:hint="eastAsia" w:ascii="宋体" w:hAnsi="宋体" w:cs="宋体"/>
          <w:bCs/>
          <w:sz w:val="24"/>
          <w:szCs w:val="24"/>
          <w:highlight w:val="none"/>
        </w:rPr>
        <w:t xml:space="preserve">格式6   </w:t>
      </w:r>
      <w:r>
        <w:rPr>
          <w:rFonts w:hint="eastAsia" w:ascii="宋体" w:hAnsi="宋体" w:cs="宋体"/>
          <w:bCs/>
          <w:sz w:val="24"/>
          <w:szCs w:val="24"/>
          <w:highlight w:val="none"/>
          <w:lang w:eastAsia="zh-CN"/>
        </w:rPr>
        <w:t>无重大违法记录承诺书</w:t>
      </w:r>
    </w:p>
    <w:p w14:paraId="310DD4D3">
      <w:pPr>
        <w:spacing w:line="360" w:lineRule="auto"/>
        <w:ind w:firstLine="480" w:firstLineChars="200"/>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格式7   具有履行合同所必需的设备和专业技术能力的承诺书</w:t>
      </w:r>
    </w:p>
    <w:p w14:paraId="056C2F4D">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lang w:val="en-US" w:eastAsia="zh-CN"/>
        </w:rPr>
        <w:t xml:space="preserve">格式8   </w:t>
      </w:r>
      <w:r>
        <w:rPr>
          <w:rFonts w:hint="eastAsia" w:ascii="宋体" w:hAnsi="宋体" w:cs="宋体"/>
          <w:sz w:val="24"/>
          <w:szCs w:val="24"/>
          <w:highlight w:val="none"/>
        </w:rPr>
        <w:t>响应函</w:t>
      </w:r>
    </w:p>
    <w:p w14:paraId="2FA833C6">
      <w:pPr>
        <w:spacing w:line="360" w:lineRule="auto"/>
        <w:ind w:firstLine="480" w:firstLineChars="200"/>
        <w:rPr>
          <w:rFonts w:hint="eastAsia" w:ascii="宋体" w:hAnsi="宋体" w:eastAsia="宋体" w:cs="宋体"/>
          <w:bCs/>
          <w:sz w:val="24"/>
          <w:szCs w:val="24"/>
          <w:highlight w:val="none"/>
          <w:lang w:eastAsia="zh-CN"/>
        </w:rPr>
      </w:pPr>
      <w:r>
        <w:rPr>
          <w:rFonts w:hint="eastAsia" w:ascii="宋体" w:hAnsi="宋体" w:cs="宋体"/>
          <w:bCs/>
          <w:sz w:val="24"/>
          <w:szCs w:val="24"/>
          <w:highlight w:val="none"/>
        </w:rPr>
        <w:t>格式</w:t>
      </w:r>
      <w:r>
        <w:rPr>
          <w:rFonts w:hint="eastAsia" w:ascii="宋体" w:hAnsi="宋体" w:cs="宋体"/>
          <w:bCs/>
          <w:sz w:val="24"/>
          <w:szCs w:val="24"/>
          <w:highlight w:val="none"/>
          <w:lang w:val="en-US" w:eastAsia="zh-CN"/>
        </w:rPr>
        <w:t>9</w:t>
      </w:r>
      <w:r>
        <w:rPr>
          <w:rFonts w:hint="eastAsia" w:ascii="宋体" w:hAnsi="宋体" w:cs="宋体"/>
          <w:bCs/>
          <w:sz w:val="24"/>
          <w:szCs w:val="24"/>
          <w:highlight w:val="none"/>
        </w:rPr>
        <w:t xml:space="preserve">   商务报价一览表</w:t>
      </w:r>
      <w:r>
        <w:rPr>
          <w:rFonts w:hint="eastAsia" w:ascii="宋体" w:hAnsi="宋体" w:cs="宋体"/>
          <w:bCs/>
          <w:sz w:val="24"/>
          <w:szCs w:val="24"/>
          <w:highlight w:val="none"/>
          <w:lang w:eastAsia="zh-CN"/>
        </w:rPr>
        <w:t>（首次）</w:t>
      </w:r>
    </w:p>
    <w:p w14:paraId="3972527C">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格式</w:t>
      </w:r>
      <w:r>
        <w:rPr>
          <w:rFonts w:hint="eastAsia" w:ascii="宋体" w:hAnsi="宋体" w:cs="宋体"/>
          <w:sz w:val="24"/>
          <w:szCs w:val="24"/>
          <w:highlight w:val="none"/>
          <w:lang w:val="en-US" w:eastAsia="zh-CN"/>
        </w:rPr>
        <w:t>10</w:t>
      </w:r>
      <w:r>
        <w:rPr>
          <w:rFonts w:hint="eastAsia" w:ascii="宋体" w:hAnsi="宋体" w:cs="宋体"/>
          <w:sz w:val="24"/>
          <w:szCs w:val="24"/>
          <w:highlight w:val="none"/>
        </w:rPr>
        <w:t xml:space="preserve">  商务条款偏离表</w:t>
      </w:r>
    </w:p>
    <w:p w14:paraId="161A6684">
      <w:pPr>
        <w:spacing w:line="360" w:lineRule="auto"/>
        <w:ind w:firstLine="480" w:firstLineChars="200"/>
        <w:rPr>
          <w:rFonts w:hint="eastAsia" w:ascii="宋体" w:hAnsi="宋体" w:cs="宋体"/>
          <w:sz w:val="24"/>
          <w:szCs w:val="24"/>
          <w:highlight w:val="none"/>
        </w:rPr>
      </w:pPr>
      <w:r>
        <w:rPr>
          <w:rFonts w:hint="eastAsia" w:ascii="宋体" w:hAnsi="宋体" w:cs="宋体"/>
          <w:bCs/>
          <w:sz w:val="24"/>
          <w:szCs w:val="24"/>
          <w:highlight w:val="none"/>
        </w:rPr>
        <w:t>格式</w:t>
      </w:r>
      <w:r>
        <w:rPr>
          <w:rFonts w:hint="eastAsia" w:ascii="宋体" w:hAnsi="宋体" w:cs="宋体"/>
          <w:bCs/>
          <w:sz w:val="24"/>
          <w:szCs w:val="24"/>
          <w:highlight w:val="none"/>
          <w:lang w:val="en-US" w:eastAsia="zh-CN"/>
        </w:rPr>
        <w:t>11</w:t>
      </w:r>
      <w:r>
        <w:rPr>
          <w:rFonts w:hint="eastAsia" w:ascii="宋体" w:hAnsi="宋体" w:cs="宋体"/>
          <w:bCs/>
          <w:sz w:val="24"/>
          <w:szCs w:val="24"/>
          <w:highlight w:val="none"/>
        </w:rPr>
        <w:t xml:space="preserve"> </w:t>
      </w:r>
      <w:r>
        <w:rPr>
          <w:rFonts w:hint="eastAsia" w:ascii="宋体" w:hAnsi="宋体" w:cs="宋体"/>
          <w:bCs/>
          <w:sz w:val="24"/>
          <w:szCs w:val="24"/>
          <w:highlight w:val="none"/>
          <w:lang w:val="en-US" w:eastAsia="zh-CN"/>
        </w:rPr>
        <w:t xml:space="preserve"> </w:t>
      </w:r>
      <w:r>
        <w:rPr>
          <w:rFonts w:hint="eastAsia" w:ascii="宋体" w:hAnsi="宋体" w:cs="宋体"/>
          <w:bCs/>
          <w:sz w:val="24"/>
          <w:szCs w:val="24"/>
          <w:highlight w:val="none"/>
        </w:rPr>
        <w:t>（</w:t>
      </w:r>
      <w:r>
        <w:rPr>
          <w:rFonts w:hint="eastAsia" w:ascii="宋体" w:hAnsi="宋体" w:cs="宋体"/>
          <w:bCs/>
          <w:sz w:val="24"/>
          <w:szCs w:val="24"/>
          <w:highlight w:val="none"/>
          <w:lang w:val="zh-CN"/>
        </w:rPr>
        <w:t>20</w:t>
      </w:r>
      <w:r>
        <w:rPr>
          <w:rFonts w:hint="eastAsia" w:ascii="宋体" w:hAnsi="宋体" w:cs="宋体"/>
          <w:bCs/>
          <w:sz w:val="24"/>
          <w:szCs w:val="24"/>
          <w:highlight w:val="none"/>
          <w:lang w:val="en-US" w:eastAsia="zh-CN"/>
        </w:rPr>
        <w:t>21</w:t>
      </w:r>
      <w:r>
        <w:rPr>
          <w:rFonts w:hint="eastAsia" w:ascii="宋体" w:hAnsi="宋体" w:cs="宋体"/>
          <w:bCs/>
          <w:sz w:val="24"/>
          <w:szCs w:val="24"/>
          <w:highlight w:val="none"/>
          <w:lang w:val="zh-CN"/>
        </w:rPr>
        <w:t>年1月1日至今</w:t>
      </w:r>
      <w:r>
        <w:rPr>
          <w:rFonts w:hint="eastAsia" w:ascii="宋体" w:hAnsi="宋体" w:cs="宋体"/>
          <w:bCs/>
          <w:sz w:val="24"/>
          <w:szCs w:val="24"/>
          <w:highlight w:val="none"/>
        </w:rPr>
        <w:t>）同类项目业绩表</w:t>
      </w:r>
    </w:p>
    <w:p w14:paraId="276B1E20">
      <w:pPr>
        <w:spacing w:line="360" w:lineRule="auto"/>
        <w:ind w:firstLine="480" w:firstLineChars="200"/>
        <w:jc w:val="left"/>
        <w:rPr>
          <w:rFonts w:hint="eastAsia" w:ascii="宋体" w:hAnsi="宋体" w:cs="宋体"/>
          <w:bCs/>
          <w:sz w:val="24"/>
          <w:szCs w:val="24"/>
          <w:highlight w:val="none"/>
        </w:rPr>
      </w:pPr>
      <w:r>
        <w:rPr>
          <w:rFonts w:hint="eastAsia" w:ascii="宋体" w:hAnsi="宋体" w:cs="宋体"/>
          <w:bCs/>
          <w:sz w:val="24"/>
          <w:szCs w:val="24"/>
          <w:highlight w:val="none"/>
        </w:rPr>
        <w:t>格式</w:t>
      </w:r>
      <w:r>
        <w:rPr>
          <w:rFonts w:hint="eastAsia" w:ascii="宋体" w:hAnsi="宋体" w:cs="宋体"/>
          <w:bCs/>
          <w:sz w:val="24"/>
          <w:szCs w:val="24"/>
          <w:highlight w:val="none"/>
          <w:lang w:val="en-US" w:eastAsia="zh-CN"/>
        </w:rPr>
        <w:t>12</w:t>
      </w:r>
      <w:r>
        <w:rPr>
          <w:rFonts w:hint="eastAsia" w:ascii="宋体" w:hAnsi="宋体" w:cs="宋体"/>
          <w:bCs/>
          <w:sz w:val="24"/>
          <w:szCs w:val="24"/>
          <w:highlight w:val="none"/>
        </w:rPr>
        <w:t xml:space="preserve">  </w:t>
      </w:r>
      <w:r>
        <w:rPr>
          <w:rFonts w:hint="eastAsia" w:ascii="宋体" w:hAnsi="宋体" w:cs="宋体"/>
          <w:bCs/>
          <w:sz w:val="24"/>
          <w:szCs w:val="24"/>
          <w:highlight w:val="none"/>
          <w:lang w:val="en-US" w:eastAsia="zh-CN"/>
        </w:rPr>
        <w:t>服务人员明细</w:t>
      </w:r>
      <w:r>
        <w:rPr>
          <w:rFonts w:hint="eastAsia" w:ascii="宋体" w:hAnsi="宋体" w:cs="宋体"/>
          <w:bCs/>
          <w:sz w:val="24"/>
          <w:szCs w:val="24"/>
          <w:highlight w:val="none"/>
        </w:rPr>
        <w:t>表</w:t>
      </w:r>
    </w:p>
    <w:p w14:paraId="07B56CEB">
      <w:pPr>
        <w:spacing w:line="360" w:lineRule="auto"/>
        <w:ind w:firstLine="480" w:firstLineChars="200"/>
        <w:jc w:val="left"/>
        <w:rPr>
          <w:rFonts w:hint="eastAsia" w:ascii="宋体" w:hAnsi="宋体" w:cs="宋体"/>
          <w:bCs/>
          <w:sz w:val="24"/>
          <w:szCs w:val="24"/>
          <w:highlight w:val="none"/>
        </w:rPr>
      </w:pPr>
      <w:r>
        <w:rPr>
          <w:rFonts w:hint="eastAsia" w:ascii="宋体" w:hAnsi="宋体" w:cs="宋体"/>
          <w:bCs/>
          <w:sz w:val="24"/>
          <w:szCs w:val="24"/>
          <w:highlight w:val="none"/>
        </w:rPr>
        <w:t>格式</w:t>
      </w:r>
      <w:r>
        <w:rPr>
          <w:rFonts w:hint="eastAsia" w:ascii="宋体" w:hAnsi="宋体" w:cs="宋体"/>
          <w:bCs/>
          <w:sz w:val="24"/>
          <w:szCs w:val="24"/>
          <w:highlight w:val="none"/>
          <w:lang w:val="en-US" w:eastAsia="zh-CN"/>
        </w:rPr>
        <w:t>13</w:t>
      </w:r>
      <w:r>
        <w:rPr>
          <w:rFonts w:hint="eastAsia" w:ascii="宋体" w:hAnsi="宋体" w:cs="宋体"/>
          <w:bCs/>
          <w:sz w:val="24"/>
          <w:szCs w:val="24"/>
          <w:highlight w:val="none"/>
        </w:rPr>
        <w:t xml:space="preserve">  中小企业声明函</w:t>
      </w:r>
    </w:p>
    <w:p w14:paraId="374FC264">
      <w:pPr>
        <w:pStyle w:val="10"/>
        <w:rPr>
          <w:rFonts w:hint="eastAsia"/>
          <w:highlight w:val="none"/>
        </w:rPr>
      </w:pPr>
    </w:p>
    <w:p w14:paraId="68B029B6">
      <w:pPr>
        <w:rPr>
          <w:rFonts w:hint="eastAsia" w:ascii="宋体" w:hAnsi="宋体" w:cs="宋体"/>
          <w:highlight w:val="none"/>
        </w:rPr>
      </w:pPr>
    </w:p>
    <w:p w14:paraId="4770C6BA">
      <w:pPr>
        <w:rPr>
          <w:rFonts w:hint="eastAsia" w:ascii="宋体" w:hAnsi="宋体" w:cs="宋体"/>
          <w:highlight w:val="none"/>
        </w:rPr>
      </w:pPr>
    </w:p>
    <w:p w14:paraId="49A1A440">
      <w:pPr>
        <w:rPr>
          <w:rFonts w:hint="eastAsia" w:ascii="宋体" w:hAnsi="宋体" w:cs="宋体"/>
          <w:highlight w:val="none"/>
        </w:rPr>
      </w:pPr>
    </w:p>
    <w:p w14:paraId="5702583D">
      <w:pPr>
        <w:rPr>
          <w:rFonts w:hint="eastAsia" w:ascii="宋体" w:hAnsi="宋体" w:cs="宋体"/>
          <w:highlight w:val="none"/>
        </w:rPr>
      </w:pPr>
    </w:p>
    <w:p w14:paraId="2C759FE4">
      <w:pPr>
        <w:rPr>
          <w:rFonts w:hint="eastAsia" w:ascii="宋体" w:hAnsi="宋体" w:cs="宋体"/>
          <w:highlight w:val="none"/>
        </w:rPr>
      </w:pPr>
    </w:p>
    <w:p w14:paraId="2E0A0F96">
      <w:pPr>
        <w:rPr>
          <w:rFonts w:hint="eastAsia" w:ascii="宋体" w:hAnsi="宋体" w:cs="宋体"/>
          <w:highlight w:val="none"/>
        </w:rPr>
      </w:pPr>
    </w:p>
    <w:p w14:paraId="4D887BCF">
      <w:pPr>
        <w:rPr>
          <w:rFonts w:hint="eastAsia" w:ascii="宋体" w:hAnsi="宋体" w:cs="宋体"/>
          <w:highlight w:val="none"/>
        </w:rPr>
      </w:pPr>
    </w:p>
    <w:p w14:paraId="01A29A31">
      <w:pPr>
        <w:rPr>
          <w:rFonts w:hint="eastAsia" w:ascii="宋体" w:hAnsi="宋体" w:cs="宋体"/>
          <w:highlight w:val="none"/>
        </w:rPr>
      </w:pPr>
    </w:p>
    <w:p w14:paraId="6B606D45">
      <w:pPr>
        <w:rPr>
          <w:rFonts w:hint="eastAsia" w:ascii="宋体" w:hAnsi="宋体" w:cs="宋体"/>
          <w:highlight w:val="none"/>
        </w:rPr>
      </w:pPr>
    </w:p>
    <w:p w14:paraId="389F2FAA">
      <w:pPr>
        <w:rPr>
          <w:rFonts w:hint="eastAsia" w:ascii="宋体" w:hAnsi="宋体" w:cs="宋体"/>
          <w:highlight w:val="none"/>
        </w:rPr>
      </w:pPr>
    </w:p>
    <w:p w14:paraId="23EB556E">
      <w:pPr>
        <w:pStyle w:val="12"/>
        <w:spacing w:line="360" w:lineRule="auto"/>
        <w:jc w:val="both"/>
        <w:outlineLvl w:val="9"/>
        <w:rPr>
          <w:rFonts w:hint="eastAsia" w:hAnsi="宋体" w:cs="宋体"/>
          <w:b/>
          <w:bCs/>
          <w:sz w:val="52"/>
          <w:szCs w:val="52"/>
          <w:highlight w:val="none"/>
        </w:rPr>
      </w:pPr>
      <w:r>
        <w:rPr>
          <w:rFonts w:hint="eastAsia" w:hAnsi="宋体" w:cs="宋体"/>
          <w:b/>
          <w:bCs/>
          <w:sz w:val="52"/>
          <w:szCs w:val="52"/>
          <w:highlight w:val="none"/>
        </w:rPr>
        <w:br w:type="page"/>
      </w:r>
    </w:p>
    <w:p w14:paraId="2A225B6B">
      <w:pPr>
        <w:pStyle w:val="12"/>
        <w:spacing w:line="360" w:lineRule="auto"/>
        <w:jc w:val="both"/>
        <w:outlineLvl w:val="9"/>
        <w:rPr>
          <w:rFonts w:hint="eastAsia" w:hAnsi="宋体" w:cs="宋体"/>
          <w:b/>
          <w:bCs/>
          <w:sz w:val="52"/>
          <w:szCs w:val="52"/>
          <w:highlight w:val="none"/>
        </w:rPr>
      </w:pPr>
    </w:p>
    <w:p w14:paraId="3F320A46">
      <w:pPr>
        <w:pStyle w:val="12"/>
        <w:spacing w:line="360" w:lineRule="auto"/>
        <w:jc w:val="center"/>
        <w:outlineLvl w:val="9"/>
        <w:rPr>
          <w:rFonts w:hint="eastAsia" w:hAnsi="宋体" w:cs="宋体"/>
          <w:b/>
          <w:kern w:val="2"/>
          <w:sz w:val="56"/>
          <w:szCs w:val="56"/>
          <w:highlight w:val="none"/>
          <w:lang w:val="en-US" w:eastAsia="zh-CN" w:bidi="ar-SA"/>
        </w:rPr>
      </w:pPr>
    </w:p>
    <w:p w14:paraId="3332B3A6">
      <w:pPr>
        <w:pStyle w:val="12"/>
        <w:spacing w:line="360" w:lineRule="auto"/>
        <w:jc w:val="center"/>
        <w:outlineLvl w:val="9"/>
        <w:rPr>
          <w:rFonts w:hint="eastAsia" w:ascii="宋体" w:hAnsi="宋体" w:eastAsia="宋体" w:cs="宋体"/>
          <w:b/>
          <w:kern w:val="2"/>
          <w:sz w:val="56"/>
          <w:szCs w:val="56"/>
          <w:highlight w:val="none"/>
          <w:lang w:val="en-US" w:eastAsia="zh-CN" w:bidi="ar-SA"/>
        </w:rPr>
      </w:pPr>
      <w:r>
        <w:rPr>
          <w:rFonts w:hint="eastAsia" w:hAnsi="宋体" w:cs="宋体"/>
          <w:b/>
          <w:kern w:val="2"/>
          <w:sz w:val="56"/>
          <w:szCs w:val="56"/>
          <w:highlight w:val="none"/>
          <w:lang w:val="en-US" w:eastAsia="zh-CN" w:bidi="ar-SA"/>
        </w:rPr>
        <w:t>塔城市2024年度国土变更调查项目</w:t>
      </w:r>
    </w:p>
    <w:p w14:paraId="299ADD97">
      <w:pPr>
        <w:pStyle w:val="20"/>
        <w:rPr>
          <w:rFonts w:hint="eastAsia"/>
          <w:highlight w:val="none"/>
        </w:rPr>
      </w:pPr>
    </w:p>
    <w:p w14:paraId="2772C2FB">
      <w:pPr>
        <w:spacing w:line="360" w:lineRule="auto"/>
        <w:rPr>
          <w:rFonts w:hint="eastAsia" w:ascii="宋体" w:hAnsi="宋体" w:cs="宋体"/>
          <w:sz w:val="32"/>
          <w:szCs w:val="32"/>
          <w:highlight w:val="none"/>
        </w:rPr>
      </w:pPr>
    </w:p>
    <w:p w14:paraId="601C22AD">
      <w:pPr>
        <w:jc w:val="center"/>
        <w:rPr>
          <w:rFonts w:hint="eastAsia" w:ascii="宋体" w:hAnsi="宋体" w:cs="宋体"/>
          <w:b/>
          <w:sz w:val="72"/>
          <w:szCs w:val="72"/>
          <w:highlight w:val="none"/>
        </w:rPr>
      </w:pPr>
    </w:p>
    <w:p w14:paraId="3EBD8D39">
      <w:pPr>
        <w:jc w:val="center"/>
        <w:rPr>
          <w:rFonts w:hint="eastAsia" w:ascii="宋体" w:hAnsi="宋体" w:cs="宋体"/>
          <w:b/>
          <w:sz w:val="72"/>
          <w:szCs w:val="72"/>
          <w:highlight w:val="none"/>
        </w:rPr>
      </w:pPr>
      <w:r>
        <w:rPr>
          <w:rFonts w:hint="eastAsia" w:ascii="宋体" w:hAnsi="宋体" w:cs="宋体"/>
          <w:b/>
          <w:sz w:val="72"/>
          <w:szCs w:val="72"/>
          <w:highlight w:val="none"/>
        </w:rPr>
        <w:t>响  应  文  件</w:t>
      </w:r>
    </w:p>
    <w:p w14:paraId="24F90982">
      <w:pPr>
        <w:snapToGrid w:val="0"/>
        <w:spacing w:line="374" w:lineRule="atLeast"/>
        <w:jc w:val="center"/>
        <w:rPr>
          <w:rFonts w:hint="eastAsia" w:ascii="宋体" w:hAnsi="宋体" w:cs="宋体"/>
          <w:b/>
          <w:sz w:val="32"/>
          <w:szCs w:val="21"/>
          <w:highlight w:val="none"/>
        </w:rPr>
      </w:pPr>
    </w:p>
    <w:p w14:paraId="6ABB9FF8">
      <w:pPr>
        <w:snapToGrid w:val="0"/>
        <w:spacing w:line="374" w:lineRule="atLeast"/>
        <w:jc w:val="center"/>
        <w:rPr>
          <w:rFonts w:hint="eastAsia" w:ascii="宋体" w:hAnsi="宋体" w:cs="宋体"/>
          <w:b/>
          <w:sz w:val="32"/>
          <w:szCs w:val="21"/>
          <w:highlight w:val="none"/>
        </w:rPr>
      </w:pPr>
    </w:p>
    <w:p w14:paraId="54E83969">
      <w:pPr>
        <w:jc w:val="center"/>
        <w:rPr>
          <w:rFonts w:hint="eastAsia" w:ascii="宋体" w:hAnsi="宋体" w:cs="宋体"/>
          <w:b/>
          <w:sz w:val="32"/>
          <w:szCs w:val="21"/>
          <w:highlight w:val="none"/>
        </w:rPr>
      </w:pPr>
    </w:p>
    <w:p w14:paraId="6EE81560">
      <w:pPr>
        <w:jc w:val="center"/>
        <w:rPr>
          <w:rFonts w:hint="default" w:ascii="宋体" w:hAnsi="宋体" w:eastAsia="宋体" w:cs="宋体"/>
          <w:highlight w:val="none"/>
          <w:lang w:val="en-US" w:eastAsia="zh-CN"/>
        </w:rPr>
      </w:pPr>
      <w:r>
        <w:rPr>
          <w:rFonts w:hint="eastAsia" w:ascii="宋体" w:hAnsi="宋体" w:cs="宋体"/>
          <w:b/>
          <w:sz w:val="32"/>
          <w:szCs w:val="21"/>
          <w:highlight w:val="none"/>
        </w:rPr>
        <w:t>竞争性磋商文件编号：</w:t>
      </w:r>
      <w:r>
        <w:rPr>
          <w:rFonts w:hint="eastAsia" w:ascii="宋体" w:hAnsi="宋体" w:cs="宋体"/>
          <w:b/>
          <w:sz w:val="32"/>
          <w:szCs w:val="21"/>
          <w:highlight w:val="none"/>
          <w:lang w:val="en-US" w:eastAsia="zh-CN"/>
        </w:rPr>
        <w:t>XZZB-FW-2025008</w:t>
      </w:r>
    </w:p>
    <w:p w14:paraId="21D2CF6D">
      <w:pPr>
        <w:rPr>
          <w:rFonts w:hint="eastAsia" w:ascii="宋体" w:hAnsi="宋体" w:cs="宋体"/>
          <w:highlight w:val="none"/>
        </w:rPr>
      </w:pPr>
    </w:p>
    <w:p w14:paraId="3B9144A0">
      <w:pPr>
        <w:rPr>
          <w:rFonts w:hint="eastAsia" w:ascii="宋体" w:hAnsi="宋体" w:cs="宋体"/>
          <w:highlight w:val="none"/>
        </w:rPr>
      </w:pPr>
    </w:p>
    <w:p w14:paraId="7AC76A82">
      <w:pPr>
        <w:rPr>
          <w:rFonts w:hint="eastAsia" w:ascii="宋体" w:hAnsi="宋体" w:cs="宋体"/>
          <w:highlight w:val="none"/>
        </w:rPr>
      </w:pPr>
    </w:p>
    <w:p w14:paraId="5ED68457">
      <w:pPr>
        <w:spacing w:line="360" w:lineRule="auto"/>
        <w:ind w:firstLine="602"/>
        <w:rPr>
          <w:rFonts w:hint="eastAsia" w:ascii="宋体" w:hAnsi="宋体" w:cs="宋体"/>
          <w:b/>
          <w:sz w:val="32"/>
          <w:szCs w:val="32"/>
          <w:highlight w:val="none"/>
        </w:rPr>
      </w:pPr>
    </w:p>
    <w:p w14:paraId="35A97B04">
      <w:pPr>
        <w:spacing w:line="360" w:lineRule="auto"/>
        <w:ind w:firstLine="602"/>
        <w:rPr>
          <w:rFonts w:hint="eastAsia" w:ascii="宋体" w:hAnsi="宋体" w:cs="宋体"/>
          <w:b/>
          <w:sz w:val="32"/>
          <w:szCs w:val="32"/>
          <w:highlight w:val="none"/>
        </w:rPr>
      </w:pPr>
      <w:r>
        <w:rPr>
          <w:rFonts w:hint="eastAsia" w:ascii="宋体" w:hAnsi="宋体" w:cs="宋体"/>
          <w:b/>
          <w:sz w:val="32"/>
          <w:szCs w:val="32"/>
          <w:highlight w:val="none"/>
        </w:rPr>
        <w:t>供应商： （单位名称）盖章</w:t>
      </w:r>
    </w:p>
    <w:p w14:paraId="6433B198">
      <w:pPr>
        <w:spacing w:line="360" w:lineRule="auto"/>
        <w:rPr>
          <w:rFonts w:hint="eastAsia" w:ascii="宋体" w:hAnsi="宋体" w:cs="宋体"/>
          <w:b/>
          <w:sz w:val="32"/>
          <w:szCs w:val="32"/>
          <w:highlight w:val="none"/>
        </w:rPr>
      </w:pPr>
    </w:p>
    <w:p w14:paraId="74D22EB2">
      <w:pPr>
        <w:spacing w:line="360" w:lineRule="auto"/>
        <w:ind w:firstLine="602"/>
        <w:rPr>
          <w:rFonts w:hint="eastAsia" w:ascii="宋体" w:hAnsi="宋体" w:cs="宋体"/>
          <w:b/>
          <w:sz w:val="32"/>
          <w:szCs w:val="32"/>
          <w:highlight w:val="none"/>
        </w:rPr>
      </w:pPr>
      <w:r>
        <w:rPr>
          <w:rFonts w:hint="eastAsia" w:ascii="宋体" w:hAnsi="宋体" w:cs="宋体"/>
          <w:b/>
          <w:sz w:val="32"/>
          <w:szCs w:val="32"/>
          <w:highlight w:val="none"/>
        </w:rPr>
        <w:t>单位地址：</w:t>
      </w:r>
    </w:p>
    <w:p w14:paraId="1E02370E">
      <w:pPr>
        <w:spacing w:line="360" w:lineRule="auto"/>
        <w:ind w:firstLine="602"/>
        <w:rPr>
          <w:rFonts w:hint="eastAsia" w:ascii="宋体" w:hAnsi="宋体" w:cs="宋体"/>
          <w:b/>
          <w:sz w:val="32"/>
          <w:szCs w:val="32"/>
          <w:highlight w:val="none"/>
        </w:rPr>
      </w:pPr>
    </w:p>
    <w:p w14:paraId="5E81D9E4">
      <w:pPr>
        <w:pStyle w:val="12"/>
        <w:ind w:firstLine="643" w:firstLineChars="200"/>
        <w:rPr>
          <w:rFonts w:hint="eastAsia" w:hAnsi="宋体" w:cs="宋体"/>
          <w:b/>
          <w:sz w:val="32"/>
          <w:szCs w:val="32"/>
          <w:highlight w:val="none"/>
        </w:rPr>
      </w:pPr>
      <w:bookmarkStart w:id="285" w:name="_Toc28816"/>
      <w:r>
        <w:rPr>
          <w:rFonts w:hint="eastAsia" w:hAnsi="宋体" w:cs="宋体"/>
          <w:b/>
          <w:sz w:val="32"/>
          <w:szCs w:val="32"/>
          <w:highlight w:val="none"/>
        </w:rPr>
        <w:t xml:space="preserve">联系人：                   </w:t>
      </w:r>
    </w:p>
    <w:p w14:paraId="603CDAB9">
      <w:pPr>
        <w:pStyle w:val="12"/>
        <w:ind w:firstLine="643" w:firstLineChars="200"/>
        <w:rPr>
          <w:rFonts w:hint="eastAsia" w:hAnsi="宋体" w:cs="宋体"/>
          <w:b/>
          <w:sz w:val="32"/>
          <w:szCs w:val="32"/>
          <w:highlight w:val="none"/>
        </w:rPr>
      </w:pPr>
    </w:p>
    <w:p w14:paraId="4A2FF723">
      <w:pPr>
        <w:pStyle w:val="12"/>
        <w:ind w:firstLine="643" w:firstLineChars="200"/>
        <w:rPr>
          <w:rFonts w:hint="eastAsia" w:hAnsi="宋体" w:cs="宋体"/>
          <w:b/>
          <w:sz w:val="32"/>
          <w:szCs w:val="32"/>
          <w:highlight w:val="none"/>
        </w:rPr>
      </w:pPr>
    </w:p>
    <w:p w14:paraId="1268BBE0">
      <w:pPr>
        <w:pStyle w:val="12"/>
        <w:ind w:firstLine="643" w:firstLineChars="200"/>
        <w:rPr>
          <w:rFonts w:hint="eastAsia" w:hAnsi="宋体" w:cs="宋体"/>
          <w:sz w:val="28"/>
          <w:szCs w:val="21"/>
          <w:highlight w:val="none"/>
        </w:rPr>
      </w:pPr>
      <w:r>
        <w:rPr>
          <w:rFonts w:hint="eastAsia" w:hAnsi="宋体" w:cs="宋体"/>
          <w:b/>
          <w:sz w:val="32"/>
          <w:szCs w:val="32"/>
          <w:highlight w:val="none"/>
        </w:rPr>
        <w:t>联系电话：</w:t>
      </w:r>
      <w:bookmarkEnd w:id="285"/>
    </w:p>
    <w:p w14:paraId="0FDF238B">
      <w:pPr>
        <w:pStyle w:val="12"/>
        <w:rPr>
          <w:rFonts w:hint="eastAsia" w:hAnsi="宋体" w:cs="宋体"/>
          <w:sz w:val="28"/>
          <w:szCs w:val="21"/>
          <w:highlight w:val="none"/>
        </w:rPr>
      </w:pPr>
    </w:p>
    <w:p w14:paraId="7FBA136B">
      <w:pPr>
        <w:pStyle w:val="33"/>
        <w:rPr>
          <w:rFonts w:hint="eastAsia" w:ascii="宋体" w:hAnsi="宋体" w:cs="宋体"/>
          <w:b/>
          <w:sz w:val="28"/>
          <w:szCs w:val="21"/>
          <w:highlight w:val="none"/>
        </w:rPr>
      </w:pPr>
    </w:p>
    <w:p w14:paraId="3F1F2D4B">
      <w:pPr>
        <w:spacing w:line="360" w:lineRule="auto"/>
        <w:jc w:val="center"/>
        <w:rPr>
          <w:rFonts w:hint="eastAsia" w:ascii="宋体" w:hAnsi="宋体" w:eastAsia="宋体" w:cs="宋体"/>
          <w:bCs/>
          <w:sz w:val="24"/>
          <w:szCs w:val="24"/>
          <w:highlight w:val="none"/>
        </w:rPr>
      </w:pPr>
      <w:r>
        <w:rPr>
          <w:rFonts w:hint="eastAsia" w:ascii="宋体" w:hAnsi="宋体" w:eastAsia="宋体" w:cs="宋体"/>
          <w:b/>
          <w:sz w:val="24"/>
          <w:szCs w:val="24"/>
          <w:highlight w:val="none"/>
        </w:rPr>
        <w:t xml:space="preserve">格式1  </w:t>
      </w:r>
      <w:r>
        <w:rPr>
          <w:rFonts w:hint="eastAsia" w:ascii="宋体" w:hAnsi="宋体" w:eastAsia="宋体" w:cs="宋体"/>
          <w:b/>
          <w:bCs/>
          <w:sz w:val="24"/>
          <w:szCs w:val="24"/>
          <w:highlight w:val="none"/>
        </w:rPr>
        <w:t xml:space="preserve"> </w:t>
      </w:r>
      <w:r>
        <w:rPr>
          <w:rFonts w:hint="eastAsia" w:ascii="宋体" w:hAnsi="宋体" w:eastAsia="宋体" w:cs="宋体"/>
          <w:b/>
          <w:sz w:val="24"/>
          <w:szCs w:val="24"/>
          <w:highlight w:val="none"/>
        </w:rPr>
        <w:t>资格性/符合性自查表</w:t>
      </w:r>
    </w:p>
    <w:tbl>
      <w:tblPr>
        <w:tblStyle w:val="24"/>
        <w:tblW w:w="9818" w:type="dxa"/>
        <w:jc w:val="center"/>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
      <w:tblGrid>
        <w:gridCol w:w="1284"/>
        <w:gridCol w:w="3334"/>
        <w:gridCol w:w="2425"/>
        <w:gridCol w:w="2775"/>
      </w:tblGrid>
      <w:tr w14:paraId="34481D49">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729" w:hRule="atLeast"/>
          <w:jc w:val="center"/>
        </w:trPr>
        <w:tc>
          <w:tcPr>
            <w:tcW w:w="1284" w:type="dxa"/>
            <w:tcBorders>
              <w:top w:val="outset" w:color="111111" w:sz="6" w:space="0"/>
              <w:left w:val="outset" w:color="111111" w:sz="6" w:space="0"/>
              <w:bottom w:val="outset" w:color="111111" w:sz="6" w:space="0"/>
              <w:right w:val="outset" w:color="111111" w:sz="6" w:space="0"/>
            </w:tcBorders>
            <w:vAlign w:val="center"/>
          </w:tcPr>
          <w:p w14:paraId="0F078BFF">
            <w:pPr>
              <w:jc w:val="center"/>
              <w:rPr>
                <w:rFonts w:hint="eastAsia" w:ascii="宋体" w:hAnsi="宋体" w:eastAsia="宋体" w:cs="宋体"/>
                <w:sz w:val="24"/>
                <w:szCs w:val="24"/>
                <w:highlight w:val="none"/>
              </w:rPr>
            </w:pPr>
            <w:r>
              <w:rPr>
                <w:rFonts w:hint="eastAsia" w:ascii="宋体" w:hAnsi="宋体" w:eastAsia="宋体" w:cs="宋体"/>
                <w:b/>
                <w:bCs/>
                <w:spacing w:val="10"/>
                <w:sz w:val="24"/>
                <w:szCs w:val="24"/>
                <w:highlight w:val="none"/>
              </w:rPr>
              <w:t>评审内容</w:t>
            </w:r>
          </w:p>
        </w:tc>
        <w:tc>
          <w:tcPr>
            <w:tcW w:w="3334" w:type="dxa"/>
            <w:tcBorders>
              <w:top w:val="outset" w:color="111111" w:sz="6" w:space="0"/>
              <w:left w:val="outset" w:color="111111" w:sz="6" w:space="0"/>
              <w:bottom w:val="outset" w:color="111111" w:sz="6" w:space="0"/>
              <w:right w:val="outset" w:color="111111" w:sz="6" w:space="0"/>
            </w:tcBorders>
            <w:vAlign w:val="center"/>
          </w:tcPr>
          <w:p w14:paraId="2A001D85">
            <w:pPr>
              <w:jc w:val="center"/>
              <w:rPr>
                <w:rFonts w:hint="eastAsia" w:ascii="宋体" w:hAnsi="宋体" w:eastAsia="宋体" w:cs="宋体"/>
                <w:b/>
                <w:bCs/>
                <w:spacing w:val="10"/>
                <w:sz w:val="24"/>
                <w:szCs w:val="24"/>
                <w:highlight w:val="none"/>
              </w:rPr>
            </w:pPr>
            <w:r>
              <w:rPr>
                <w:rFonts w:hint="eastAsia" w:ascii="宋体" w:hAnsi="宋体" w:eastAsia="宋体" w:cs="宋体"/>
                <w:b/>
                <w:bCs/>
                <w:spacing w:val="10"/>
                <w:sz w:val="24"/>
                <w:szCs w:val="24"/>
                <w:highlight w:val="none"/>
              </w:rPr>
              <w:t>竞争性磋商文件要求</w:t>
            </w:r>
          </w:p>
          <w:p w14:paraId="117F9100">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（详见《资格性和符合性审查表》各项）</w:t>
            </w:r>
          </w:p>
        </w:tc>
        <w:tc>
          <w:tcPr>
            <w:tcW w:w="2425" w:type="dxa"/>
            <w:tcBorders>
              <w:top w:val="outset" w:color="111111" w:sz="6" w:space="0"/>
              <w:left w:val="outset" w:color="111111" w:sz="6" w:space="0"/>
              <w:bottom w:val="outset" w:color="111111" w:sz="6" w:space="0"/>
              <w:right w:val="outset" w:color="111111" w:sz="6" w:space="0"/>
            </w:tcBorders>
            <w:vAlign w:val="center"/>
          </w:tcPr>
          <w:p w14:paraId="1B292CCD">
            <w:pPr>
              <w:jc w:val="center"/>
              <w:rPr>
                <w:rFonts w:hint="eastAsia" w:ascii="宋体" w:hAnsi="宋体" w:eastAsia="宋体" w:cs="宋体"/>
                <w:sz w:val="24"/>
                <w:szCs w:val="24"/>
                <w:highlight w:val="none"/>
              </w:rPr>
            </w:pPr>
            <w:r>
              <w:rPr>
                <w:rFonts w:hint="eastAsia" w:ascii="宋体" w:hAnsi="宋体" w:eastAsia="宋体" w:cs="宋体"/>
                <w:b/>
                <w:bCs/>
                <w:spacing w:val="10"/>
                <w:sz w:val="24"/>
                <w:szCs w:val="24"/>
                <w:highlight w:val="none"/>
              </w:rPr>
              <w:t>自查结论</w:t>
            </w:r>
          </w:p>
        </w:tc>
        <w:tc>
          <w:tcPr>
            <w:tcW w:w="2775" w:type="dxa"/>
            <w:tcBorders>
              <w:top w:val="outset" w:color="111111" w:sz="6" w:space="0"/>
              <w:left w:val="outset" w:color="111111" w:sz="6" w:space="0"/>
              <w:bottom w:val="outset" w:color="111111" w:sz="6" w:space="0"/>
              <w:right w:val="outset" w:color="111111" w:sz="6" w:space="0"/>
            </w:tcBorders>
            <w:vAlign w:val="center"/>
          </w:tcPr>
          <w:p w14:paraId="45912011">
            <w:pPr>
              <w:jc w:val="center"/>
              <w:rPr>
                <w:rFonts w:hint="eastAsia" w:ascii="宋体" w:hAnsi="宋体" w:eastAsia="宋体" w:cs="宋体"/>
                <w:sz w:val="24"/>
                <w:szCs w:val="24"/>
                <w:highlight w:val="none"/>
              </w:rPr>
            </w:pPr>
            <w:r>
              <w:rPr>
                <w:rFonts w:hint="eastAsia" w:ascii="宋体" w:hAnsi="宋体" w:eastAsia="宋体" w:cs="宋体"/>
                <w:b/>
                <w:bCs/>
                <w:spacing w:val="10"/>
                <w:sz w:val="24"/>
                <w:szCs w:val="24"/>
                <w:highlight w:val="none"/>
              </w:rPr>
              <w:t>证明资料</w:t>
            </w:r>
          </w:p>
        </w:tc>
      </w:tr>
      <w:tr w14:paraId="10745B30">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98" w:hRule="atLeast"/>
          <w:jc w:val="center"/>
        </w:trPr>
        <w:tc>
          <w:tcPr>
            <w:tcW w:w="1284" w:type="dxa"/>
            <w:vMerge w:val="restart"/>
            <w:tcBorders>
              <w:top w:val="outset" w:color="111111" w:sz="6" w:space="0"/>
              <w:left w:val="outset" w:color="111111" w:sz="6" w:space="0"/>
              <w:right w:val="outset" w:color="111111" w:sz="6" w:space="0"/>
            </w:tcBorders>
            <w:vAlign w:val="center"/>
          </w:tcPr>
          <w:p w14:paraId="56D41296">
            <w:pPr>
              <w:widowControl/>
              <w:spacing w:before="100" w:beforeAutospacing="1" w:after="100" w:afterAutospacing="1"/>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资格性审查</w:t>
            </w:r>
          </w:p>
        </w:tc>
        <w:tc>
          <w:tcPr>
            <w:tcW w:w="3334" w:type="dxa"/>
            <w:tcBorders>
              <w:top w:val="outset" w:color="111111" w:sz="6" w:space="0"/>
              <w:left w:val="outset" w:color="111111" w:sz="6" w:space="0"/>
              <w:bottom w:val="outset" w:color="111111" w:sz="6" w:space="0"/>
              <w:right w:val="outset" w:color="111111" w:sz="6" w:space="0"/>
            </w:tcBorders>
            <w:vAlign w:val="center"/>
          </w:tcPr>
          <w:p w14:paraId="55731391">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070CF2BE">
            <w:pP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通过 □不通过</w:t>
            </w:r>
          </w:p>
        </w:tc>
        <w:tc>
          <w:tcPr>
            <w:tcW w:w="2775" w:type="dxa"/>
            <w:tcBorders>
              <w:top w:val="outset" w:color="111111" w:sz="6" w:space="0"/>
              <w:left w:val="outset" w:color="111111" w:sz="6" w:space="0"/>
              <w:bottom w:val="outset" w:color="111111" w:sz="6" w:space="0"/>
              <w:right w:val="outset" w:color="111111" w:sz="6" w:space="0"/>
            </w:tcBorders>
            <w:vAlign w:val="center"/>
          </w:tcPr>
          <w:p w14:paraId="04D9A101">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r w14:paraId="418E1BE8">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98" w:hRule="atLeast"/>
          <w:jc w:val="center"/>
        </w:trPr>
        <w:tc>
          <w:tcPr>
            <w:tcW w:w="1284" w:type="dxa"/>
            <w:vMerge w:val="continue"/>
            <w:tcBorders>
              <w:left w:val="outset" w:color="111111" w:sz="6" w:space="0"/>
              <w:right w:val="outset" w:color="111111" w:sz="6" w:space="0"/>
            </w:tcBorders>
            <w:vAlign w:val="center"/>
          </w:tcPr>
          <w:p w14:paraId="0CAD4149">
            <w:pPr>
              <w:rPr>
                <w:rFonts w:hint="eastAsia" w:ascii="宋体" w:hAnsi="宋体" w:eastAsia="宋体" w:cs="宋体"/>
                <w:sz w:val="24"/>
                <w:szCs w:val="24"/>
                <w:highlight w:val="none"/>
              </w:rPr>
            </w:pPr>
          </w:p>
        </w:tc>
        <w:tc>
          <w:tcPr>
            <w:tcW w:w="3334" w:type="dxa"/>
            <w:tcBorders>
              <w:top w:val="outset" w:color="111111" w:sz="6" w:space="0"/>
              <w:left w:val="outset" w:color="111111" w:sz="6" w:space="0"/>
              <w:bottom w:val="outset" w:color="111111" w:sz="6" w:space="0"/>
              <w:right w:val="outset" w:color="111111" w:sz="6" w:space="0"/>
            </w:tcBorders>
            <w:vAlign w:val="center"/>
          </w:tcPr>
          <w:p w14:paraId="08A52FD1">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1E7E75F3">
            <w:pPr>
              <w:rPr>
                <w:rFonts w:hint="eastAsia" w:ascii="宋体" w:hAnsi="宋体" w:eastAsia="宋体" w:cs="宋体"/>
                <w:sz w:val="24"/>
                <w:szCs w:val="24"/>
                <w:highlight w:val="none"/>
              </w:rPr>
            </w:pPr>
            <w:r>
              <w:rPr>
                <w:rFonts w:hint="eastAsia" w:ascii="宋体" w:hAnsi="宋体" w:eastAsia="宋体" w:cs="宋体"/>
                <w:sz w:val="24"/>
                <w:szCs w:val="24"/>
                <w:highlight w:val="none"/>
              </w:rPr>
              <w:t>□通过 □不通过</w:t>
            </w:r>
          </w:p>
        </w:tc>
        <w:tc>
          <w:tcPr>
            <w:tcW w:w="2775" w:type="dxa"/>
            <w:tcBorders>
              <w:top w:val="outset" w:color="111111" w:sz="6" w:space="0"/>
              <w:left w:val="outset" w:color="111111" w:sz="6" w:space="0"/>
              <w:bottom w:val="outset" w:color="111111" w:sz="6" w:space="0"/>
              <w:right w:val="outset" w:color="111111" w:sz="6" w:space="0"/>
            </w:tcBorders>
            <w:vAlign w:val="center"/>
          </w:tcPr>
          <w:p w14:paraId="0A278533">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r w14:paraId="13955729">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98" w:hRule="atLeast"/>
          <w:jc w:val="center"/>
        </w:trPr>
        <w:tc>
          <w:tcPr>
            <w:tcW w:w="1284" w:type="dxa"/>
            <w:vMerge w:val="continue"/>
            <w:tcBorders>
              <w:left w:val="outset" w:color="111111" w:sz="6" w:space="0"/>
              <w:right w:val="outset" w:color="111111" w:sz="6" w:space="0"/>
            </w:tcBorders>
            <w:vAlign w:val="center"/>
          </w:tcPr>
          <w:p w14:paraId="11DA5F7E">
            <w:pPr>
              <w:rPr>
                <w:rFonts w:hint="eastAsia" w:ascii="宋体" w:hAnsi="宋体" w:eastAsia="宋体" w:cs="宋体"/>
                <w:sz w:val="24"/>
                <w:szCs w:val="24"/>
                <w:highlight w:val="none"/>
              </w:rPr>
            </w:pPr>
          </w:p>
        </w:tc>
        <w:tc>
          <w:tcPr>
            <w:tcW w:w="3334" w:type="dxa"/>
            <w:tcBorders>
              <w:top w:val="outset" w:color="111111" w:sz="6" w:space="0"/>
              <w:left w:val="outset" w:color="111111" w:sz="6" w:space="0"/>
              <w:bottom w:val="outset" w:color="111111" w:sz="6" w:space="0"/>
              <w:right w:val="outset" w:color="111111" w:sz="6" w:space="0"/>
            </w:tcBorders>
            <w:vAlign w:val="center"/>
          </w:tcPr>
          <w:p w14:paraId="63328718">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1534656F">
            <w:pPr>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通过 □不通过</w:t>
            </w:r>
          </w:p>
        </w:tc>
        <w:tc>
          <w:tcPr>
            <w:tcW w:w="2775" w:type="dxa"/>
            <w:tcBorders>
              <w:top w:val="outset" w:color="111111" w:sz="6" w:space="0"/>
              <w:left w:val="outset" w:color="111111" w:sz="6" w:space="0"/>
              <w:bottom w:val="outset" w:color="111111" w:sz="6" w:space="0"/>
              <w:right w:val="outset" w:color="111111" w:sz="6" w:space="0"/>
            </w:tcBorders>
            <w:vAlign w:val="center"/>
          </w:tcPr>
          <w:p w14:paraId="223BF219">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r w14:paraId="23C257CB">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98" w:hRule="atLeast"/>
          <w:jc w:val="center"/>
        </w:trPr>
        <w:tc>
          <w:tcPr>
            <w:tcW w:w="1284" w:type="dxa"/>
            <w:vMerge w:val="continue"/>
            <w:tcBorders>
              <w:left w:val="outset" w:color="111111" w:sz="6" w:space="0"/>
              <w:right w:val="outset" w:color="111111" w:sz="6" w:space="0"/>
            </w:tcBorders>
            <w:vAlign w:val="center"/>
          </w:tcPr>
          <w:p w14:paraId="147A95FE">
            <w:pPr>
              <w:rPr>
                <w:rFonts w:hint="eastAsia" w:ascii="宋体" w:hAnsi="宋体" w:eastAsia="宋体" w:cs="宋体"/>
                <w:sz w:val="24"/>
                <w:szCs w:val="24"/>
                <w:highlight w:val="none"/>
              </w:rPr>
            </w:pPr>
          </w:p>
        </w:tc>
        <w:tc>
          <w:tcPr>
            <w:tcW w:w="3334" w:type="dxa"/>
            <w:tcBorders>
              <w:top w:val="outset" w:color="111111" w:sz="6" w:space="0"/>
              <w:left w:val="outset" w:color="111111" w:sz="6" w:space="0"/>
              <w:bottom w:val="outset" w:color="111111" w:sz="6" w:space="0"/>
              <w:right w:val="outset" w:color="111111" w:sz="6" w:space="0"/>
            </w:tcBorders>
            <w:vAlign w:val="center"/>
          </w:tcPr>
          <w:p w14:paraId="55BDD69A">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50943967">
            <w:pPr>
              <w:rPr>
                <w:rFonts w:hint="eastAsia" w:ascii="宋体" w:hAnsi="宋体" w:eastAsia="宋体" w:cs="宋体"/>
                <w:sz w:val="24"/>
                <w:szCs w:val="24"/>
                <w:highlight w:val="none"/>
              </w:rPr>
            </w:pPr>
            <w:r>
              <w:rPr>
                <w:rFonts w:hint="eastAsia" w:ascii="宋体" w:hAnsi="宋体" w:eastAsia="宋体" w:cs="宋体"/>
                <w:sz w:val="24"/>
                <w:szCs w:val="24"/>
                <w:highlight w:val="none"/>
              </w:rPr>
              <w:t>□通过 □不通过</w:t>
            </w:r>
          </w:p>
        </w:tc>
        <w:tc>
          <w:tcPr>
            <w:tcW w:w="2775" w:type="dxa"/>
            <w:tcBorders>
              <w:top w:val="outset" w:color="111111" w:sz="6" w:space="0"/>
              <w:left w:val="outset" w:color="111111" w:sz="6" w:space="0"/>
              <w:bottom w:val="outset" w:color="111111" w:sz="6" w:space="0"/>
              <w:right w:val="outset" w:color="111111" w:sz="6" w:space="0"/>
            </w:tcBorders>
            <w:vAlign w:val="center"/>
          </w:tcPr>
          <w:p w14:paraId="26117F89">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r w14:paraId="2BEEB3BD">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98" w:hRule="atLeast"/>
          <w:jc w:val="center"/>
        </w:trPr>
        <w:tc>
          <w:tcPr>
            <w:tcW w:w="1284" w:type="dxa"/>
            <w:vMerge w:val="continue"/>
            <w:tcBorders>
              <w:left w:val="outset" w:color="111111" w:sz="6" w:space="0"/>
              <w:right w:val="outset" w:color="111111" w:sz="6" w:space="0"/>
            </w:tcBorders>
            <w:vAlign w:val="center"/>
          </w:tcPr>
          <w:p w14:paraId="674F54C4">
            <w:pPr>
              <w:rPr>
                <w:rFonts w:hint="eastAsia" w:ascii="宋体" w:hAnsi="宋体" w:eastAsia="宋体" w:cs="宋体"/>
                <w:sz w:val="24"/>
                <w:szCs w:val="24"/>
                <w:highlight w:val="none"/>
              </w:rPr>
            </w:pPr>
          </w:p>
        </w:tc>
        <w:tc>
          <w:tcPr>
            <w:tcW w:w="3334" w:type="dxa"/>
            <w:tcBorders>
              <w:top w:val="outset" w:color="111111" w:sz="6" w:space="0"/>
              <w:left w:val="outset" w:color="111111" w:sz="6" w:space="0"/>
              <w:bottom w:val="outset" w:color="111111" w:sz="6" w:space="0"/>
              <w:right w:val="outset" w:color="111111" w:sz="6" w:space="0"/>
            </w:tcBorders>
            <w:vAlign w:val="center"/>
          </w:tcPr>
          <w:p w14:paraId="404982E0">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699DF53D">
            <w:pPr>
              <w:rPr>
                <w:rFonts w:hint="eastAsia" w:ascii="宋体" w:hAnsi="宋体" w:eastAsia="宋体" w:cs="宋体"/>
                <w:sz w:val="24"/>
                <w:szCs w:val="24"/>
                <w:highlight w:val="none"/>
              </w:rPr>
            </w:pPr>
            <w:r>
              <w:rPr>
                <w:rFonts w:hint="eastAsia" w:ascii="宋体" w:hAnsi="宋体" w:eastAsia="宋体" w:cs="宋体"/>
                <w:sz w:val="24"/>
                <w:szCs w:val="24"/>
                <w:highlight w:val="none"/>
              </w:rPr>
              <w:t>□通过 □不通过</w:t>
            </w:r>
          </w:p>
        </w:tc>
        <w:tc>
          <w:tcPr>
            <w:tcW w:w="2775" w:type="dxa"/>
            <w:tcBorders>
              <w:top w:val="outset" w:color="111111" w:sz="6" w:space="0"/>
              <w:left w:val="outset" w:color="111111" w:sz="6" w:space="0"/>
              <w:bottom w:val="outset" w:color="111111" w:sz="6" w:space="0"/>
              <w:right w:val="outset" w:color="111111" w:sz="6" w:space="0"/>
            </w:tcBorders>
            <w:vAlign w:val="center"/>
          </w:tcPr>
          <w:p w14:paraId="65692A76">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r w14:paraId="5C99C815">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98" w:hRule="atLeast"/>
          <w:jc w:val="center"/>
        </w:trPr>
        <w:tc>
          <w:tcPr>
            <w:tcW w:w="1284" w:type="dxa"/>
            <w:vMerge w:val="restart"/>
            <w:tcBorders>
              <w:top w:val="outset" w:color="111111" w:sz="6" w:space="0"/>
              <w:left w:val="outset" w:color="111111" w:sz="6" w:space="0"/>
              <w:right w:val="outset" w:color="111111" w:sz="6" w:space="0"/>
            </w:tcBorders>
            <w:vAlign w:val="center"/>
          </w:tcPr>
          <w:p w14:paraId="3ED104C3">
            <w:pPr>
              <w:widowControl/>
              <w:spacing w:before="100" w:beforeAutospacing="1" w:after="100" w:afterAutospacing="1"/>
              <w:jc w:val="center"/>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符合性审查</w:t>
            </w:r>
          </w:p>
        </w:tc>
        <w:tc>
          <w:tcPr>
            <w:tcW w:w="3334" w:type="dxa"/>
            <w:tcBorders>
              <w:top w:val="outset" w:color="111111" w:sz="6" w:space="0"/>
              <w:left w:val="outset" w:color="111111" w:sz="6" w:space="0"/>
              <w:bottom w:val="outset" w:color="111111" w:sz="6" w:space="0"/>
              <w:right w:val="outset" w:color="111111" w:sz="6" w:space="0"/>
            </w:tcBorders>
            <w:vAlign w:val="center"/>
          </w:tcPr>
          <w:p w14:paraId="2EF42042">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4D4B0743">
            <w:pPr>
              <w:rPr>
                <w:rFonts w:hint="eastAsia" w:ascii="宋体" w:hAnsi="宋体" w:eastAsia="宋体" w:cs="宋体"/>
                <w:sz w:val="24"/>
                <w:szCs w:val="24"/>
                <w:highlight w:val="none"/>
              </w:rPr>
            </w:pPr>
            <w:r>
              <w:rPr>
                <w:rFonts w:hint="eastAsia" w:ascii="宋体" w:hAnsi="宋体" w:eastAsia="宋体" w:cs="宋体"/>
                <w:sz w:val="24"/>
                <w:szCs w:val="24"/>
                <w:highlight w:val="none"/>
              </w:rPr>
              <w:t>□符合 □不符合</w:t>
            </w:r>
          </w:p>
        </w:tc>
        <w:tc>
          <w:tcPr>
            <w:tcW w:w="2775" w:type="dxa"/>
            <w:tcBorders>
              <w:top w:val="outset" w:color="111111" w:sz="6" w:space="0"/>
              <w:left w:val="outset" w:color="111111" w:sz="6" w:space="0"/>
              <w:bottom w:val="outset" w:color="111111" w:sz="6" w:space="0"/>
              <w:right w:val="outset" w:color="111111" w:sz="6" w:space="0"/>
            </w:tcBorders>
            <w:vAlign w:val="center"/>
          </w:tcPr>
          <w:p w14:paraId="2FD60633">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r w14:paraId="7278E21B">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98" w:hRule="atLeast"/>
          <w:jc w:val="center"/>
        </w:trPr>
        <w:tc>
          <w:tcPr>
            <w:tcW w:w="1284" w:type="dxa"/>
            <w:vMerge w:val="continue"/>
            <w:tcBorders>
              <w:left w:val="outset" w:color="111111" w:sz="6" w:space="0"/>
              <w:right w:val="outset" w:color="111111" w:sz="6" w:space="0"/>
            </w:tcBorders>
            <w:vAlign w:val="center"/>
          </w:tcPr>
          <w:p w14:paraId="1E3160B5">
            <w:pPr>
              <w:rPr>
                <w:rFonts w:hint="eastAsia" w:ascii="宋体" w:hAnsi="宋体" w:eastAsia="宋体" w:cs="宋体"/>
                <w:sz w:val="24"/>
                <w:szCs w:val="24"/>
                <w:highlight w:val="none"/>
              </w:rPr>
            </w:pPr>
          </w:p>
        </w:tc>
        <w:tc>
          <w:tcPr>
            <w:tcW w:w="3334" w:type="dxa"/>
            <w:tcBorders>
              <w:top w:val="outset" w:color="111111" w:sz="6" w:space="0"/>
              <w:left w:val="outset" w:color="111111" w:sz="6" w:space="0"/>
              <w:bottom w:val="outset" w:color="111111" w:sz="6" w:space="0"/>
              <w:right w:val="outset" w:color="111111" w:sz="6" w:space="0"/>
            </w:tcBorders>
            <w:vAlign w:val="center"/>
          </w:tcPr>
          <w:p w14:paraId="55F6D248">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14D66134">
            <w:pPr>
              <w:rPr>
                <w:rFonts w:hint="eastAsia" w:ascii="宋体" w:hAnsi="宋体" w:eastAsia="宋体" w:cs="宋体"/>
                <w:sz w:val="24"/>
                <w:szCs w:val="24"/>
                <w:highlight w:val="none"/>
              </w:rPr>
            </w:pPr>
            <w:r>
              <w:rPr>
                <w:rFonts w:hint="eastAsia" w:ascii="宋体" w:hAnsi="宋体" w:eastAsia="宋体" w:cs="宋体"/>
                <w:sz w:val="24"/>
                <w:szCs w:val="24"/>
                <w:highlight w:val="none"/>
              </w:rPr>
              <w:t>□符合 □不符合</w:t>
            </w:r>
          </w:p>
        </w:tc>
        <w:tc>
          <w:tcPr>
            <w:tcW w:w="2775" w:type="dxa"/>
            <w:tcBorders>
              <w:top w:val="outset" w:color="111111" w:sz="6" w:space="0"/>
              <w:left w:val="outset" w:color="111111" w:sz="6" w:space="0"/>
              <w:bottom w:val="outset" w:color="111111" w:sz="6" w:space="0"/>
              <w:right w:val="outset" w:color="111111" w:sz="6" w:space="0"/>
            </w:tcBorders>
            <w:vAlign w:val="center"/>
          </w:tcPr>
          <w:p w14:paraId="30CCE2BD">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r w14:paraId="5594432C">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98" w:hRule="atLeast"/>
          <w:jc w:val="center"/>
        </w:trPr>
        <w:tc>
          <w:tcPr>
            <w:tcW w:w="1284" w:type="dxa"/>
            <w:vMerge w:val="continue"/>
            <w:tcBorders>
              <w:left w:val="outset" w:color="111111" w:sz="6" w:space="0"/>
              <w:right w:val="outset" w:color="111111" w:sz="6" w:space="0"/>
            </w:tcBorders>
            <w:vAlign w:val="center"/>
          </w:tcPr>
          <w:p w14:paraId="6C485F81">
            <w:pPr>
              <w:rPr>
                <w:rFonts w:hint="eastAsia" w:ascii="宋体" w:hAnsi="宋体" w:eastAsia="宋体" w:cs="宋体"/>
                <w:sz w:val="24"/>
                <w:szCs w:val="24"/>
                <w:highlight w:val="none"/>
              </w:rPr>
            </w:pPr>
          </w:p>
        </w:tc>
        <w:tc>
          <w:tcPr>
            <w:tcW w:w="3334" w:type="dxa"/>
            <w:tcBorders>
              <w:top w:val="outset" w:color="111111" w:sz="6" w:space="0"/>
              <w:left w:val="outset" w:color="111111" w:sz="6" w:space="0"/>
              <w:bottom w:val="outset" w:color="111111" w:sz="6" w:space="0"/>
              <w:right w:val="outset" w:color="111111" w:sz="6" w:space="0"/>
            </w:tcBorders>
            <w:vAlign w:val="center"/>
          </w:tcPr>
          <w:p w14:paraId="77D12C38">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476424D4">
            <w:pPr>
              <w:rPr>
                <w:rFonts w:hint="eastAsia" w:ascii="宋体" w:hAnsi="宋体" w:eastAsia="宋体" w:cs="宋体"/>
                <w:sz w:val="24"/>
                <w:szCs w:val="24"/>
                <w:highlight w:val="none"/>
              </w:rPr>
            </w:pPr>
            <w:r>
              <w:rPr>
                <w:rFonts w:hint="eastAsia" w:ascii="宋体" w:hAnsi="宋体" w:eastAsia="宋体" w:cs="宋体"/>
                <w:sz w:val="24"/>
                <w:szCs w:val="24"/>
                <w:highlight w:val="none"/>
              </w:rPr>
              <w:t>□符合 □不符合</w:t>
            </w:r>
          </w:p>
        </w:tc>
        <w:tc>
          <w:tcPr>
            <w:tcW w:w="2775" w:type="dxa"/>
            <w:tcBorders>
              <w:top w:val="outset" w:color="111111" w:sz="6" w:space="0"/>
              <w:left w:val="outset" w:color="111111" w:sz="6" w:space="0"/>
              <w:bottom w:val="outset" w:color="111111" w:sz="6" w:space="0"/>
              <w:right w:val="outset" w:color="111111" w:sz="6" w:space="0"/>
            </w:tcBorders>
            <w:vAlign w:val="center"/>
          </w:tcPr>
          <w:p w14:paraId="0ADCA485">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r w14:paraId="248162E1">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98" w:hRule="atLeast"/>
          <w:jc w:val="center"/>
        </w:trPr>
        <w:tc>
          <w:tcPr>
            <w:tcW w:w="1284" w:type="dxa"/>
            <w:vMerge w:val="continue"/>
            <w:tcBorders>
              <w:left w:val="outset" w:color="111111" w:sz="6" w:space="0"/>
              <w:right w:val="outset" w:color="111111" w:sz="6" w:space="0"/>
            </w:tcBorders>
            <w:vAlign w:val="center"/>
          </w:tcPr>
          <w:p w14:paraId="2EB0C176">
            <w:pPr>
              <w:rPr>
                <w:rFonts w:hint="eastAsia" w:ascii="宋体" w:hAnsi="宋体" w:eastAsia="宋体" w:cs="宋体"/>
                <w:sz w:val="24"/>
                <w:szCs w:val="24"/>
                <w:highlight w:val="none"/>
              </w:rPr>
            </w:pPr>
          </w:p>
        </w:tc>
        <w:tc>
          <w:tcPr>
            <w:tcW w:w="3334" w:type="dxa"/>
            <w:tcBorders>
              <w:top w:val="outset" w:color="111111" w:sz="6" w:space="0"/>
              <w:left w:val="outset" w:color="111111" w:sz="6" w:space="0"/>
              <w:bottom w:val="outset" w:color="111111" w:sz="6" w:space="0"/>
              <w:right w:val="outset" w:color="111111" w:sz="6" w:space="0"/>
            </w:tcBorders>
            <w:vAlign w:val="center"/>
          </w:tcPr>
          <w:p w14:paraId="21AA3415">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34CC8F7D">
            <w:pPr>
              <w:rPr>
                <w:rFonts w:hint="eastAsia" w:ascii="宋体" w:hAnsi="宋体" w:eastAsia="宋体" w:cs="宋体"/>
                <w:sz w:val="24"/>
                <w:szCs w:val="24"/>
                <w:highlight w:val="none"/>
              </w:rPr>
            </w:pPr>
            <w:r>
              <w:rPr>
                <w:rFonts w:hint="eastAsia" w:ascii="宋体" w:hAnsi="宋体" w:eastAsia="宋体" w:cs="宋体"/>
                <w:sz w:val="24"/>
                <w:szCs w:val="24"/>
                <w:highlight w:val="none"/>
              </w:rPr>
              <w:t>□符合 □不符合</w:t>
            </w:r>
          </w:p>
        </w:tc>
        <w:tc>
          <w:tcPr>
            <w:tcW w:w="2775" w:type="dxa"/>
            <w:tcBorders>
              <w:top w:val="outset" w:color="111111" w:sz="6" w:space="0"/>
              <w:left w:val="outset" w:color="111111" w:sz="6" w:space="0"/>
              <w:bottom w:val="outset" w:color="111111" w:sz="6" w:space="0"/>
              <w:right w:val="outset" w:color="111111" w:sz="6" w:space="0"/>
            </w:tcBorders>
            <w:vAlign w:val="center"/>
          </w:tcPr>
          <w:p w14:paraId="7553C6CC">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r w14:paraId="27DBD28D">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598" w:hRule="atLeast"/>
          <w:jc w:val="center"/>
        </w:trPr>
        <w:tc>
          <w:tcPr>
            <w:tcW w:w="1284" w:type="dxa"/>
            <w:vMerge w:val="continue"/>
            <w:tcBorders>
              <w:left w:val="outset" w:color="111111" w:sz="6" w:space="0"/>
              <w:right w:val="outset" w:color="111111" w:sz="6" w:space="0"/>
            </w:tcBorders>
            <w:vAlign w:val="center"/>
          </w:tcPr>
          <w:p w14:paraId="1406DB02">
            <w:pPr>
              <w:rPr>
                <w:rFonts w:hint="eastAsia" w:ascii="宋体" w:hAnsi="宋体" w:eastAsia="宋体" w:cs="宋体"/>
                <w:sz w:val="24"/>
                <w:szCs w:val="24"/>
                <w:highlight w:val="none"/>
              </w:rPr>
            </w:pPr>
          </w:p>
        </w:tc>
        <w:tc>
          <w:tcPr>
            <w:tcW w:w="3334" w:type="dxa"/>
            <w:tcBorders>
              <w:top w:val="outset" w:color="111111" w:sz="6" w:space="0"/>
              <w:left w:val="outset" w:color="111111" w:sz="6" w:space="0"/>
              <w:bottom w:val="outset" w:color="111111" w:sz="6" w:space="0"/>
              <w:right w:val="outset" w:color="111111" w:sz="6" w:space="0"/>
            </w:tcBorders>
            <w:vAlign w:val="center"/>
          </w:tcPr>
          <w:p w14:paraId="4961484D">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4C9BB242">
            <w:pPr>
              <w:rPr>
                <w:rFonts w:hint="eastAsia" w:ascii="宋体" w:hAnsi="宋体" w:eastAsia="宋体" w:cs="宋体"/>
                <w:sz w:val="24"/>
                <w:szCs w:val="24"/>
                <w:highlight w:val="none"/>
              </w:rPr>
            </w:pPr>
            <w:r>
              <w:rPr>
                <w:rFonts w:hint="eastAsia" w:ascii="宋体" w:hAnsi="宋体" w:eastAsia="宋体" w:cs="宋体"/>
                <w:sz w:val="24"/>
                <w:szCs w:val="24"/>
                <w:highlight w:val="none"/>
              </w:rPr>
              <w:t>□符合 □不符合</w:t>
            </w:r>
          </w:p>
        </w:tc>
        <w:tc>
          <w:tcPr>
            <w:tcW w:w="2775" w:type="dxa"/>
            <w:tcBorders>
              <w:top w:val="outset" w:color="111111" w:sz="6" w:space="0"/>
              <w:left w:val="outset" w:color="111111" w:sz="6" w:space="0"/>
              <w:bottom w:val="outset" w:color="111111" w:sz="6" w:space="0"/>
              <w:right w:val="outset" w:color="111111" w:sz="6" w:space="0"/>
            </w:tcBorders>
            <w:vAlign w:val="center"/>
          </w:tcPr>
          <w:p w14:paraId="718297D6">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r w14:paraId="7719F058">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rPr>
          <w:trHeight w:val="615" w:hRule="atLeast"/>
          <w:jc w:val="center"/>
        </w:trPr>
        <w:tc>
          <w:tcPr>
            <w:tcW w:w="1284" w:type="dxa"/>
            <w:vMerge w:val="continue"/>
            <w:tcBorders>
              <w:left w:val="outset" w:color="111111" w:sz="6" w:space="0"/>
              <w:right w:val="outset" w:color="111111" w:sz="6" w:space="0"/>
            </w:tcBorders>
            <w:vAlign w:val="center"/>
          </w:tcPr>
          <w:p w14:paraId="792CE4B1">
            <w:pPr>
              <w:rPr>
                <w:rFonts w:hint="eastAsia" w:ascii="宋体" w:hAnsi="宋体" w:eastAsia="宋体" w:cs="宋体"/>
                <w:sz w:val="24"/>
                <w:szCs w:val="24"/>
                <w:highlight w:val="none"/>
              </w:rPr>
            </w:pPr>
          </w:p>
        </w:tc>
        <w:tc>
          <w:tcPr>
            <w:tcW w:w="3334" w:type="dxa"/>
            <w:tcBorders>
              <w:top w:val="outset" w:color="111111" w:sz="6" w:space="0"/>
              <w:left w:val="outset" w:color="111111" w:sz="6" w:space="0"/>
              <w:bottom w:val="outset" w:color="111111" w:sz="6" w:space="0"/>
              <w:right w:val="outset" w:color="111111" w:sz="6" w:space="0"/>
            </w:tcBorders>
            <w:vAlign w:val="center"/>
          </w:tcPr>
          <w:p w14:paraId="657B9FE7">
            <w:pPr>
              <w:rPr>
                <w:rFonts w:hint="eastAsia" w:ascii="宋体" w:hAnsi="宋体" w:eastAsia="宋体" w:cs="宋体"/>
                <w:sz w:val="24"/>
                <w:szCs w:val="24"/>
                <w:highlight w:val="none"/>
              </w:rPr>
            </w:pPr>
          </w:p>
        </w:tc>
        <w:tc>
          <w:tcPr>
            <w:tcW w:w="2425" w:type="dxa"/>
            <w:tcBorders>
              <w:top w:val="outset" w:color="111111" w:sz="6" w:space="0"/>
              <w:left w:val="outset" w:color="111111" w:sz="6" w:space="0"/>
              <w:bottom w:val="outset" w:color="111111" w:sz="6" w:space="0"/>
              <w:right w:val="outset" w:color="111111" w:sz="6" w:space="0"/>
            </w:tcBorders>
            <w:vAlign w:val="center"/>
          </w:tcPr>
          <w:p w14:paraId="63454AEA">
            <w:pPr>
              <w:rPr>
                <w:rFonts w:hint="eastAsia" w:ascii="宋体" w:hAnsi="宋体" w:eastAsia="宋体" w:cs="宋体"/>
                <w:sz w:val="24"/>
                <w:szCs w:val="24"/>
                <w:highlight w:val="none"/>
              </w:rPr>
            </w:pPr>
            <w:r>
              <w:rPr>
                <w:rFonts w:hint="eastAsia" w:ascii="宋体" w:hAnsi="宋体" w:eastAsia="宋体" w:cs="宋体"/>
                <w:sz w:val="24"/>
                <w:szCs w:val="24"/>
                <w:highlight w:val="none"/>
              </w:rPr>
              <w:t>□符合 □不符合</w:t>
            </w:r>
          </w:p>
        </w:tc>
        <w:tc>
          <w:tcPr>
            <w:tcW w:w="2775" w:type="dxa"/>
            <w:tcBorders>
              <w:top w:val="outset" w:color="111111" w:sz="6" w:space="0"/>
              <w:left w:val="outset" w:color="111111" w:sz="6" w:space="0"/>
              <w:bottom w:val="outset" w:color="111111" w:sz="6" w:space="0"/>
              <w:right w:val="outset" w:color="111111" w:sz="6" w:space="0"/>
            </w:tcBorders>
            <w:vAlign w:val="center"/>
          </w:tcPr>
          <w:p w14:paraId="23C3299D">
            <w:pPr>
              <w:rPr>
                <w:rFonts w:hint="eastAsia" w:ascii="宋体" w:hAnsi="宋体" w:eastAsia="宋体" w:cs="宋体"/>
                <w:sz w:val="24"/>
                <w:szCs w:val="24"/>
                <w:highlight w:val="none"/>
              </w:rPr>
            </w:pPr>
            <w:r>
              <w:rPr>
                <w:rFonts w:hint="eastAsia" w:ascii="宋体" w:hAnsi="宋体" w:eastAsia="宋体" w:cs="宋体"/>
                <w:sz w:val="24"/>
                <w:szCs w:val="24"/>
                <w:highlight w:val="none"/>
              </w:rPr>
              <w:t>见响应文件第（）页</w:t>
            </w:r>
          </w:p>
        </w:tc>
      </w:tr>
    </w:tbl>
    <w:p w14:paraId="0999F4A1">
      <w:pPr>
        <w:tabs>
          <w:tab w:val="left" w:pos="360"/>
          <w:tab w:val="left" w:pos="1800"/>
        </w:tabs>
        <w:ind w:firstLine="361" w:firstLineChars="150"/>
        <w:jc w:val="left"/>
        <w:rPr>
          <w:rFonts w:hint="eastAsia" w:ascii="宋体" w:hAnsi="宋体" w:eastAsia="宋体" w:cs="宋体"/>
          <w:b/>
          <w:sz w:val="24"/>
          <w:szCs w:val="24"/>
          <w:highlight w:val="none"/>
        </w:rPr>
      </w:pPr>
      <w:r>
        <w:rPr>
          <w:rFonts w:hint="eastAsia" w:ascii="宋体" w:hAnsi="宋体" w:eastAsia="宋体" w:cs="宋体"/>
          <w:b/>
          <w:sz w:val="24"/>
          <w:szCs w:val="24"/>
          <w:highlight w:val="none"/>
        </w:rPr>
        <w:t>注：以上材料将作为供应商有效性审核的重要内容之一，供应商必须严格按照其内容及序列要求在响应文件中对应如</w:t>
      </w:r>
      <w:r>
        <w:rPr>
          <w:rFonts w:hint="eastAsia" w:ascii="宋体" w:hAnsi="宋体" w:eastAsia="宋体" w:cs="宋体"/>
          <w:b/>
          <w:w w:val="90"/>
          <w:sz w:val="24"/>
          <w:szCs w:val="24"/>
          <w:highlight w:val="none"/>
        </w:rPr>
        <w:t>实提供，对资格性和符合性证明文件的任何缺漏和不符合项将会直接导致无效投标！供应商根据自查结论在对应的□打“√”。</w:t>
      </w:r>
    </w:p>
    <w:p w14:paraId="64A47047">
      <w:pPr>
        <w:spacing w:line="440" w:lineRule="exact"/>
        <w:jc w:val="center"/>
        <w:rPr>
          <w:rFonts w:hint="eastAsia" w:ascii="宋体" w:hAnsi="宋体" w:eastAsia="宋体" w:cs="宋体"/>
          <w:b/>
          <w:sz w:val="24"/>
          <w:szCs w:val="24"/>
          <w:highlight w:val="none"/>
        </w:rPr>
      </w:pPr>
    </w:p>
    <w:p w14:paraId="757D7F20">
      <w:pPr>
        <w:spacing w:line="360" w:lineRule="auto"/>
        <w:jc w:val="center"/>
        <w:rPr>
          <w:rFonts w:hint="eastAsia" w:ascii="宋体" w:hAnsi="宋体" w:eastAsia="宋体" w:cs="宋体"/>
          <w:b/>
          <w:sz w:val="24"/>
          <w:szCs w:val="24"/>
          <w:highlight w:val="none"/>
        </w:rPr>
      </w:pPr>
      <w:r>
        <w:rPr>
          <w:rFonts w:hint="eastAsia" w:ascii="宋体" w:hAnsi="宋体" w:eastAsia="宋体" w:cs="宋体"/>
          <w:b/>
          <w:bCs/>
          <w:sz w:val="24"/>
          <w:szCs w:val="24"/>
          <w:highlight w:val="none"/>
        </w:rPr>
        <w:br w:type="page"/>
      </w:r>
      <w:r>
        <w:rPr>
          <w:rFonts w:hint="eastAsia" w:ascii="宋体" w:hAnsi="宋体" w:eastAsia="宋体" w:cs="宋体"/>
          <w:b/>
          <w:bCs/>
          <w:sz w:val="24"/>
          <w:szCs w:val="24"/>
          <w:highlight w:val="none"/>
        </w:rPr>
        <w:t>格式2</w:t>
      </w:r>
      <w:r>
        <w:rPr>
          <w:rFonts w:hint="eastAsia" w:ascii="宋体" w:hAnsi="宋体" w:eastAsia="宋体" w:cs="宋体"/>
          <w:b/>
          <w:sz w:val="24"/>
          <w:szCs w:val="24"/>
          <w:highlight w:val="none"/>
        </w:rPr>
        <w:t xml:space="preserve">  </w:t>
      </w:r>
      <w:r>
        <w:rPr>
          <w:rFonts w:hint="eastAsia" w:ascii="宋体" w:hAnsi="宋体" w:eastAsia="宋体" w:cs="宋体"/>
          <w:b/>
          <w:bCs/>
          <w:sz w:val="24"/>
          <w:szCs w:val="24"/>
          <w:highlight w:val="none"/>
        </w:rPr>
        <w:t xml:space="preserve"> 法定代表人资格证明书</w:t>
      </w:r>
    </w:p>
    <w:p w14:paraId="60BD4466">
      <w:pPr>
        <w:tabs>
          <w:tab w:val="left" w:pos="360"/>
          <w:tab w:val="left" w:pos="1800"/>
        </w:tabs>
        <w:spacing w:line="480" w:lineRule="exact"/>
        <w:ind w:left="540"/>
        <w:rPr>
          <w:rFonts w:hint="eastAsia" w:ascii="宋体" w:hAnsi="宋体" w:eastAsia="宋体" w:cs="宋体"/>
          <w:bCs/>
          <w:sz w:val="24"/>
          <w:szCs w:val="24"/>
          <w:highlight w:val="none"/>
        </w:rPr>
      </w:pPr>
    </w:p>
    <w:p w14:paraId="20A95605">
      <w:pPr>
        <w:tabs>
          <w:tab w:val="left" w:pos="360"/>
          <w:tab w:val="left" w:pos="1800"/>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单位名称：</w:t>
      </w:r>
      <w:r>
        <w:rPr>
          <w:rFonts w:hint="eastAsia" w:ascii="宋体" w:hAnsi="宋体" w:eastAsia="宋体" w:cs="宋体"/>
          <w:sz w:val="24"/>
          <w:szCs w:val="24"/>
          <w:highlight w:val="none"/>
          <w:u w:val="single"/>
        </w:rPr>
        <w:t xml:space="preserve">                        </w:t>
      </w:r>
    </w:p>
    <w:p w14:paraId="6A1E6439">
      <w:pPr>
        <w:tabs>
          <w:tab w:val="left" w:pos="360"/>
          <w:tab w:val="left" w:pos="1800"/>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p>
    <w:p w14:paraId="1339CBCC">
      <w:pPr>
        <w:tabs>
          <w:tab w:val="left" w:pos="360"/>
          <w:tab w:val="left" w:pos="720"/>
          <w:tab w:val="left" w:pos="900"/>
          <w:tab w:val="left" w:pos="1800"/>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性别：</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年龄：</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职务：</w:t>
      </w:r>
      <w:r>
        <w:rPr>
          <w:rFonts w:hint="eastAsia" w:ascii="宋体" w:hAnsi="宋体" w:eastAsia="宋体" w:cs="宋体"/>
          <w:sz w:val="24"/>
          <w:szCs w:val="24"/>
          <w:highlight w:val="none"/>
          <w:u w:val="single"/>
        </w:rPr>
        <w:t xml:space="preserve">            </w:t>
      </w:r>
    </w:p>
    <w:p w14:paraId="4F5862CE">
      <w:pPr>
        <w:tabs>
          <w:tab w:val="left" w:pos="360"/>
          <w:tab w:val="left" w:pos="1800"/>
        </w:tabs>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系</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单位）的法定代表人。为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的项目，签署上述项目的响应文件、进行合同谈判、签署合同和处理与之有关的一切事务。</w:t>
      </w:r>
    </w:p>
    <w:p w14:paraId="15213F62">
      <w:pPr>
        <w:tabs>
          <w:tab w:val="left" w:pos="360"/>
          <w:tab w:val="left" w:pos="1800"/>
        </w:tabs>
        <w:spacing w:line="360" w:lineRule="auto"/>
        <w:rPr>
          <w:rFonts w:hint="eastAsia" w:ascii="宋体" w:hAnsi="宋体" w:eastAsia="宋体" w:cs="宋体"/>
          <w:sz w:val="24"/>
          <w:szCs w:val="24"/>
          <w:highlight w:val="none"/>
        </w:rPr>
      </w:pPr>
    </w:p>
    <w:p w14:paraId="3C84A09B">
      <w:pPr>
        <w:tabs>
          <w:tab w:val="left" w:pos="360"/>
          <w:tab w:val="left" w:pos="1800"/>
        </w:tabs>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特此证明。</w:t>
      </w:r>
    </w:p>
    <w:p w14:paraId="7F430C11">
      <w:pPr>
        <w:tabs>
          <w:tab w:val="left" w:pos="360"/>
          <w:tab w:val="left" w:pos="1800"/>
        </w:tabs>
        <w:spacing w:line="360" w:lineRule="auto"/>
        <w:jc w:val="right"/>
        <w:rPr>
          <w:rFonts w:hint="eastAsia" w:ascii="宋体" w:hAnsi="宋体" w:eastAsia="宋体" w:cs="宋体"/>
          <w:sz w:val="24"/>
          <w:szCs w:val="24"/>
          <w:highlight w:val="none"/>
        </w:rPr>
      </w:pPr>
      <w:r>
        <w:rPr>
          <w:rFonts w:hint="eastAsia" w:ascii="宋体" w:hAnsi="宋体" w:eastAsia="宋体" w:cs="宋体"/>
          <w:sz w:val="24"/>
          <w:szCs w:val="24"/>
          <w:highlight w:val="none"/>
        </w:rPr>
        <w:t>供应商：</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（盖章）</w:t>
      </w:r>
    </w:p>
    <w:p w14:paraId="56B2BF19">
      <w:pPr>
        <w:tabs>
          <w:tab w:val="left" w:pos="360"/>
          <w:tab w:val="left" w:pos="1800"/>
        </w:tabs>
        <w:spacing w:line="360" w:lineRule="auto"/>
        <w:jc w:val="right"/>
        <w:rPr>
          <w:rFonts w:hint="eastAsia" w:ascii="宋体" w:hAnsi="宋体" w:eastAsia="宋体" w:cs="宋体"/>
          <w:sz w:val="24"/>
          <w:szCs w:val="24"/>
          <w:highlight w:val="none"/>
        </w:rPr>
      </w:pPr>
      <w:r>
        <w:rPr>
          <w:rFonts w:hint="eastAsia" w:ascii="宋体" w:hAnsi="宋体" w:eastAsia="宋体" w:cs="宋体"/>
          <w:sz w:val="24"/>
          <w:szCs w:val="24"/>
          <w:highlight w:val="none"/>
        </w:rPr>
        <w:t>日期：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4CB8D574">
      <w:pPr>
        <w:tabs>
          <w:tab w:val="left" w:pos="360"/>
          <w:tab w:val="left" w:pos="1800"/>
        </w:tabs>
        <w:spacing w:line="360" w:lineRule="auto"/>
        <w:ind w:firstLine="6000" w:firstLineChars="2500"/>
        <w:rPr>
          <w:rFonts w:hint="eastAsia" w:ascii="宋体" w:hAnsi="宋体" w:eastAsia="宋体" w:cs="宋体"/>
          <w:bCs/>
          <w:sz w:val="24"/>
          <w:szCs w:val="24"/>
          <w:highlight w:val="none"/>
        </w:rPr>
      </w:pPr>
    </w:p>
    <w:tbl>
      <w:tblPr>
        <w:tblStyle w:val="24"/>
        <w:tblW w:w="695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52"/>
      </w:tblGrid>
      <w:tr w14:paraId="527141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96" w:hRule="atLeast"/>
          <w:jc w:val="center"/>
        </w:trPr>
        <w:tc>
          <w:tcPr>
            <w:tcW w:w="6952" w:type="dxa"/>
            <w:vAlign w:val="top"/>
          </w:tcPr>
          <w:p w14:paraId="263C4833">
            <w:pPr>
              <w:tabs>
                <w:tab w:val="left" w:pos="360"/>
                <w:tab w:val="left" w:pos="1800"/>
              </w:tabs>
              <w:spacing w:line="480" w:lineRule="auto"/>
              <w:jc w:val="center"/>
              <w:rPr>
                <w:rFonts w:hint="eastAsia" w:ascii="宋体" w:hAnsi="宋体" w:eastAsia="宋体" w:cs="宋体"/>
                <w:sz w:val="24"/>
                <w:szCs w:val="24"/>
                <w:highlight w:val="none"/>
              </w:rPr>
            </w:pPr>
          </w:p>
          <w:p w14:paraId="68EBE658">
            <w:pPr>
              <w:tabs>
                <w:tab w:val="left" w:pos="360"/>
                <w:tab w:val="left" w:pos="1800"/>
              </w:tabs>
              <w:spacing w:line="480" w:lineRule="auto"/>
              <w:jc w:val="center"/>
              <w:rPr>
                <w:rFonts w:hint="eastAsia" w:ascii="宋体" w:hAnsi="宋体" w:eastAsia="宋体" w:cs="宋体"/>
                <w:sz w:val="24"/>
                <w:szCs w:val="24"/>
                <w:highlight w:val="none"/>
              </w:rPr>
            </w:pPr>
          </w:p>
          <w:p w14:paraId="0DA754E0">
            <w:pPr>
              <w:tabs>
                <w:tab w:val="left" w:pos="360"/>
                <w:tab w:val="left" w:pos="1800"/>
              </w:tabs>
              <w:spacing w:line="48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法定代表人身份证复印件或扫描件（正、反两面）</w:t>
            </w:r>
          </w:p>
        </w:tc>
      </w:tr>
    </w:tbl>
    <w:p w14:paraId="1BD55154">
      <w:pPr>
        <w:tabs>
          <w:tab w:val="left" w:pos="360"/>
          <w:tab w:val="left" w:pos="1800"/>
        </w:tabs>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注：法定代表人身份证复印件或扫描件应反映出证件有效期等所载内容。</w:t>
      </w:r>
    </w:p>
    <w:p w14:paraId="11AFEE01">
      <w:pPr>
        <w:tabs>
          <w:tab w:val="left" w:pos="360"/>
          <w:tab w:val="left" w:pos="1800"/>
        </w:tabs>
        <w:spacing w:line="480" w:lineRule="exact"/>
        <w:ind w:left="1980" w:firstLine="1080"/>
        <w:rPr>
          <w:rFonts w:hint="eastAsia" w:ascii="宋体" w:hAnsi="宋体" w:eastAsia="宋体" w:cs="宋体"/>
          <w:bCs/>
          <w:sz w:val="24"/>
          <w:szCs w:val="24"/>
          <w:highlight w:val="none"/>
        </w:rPr>
      </w:pPr>
    </w:p>
    <w:p w14:paraId="1CFA5D37">
      <w:pPr>
        <w:tabs>
          <w:tab w:val="left" w:pos="360"/>
          <w:tab w:val="left" w:pos="1800"/>
        </w:tabs>
        <w:spacing w:line="480" w:lineRule="exact"/>
        <w:rPr>
          <w:rFonts w:hint="eastAsia" w:ascii="宋体" w:hAnsi="宋体" w:eastAsia="宋体" w:cs="宋体"/>
          <w:bCs/>
          <w:sz w:val="24"/>
          <w:szCs w:val="24"/>
          <w:highlight w:val="none"/>
        </w:rPr>
      </w:pPr>
    </w:p>
    <w:p w14:paraId="6A53E56C">
      <w:pPr>
        <w:tabs>
          <w:tab w:val="left" w:pos="360"/>
          <w:tab w:val="left" w:pos="1800"/>
        </w:tabs>
        <w:spacing w:line="480" w:lineRule="exact"/>
        <w:jc w:val="center"/>
        <w:rPr>
          <w:rFonts w:hint="eastAsia" w:ascii="宋体" w:hAnsi="宋体" w:eastAsia="宋体" w:cs="宋体"/>
          <w:b/>
          <w:bCs/>
          <w:sz w:val="24"/>
          <w:szCs w:val="24"/>
          <w:highlight w:val="none"/>
        </w:rPr>
      </w:pPr>
    </w:p>
    <w:p w14:paraId="4FC048AA">
      <w:pPr>
        <w:pStyle w:val="10"/>
        <w:rPr>
          <w:rFonts w:hint="eastAsia" w:ascii="宋体" w:hAnsi="宋体" w:eastAsia="宋体" w:cs="宋体"/>
          <w:b/>
          <w:bCs/>
          <w:sz w:val="24"/>
          <w:szCs w:val="24"/>
          <w:highlight w:val="none"/>
        </w:rPr>
      </w:pPr>
    </w:p>
    <w:p w14:paraId="0C384ED2">
      <w:pPr>
        <w:pStyle w:val="11"/>
        <w:rPr>
          <w:rFonts w:hint="eastAsia" w:ascii="宋体" w:hAnsi="宋体" w:eastAsia="宋体" w:cs="宋体"/>
          <w:b/>
          <w:bCs/>
          <w:sz w:val="24"/>
          <w:szCs w:val="24"/>
          <w:highlight w:val="none"/>
        </w:rPr>
      </w:pPr>
    </w:p>
    <w:p w14:paraId="4525BAFF">
      <w:pPr>
        <w:rPr>
          <w:rFonts w:hint="eastAsia" w:ascii="宋体" w:hAnsi="宋体" w:eastAsia="宋体" w:cs="宋体"/>
          <w:b/>
          <w:bCs/>
          <w:sz w:val="24"/>
          <w:szCs w:val="24"/>
          <w:highlight w:val="none"/>
        </w:rPr>
      </w:pPr>
    </w:p>
    <w:p w14:paraId="398A0A1D">
      <w:pPr>
        <w:pStyle w:val="10"/>
        <w:rPr>
          <w:rFonts w:hint="eastAsia"/>
          <w:highlight w:val="none"/>
        </w:rPr>
      </w:pPr>
    </w:p>
    <w:p w14:paraId="4FACE24A">
      <w:pPr>
        <w:tabs>
          <w:tab w:val="left" w:pos="360"/>
          <w:tab w:val="left" w:pos="1800"/>
        </w:tabs>
        <w:spacing w:line="480" w:lineRule="exact"/>
        <w:ind w:left="239" w:leftChars="114" w:firstLine="241" w:firstLineChars="10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格式3</w:t>
      </w:r>
      <w:r>
        <w:rPr>
          <w:rFonts w:hint="eastAsia" w:ascii="宋体" w:hAnsi="宋体" w:eastAsia="宋体" w:cs="宋体"/>
          <w:b/>
          <w:sz w:val="24"/>
          <w:szCs w:val="24"/>
          <w:highlight w:val="none"/>
        </w:rPr>
        <w:t xml:space="preserve">  </w:t>
      </w:r>
      <w:r>
        <w:rPr>
          <w:rFonts w:hint="eastAsia" w:ascii="宋体" w:hAnsi="宋体" w:eastAsia="宋体" w:cs="宋体"/>
          <w:b/>
          <w:bCs/>
          <w:sz w:val="24"/>
          <w:szCs w:val="24"/>
          <w:highlight w:val="none"/>
        </w:rPr>
        <w:t xml:space="preserve"> 法定代表人授权委托书</w:t>
      </w:r>
    </w:p>
    <w:p w14:paraId="7715B139">
      <w:pPr>
        <w:tabs>
          <w:tab w:val="left" w:pos="360"/>
          <w:tab w:val="left" w:pos="1800"/>
        </w:tabs>
        <w:spacing w:line="480" w:lineRule="exact"/>
        <w:ind w:left="239" w:leftChars="114" w:firstLine="241" w:firstLineChars="100"/>
        <w:jc w:val="center"/>
        <w:rPr>
          <w:rFonts w:hint="eastAsia" w:ascii="宋体" w:hAnsi="宋体" w:eastAsia="宋体" w:cs="宋体"/>
          <w:b/>
          <w:bCs/>
          <w:sz w:val="24"/>
          <w:szCs w:val="24"/>
          <w:highlight w:val="none"/>
        </w:rPr>
      </w:pPr>
    </w:p>
    <w:p w14:paraId="741D8561">
      <w:pPr>
        <w:tabs>
          <w:tab w:val="left" w:pos="360"/>
          <w:tab w:val="left" w:pos="1800"/>
        </w:tabs>
        <w:spacing w:line="480" w:lineRule="exact"/>
        <w:ind w:firstLine="420" w:firstLineChars="175"/>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本授权委托书声明：我</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姓名）系</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供应商名称）的法定代表人，现授权委托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供应商名称）的</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（姓名），其身份证号为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为我供应商代理人，以本供应商的名义参加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采购人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磋商项目名称）的磋商活动。</w:t>
      </w:r>
    </w:p>
    <w:p w14:paraId="60E9EB65">
      <w:pPr>
        <w:tabs>
          <w:tab w:val="left" w:pos="360"/>
          <w:tab w:val="left" w:pos="1800"/>
        </w:tabs>
        <w:spacing w:line="48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代理人在递交响应文件、磋商、合同谈判过程中所签署的一切文件和处理与之有关的一切事务，我均予以承认。</w:t>
      </w:r>
    </w:p>
    <w:p w14:paraId="496BE23A">
      <w:pPr>
        <w:tabs>
          <w:tab w:val="left" w:pos="360"/>
          <w:tab w:val="left" w:pos="1800"/>
        </w:tabs>
        <w:spacing w:line="480" w:lineRule="exact"/>
        <w:ind w:firstLine="480" w:firstLineChars="20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本授权委托书期限自</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日起至</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日止。</w:t>
      </w:r>
    </w:p>
    <w:p w14:paraId="63740DDB">
      <w:pPr>
        <w:tabs>
          <w:tab w:val="left" w:pos="360"/>
          <w:tab w:val="left" w:pos="1800"/>
        </w:tabs>
        <w:spacing w:line="48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委托代理人无转委权。特此委托。</w:t>
      </w:r>
    </w:p>
    <w:p w14:paraId="657EE145">
      <w:pPr>
        <w:tabs>
          <w:tab w:val="left" w:pos="360"/>
          <w:tab w:val="left" w:pos="1800"/>
        </w:tabs>
        <w:spacing w:line="48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性别：</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年龄：</w:t>
      </w:r>
      <w:r>
        <w:rPr>
          <w:rFonts w:hint="eastAsia" w:ascii="宋体" w:hAnsi="宋体" w:eastAsia="宋体" w:cs="宋体"/>
          <w:sz w:val="24"/>
          <w:szCs w:val="24"/>
          <w:highlight w:val="none"/>
          <w:u w:val="single"/>
        </w:rPr>
        <w:t xml:space="preserve">        </w:t>
      </w:r>
    </w:p>
    <w:p w14:paraId="572E7048">
      <w:pPr>
        <w:tabs>
          <w:tab w:val="left" w:pos="360"/>
          <w:tab w:val="left" w:pos="1800"/>
        </w:tabs>
        <w:spacing w:line="48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单位：</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部门：</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职务：</w:t>
      </w:r>
      <w:r>
        <w:rPr>
          <w:rFonts w:hint="eastAsia" w:ascii="宋体" w:hAnsi="宋体" w:eastAsia="宋体" w:cs="宋体"/>
          <w:sz w:val="24"/>
          <w:szCs w:val="24"/>
          <w:highlight w:val="none"/>
          <w:u w:val="single"/>
        </w:rPr>
        <w:t xml:space="preserve">        </w:t>
      </w:r>
    </w:p>
    <w:p w14:paraId="30DED187">
      <w:pPr>
        <w:tabs>
          <w:tab w:val="left" w:pos="360"/>
          <w:tab w:val="left" w:pos="1800"/>
        </w:tabs>
        <w:spacing w:line="48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供应商：</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（盖章）</w:t>
      </w:r>
    </w:p>
    <w:p w14:paraId="0DA04431">
      <w:pPr>
        <w:tabs>
          <w:tab w:val="left" w:pos="360"/>
          <w:tab w:val="left" w:pos="1800"/>
        </w:tabs>
        <w:spacing w:line="480" w:lineRule="exact"/>
        <w:jc w:val="righ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（签字或盖章）</w:t>
      </w:r>
    </w:p>
    <w:p w14:paraId="5C3732CF">
      <w:pPr>
        <w:tabs>
          <w:tab w:val="left" w:pos="360"/>
          <w:tab w:val="left" w:pos="1800"/>
        </w:tabs>
        <w:spacing w:line="480" w:lineRule="exact"/>
        <w:jc w:val="right"/>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（签字或盖章）</w:t>
      </w:r>
    </w:p>
    <w:p w14:paraId="29FAAE5F">
      <w:pPr>
        <w:tabs>
          <w:tab w:val="left" w:pos="360"/>
          <w:tab w:val="left" w:pos="1800"/>
        </w:tabs>
        <w:spacing w:line="480" w:lineRule="exact"/>
        <w:ind w:firstLine="3600"/>
        <w:rPr>
          <w:rFonts w:hint="eastAsia" w:ascii="宋体" w:hAnsi="宋体" w:eastAsia="宋体" w:cs="宋体"/>
          <w:sz w:val="24"/>
          <w:szCs w:val="24"/>
          <w:highlight w:val="none"/>
        </w:rPr>
      </w:pPr>
      <w:r>
        <w:rPr>
          <w:rFonts w:hint="eastAsia" w:ascii="宋体" w:hAnsi="宋体" w:eastAsia="宋体" w:cs="宋体"/>
          <w:sz w:val="24"/>
          <w:szCs w:val="24"/>
          <w:highlight w:val="none"/>
        </w:rPr>
        <w:t>日期：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26877F1F">
      <w:pPr>
        <w:tabs>
          <w:tab w:val="left" w:pos="360"/>
          <w:tab w:val="left" w:pos="1800"/>
        </w:tabs>
        <w:spacing w:line="480" w:lineRule="exact"/>
        <w:ind w:firstLine="3600"/>
        <w:rPr>
          <w:rFonts w:hint="eastAsia" w:ascii="宋体" w:hAnsi="宋体" w:eastAsia="宋体" w:cs="宋体"/>
          <w:sz w:val="24"/>
          <w:szCs w:val="24"/>
          <w:highlight w:val="none"/>
        </w:rPr>
      </w:pPr>
    </w:p>
    <w:tbl>
      <w:tblPr>
        <w:tblStyle w:val="24"/>
        <w:tblW w:w="695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52"/>
      </w:tblGrid>
      <w:tr w14:paraId="115022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89" w:hRule="atLeast"/>
          <w:jc w:val="center"/>
        </w:trPr>
        <w:tc>
          <w:tcPr>
            <w:tcW w:w="6952" w:type="dxa"/>
            <w:vAlign w:val="top"/>
          </w:tcPr>
          <w:p w14:paraId="5C44C15E">
            <w:pPr>
              <w:tabs>
                <w:tab w:val="left" w:pos="360"/>
                <w:tab w:val="left" w:pos="1800"/>
              </w:tabs>
              <w:spacing w:line="480" w:lineRule="auto"/>
              <w:jc w:val="center"/>
              <w:rPr>
                <w:rFonts w:hint="eastAsia" w:ascii="宋体" w:hAnsi="宋体" w:eastAsia="宋体" w:cs="宋体"/>
                <w:sz w:val="24"/>
                <w:szCs w:val="24"/>
                <w:highlight w:val="none"/>
              </w:rPr>
            </w:pPr>
          </w:p>
          <w:p w14:paraId="299D0AE6">
            <w:pPr>
              <w:tabs>
                <w:tab w:val="left" w:pos="360"/>
                <w:tab w:val="left" w:pos="1800"/>
              </w:tabs>
              <w:spacing w:line="480" w:lineRule="auto"/>
              <w:jc w:val="center"/>
              <w:rPr>
                <w:rFonts w:hint="eastAsia" w:ascii="宋体" w:hAnsi="宋体" w:eastAsia="宋体" w:cs="宋体"/>
                <w:sz w:val="24"/>
                <w:szCs w:val="24"/>
                <w:highlight w:val="none"/>
              </w:rPr>
            </w:pPr>
          </w:p>
          <w:p w14:paraId="335EA964">
            <w:pPr>
              <w:tabs>
                <w:tab w:val="left" w:pos="360"/>
                <w:tab w:val="left" w:pos="1800"/>
              </w:tabs>
              <w:spacing w:line="48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委托代理人身份证复印件或扫描件（正、反两面）</w:t>
            </w:r>
          </w:p>
        </w:tc>
      </w:tr>
    </w:tbl>
    <w:p w14:paraId="10E5AB7F">
      <w:pPr>
        <w:tabs>
          <w:tab w:val="left" w:pos="360"/>
          <w:tab w:val="left" w:pos="1800"/>
        </w:tabs>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注：委托代理人身份证复印件或扫描件应反映出证件有效期等所载内容。</w:t>
      </w:r>
    </w:p>
    <w:p w14:paraId="17AC7001">
      <w:pPr>
        <w:spacing w:line="460" w:lineRule="exact"/>
        <w:rPr>
          <w:rFonts w:hint="eastAsia" w:ascii="宋体" w:hAnsi="宋体" w:eastAsia="宋体" w:cs="宋体"/>
          <w:bCs/>
          <w:sz w:val="24"/>
          <w:szCs w:val="24"/>
          <w:highlight w:val="none"/>
        </w:rPr>
      </w:pPr>
    </w:p>
    <w:p w14:paraId="468592C0">
      <w:pPr>
        <w:jc w:val="center"/>
        <w:outlineLvl w:val="9"/>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br w:type="page"/>
      </w:r>
      <w:r>
        <w:rPr>
          <w:rFonts w:hint="eastAsia" w:ascii="宋体" w:hAnsi="宋体" w:eastAsia="宋体" w:cs="宋体"/>
          <w:b/>
          <w:bCs/>
          <w:sz w:val="24"/>
          <w:szCs w:val="24"/>
          <w:highlight w:val="none"/>
        </w:rPr>
        <w:t>格式4</w:t>
      </w:r>
      <w:r>
        <w:rPr>
          <w:rFonts w:hint="eastAsia" w:ascii="宋体" w:hAnsi="宋体" w:eastAsia="宋体" w:cs="宋体"/>
          <w:b/>
          <w:sz w:val="24"/>
          <w:szCs w:val="24"/>
          <w:highlight w:val="none"/>
        </w:rPr>
        <w:t xml:space="preserve">  </w:t>
      </w:r>
      <w:r>
        <w:rPr>
          <w:rFonts w:hint="eastAsia" w:ascii="宋体" w:hAnsi="宋体" w:eastAsia="宋体" w:cs="宋体"/>
          <w:b/>
          <w:bCs/>
          <w:sz w:val="24"/>
          <w:szCs w:val="24"/>
          <w:highlight w:val="none"/>
        </w:rPr>
        <w:t xml:space="preserve"> </w:t>
      </w: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基本情况表</w:t>
      </w:r>
    </w:p>
    <w:tbl>
      <w:tblPr>
        <w:tblStyle w:val="24"/>
        <w:tblW w:w="97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9"/>
        <w:gridCol w:w="1439"/>
        <w:gridCol w:w="1681"/>
        <w:gridCol w:w="1417"/>
        <w:gridCol w:w="1583"/>
        <w:gridCol w:w="1954"/>
      </w:tblGrid>
      <w:tr w14:paraId="0484F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6" w:hRule="atLeast"/>
          <w:jc w:val="center"/>
        </w:trPr>
        <w:tc>
          <w:tcPr>
            <w:tcW w:w="1669" w:type="dxa"/>
            <w:vAlign w:val="center"/>
          </w:tcPr>
          <w:p w14:paraId="15F9396C">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供应商名称</w:t>
            </w:r>
          </w:p>
        </w:tc>
        <w:tc>
          <w:tcPr>
            <w:tcW w:w="8074" w:type="dxa"/>
            <w:gridSpan w:val="5"/>
            <w:vAlign w:val="center"/>
          </w:tcPr>
          <w:p w14:paraId="5D828755">
            <w:pPr>
              <w:spacing w:line="460" w:lineRule="exact"/>
              <w:rPr>
                <w:rFonts w:hint="eastAsia" w:ascii="宋体" w:hAnsi="宋体" w:eastAsia="宋体" w:cs="宋体"/>
                <w:bCs/>
                <w:sz w:val="24"/>
                <w:szCs w:val="24"/>
                <w:highlight w:val="none"/>
              </w:rPr>
            </w:pPr>
          </w:p>
        </w:tc>
      </w:tr>
      <w:tr w14:paraId="35FC9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1669" w:type="dxa"/>
            <w:vAlign w:val="center"/>
          </w:tcPr>
          <w:p w14:paraId="0BA857FA">
            <w:pPr>
              <w:spacing w:line="460" w:lineRule="exact"/>
              <w:ind w:firstLine="240" w:firstLineChars="100"/>
              <w:rPr>
                <w:rFonts w:hint="eastAsia" w:ascii="宋体" w:hAnsi="宋体" w:eastAsia="宋体" w:cs="宋体"/>
                <w:bCs/>
                <w:sz w:val="24"/>
                <w:szCs w:val="24"/>
                <w:highlight w:val="none"/>
              </w:rPr>
            </w:pPr>
            <w:r>
              <w:rPr>
                <w:rFonts w:hint="eastAsia" w:ascii="宋体" w:hAnsi="宋体" w:eastAsia="宋体" w:cs="宋体"/>
                <w:bCs/>
                <w:sz w:val="24"/>
                <w:szCs w:val="24"/>
                <w:highlight w:val="none"/>
              </w:rPr>
              <w:t>地 址</w:t>
            </w:r>
          </w:p>
        </w:tc>
        <w:tc>
          <w:tcPr>
            <w:tcW w:w="8074" w:type="dxa"/>
            <w:gridSpan w:val="5"/>
            <w:vAlign w:val="center"/>
          </w:tcPr>
          <w:p w14:paraId="587B44DE">
            <w:pPr>
              <w:spacing w:line="460" w:lineRule="exact"/>
              <w:rPr>
                <w:rFonts w:hint="eastAsia" w:ascii="宋体" w:hAnsi="宋体" w:eastAsia="宋体" w:cs="宋体"/>
                <w:bCs/>
                <w:sz w:val="24"/>
                <w:szCs w:val="24"/>
                <w:highlight w:val="none"/>
              </w:rPr>
            </w:pPr>
          </w:p>
        </w:tc>
      </w:tr>
      <w:tr w14:paraId="2362F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1669" w:type="dxa"/>
            <w:vAlign w:val="center"/>
          </w:tcPr>
          <w:p w14:paraId="771668A9">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主管部门</w:t>
            </w:r>
          </w:p>
        </w:tc>
        <w:tc>
          <w:tcPr>
            <w:tcW w:w="1439" w:type="dxa"/>
            <w:vAlign w:val="center"/>
          </w:tcPr>
          <w:p w14:paraId="4FCC36E1">
            <w:pPr>
              <w:spacing w:line="460" w:lineRule="exact"/>
              <w:rPr>
                <w:rFonts w:hint="eastAsia" w:ascii="宋体" w:hAnsi="宋体" w:eastAsia="宋体" w:cs="宋体"/>
                <w:bCs/>
                <w:sz w:val="24"/>
                <w:szCs w:val="24"/>
                <w:highlight w:val="none"/>
              </w:rPr>
            </w:pPr>
          </w:p>
        </w:tc>
        <w:tc>
          <w:tcPr>
            <w:tcW w:w="1681" w:type="dxa"/>
            <w:vAlign w:val="center"/>
          </w:tcPr>
          <w:p w14:paraId="7556F51A">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法定代表人</w:t>
            </w:r>
          </w:p>
        </w:tc>
        <w:tc>
          <w:tcPr>
            <w:tcW w:w="1417" w:type="dxa"/>
            <w:vAlign w:val="center"/>
          </w:tcPr>
          <w:p w14:paraId="0A4D0AB8">
            <w:pPr>
              <w:spacing w:line="460" w:lineRule="exact"/>
              <w:rPr>
                <w:rFonts w:hint="eastAsia" w:ascii="宋体" w:hAnsi="宋体" w:eastAsia="宋体" w:cs="宋体"/>
                <w:bCs/>
                <w:sz w:val="24"/>
                <w:szCs w:val="24"/>
                <w:highlight w:val="none"/>
              </w:rPr>
            </w:pPr>
          </w:p>
        </w:tc>
        <w:tc>
          <w:tcPr>
            <w:tcW w:w="1583" w:type="dxa"/>
            <w:vAlign w:val="center"/>
          </w:tcPr>
          <w:p w14:paraId="1F392DB0">
            <w:pPr>
              <w:spacing w:line="460" w:lineRule="exact"/>
              <w:ind w:firstLine="240" w:firstLineChars="100"/>
              <w:rPr>
                <w:rFonts w:hint="eastAsia" w:ascii="宋体" w:hAnsi="宋体" w:eastAsia="宋体" w:cs="宋体"/>
                <w:bCs/>
                <w:sz w:val="24"/>
                <w:szCs w:val="24"/>
                <w:highlight w:val="none"/>
              </w:rPr>
            </w:pPr>
            <w:r>
              <w:rPr>
                <w:rFonts w:hint="eastAsia" w:ascii="宋体" w:hAnsi="宋体" w:eastAsia="宋体" w:cs="宋体"/>
                <w:bCs/>
                <w:sz w:val="24"/>
                <w:szCs w:val="24"/>
                <w:highlight w:val="none"/>
              </w:rPr>
              <w:t>职 务</w:t>
            </w:r>
          </w:p>
        </w:tc>
        <w:tc>
          <w:tcPr>
            <w:tcW w:w="1954" w:type="dxa"/>
            <w:vAlign w:val="top"/>
          </w:tcPr>
          <w:p w14:paraId="11FF2875">
            <w:pPr>
              <w:spacing w:line="460" w:lineRule="exact"/>
              <w:rPr>
                <w:rFonts w:hint="eastAsia" w:ascii="宋体" w:hAnsi="宋体" w:eastAsia="宋体" w:cs="宋体"/>
                <w:bCs/>
                <w:sz w:val="24"/>
                <w:szCs w:val="24"/>
                <w:highlight w:val="none"/>
              </w:rPr>
            </w:pPr>
          </w:p>
        </w:tc>
      </w:tr>
      <w:tr w14:paraId="06FAC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jc w:val="center"/>
        </w:trPr>
        <w:tc>
          <w:tcPr>
            <w:tcW w:w="1669" w:type="dxa"/>
            <w:vAlign w:val="center"/>
          </w:tcPr>
          <w:p w14:paraId="25CFEE52">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注册时间</w:t>
            </w:r>
          </w:p>
        </w:tc>
        <w:tc>
          <w:tcPr>
            <w:tcW w:w="3120" w:type="dxa"/>
            <w:gridSpan w:val="2"/>
            <w:vAlign w:val="top"/>
          </w:tcPr>
          <w:p w14:paraId="02F56C19">
            <w:pPr>
              <w:spacing w:line="460" w:lineRule="exact"/>
              <w:rPr>
                <w:rFonts w:hint="eastAsia" w:ascii="宋体" w:hAnsi="宋体" w:eastAsia="宋体" w:cs="宋体"/>
                <w:bCs/>
                <w:sz w:val="24"/>
                <w:szCs w:val="24"/>
                <w:highlight w:val="none"/>
              </w:rPr>
            </w:pPr>
          </w:p>
        </w:tc>
        <w:tc>
          <w:tcPr>
            <w:tcW w:w="1417" w:type="dxa"/>
            <w:vAlign w:val="top"/>
          </w:tcPr>
          <w:p w14:paraId="36B5B580">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经济类型</w:t>
            </w:r>
          </w:p>
        </w:tc>
        <w:tc>
          <w:tcPr>
            <w:tcW w:w="3537" w:type="dxa"/>
            <w:gridSpan w:val="2"/>
            <w:vAlign w:val="top"/>
          </w:tcPr>
          <w:p w14:paraId="5958C568">
            <w:pPr>
              <w:spacing w:line="460" w:lineRule="exact"/>
              <w:rPr>
                <w:rFonts w:hint="eastAsia" w:ascii="宋体" w:hAnsi="宋体" w:eastAsia="宋体" w:cs="宋体"/>
                <w:bCs/>
                <w:sz w:val="24"/>
                <w:szCs w:val="24"/>
                <w:highlight w:val="none"/>
              </w:rPr>
            </w:pPr>
          </w:p>
        </w:tc>
      </w:tr>
      <w:tr w14:paraId="5E732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4789" w:type="dxa"/>
            <w:gridSpan w:val="3"/>
            <w:vAlign w:val="center"/>
          </w:tcPr>
          <w:p w14:paraId="28E73056">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营业执照号</w:t>
            </w:r>
          </w:p>
        </w:tc>
        <w:tc>
          <w:tcPr>
            <w:tcW w:w="4954" w:type="dxa"/>
            <w:gridSpan w:val="3"/>
            <w:vAlign w:val="center"/>
          </w:tcPr>
          <w:p w14:paraId="2EFD7692">
            <w:pPr>
              <w:spacing w:line="460" w:lineRule="exact"/>
              <w:rPr>
                <w:rFonts w:hint="eastAsia" w:ascii="宋体" w:hAnsi="宋体" w:eastAsia="宋体" w:cs="宋体"/>
                <w:bCs/>
                <w:sz w:val="24"/>
                <w:szCs w:val="24"/>
                <w:highlight w:val="none"/>
              </w:rPr>
            </w:pPr>
          </w:p>
        </w:tc>
      </w:tr>
      <w:tr w14:paraId="3C52E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2" w:hRule="atLeast"/>
          <w:jc w:val="center"/>
        </w:trPr>
        <w:tc>
          <w:tcPr>
            <w:tcW w:w="4789" w:type="dxa"/>
            <w:gridSpan w:val="3"/>
            <w:vAlign w:val="center"/>
          </w:tcPr>
          <w:p w14:paraId="5AD25622">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近三年内（20</w:t>
            </w:r>
            <w:r>
              <w:rPr>
                <w:rFonts w:hint="eastAsia" w:ascii="宋体" w:hAnsi="宋体" w:eastAsia="宋体" w:cs="宋体"/>
                <w:bCs/>
                <w:sz w:val="24"/>
                <w:szCs w:val="24"/>
                <w:highlight w:val="none"/>
                <w:lang w:val="en-US" w:eastAsia="zh-CN"/>
              </w:rPr>
              <w:t>2</w:t>
            </w:r>
            <w:r>
              <w:rPr>
                <w:rFonts w:hint="eastAsia" w:ascii="宋体" w:hAnsi="宋体" w:cs="宋体"/>
                <w:bCs/>
                <w:sz w:val="24"/>
                <w:szCs w:val="24"/>
                <w:highlight w:val="none"/>
                <w:lang w:val="en-US" w:eastAsia="zh-CN"/>
              </w:rPr>
              <w:t>2</w:t>
            </w:r>
            <w:r>
              <w:rPr>
                <w:rFonts w:hint="eastAsia" w:ascii="宋体" w:hAnsi="宋体" w:eastAsia="宋体" w:cs="宋体"/>
                <w:bCs/>
                <w:sz w:val="24"/>
                <w:szCs w:val="24"/>
                <w:highlight w:val="none"/>
              </w:rPr>
              <w:t>年至202</w:t>
            </w:r>
            <w:r>
              <w:rPr>
                <w:rFonts w:hint="eastAsia" w:ascii="宋体" w:hAnsi="宋体" w:cs="宋体"/>
                <w:bCs/>
                <w:sz w:val="24"/>
                <w:szCs w:val="24"/>
                <w:highlight w:val="none"/>
                <w:lang w:val="en-US" w:eastAsia="zh-CN"/>
              </w:rPr>
              <w:t>4</w:t>
            </w:r>
            <w:r>
              <w:rPr>
                <w:rFonts w:hint="eastAsia" w:ascii="宋体" w:hAnsi="宋体" w:eastAsia="宋体" w:cs="宋体"/>
                <w:bCs/>
                <w:sz w:val="24"/>
                <w:szCs w:val="24"/>
                <w:highlight w:val="none"/>
              </w:rPr>
              <w:t>年）在经营活动中有无重大违法纪录</w:t>
            </w:r>
          </w:p>
        </w:tc>
        <w:tc>
          <w:tcPr>
            <w:tcW w:w="4954" w:type="dxa"/>
            <w:gridSpan w:val="3"/>
            <w:vAlign w:val="center"/>
          </w:tcPr>
          <w:p w14:paraId="159CBD81">
            <w:pPr>
              <w:spacing w:line="460" w:lineRule="exact"/>
              <w:rPr>
                <w:rFonts w:hint="eastAsia" w:ascii="宋体" w:hAnsi="宋体" w:eastAsia="宋体" w:cs="宋体"/>
                <w:bCs/>
                <w:sz w:val="24"/>
                <w:szCs w:val="24"/>
                <w:highlight w:val="none"/>
              </w:rPr>
            </w:pPr>
          </w:p>
        </w:tc>
      </w:tr>
      <w:tr w14:paraId="01542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atLeast"/>
          <w:jc w:val="center"/>
        </w:trPr>
        <w:tc>
          <w:tcPr>
            <w:tcW w:w="1669" w:type="dxa"/>
            <w:vAlign w:val="center"/>
          </w:tcPr>
          <w:p w14:paraId="5AAA7C8C">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是否依法缴纳税收</w:t>
            </w:r>
          </w:p>
        </w:tc>
        <w:tc>
          <w:tcPr>
            <w:tcW w:w="3120" w:type="dxa"/>
            <w:gridSpan w:val="2"/>
            <w:vAlign w:val="top"/>
          </w:tcPr>
          <w:p w14:paraId="497F9C0B">
            <w:pPr>
              <w:spacing w:line="460" w:lineRule="exact"/>
              <w:rPr>
                <w:rFonts w:hint="eastAsia" w:ascii="宋体" w:hAnsi="宋体" w:eastAsia="宋体" w:cs="宋体"/>
                <w:bCs/>
                <w:sz w:val="24"/>
                <w:szCs w:val="24"/>
                <w:highlight w:val="none"/>
              </w:rPr>
            </w:pPr>
          </w:p>
        </w:tc>
        <w:tc>
          <w:tcPr>
            <w:tcW w:w="1417" w:type="dxa"/>
            <w:vAlign w:val="top"/>
          </w:tcPr>
          <w:p w14:paraId="09D71624">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是否依法缴纳社会保障资金</w:t>
            </w:r>
          </w:p>
        </w:tc>
        <w:tc>
          <w:tcPr>
            <w:tcW w:w="3537" w:type="dxa"/>
            <w:gridSpan w:val="2"/>
            <w:vAlign w:val="top"/>
          </w:tcPr>
          <w:p w14:paraId="4C3BDCBC">
            <w:pPr>
              <w:spacing w:line="460" w:lineRule="exact"/>
              <w:rPr>
                <w:rFonts w:hint="eastAsia" w:ascii="宋体" w:hAnsi="宋体" w:eastAsia="宋体" w:cs="宋体"/>
                <w:bCs/>
                <w:sz w:val="24"/>
                <w:szCs w:val="24"/>
                <w:highlight w:val="none"/>
              </w:rPr>
            </w:pPr>
          </w:p>
        </w:tc>
      </w:tr>
      <w:tr w14:paraId="281C5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1669" w:type="dxa"/>
            <w:vMerge w:val="restart"/>
            <w:vAlign w:val="top"/>
          </w:tcPr>
          <w:p w14:paraId="76F90EFC">
            <w:pPr>
              <w:spacing w:line="46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单</w:t>
            </w:r>
          </w:p>
          <w:p w14:paraId="0262CB3A">
            <w:pPr>
              <w:spacing w:line="46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位</w:t>
            </w:r>
          </w:p>
          <w:p w14:paraId="03FA9E4C">
            <w:pPr>
              <w:spacing w:line="46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概</w:t>
            </w:r>
          </w:p>
          <w:p w14:paraId="59AF40F6">
            <w:pPr>
              <w:spacing w:line="46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况</w:t>
            </w:r>
          </w:p>
        </w:tc>
        <w:tc>
          <w:tcPr>
            <w:tcW w:w="1439" w:type="dxa"/>
            <w:vAlign w:val="center"/>
          </w:tcPr>
          <w:p w14:paraId="63C0D8A4">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注册资本</w:t>
            </w:r>
          </w:p>
        </w:tc>
        <w:tc>
          <w:tcPr>
            <w:tcW w:w="1681" w:type="dxa"/>
            <w:vAlign w:val="top"/>
          </w:tcPr>
          <w:p w14:paraId="33BA5F1F">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 xml:space="preserve">     万元</w:t>
            </w:r>
          </w:p>
        </w:tc>
        <w:tc>
          <w:tcPr>
            <w:tcW w:w="1417" w:type="dxa"/>
            <w:vAlign w:val="top"/>
          </w:tcPr>
          <w:p w14:paraId="57577A20">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占地面积</w:t>
            </w:r>
          </w:p>
        </w:tc>
        <w:tc>
          <w:tcPr>
            <w:tcW w:w="3537" w:type="dxa"/>
            <w:gridSpan w:val="2"/>
            <w:vAlign w:val="top"/>
          </w:tcPr>
          <w:p w14:paraId="2D886994">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 xml:space="preserve">               平方米</w:t>
            </w:r>
          </w:p>
        </w:tc>
      </w:tr>
      <w:tr w14:paraId="1567E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7" w:hRule="atLeast"/>
          <w:jc w:val="center"/>
        </w:trPr>
        <w:tc>
          <w:tcPr>
            <w:tcW w:w="1669" w:type="dxa"/>
            <w:vMerge w:val="continue"/>
            <w:vAlign w:val="top"/>
          </w:tcPr>
          <w:p w14:paraId="575118B8">
            <w:pPr>
              <w:spacing w:line="460" w:lineRule="exact"/>
              <w:rPr>
                <w:rFonts w:hint="eastAsia" w:ascii="宋体" w:hAnsi="宋体" w:eastAsia="宋体" w:cs="宋体"/>
                <w:bCs/>
                <w:sz w:val="24"/>
                <w:szCs w:val="24"/>
                <w:highlight w:val="none"/>
              </w:rPr>
            </w:pPr>
          </w:p>
        </w:tc>
        <w:tc>
          <w:tcPr>
            <w:tcW w:w="1439" w:type="dxa"/>
            <w:vAlign w:val="center"/>
          </w:tcPr>
          <w:p w14:paraId="3515157D">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职工总数</w:t>
            </w:r>
          </w:p>
        </w:tc>
        <w:tc>
          <w:tcPr>
            <w:tcW w:w="1681" w:type="dxa"/>
            <w:vAlign w:val="top"/>
          </w:tcPr>
          <w:p w14:paraId="02E464DE">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 xml:space="preserve">       人</w:t>
            </w:r>
          </w:p>
        </w:tc>
        <w:tc>
          <w:tcPr>
            <w:tcW w:w="1417" w:type="dxa"/>
            <w:vAlign w:val="top"/>
          </w:tcPr>
          <w:p w14:paraId="3F29EFB0">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建筑面积</w:t>
            </w:r>
          </w:p>
        </w:tc>
        <w:tc>
          <w:tcPr>
            <w:tcW w:w="3537" w:type="dxa"/>
            <w:gridSpan w:val="2"/>
            <w:vAlign w:val="top"/>
          </w:tcPr>
          <w:p w14:paraId="2DF2F96F">
            <w:pPr>
              <w:spacing w:line="460" w:lineRule="exact"/>
              <w:ind w:firstLine="1800" w:firstLineChars="750"/>
              <w:rPr>
                <w:rFonts w:hint="eastAsia" w:ascii="宋体" w:hAnsi="宋体" w:eastAsia="宋体" w:cs="宋体"/>
                <w:bCs/>
                <w:sz w:val="24"/>
                <w:szCs w:val="24"/>
                <w:highlight w:val="none"/>
              </w:rPr>
            </w:pPr>
            <w:r>
              <w:rPr>
                <w:rFonts w:hint="eastAsia" w:ascii="宋体" w:hAnsi="宋体" w:eastAsia="宋体" w:cs="宋体"/>
                <w:bCs/>
                <w:sz w:val="24"/>
                <w:szCs w:val="24"/>
                <w:highlight w:val="none"/>
              </w:rPr>
              <w:t>平方米</w:t>
            </w:r>
          </w:p>
        </w:tc>
      </w:tr>
      <w:tr w14:paraId="19A62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6" w:hRule="atLeast"/>
          <w:jc w:val="center"/>
        </w:trPr>
        <w:tc>
          <w:tcPr>
            <w:tcW w:w="1669" w:type="dxa"/>
            <w:vMerge w:val="continue"/>
            <w:vAlign w:val="top"/>
          </w:tcPr>
          <w:p w14:paraId="19737ECE">
            <w:pPr>
              <w:spacing w:line="460" w:lineRule="exact"/>
              <w:rPr>
                <w:rFonts w:hint="eastAsia" w:ascii="宋体" w:hAnsi="宋体" w:eastAsia="宋体" w:cs="宋体"/>
                <w:bCs/>
                <w:sz w:val="24"/>
                <w:szCs w:val="24"/>
                <w:highlight w:val="none"/>
              </w:rPr>
            </w:pPr>
          </w:p>
        </w:tc>
        <w:tc>
          <w:tcPr>
            <w:tcW w:w="1439" w:type="dxa"/>
            <w:vMerge w:val="restart"/>
            <w:vAlign w:val="center"/>
          </w:tcPr>
          <w:p w14:paraId="72D5111C">
            <w:pPr>
              <w:spacing w:line="460" w:lineRule="exact"/>
              <w:ind w:firstLine="240" w:firstLineChars="100"/>
              <w:rPr>
                <w:rFonts w:hint="eastAsia" w:ascii="宋体" w:hAnsi="宋体" w:eastAsia="宋体" w:cs="宋体"/>
                <w:bCs/>
                <w:sz w:val="24"/>
                <w:szCs w:val="24"/>
                <w:highlight w:val="none"/>
              </w:rPr>
            </w:pPr>
            <w:r>
              <w:rPr>
                <w:rFonts w:hint="eastAsia" w:ascii="宋体" w:hAnsi="宋体" w:eastAsia="宋体" w:cs="宋体"/>
                <w:bCs/>
                <w:sz w:val="24"/>
                <w:szCs w:val="24"/>
                <w:highlight w:val="none"/>
              </w:rPr>
              <w:t>资产</w:t>
            </w:r>
          </w:p>
          <w:p w14:paraId="340AD208">
            <w:pPr>
              <w:spacing w:line="460" w:lineRule="exact"/>
              <w:ind w:firstLine="240" w:firstLineChars="100"/>
              <w:rPr>
                <w:rFonts w:hint="eastAsia" w:ascii="宋体" w:hAnsi="宋体" w:eastAsia="宋体" w:cs="宋体"/>
                <w:bCs/>
                <w:sz w:val="24"/>
                <w:szCs w:val="24"/>
                <w:highlight w:val="none"/>
              </w:rPr>
            </w:pPr>
            <w:r>
              <w:rPr>
                <w:rFonts w:hint="eastAsia" w:ascii="宋体" w:hAnsi="宋体" w:eastAsia="宋体" w:cs="宋体"/>
                <w:bCs/>
                <w:sz w:val="24"/>
                <w:szCs w:val="24"/>
                <w:highlight w:val="none"/>
              </w:rPr>
              <w:t>情况</w:t>
            </w:r>
          </w:p>
        </w:tc>
        <w:tc>
          <w:tcPr>
            <w:tcW w:w="3098" w:type="dxa"/>
            <w:gridSpan w:val="2"/>
            <w:vAlign w:val="center"/>
          </w:tcPr>
          <w:p w14:paraId="30387867">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净资产：        万元</w:t>
            </w:r>
          </w:p>
        </w:tc>
        <w:tc>
          <w:tcPr>
            <w:tcW w:w="3537" w:type="dxa"/>
            <w:gridSpan w:val="2"/>
            <w:vMerge w:val="restart"/>
            <w:vAlign w:val="top"/>
          </w:tcPr>
          <w:p w14:paraId="04BADC8C">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固定资产原值 ：     万元</w:t>
            </w:r>
          </w:p>
          <w:p w14:paraId="7B0DABDA">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固定资产净值：      万元</w:t>
            </w:r>
          </w:p>
        </w:tc>
      </w:tr>
      <w:tr w14:paraId="61090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jc w:val="center"/>
        </w:trPr>
        <w:tc>
          <w:tcPr>
            <w:tcW w:w="1669" w:type="dxa"/>
            <w:vMerge w:val="continue"/>
            <w:vAlign w:val="top"/>
          </w:tcPr>
          <w:p w14:paraId="01BC2C7B">
            <w:pPr>
              <w:spacing w:line="460" w:lineRule="exact"/>
              <w:rPr>
                <w:rFonts w:hint="eastAsia" w:ascii="宋体" w:hAnsi="宋体" w:eastAsia="宋体" w:cs="宋体"/>
                <w:bCs/>
                <w:sz w:val="24"/>
                <w:szCs w:val="24"/>
                <w:highlight w:val="none"/>
              </w:rPr>
            </w:pPr>
          </w:p>
        </w:tc>
        <w:tc>
          <w:tcPr>
            <w:tcW w:w="1439" w:type="dxa"/>
            <w:vMerge w:val="continue"/>
            <w:vAlign w:val="top"/>
          </w:tcPr>
          <w:p w14:paraId="79E0AAD2">
            <w:pPr>
              <w:spacing w:line="460" w:lineRule="exact"/>
              <w:rPr>
                <w:rFonts w:hint="eastAsia" w:ascii="宋体" w:hAnsi="宋体" w:eastAsia="宋体" w:cs="宋体"/>
                <w:bCs/>
                <w:sz w:val="24"/>
                <w:szCs w:val="24"/>
                <w:highlight w:val="none"/>
              </w:rPr>
            </w:pPr>
          </w:p>
        </w:tc>
        <w:tc>
          <w:tcPr>
            <w:tcW w:w="3098" w:type="dxa"/>
            <w:gridSpan w:val="2"/>
            <w:vAlign w:val="center"/>
          </w:tcPr>
          <w:p w14:paraId="69FB6B6C">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负 债：         万元</w:t>
            </w:r>
          </w:p>
        </w:tc>
        <w:tc>
          <w:tcPr>
            <w:tcW w:w="3537" w:type="dxa"/>
            <w:gridSpan w:val="2"/>
            <w:vMerge w:val="continue"/>
            <w:vAlign w:val="top"/>
          </w:tcPr>
          <w:p w14:paraId="63FF0794">
            <w:pPr>
              <w:spacing w:line="460" w:lineRule="exact"/>
              <w:rPr>
                <w:rFonts w:hint="eastAsia" w:ascii="宋体" w:hAnsi="宋体" w:eastAsia="宋体" w:cs="宋体"/>
                <w:bCs/>
                <w:sz w:val="24"/>
                <w:szCs w:val="24"/>
                <w:highlight w:val="none"/>
              </w:rPr>
            </w:pPr>
          </w:p>
        </w:tc>
      </w:tr>
      <w:tr w14:paraId="2B7B8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1669" w:type="dxa"/>
            <w:vMerge w:val="restart"/>
            <w:vAlign w:val="center"/>
          </w:tcPr>
          <w:p w14:paraId="3239036E">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财务状况</w:t>
            </w:r>
          </w:p>
          <w:p w14:paraId="0E227CF3">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（最近三年</w:t>
            </w:r>
            <w:r>
              <w:rPr>
                <w:rFonts w:hint="eastAsia" w:ascii="宋体" w:hAnsi="宋体" w:cs="宋体"/>
                <w:bCs/>
                <w:sz w:val="24"/>
                <w:szCs w:val="24"/>
                <w:highlight w:val="none"/>
                <w:lang w:val="en-US" w:eastAsia="zh-CN"/>
              </w:rPr>
              <w:t>2022</w:t>
            </w:r>
            <w:r>
              <w:rPr>
                <w:rFonts w:hint="eastAsia" w:ascii="宋体" w:hAnsi="宋体" w:eastAsia="宋体" w:cs="宋体"/>
                <w:bCs/>
                <w:sz w:val="24"/>
                <w:szCs w:val="24"/>
                <w:highlight w:val="none"/>
              </w:rPr>
              <w:t>年至</w:t>
            </w:r>
            <w:r>
              <w:rPr>
                <w:rFonts w:hint="eastAsia" w:ascii="宋体" w:hAnsi="宋体" w:cs="宋体"/>
                <w:bCs/>
                <w:sz w:val="24"/>
                <w:szCs w:val="24"/>
                <w:highlight w:val="none"/>
                <w:lang w:val="en-US" w:eastAsia="zh-CN"/>
              </w:rPr>
              <w:t>2024</w:t>
            </w:r>
            <w:r>
              <w:rPr>
                <w:rFonts w:hint="eastAsia" w:ascii="宋体" w:hAnsi="宋体" w:eastAsia="宋体" w:cs="宋体"/>
                <w:bCs/>
                <w:sz w:val="24"/>
                <w:szCs w:val="24"/>
                <w:highlight w:val="none"/>
              </w:rPr>
              <w:t>）</w:t>
            </w:r>
          </w:p>
        </w:tc>
        <w:tc>
          <w:tcPr>
            <w:tcW w:w="1439" w:type="dxa"/>
            <w:vAlign w:val="top"/>
          </w:tcPr>
          <w:p w14:paraId="315A2E8E">
            <w:pPr>
              <w:spacing w:line="46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年份</w:t>
            </w:r>
          </w:p>
        </w:tc>
        <w:tc>
          <w:tcPr>
            <w:tcW w:w="1681" w:type="dxa"/>
            <w:vAlign w:val="center"/>
          </w:tcPr>
          <w:p w14:paraId="36252FFE">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主营收入</w:t>
            </w:r>
          </w:p>
          <w:p w14:paraId="005E9789">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（万元）</w:t>
            </w:r>
          </w:p>
        </w:tc>
        <w:tc>
          <w:tcPr>
            <w:tcW w:w="1417" w:type="dxa"/>
            <w:vAlign w:val="center"/>
          </w:tcPr>
          <w:p w14:paraId="0F96ADBD">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收入总额</w:t>
            </w:r>
          </w:p>
          <w:p w14:paraId="24F53B84">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（万元）</w:t>
            </w:r>
          </w:p>
        </w:tc>
        <w:tc>
          <w:tcPr>
            <w:tcW w:w="1583" w:type="dxa"/>
            <w:vAlign w:val="center"/>
          </w:tcPr>
          <w:p w14:paraId="5F071743">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利润总额</w:t>
            </w:r>
          </w:p>
          <w:p w14:paraId="307911B3">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（万元）</w:t>
            </w:r>
          </w:p>
        </w:tc>
        <w:tc>
          <w:tcPr>
            <w:tcW w:w="1954" w:type="dxa"/>
            <w:vAlign w:val="center"/>
          </w:tcPr>
          <w:p w14:paraId="46BF0683">
            <w:pPr>
              <w:spacing w:line="460" w:lineRule="exact"/>
              <w:ind w:firstLine="240" w:firstLineChars="100"/>
              <w:rPr>
                <w:rFonts w:hint="eastAsia" w:ascii="宋体" w:hAnsi="宋体" w:eastAsia="宋体" w:cs="宋体"/>
                <w:bCs/>
                <w:sz w:val="24"/>
                <w:szCs w:val="24"/>
                <w:highlight w:val="none"/>
              </w:rPr>
            </w:pPr>
            <w:r>
              <w:rPr>
                <w:rFonts w:hint="eastAsia" w:ascii="宋体" w:hAnsi="宋体" w:eastAsia="宋体" w:cs="宋体"/>
                <w:bCs/>
                <w:sz w:val="24"/>
                <w:szCs w:val="24"/>
                <w:highlight w:val="none"/>
              </w:rPr>
              <w:t>净利润</w:t>
            </w:r>
          </w:p>
          <w:p w14:paraId="72DAB876">
            <w:pPr>
              <w:spacing w:line="460" w:lineRule="exact"/>
              <w:ind w:firstLine="240" w:firstLineChars="100"/>
              <w:rPr>
                <w:rFonts w:hint="eastAsia" w:ascii="宋体" w:hAnsi="宋体" w:eastAsia="宋体" w:cs="宋体"/>
                <w:bCs/>
                <w:sz w:val="24"/>
                <w:szCs w:val="24"/>
                <w:highlight w:val="none"/>
              </w:rPr>
            </w:pPr>
            <w:r>
              <w:rPr>
                <w:rFonts w:hint="eastAsia" w:ascii="宋体" w:hAnsi="宋体" w:eastAsia="宋体" w:cs="宋体"/>
                <w:bCs/>
                <w:sz w:val="24"/>
                <w:szCs w:val="24"/>
                <w:highlight w:val="none"/>
              </w:rPr>
              <w:t>（万元）</w:t>
            </w:r>
          </w:p>
        </w:tc>
      </w:tr>
      <w:tr w14:paraId="634D0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jc w:val="center"/>
        </w:trPr>
        <w:tc>
          <w:tcPr>
            <w:tcW w:w="1669" w:type="dxa"/>
            <w:vMerge w:val="continue"/>
            <w:vAlign w:val="center"/>
          </w:tcPr>
          <w:p w14:paraId="749E3D1B">
            <w:pPr>
              <w:spacing w:line="460" w:lineRule="exact"/>
              <w:rPr>
                <w:rFonts w:hint="eastAsia" w:ascii="宋体" w:hAnsi="宋体" w:eastAsia="宋体" w:cs="宋体"/>
                <w:bCs/>
                <w:sz w:val="24"/>
                <w:szCs w:val="24"/>
                <w:highlight w:val="none"/>
              </w:rPr>
            </w:pPr>
          </w:p>
        </w:tc>
        <w:tc>
          <w:tcPr>
            <w:tcW w:w="1439" w:type="dxa"/>
            <w:vAlign w:val="center"/>
          </w:tcPr>
          <w:p w14:paraId="5AE398AB">
            <w:pPr>
              <w:spacing w:line="460" w:lineRule="exact"/>
              <w:rPr>
                <w:rFonts w:hint="eastAsia" w:ascii="宋体" w:hAnsi="宋体" w:eastAsia="宋体" w:cs="宋体"/>
                <w:bCs/>
                <w:sz w:val="24"/>
                <w:szCs w:val="24"/>
                <w:highlight w:val="none"/>
              </w:rPr>
            </w:pPr>
          </w:p>
        </w:tc>
        <w:tc>
          <w:tcPr>
            <w:tcW w:w="1681" w:type="dxa"/>
            <w:vAlign w:val="center"/>
          </w:tcPr>
          <w:p w14:paraId="64406C38">
            <w:pPr>
              <w:spacing w:line="460" w:lineRule="exact"/>
              <w:rPr>
                <w:rFonts w:hint="eastAsia" w:ascii="宋体" w:hAnsi="宋体" w:eastAsia="宋体" w:cs="宋体"/>
                <w:bCs/>
                <w:sz w:val="24"/>
                <w:szCs w:val="24"/>
                <w:highlight w:val="none"/>
              </w:rPr>
            </w:pPr>
          </w:p>
        </w:tc>
        <w:tc>
          <w:tcPr>
            <w:tcW w:w="1417" w:type="dxa"/>
            <w:vAlign w:val="center"/>
          </w:tcPr>
          <w:p w14:paraId="2D0516EA">
            <w:pPr>
              <w:spacing w:line="460" w:lineRule="exact"/>
              <w:rPr>
                <w:rFonts w:hint="eastAsia" w:ascii="宋体" w:hAnsi="宋体" w:eastAsia="宋体" w:cs="宋体"/>
                <w:bCs/>
                <w:sz w:val="24"/>
                <w:szCs w:val="24"/>
                <w:highlight w:val="none"/>
              </w:rPr>
            </w:pPr>
          </w:p>
        </w:tc>
        <w:tc>
          <w:tcPr>
            <w:tcW w:w="1583" w:type="dxa"/>
            <w:vAlign w:val="center"/>
          </w:tcPr>
          <w:p w14:paraId="7D52CD4F">
            <w:pPr>
              <w:spacing w:line="460" w:lineRule="exact"/>
              <w:rPr>
                <w:rFonts w:hint="eastAsia" w:ascii="宋体" w:hAnsi="宋体" w:eastAsia="宋体" w:cs="宋体"/>
                <w:bCs/>
                <w:sz w:val="24"/>
                <w:szCs w:val="24"/>
                <w:highlight w:val="none"/>
              </w:rPr>
            </w:pPr>
          </w:p>
        </w:tc>
        <w:tc>
          <w:tcPr>
            <w:tcW w:w="1954" w:type="dxa"/>
            <w:vAlign w:val="center"/>
          </w:tcPr>
          <w:p w14:paraId="72F1792C">
            <w:pPr>
              <w:spacing w:line="460" w:lineRule="exact"/>
              <w:rPr>
                <w:rFonts w:hint="eastAsia" w:ascii="宋体" w:hAnsi="宋体" w:eastAsia="宋体" w:cs="宋体"/>
                <w:bCs/>
                <w:sz w:val="24"/>
                <w:szCs w:val="24"/>
                <w:highlight w:val="none"/>
              </w:rPr>
            </w:pPr>
          </w:p>
        </w:tc>
      </w:tr>
      <w:tr w14:paraId="179F49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jc w:val="center"/>
        </w:trPr>
        <w:tc>
          <w:tcPr>
            <w:tcW w:w="1669" w:type="dxa"/>
            <w:vMerge w:val="continue"/>
            <w:vAlign w:val="top"/>
          </w:tcPr>
          <w:p w14:paraId="7A8A259B">
            <w:pPr>
              <w:spacing w:line="460" w:lineRule="exact"/>
              <w:rPr>
                <w:rFonts w:hint="eastAsia" w:ascii="宋体" w:hAnsi="宋体" w:eastAsia="宋体" w:cs="宋体"/>
                <w:bCs/>
                <w:sz w:val="24"/>
                <w:szCs w:val="24"/>
                <w:highlight w:val="none"/>
              </w:rPr>
            </w:pPr>
          </w:p>
        </w:tc>
        <w:tc>
          <w:tcPr>
            <w:tcW w:w="1439" w:type="dxa"/>
            <w:vAlign w:val="center"/>
          </w:tcPr>
          <w:p w14:paraId="3DDC04E7">
            <w:pPr>
              <w:spacing w:line="460" w:lineRule="exact"/>
              <w:rPr>
                <w:rFonts w:hint="eastAsia" w:ascii="宋体" w:hAnsi="宋体" w:eastAsia="宋体" w:cs="宋体"/>
                <w:bCs/>
                <w:sz w:val="24"/>
                <w:szCs w:val="24"/>
                <w:highlight w:val="none"/>
              </w:rPr>
            </w:pPr>
          </w:p>
        </w:tc>
        <w:tc>
          <w:tcPr>
            <w:tcW w:w="1681" w:type="dxa"/>
            <w:vAlign w:val="top"/>
          </w:tcPr>
          <w:p w14:paraId="11E2BD0F">
            <w:pPr>
              <w:spacing w:line="460" w:lineRule="exact"/>
              <w:rPr>
                <w:rFonts w:hint="eastAsia" w:ascii="宋体" w:hAnsi="宋体" w:eastAsia="宋体" w:cs="宋体"/>
                <w:bCs/>
                <w:sz w:val="24"/>
                <w:szCs w:val="24"/>
                <w:highlight w:val="none"/>
              </w:rPr>
            </w:pPr>
          </w:p>
        </w:tc>
        <w:tc>
          <w:tcPr>
            <w:tcW w:w="1417" w:type="dxa"/>
            <w:vAlign w:val="top"/>
          </w:tcPr>
          <w:p w14:paraId="04D278FB">
            <w:pPr>
              <w:spacing w:line="460" w:lineRule="exact"/>
              <w:rPr>
                <w:rFonts w:hint="eastAsia" w:ascii="宋体" w:hAnsi="宋体" w:eastAsia="宋体" w:cs="宋体"/>
                <w:bCs/>
                <w:sz w:val="24"/>
                <w:szCs w:val="24"/>
                <w:highlight w:val="none"/>
              </w:rPr>
            </w:pPr>
          </w:p>
        </w:tc>
        <w:tc>
          <w:tcPr>
            <w:tcW w:w="1583" w:type="dxa"/>
            <w:vAlign w:val="top"/>
          </w:tcPr>
          <w:p w14:paraId="044A94A7">
            <w:pPr>
              <w:spacing w:line="460" w:lineRule="exact"/>
              <w:rPr>
                <w:rFonts w:hint="eastAsia" w:ascii="宋体" w:hAnsi="宋体" w:eastAsia="宋体" w:cs="宋体"/>
                <w:bCs/>
                <w:sz w:val="24"/>
                <w:szCs w:val="24"/>
                <w:highlight w:val="none"/>
              </w:rPr>
            </w:pPr>
          </w:p>
        </w:tc>
        <w:tc>
          <w:tcPr>
            <w:tcW w:w="1954" w:type="dxa"/>
            <w:vAlign w:val="top"/>
          </w:tcPr>
          <w:p w14:paraId="48DC20E4">
            <w:pPr>
              <w:spacing w:line="460" w:lineRule="exact"/>
              <w:rPr>
                <w:rFonts w:hint="eastAsia" w:ascii="宋体" w:hAnsi="宋体" w:eastAsia="宋体" w:cs="宋体"/>
                <w:bCs/>
                <w:sz w:val="24"/>
                <w:szCs w:val="24"/>
                <w:highlight w:val="none"/>
              </w:rPr>
            </w:pPr>
          </w:p>
        </w:tc>
      </w:tr>
      <w:tr w14:paraId="17AC8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jc w:val="center"/>
        </w:trPr>
        <w:tc>
          <w:tcPr>
            <w:tcW w:w="1669" w:type="dxa"/>
            <w:vAlign w:val="top"/>
          </w:tcPr>
          <w:p w14:paraId="1FFC8AAB">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经营范围</w:t>
            </w:r>
          </w:p>
        </w:tc>
        <w:tc>
          <w:tcPr>
            <w:tcW w:w="8074" w:type="dxa"/>
            <w:gridSpan w:val="5"/>
            <w:vAlign w:val="center"/>
          </w:tcPr>
          <w:p w14:paraId="1A1B5F4F">
            <w:pPr>
              <w:spacing w:line="460" w:lineRule="exact"/>
              <w:rPr>
                <w:rFonts w:hint="eastAsia" w:ascii="宋体" w:hAnsi="宋体" w:eastAsia="宋体" w:cs="宋体"/>
                <w:bCs/>
                <w:sz w:val="24"/>
                <w:szCs w:val="24"/>
                <w:highlight w:val="none"/>
              </w:rPr>
            </w:pPr>
          </w:p>
        </w:tc>
      </w:tr>
      <w:tr w14:paraId="5B0C7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atLeast"/>
          <w:jc w:val="center"/>
        </w:trPr>
        <w:tc>
          <w:tcPr>
            <w:tcW w:w="1669" w:type="dxa"/>
            <w:vAlign w:val="top"/>
          </w:tcPr>
          <w:p w14:paraId="632945F6">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 xml:space="preserve">备注 </w:t>
            </w:r>
          </w:p>
        </w:tc>
        <w:tc>
          <w:tcPr>
            <w:tcW w:w="8074" w:type="dxa"/>
            <w:gridSpan w:val="5"/>
            <w:vAlign w:val="center"/>
          </w:tcPr>
          <w:p w14:paraId="6AF2CF20">
            <w:pPr>
              <w:spacing w:line="460" w:lineRule="exact"/>
              <w:rPr>
                <w:rFonts w:hint="eastAsia" w:ascii="宋体" w:hAnsi="宋体" w:eastAsia="宋体" w:cs="宋体"/>
                <w:bCs/>
                <w:sz w:val="24"/>
                <w:szCs w:val="24"/>
                <w:highlight w:val="none"/>
              </w:rPr>
            </w:pPr>
          </w:p>
        </w:tc>
      </w:tr>
    </w:tbl>
    <w:p w14:paraId="53189335">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我们保证上述声明中的资料和数据是真实的、正确的，我们同意如贵方要求，可以出示相关证明文件。</w:t>
      </w:r>
    </w:p>
    <w:p w14:paraId="04BCE084">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供应商（单位公章）：</w:t>
      </w:r>
      <w:r>
        <w:rPr>
          <w:rFonts w:hint="eastAsia" w:ascii="宋体" w:hAnsi="宋体" w:eastAsia="宋体" w:cs="宋体"/>
          <w:sz w:val="24"/>
          <w:szCs w:val="24"/>
          <w:highlight w:val="none"/>
          <w:u w:val="single"/>
        </w:rPr>
        <w:t xml:space="preserve">               </w:t>
      </w:r>
    </w:p>
    <w:p w14:paraId="7810D1A6">
      <w:pPr>
        <w:spacing w:line="460" w:lineRule="exact"/>
        <w:rPr>
          <w:rFonts w:hint="eastAsia" w:ascii="宋体" w:hAnsi="宋体" w:eastAsia="宋体" w:cs="宋体"/>
          <w:bCs/>
          <w:sz w:val="24"/>
          <w:szCs w:val="24"/>
          <w:highlight w:val="none"/>
          <w:u w:val="single"/>
        </w:rPr>
      </w:pPr>
      <w:r>
        <w:rPr>
          <w:rFonts w:hint="eastAsia" w:ascii="宋体" w:hAnsi="宋体" w:eastAsia="宋体" w:cs="宋体"/>
          <w:bCs/>
          <w:sz w:val="24"/>
          <w:szCs w:val="24"/>
          <w:highlight w:val="none"/>
        </w:rPr>
        <w:t>授权代表签字或盖章：</w:t>
      </w:r>
      <w:r>
        <w:rPr>
          <w:rFonts w:hint="eastAsia" w:ascii="宋体" w:hAnsi="宋体" w:eastAsia="宋体" w:cs="宋体"/>
          <w:sz w:val="24"/>
          <w:szCs w:val="24"/>
          <w:highlight w:val="none"/>
          <w:u w:val="single"/>
        </w:rPr>
        <w:t xml:space="preserve">               </w:t>
      </w:r>
    </w:p>
    <w:p w14:paraId="18559207">
      <w:pPr>
        <w:spacing w:line="460" w:lineRule="exact"/>
        <w:rPr>
          <w:rFonts w:hint="eastAsia" w:ascii="宋体" w:hAnsi="宋体" w:eastAsia="宋体" w:cs="宋体"/>
          <w:bCs/>
          <w:sz w:val="24"/>
          <w:szCs w:val="24"/>
          <w:highlight w:val="none"/>
        </w:rPr>
      </w:pPr>
      <w:r>
        <w:rPr>
          <w:rFonts w:hint="eastAsia" w:ascii="宋体" w:hAnsi="宋体" w:eastAsia="宋体" w:cs="宋体"/>
          <w:bCs/>
          <w:sz w:val="24"/>
          <w:szCs w:val="24"/>
          <w:highlight w:val="none"/>
        </w:rPr>
        <w:t>电话号和传真号：</w:t>
      </w:r>
      <w:r>
        <w:rPr>
          <w:rFonts w:hint="eastAsia" w:ascii="宋体" w:hAnsi="宋体" w:eastAsia="宋体" w:cs="宋体"/>
          <w:sz w:val="24"/>
          <w:szCs w:val="24"/>
          <w:highlight w:val="none"/>
          <w:u w:val="single"/>
        </w:rPr>
        <w:t xml:space="preserve">               </w:t>
      </w:r>
      <w:r>
        <w:rPr>
          <w:rFonts w:hint="eastAsia" w:ascii="宋体" w:hAnsi="宋体" w:eastAsia="宋体" w:cs="宋体"/>
          <w:bCs/>
          <w:sz w:val="24"/>
          <w:szCs w:val="24"/>
          <w:highlight w:val="none"/>
        </w:rPr>
        <w:t xml:space="preserve">                  </w:t>
      </w:r>
    </w:p>
    <w:p w14:paraId="11046FAA">
      <w:pPr>
        <w:spacing w:line="460" w:lineRule="exact"/>
        <w:rPr>
          <w:rFonts w:hint="eastAsia" w:ascii="宋体" w:hAnsi="宋体" w:eastAsia="宋体" w:cs="宋体"/>
          <w:bCs/>
          <w:sz w:val="24"/>
          <w:szCs w:val="24"/>
          <w:highlight w:val="none"/>
          <w:u w:val="single"/>
        </w:rPr>
      </w:pPr>
      <w:r>
        <w:rPr>
          <w:rFonts w:hint="eastAsia" w:ascii="宋体" w:hAnsi="宋体" w:eastAsia="宋体" w:cs="宋体"/>
          <w:bCs/>
          <w:sz w:val="24"/>
          <w:szCs w:val="24"/>
          <w:highlight w:val="none"/>
        </w:rPr>
        <w:t>日期</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年</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月</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日</w:t>
      </w:r>
    </w:p>
    <w:p w14:paraId="7A1827AD">
      <w:pPr>
        <w:tabs>
          <w:tab w:val="left" w:pos="6300"/>
        </w:tabs>
        <w:snapToGrid w:val="0"/>
        <w:spacing w:line="500" w:lineRule="exact"/>
        <w:jc w:val="center"/>
        <w:rPr>
          <w:rFonts w:hint="eastAsia" w:ascii="宋体" w:hAnsi="宋体" w:eastAsia="宋体" w:cs="宋体"/>
          <w:b/>
          <w:bCs/>
          <w:sz w:val="24"/>
          <w:szCs w:val="24"/>
          <w:highlight w:val="none"/>
        </w:rPr>
      </w:pPr>
      <w:r>
        <w:rPr>
          <w:rFonts w:hint="eastAsia" w:ascii="宋体" w:hAnsi="宋体" w:eastAsia="宋体" w:cs="宋体"/>
          <w:b/>
          <w:sz w:val="24"/>
          <w:szCs w:val="24"/>
          <w:highlight w:val="none"/>
        </w:rPr>
        <w:br w:type="page"/>
      </w:r>
      <w:r>
        <w:rPr>
          <w:rFonts w:hint="eastAsia" w:ascii="宋体" w:hAnsi="宋体" w:eastAsia="宋体" w:cs="宋体"/>
          <w:b/>
          <w:sz w:val="24"/>
          <w:szCs w:val="24"/>
          <w:highlight w:val="none"/>
        </w:rPr>
        <w:t xml:space="preserve">格式5  </w:t>
      </w:r>
      <w:r>
        <w:rPr>
          <w:rFonts w:hint="eastAsia" w:ascii="宋体" w:hAnsi="宋体" w:eastAsia="宋体" w:cs="宋体"/>
          <w:b/>
          <w:bCs/>
          <w:sz w:val="24"/>
          <w:szCs w:val="24"/>
          <w:highlight w:val="none"/>
        </w:rPr>
        <w:t xml:space="preserve"> 诚信声明</w:t>
      </w:r>
    </w:p>
    <w:p w14:paraId="12943936">
      <w:pPr>
        <w:tabs>
          <w:tab w:val="left" w:pos="6300"/>
        </w:tabs>
        <w:snapToGrid w:val="0"/>
        <w:spacing w:line="500" w:lineRule="exact"/>
        <w:ind w:firstLine="570"/>
        <w:rPr>
          <w:rFonts w:hint="eastAsia" w:ascii="宋体" w:hAnsi="宋体" w:eastAsia="宋体" w:cs="宋体"/>
          <w:sz w:val="24"/>
          <w:szCs w:val="24"/>
          <w:highlight w:val="none"/>
        </w:rPr>
      </w:pPr>
    </w:p>
    <w:p w14:paraId="69207BF4">
      <w:pPr>
        <w:spacing w:line="48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采购项目名称：</w:t>
      </w:r>
      <w:r>
        <w:rPr>
          <w:rFonts w:hint="eastAsia" w:ascii="宋体" w:hAnsi="宋体" w:eastAsia="宋体" w:cs="宋体"/>
          <w:sz w:val="24"/>
          <w:szCs w:val="24"/>
          <w:highlight w:val="none"/>
          <w:u w:val="single"/>
        </w:rPr>
        <w:t xml:space="preserve">               </w:t>
      </w:r>
    </w:p>
    <w:p w14:paraId="69B8ADD4">
      <w:pPr>
        <w:spacing w:line="48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致：</w:t>
      </w:r>
      <w:r>
        <w:rPr>
          <w:rFonts w:hint="eastAsia" w:ascii="宋体" w:hAnsi="宋体" w:eastAsia="宋体" w:cs="宋体"/>
          <w:sz w:val="24"/>
          <w:szCs w:val="24"/>
          <w:highlight w:val="none"/>
          <w:u w:val="single"/>
        </w:rPr>
        <w:t xml:space="preserve">                              </w:t>
      </w:r>
      <w:r>
        <w:rPr>
          <w:rFonts w:hint="eastAsia" w:ascii="宋体" w:hAnsi="宋体" w:eastAsia="宋体" w:cs="宋体"/>
          <w:bCs/>
          <w:sz w:val="24"/>
          <w:szCs w:val="24"/>
          <w:highlight w:val="none"/>
        </w:rPr>
        <w:t>（</w:t>
      </w:r>
      <w:r>
        <w:rPr>
          <w:rFonts w:hint="eastAsia" w:ascii="宋体" w:hAnsi="宋体" w:eastAsia="宋体" w:cs="宋体"/>
          <w:color w:val="auto"/>
          <w:kern w:val="0"/>
          <w:sz w:val="24"/>
          <w:szCs w:val="24"/>
          <w:highlight w:val="none"/>
          <w:u w:val="single"/>
          <w:lang w:val="en-US" w:eastAsia="zh-CN" w:bidi="ar"/>
        </w:rPr>
        <w:t>采购人、采购代理机构</w:t>
      </w:r>
      <w:r>
        <w:rPr>
          <w:rFonts w:hint="eastAsia" w:ascii="宋体" w:hAnsi="宋体" w:eastAsia="宋体" w:cs="宋体"/>
          <w:bCs/>
          <w:sz w:val="24"/>
          <w:szCs w:val="24"/>
          <w:highlight w:val="none"/>
        </w:rPr>
        <w:t>）</w:t>
      </w:r>
    </w:p>
    <w:p w14:paraId="0E683E51">
      <w:pPr>
        <w:spacing w:line="480" w:lineRule="auto"/>
        <w:ind w:firstLine="480" w:firstLineChars="200"/>
        <w:rPr>
          <w:rFonts w:hint="eastAsia" w:ascii="宋体" w:hAnsi="宋体" w:eastAsia="宋体" w:cs="宋体"/>
          <w:bCs/>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eastAsia="zh-CN"/>
        </w:rPr>
        <w:t>供应商</w:t>
      </w:r>
      <w:r>
        <w:rPr>
          <w:rFonts w:hint="eastAsia" w:ascii="宋体" w:hAnsi="宋体" w:eastAsia="宋体" w:cs="宋体"/>
          <w:bCs/>
          <w:sz w:val="24"/>
          <w:szCs w:val="24"/>
          <w:highlight w:val="none"/>
        </w:rPr>
        <w:t>名称）郑重声明，我公司具有良好的商业信誉和健全的财务会计制度，具有履行合同所必需的设备和专业技术能力，在合同签订前后随时愿意提供相关证明材料；我公司还同时声明参加本项目采购活动前三年内无重大违法活动记录，符合《政府采购法》规定的</w:t>
      </w:r>
      <w:r>
        <w:rPr>
          <w:rFonts w:hint="eastAsia" w:ascii="宋体" w:hAnsi="宋体" w:eastAsia="宋体" w:cs="宋体"/>
          <w:bCs/>
          <w:sz w:val="24"/>
          <w:szCs w:val="24"/>
          <w:highlight w:val="none"/>
          <w:lang w:eastAsia="zh-CN"/>
        </w:rPr>
        <w:t>供应商</w:t>
      </w:r>
      <w:r>
        <w:rPr>
          <w:rFonts w:hint="eastAsia" w:ascii="宋体" w:hAnsi="宋体" w:eastAsia="宋体" w:cs="宋体"/>
          <w:bCs/>
          <w:sz w:val="24"/>
          <w:szCs w:val="24"/>
          <w:highlight w:val="none"/>
        </w:rPr>
        <w:t>资格条件。我方对以上声明负全部法律责任。</w:t>
      </w:r>
    </w:p>
    <w:p w14:paraId="6D89A064">
      <w:pPr>
        <w:spacing w:line="480" w:lineRule="auto"/>
        <w:ind w:firstLine="480" w:firstLineChars="200"/>
        <w:rPr>
          <w:rFonts w:hint="eastAsia" w:ascii="宋体" w:hAnsi="宋体" w:eastAsia="宋体" w:cs="宋体"/>
          <w:bCs/>
          <w:sz w:val="24"/>
          <w:szCs w:val="24"/>
          <w:highlight w:val="none"/>
        </w:rPr>
      </w:pPr>
      <w:r>
        <w:rPr>
          <w:rFonts w:hint="eastAsia" w:ascii="宋体" w:hAnsi="宋体" w:eastAsia="宋体" w:cs="宋体"/>
          <w:bCs/>
          <w:sz w:val="24"/>
          <w:szCs w:val="24"/>
          <w:highlight w:val="none"/>
        </w:rPr>
        <w:t>特此声明。</w:t>
      </w:r>
    </w:p>
    <w:p w14:paraId="6756C242">
      <w:pPr>
        <w:spacing w:line="480" w:lineRule="auto"/>
        <w:ind w:firstLine="480" w:firstLineChars="200"/>
        <w:rPr>
          <w:rFonts w:hint="eastAsia" w:ascii="宋体" w:hAnsi="宋体" w:eastAsia="宋体" w:cs="宋体"/>
          <w:bCs/>
          <w:sz w:val="24"/>
          <w:szCs w:val="24"/>
          <w:highlight w:val="none"/>
        </w:rPr>
      </w:pPr>
    </w:p>
    <w:p w14:paraId="3A14E396">
      <w:pPr>
        <w:spacing w:line="480" w:lineRule="auto"/>
        <w:ind w:firstLine="480" w:firstLineChars="200"/>
        <w:rPr>
          <w:rFonts w:hint="eastAsia" w:ascii="宋体" w:hAnsi="宋体" w:eastAsia="宋体" w:cs="宋体"/>
          <w:bCs/>
          <w:sz w:val="24"/>
          <w:szCs w:val="24"/>
          <w:highlight w:val="none"/>
        </w:rPr>
      </w:pPr>
    </w:p>
    <w:p w14:paraId="7701C017">
      <w:pPr>
        <w:pStyle w:val="14"/>
        <w:ind w:left="1117" w:leftChars="532" w:firstLine="240" w:firstLineChars="100"/>
        <w:jc w:val="right"/>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供应商名称：</w:t>
      </w:r>
      <w:r>
        <w:rPr>
          <w:rFonts w:hint="eastAsia" w:ascii="宋体" w:hAnsi="宋体" w:eastAsia="宋体" w:cs="宋体"/>
          <w:b w:val="0"/>
          <w:bCs/>
          <w:sz w:val="24"/>
          <w:szCs w:val="24"/>
          <w:highlight w:val="none"/>
          <w:u w:val="single"/>
          <w:lang w:eastAsia="zh-CN"/>
        </w:rPr>
        <w:t xml:space="preserve"> </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b w:val="0"/>
          <w:bCs/>
          <w:sz w:val="24"/>
          <w:szCs w:val="24"/>
          <w:highlight w:val="none"/>
        </w:rPr>
        <w:t>（盖章）</w:t>
      </w:r>
    </w:p>
    <w:p w14:paraId="518DA05B">
      <w:pPr>
        <w:spacing w:line="480" w:lineRule="auto"/>
        <w:ind w:firstLine="480" w:firstLineChars="200"/>
        <w:jc w:val="right"/>
        <w:rPr>
          <w:rFonts w:hint="eastAsia" w:ascii="宋体" w:hAnsi="宋体" w:eastAsia="宋体" w:cs="宋体"/>
          <w:bCs/>
          <w:sz w:val="24"/>
          <w:szCs w:val="24"/>
          <w:highlight w:val="none"/>
        </w:rPr>
      </w:pPr>
      <w:r>
        <w:rPr>
          <w:rFonts w:hint="eastAsia" w:ascii="宋体" w:hAnsi="宋体" w:eastAsia="宋体" w:cs="宋体"/>
          <w:bCs/>
          <w:sz w:val="24"/>
          <w:szCs w:val="24"/>
          <w:highlight w:val="none"/>
        </w:rPr>
        <w:t xml:space="preserve">                   </w:t>
      </w:r>
      <w:r>
        <w:rPr>
          <w:rFonts w:hint="eastAsia" w:ascii="宋体" w:hAnsi="宋体" w:eastAsia="宋体" w:cs="宋体"/>
          <w:b w:val="0"/>
          <w:bCs/>
          <w:sz w:val="24"/>
          <w:szCs w:val="24"/>
          <w:highlight w:val="none"/>
        </w:rPr>
        <w:t>日   期</w:t>
      </w:r>
      <w:r>
        <w:rPr>
          <w:rFonts w:hint="eastAsia" w:ascii="宋体" w:hAnsi="宋体" w:eastAsia="宋体" w:cs="宋体"/>
          <w:b w:val="0"/>
          <w:bCs/>
          <w:sz w:val="24"/>
          <w:szCs w:val="24"/>
          <w:highlight w:val="none"/>
          <w:lang w:eastAsia="zh-CN"/>
        </w:rPr>
        <w:t>：</w:t>
      </w: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年</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 xml:space="preserve">月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日</w:t>
      </w:r>
    </w:p>
    <w:p w14:paraId="188B2B6B">
      <w:pPr>
        <w:tabs>
          <w:tab w:val="left" w:pos="6300"/>
        </w:tabs>
        <w:snapToGrid w:val="0"/>
        <w:spacing w:line="360" w:lineRule="auto"/>
        <w:rPr>
          <w:rFonts w:hint="eastAsia" w:ascii="宋体" w:hAnsi="宋体" w:eastAsia="宋体" w:cs="宋体"/>
          <w:b/>
          <w:sz w:val="24"/>
          <w:szCs w:val="24"/>
          <w:highlight w:val="none"/>
        </w:rPr>
      </w:pPr>
    </w:p>
    <w:p w14:paraId="288A040D">
      <w:pPr>
        <w:rPr>
          <w:rFonts w:hint="eastAsia" w:ascii="宋体" w:hAnsi="宋体" w:eastAsia="宋体" w:cs="宋体"/>
          <w:sz w:val="24"/>
          <w:szCs w:val="24"/>
          <w:highlight w:val="none"/>
        </w:rPr>
      </w:pPr>
    </w:p>
    <w:p w14:paraId="0E9F9843">
      <w:pPr>
        <w:rPr>
          <w:rFonts w:hint="eastAsia" w:ascii="宋体" w:hAnsi="宋体" w:eastAsia="宋体" w:cs="宋体"/>
          <w:b/>
          <w:sz w:val="24"/>
          <w:szCs w:val="24"/>
          <w:highlight w:val="none"/>
        </w:rPr>
      </w:pPr>
    </w:p>
    <w:p w14:paraId="27D7E9DC">
      <w:pPr>
        <w:rPr>
          <w:rFonts w:hint="eastAsia" w:ascii="宋体" w:hAnsi="宋体" w:eastAsia="宋体" w:cs="宋体"/>
          <w:sz w:val="24"/>
          <w:szCs w:val="24"/>
          <w:highlight w:val="none"/>
        </w:rPr>
      </w:pPr>
    </w:p>
    <w:p w14:paraId="7D475FA9">
      <w:pPr>
        <w:rPr>
          <w:rFonts w:hint="eastAsia" w:ascii="宋体" w:hAnsi="宋体" w:eastAsia="宋体" w:cs="宋体"/>
          <w:b/>
          <w:sz w:val="24"/>
          <w:szCs w:val="24"/>
          <w:highlight w:val="none"/>
        </w:rPr>
      </w:pPr>
    </w:p>
    <w:p w14:paraId="7CC15463">
      <w:pPr>
        <w:rPr>
          <w:rFonts w:hint="eastAsia" w:ascii="宋体" w:hAnsi="宋体" w:eastAsia="宋体" w:cs="宋体"/>
          <w:sz w:val="24"/>
          <w:szCs w:val="24"/>
          <w:highlight w:val="none"/>
        </w:rPr>
      </w:pPr>
    </w:p>
    <w:p w14:paraId="5543380B">
      <w:pPr>
        <w:rPr>
          <w:rFonts w:hint="eastAsia" w:ascii="宋体" w:hAnsi="宋体" w:eastAsia="宋体" w:cs="宋体"/>
          <w:sz w:val="24"/>
          <w:szCs w:val="24"/>
          <w:highlight w:val="none"/>
        </w:rPr>
      </w:pPr>
    </w:p>
    <w:p w14:paraId="61FE35D3">
      <w:pPr>
        <w:pStyle w:val="40"/>
        <w:widowControl/>
        <w:spacing w:line="360" w:lineRule="auto"/>
        <w:ind w:left="0" w:firstLine="0" w:firstLineChars="0"/>
        <w:jc w:val="center"/>
        <w:rPr>
          <w:rFonts w:hint="eastAsia" w:ascii="宋体" w:hAnsi="宋体" w:eastAsia="宋体" w:cs="宋体"/>
          <w:b/>
          <w:bCs/>
          <w:color w:val="auto"/>
          <w:sz w:val="28"/>
          <w:szCs w:val="28"/>
          <w:highlight w:val="none"/>
          <w:lang w:val="en-US"/>
        </w:rPr>
      </w:pPr>
      <w:r>
        <w:rPr>
          <w:rFonts w:hint="eastAsia" w:ascii="宋体" w:hAnsi="宋体" w:eastAsia="宋体" w:cs="宋体"/>
          <w:b/>
          <w:sz w:val="24"/>
          <w:szCs w:val="24"/>
          <w:highlight w:val="none"/>
        </w:rPr>
        <w:br w:type="page"/>
      </w:r>
      <w:r>
        <w:rPr>
          <w:rFonts w:hint="eastAsia" w:ascii="宋体" w:hAnsi="宋体" w:eastAsia="宋体" w:cs="宋体"/>
          <w:b/>
          <w:sz w:val="24"/>
          <w:szCs w:val="24"/>
          <w:highlight w:val="none"/>
        </w:rPr>
        <w:t xml:space="preserve">格式6  </w:t>
      </w:r>
      <w:r>
        <w:rPr>
          <w:rFonts w:hint="eastAsia" w:ascii="宋体" w:hAnsi="宋体" w:eastAsia="宋体" w:cs="宋体"/>
          <w:b/>
          <w:bCs/>
          <w:sz w:val="24"/>
          <w:szCs w:val="24"/>
          <w:highlight w:val="none"/>
        </w:rPr>
        <w:t xml:space="preserve"> </w:t>
      </w:r>
      <w:r>
        <w:rPr>
          <w:rFonts w:hint="eastAsia" w:ascii="宋体" w:hAnsi="宋体" w:eastAsia="宋体" w:cs="宋体"/>
          <w:b/>
          <w:sz w:val="24"/>
          <w:szCs w:val="24"/>
          <w:highlight w:val="none"/>
          <w:lang w:eastAsia="zh-CN"/>
        </w:rPr>
        <w:t>无重大违法记录承诺书</w:t>
      </w:r>
    </w:p>
    <w:p w14:paraId="70F1DACF">
      <w:pPr>
        <w:keepNext w:val="0"/>
        <w:keepLines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360" w:lineRule="auto"/>
        <w:ind w:left="0" w:right="0"/>
        <w:jc w:val="left"/>
        <w:rPr>
          <w:rFonts w:hint="eastAsia" w:ascii="宋体" w:hAnsi="宋体" w:eastAsia="宋体" w:cs="宋体"/>
          <w:color w:val="auto"/>
          <w:sz w:val="24"/>
          <w:szCs w:val="24"/>
          <w:highlight w:val="none"/>
          <w:lang w:val="en-US"/>
        </w:rPr>
      </w:pPr>
    </w:p>
    <w:p w14:paraId="5D0079AD">
      <w:pPr>
        <w:keepNext w:val="0"/>
        <w:keepLines w:val="0"/>
        <w:widowControl/>
        <w:suppressLineNumbers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line="360" w:lineRule="auto"/>
        <w:ind w:left="0" w:right="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致</w:t>
      </w:r>
      <w:r>
        <w:rPr>
          <w:rFonts w:hint="eastAsia" w:ascii="宋体" w:hAnsi="宋体" w:eastAsia="宋体" w:cs="宋体"/>
          <w:color w:val="auto"/>
          <w:kern w:val="2"/>
          <w:sz w:val="24"/>
          <w:szCs w:val="24"/>
          <w:highlight w:val="none"/>
          <w:u w:val="single"/>
          <w:lang w:val="en-US" w:eastAsia="zh-CN" w:bidi="ar"/>
        </w:rPr>
        <w:t>（</w:t>
      </w:r>
      <w:r>
        <w:rPr>
          <w:rFonts w:hint="eastAsia" w:ascii="宋体" w:hAnsi="宋体" w:eastAsia="宋体" w:cs="宋体"/>
          <w:color w:val="auto"/>
          <w:kern w:val="0"/>
          <w:sz w:val="24"/>
          <w:szCs w:val="24"/>
          <w:highlight w:val="none"/>
          <w:u w:val="single"/>
          <w:lang w:val="en-US" w:eastAsia="zh-CN" w:bidi="ar"/>
        </w:rPr>
        <w:t>采购人、采购代理机构</w:t>
      </w:r>
      <w:r>
        <w:rPr>
          <w:rFonts w:hint="eastAsia" w:ascii="宋体" w:hAnsi="宋体" w:eastAsia="宋体" w:cs="宋体"/>
          <w:color w:val="auto"/>
          <w:kern w:val="2"/>
          <w:sz w:val="24"/>
          <w:szCs w:val="24"/>
          <w:highlight w:val="none"/>
          <w:u w:val="single"/>
          <w:lang w:val="en-US" w:eastAsia="zh-CN" w:bidi="ar"/>
        </w:rPr>
        <w:t>）：</w:t>
      </w:r>
    </w:p>
    <w:p w14:paraId="63008407">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p>
    <w:p w14:paraId="2A87E25A">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r>
        <w:rPr>
          <w:rFonts w:hint="eastAsia" w:ascii="宋体" w:hAnsi="宋体" w:eastAsia="宋体" w:cs="宋体"/>
          <w:sz w:val="24"/>
          <w:szCs w:val="24"/>
          <w:highlight w:val="none"/>
          <w:u w:val="single"/>
        </w:rPr>
        <w:t xml:space="preserve">                     </w:t>
      </w:r>
      <w:r>
        <w:rPr>
          <w:rFonts w:hint="eastAsia" w:ascii="宋体" w:hAnsi="宋体" w:eastAsia="宋体" w:cs="宋体"/>
          <w:bCs/>
          <w:sz w:val="24"/>
          <w:szCs w:val="24"/>
          <w:highlight w:val="none"/>
        </w:rPr>
        <w:t>（</w:t>
      </w:r>
      <w:r>
        <w:rPr>
          <w:rFonts w:hint="eastAsia" w:ascii="宋体" w:hAnsi="宋体" w:eastAsia="宋体" w:cs="宋体"/>
          <w:bCs/>
          <w:sz w:val="24"/>
          <w:szCs w:val="24"/>
          <w:highlight w:val="none"/>
          <w:lang w:eastAsia="zh-CN"/>
        </w:rPr>
        <w:t>供应商</w:t>
      </w:r>
      <w:r>
        <w:rPr>
          <w:rFonts w:hint="eastAsia" w:ascii="宋体" w:hAnsi="宋体" w:eastAsia="宋体" w:cs="宋体"/>
          <w:bCs/>
          <w:sz w:val="24"/>
          <w:szCs w:val="24"/>
          <w:highlight w:val="none"/>
        </w:rPr>
        <w:t>名称）</w:t>
      </w:r>
      <w:r>
        <w:rPr>
          <w:rFonts w:hint="eastAsia" w:ascii="宋体" w:hAnsi="宋体" w:eastAsia="宋体" w:cs="宋体"/>
          <w:color w:val="auto"/>
          <w:kern w:val="2"/>
          <w:sz w:val="24"/>
          <w:szCs w:val="24"/>
          <w:highlight w:val="none"/>
          <w:lang w:val="en-US" w:eastAsia="zh-CN" w:bidi="ar"/>
        </w:rPr>
        <w:t>在参加本次投标截止之日起前三年内，我公司未因违法经营受到刑事处罚或者责令停产停业、吊销许可证或者执照、较大数额罚款等行政处罚。</w:t>
      </w:r>
    </w:p>
    <w:p w14:paraId="4EE04410">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 特此声明。</w:t>
      </w:r>
    </w:p>
    <w:p w14:paraId="6724A6DE">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 </w:t>
      </w:r>
    </w:p>
    <w:p w14:paraId="5EAB2EDD">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供应商全称（加盖公章）：</w:t>
      </w:r>
      <w:r>
        <w:rPr>
          <w:rFonts w:hint="eastAsia" w:ascii="宋体" w:hAnsi="宋体" w:eastAsia="宋体" w:cs="宋体"/>
          <w:color w:val="auto"/>
          <w:spacing w:val="4"/>
          <w:kern w:val="2"/>
          <w:sz w:val="24"/>
          <w:szCs w:val="24"/>
          <w:highlight w:val="none"/>
          <w:u w:val="single"/>
          <w:lang w:val="en-US" w:eastAsia="zh-CN" w:bidi="ar"/>
        </w:rPr>
        <w:t xml:space="preserve">                   </w:t>
      </w:r>
      <w:r>
        <w:rPr>
          <w:rFonts w:hint="eastAsia" w:ascii="宋体" w:hAnsi="宋体" w:eastAsia="宋体" w:cs="宋体"/>
          <w:color w:val="auto"/>
          <w:kern w:val="2"/>
          <w:sz w:val="24"/>
          <w:szCs w:val="24"/>
          <w:highlight w:val="none"/>
          <w:u w:val="single"/>
          <w:lang w:val="en-US" w:eastAsia="zh-CN" w:bidi="ar"/>
        </w:rPr>
        <w:t> </w:t>
      </w:r>
    </w:p>
    <w:p w14:paraId="7214CAF1">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供应商地址：</w:t>
      </w:r>
      <w:r>
        <w:rPr>
          <w:rFonts w:hint="eastAsia" w:ascii="宋体" w:hAnsi="宋体" w:eastAsia="宋体" w:cs="宋体"/>
          <w:color w:val="auto"/>
          <w:kern w:val="2"/>
          <w:sz w:val="24"/>
          <w:szCs w:val="24"/>
          <w:highlight w:val="none"/>
          <w:u w:val="single"/>
          <w:lang w:val="en-US" w:eastAsia="zh-CN" w:bidi="ar"/>
        </w:rPr>
        <w:t> </w:t>
      </w:r>
      <w:r>
        <w:rPr>
          <w:rFonts w:hint="eastAsia" w:ascii="宋体" w:hAnsi="宋体" w:eastAsia="宋体" w:cs="宋体"/>
          <w:color w:val="auto"/>
          <w:spacing w:val="4"/>
          <w:kern w:val="2"/>
          <w:sz w:val="24"/>
          <w:szCs w:val="24"/>
          <w:highlight w:val="none"/>
          <w:u w:val="single"/>
          <w:lang w:val="en-US" w:eastAsia="zh-CN" w:bidi="ar"/>
        </w:rPr>
        <w:t xml:space="preserve">                            </w:t>
      </w:r>
      <w:r>
        <w:rPr>
          <w:rFonts w:hint="eastAsia" w:ascii="宋体" w:hAnsi="宋体" w:eastAsia="宋体" w:cs="宋体"/>
          <w:color w:val="auto"/>
          <w:kern w:val="2"/>
          <w:sz w:val="24"/>
          <w:szCs w:val="24"/>
          <w:highlight w:val="none"/>
          <w:u w:val="single"/>
          <w:lang w:val="en-US" w:eastAsia="zh-CN" w:bidi="ar"/>
        </w:rPr>
        <w:t> </w:t>
      </w:r>
    </w:p>
    <w:p w14:paraId="3431A7EF">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u w:val="single"/>
          <w:lang w:val="en-US"/>
        </w:rPr>
      </w:pPr>
      <w:r>
        <w:rPr>
          <w:rFonts w:hint="eastAsia" w:ascii="宋体" w:hAnsi="宋体" w:eastAsia="宋体" w:cs="宋体"/>
          <w:color w:val="auto"/>
          <w:kern w:val="2"/>
          <w:sz w:val="24"/>
          <w:szCs w:val="24"/>
          <w:highlight w:val="none"/>
          <w:lang w:val="en-US" w:eastAsia="zh-CN" w:bidi="ar"/>
        </w:rPr>
        <w:t>法定代表人（签字或盖章）：</w:t>
      </w:r>
      <w:r>
        <w:rPr>
          <w:rFonts w:hint="eastAsia" w:ascii="宋体" w:hAnsi="宋体" w:eastAsia="宋体" w:cs="宋体"/>
          <w:color w:val="auto"/>
          <w:kern w:val="2"/>
          <w:sz w:val="24"/>
          <w:szCs w:val="24"/>
          <w:highlight w:val="none"/>
          <w:u w:val="single"/>
          <w:lang w:val="en-US" w:eastAsia="zh-CN" w:bidi="ar"/>
        </w:rPr>
        <w:t>           </w:t>
      </w:r>
    </w:p>
    <w:p w14:paraId="6025FC55">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被授权人（签字或盖章）：</w:t>
      </w:r>
      <w:r>
        <w:rPr>
          <w:rFonts w:hint="eastAsia" w:ascii="宋体" w:hAnsi="宋体" w:eastAsia="宋体" w:cs="宋体"/>
          <w:color w:val="auto"/>
          <w:kern w:val="2"/>
          <w:sz w:val="24"/>
          <w:szCs w:val="24"/>
          <w:highlight w:val="none"/>
          <w:u w:val="single"/>
          <w:lang w:val="en-US" w:eastAsia="zh-CN" w:bidi="ar"/>
        </w:rPr>
        <w:t>            </w:t>
      </w:r>
    </w:p>
    <w:p w14:paraId="4219B983">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手机：</w:t>
      </w:r>
      <w:r>
        <w:rPr>
          <w:rFonts w:hint="eastAsia" w:ascii="宋体" w:hAnsi="宋体" w:eastAsia="宋体" w:cs="宋体"/>
          <w:color w:val="auto"/>
          <w:kern w:val="2"/>
          <w:sz w:val="24"/>
          <w:szCs w:val="24"/>
          <w:highlight w:val="none"/>
          <w:u w:val="single"/>
          <w:lang w:val="en-US" w:eastAsia="zh-CN" w:bidi="ar"/>
        </w:rPr>
        <w:t>   </w:t>
      </w:r>
      <w:r>
        <w:rPr>
          <w:rFonts w:hint="eastAsia" w:ascii="宋体" w:hAnsi="宋体" w:eastAsia="宋体" w:cs="宋体"/>
          <w:color w:val="auto"/>
          <w:spacing w:val="4"/>
          <w:kern w:val="2"/>
          <w:sz w:val="24"/>
          <w:szCs w:val="24"/>
          <w:highlight w:val="none"/>
          <w:u w:val="single"/>
          <w:lang w:val="en-US" w:eastAsia="zh-CN" w:bidi="ar"/>
        </w:rPr>
        <w:t xml:space="preserve">             </w:t>
      </w:r>
      <w:r>
        <w:rPr>
          <w:rFonts w:hint="eastAsia" w:ascii="宋体" w:hAnsi="宋体" w:eastAsia="宋体" w:cs="宋体"/>
          <w:color w:val="auto"/>
          <w:kern w:val="2"/>
          <w:sz w:val="24"/>
          <w:szCs w:val="24"/>
          <w:highlight w:val="none"/>
          <w:u w:val="single"/>
          <w:lang w:val="en-US" w:eastAsia="zh-CN" w:bidi="ar"/>
        </w:rPr>
        <w:t>           </w:t>
      </w:r>
      <w:r>
        <w:rPr>
          <w:rFonts w:hint="eastAsia" w:ascii="宋体" w:hAnsi="宋体" w:eastAsia="宋体" w:cs="宋体"/>
          <w:color w:val="auto"/>
          <w:kern w:val="2"/>
          <w:sz w:val="24"/>
          <w:szCs w:val="24"/>
          <w:highlight w:val="none"/>
          <w:lang w:val="en-US" w:eastAsia="zh-CN" w:bidi="ar"/>
        </w:rPr>
        <w:t> </w:t>
      </w:r>
    </w:p>
    <w:p w14:paraId="70BFCABE">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2"/>
          <w:sz w:val="24"/>
          <w:szCs w:val="24"/>
          <w:highlight w:val="none"/>
          <w:lang w:val="en-US" w:eastAsia="zh-CN" w:bidi="ar"/>
        </w:rPr>
        <w:t>                                                                       年  月   日</w:t>
      </w:r>
    </w:p>
    <w:p w14:paraId="0A35D6AF">
      <w:pPr>
        <w:pStyle w:val="21"/>
        <w:widowControl/>
        <w:spacing w:before="75" w:beforeAutospacing="0" w:after="75" w:afterAutospacing="0" w:line="360" w:lineRule="auto"/>
        <w:ind w:left="0" w:right="0"/>
        <w:rPr>
          <w:rFonts w:hint="eastAsia" w:ascii="宋体" w:hAnsi="宋体" w:eastAsia="宋体" w:cs="宋体"/>
          <w:bCs w:val="0"/>
          <w:color w:val="auto"/>
          <w:sz w:val="28"/>
          <w:szCs w:val="28"/>
          <w:highlight w:val="none"/>
          <w:lang w:val="en-US"/>
        </w:rPr>
      </w:pPr>
      <w:r>
        <w:rPr>
          <w:rFonts w:hint="eastAsia" w:ascii="宋体" w:hAnsi="宋体" w:eastAsia="宋体" w:cs="宋体"/>
          <w:b/>
          <w:bCs w:val="0"/>
          <w:color w:val="auto"/>
          <w:sz w:val="24"/>
          <w:szCs w:val="24"/>
          <w:highlight w:val="none"/>
          <w:lang w:eastAsia="zh-CN"/>
        </w:rPr>
        <w:t>说明：投标截止前</w:t>
      </w:r>
      <w:r>
        <w:rPr>
          <w:rFonts w:hint="eastAsia" w:ascii="宋体" w:hAnsi="宋体" w:eastAsia="宋体" w:cs="宋体"/>
          <w:b/>
          <w:bCs w:val="0"/>
          <w:color w:val="auto"/>
          <w:sz w:val="24"/>
          <w:szCs w:val="24"/>
          <w:highlight w:val="none"/>
          <w:lang w:val="en-US"/>
        </w:rPr>
        <w:t>3</w:t>
      </w:r>
      <w:r>
        <w:rPr>
          <w:rFonts w:hint="eastAsia" w:ascii="宋体" w:hAnsi="宋体" w:eastAsia="宋体" w:cs="宋体"/>
          <w:b/>
          <w:bCs w:val="0"/>
          <w:color w:val="auto"/>
          <w:sz w:val="24"/>
          <w:szCs w:val="24"/>
          <w:highlight w:val="none"/>
          <w:lang w:eastAsia="zh-CN"/>
        </w:rPr>
        <w:t>年内供应商的信用记录若存在受到罚款的行政处罚且未显示具体数额时，应提供行政处罚决定书或书面说明其罚款数额。</w:t>
      </w:r>
    </w:p>
    <w:p w14:paraId="493C23AE">
      <w:pPr>
        <w:rPr>
          <w:rFonts w:hint="eastAsia" w:ascii="宋体" w:hAnsi="宋体" w:cs="宋体"/>
          <w:b/>
          <w:sz w:val="24"/>
          <w:szCs w:val="24"/>
          <w:highlight w:val="none"/>
          <w:lang w:val="en-US" w:eastAsia="zh-CN"/>
        </w:rPr>
      </w:pPr>
      <w:r>
        <w:rPr>
          <w:rFonts w:hint="eastAsia" w:ascii="宋体" w:hAnsi="宋体" w:cs="宋体"/>
          <w:b/>
          <w:sz w:val="24"/>
          <w:szCs w:val="24"/>
          <w:highlight w:val="none"/>
          <w:lang w:val="en-US" w:eastAsia="zh-CN"/>
        </w:rPr>
        <w:br w:type="page"/>
      </w:r>
    </w:p>
    <w:p w14:paraId="6BD6753D">
      <w:pPr>
        <w:keepNext w:val="0"/>
        <w:keepLines w:val="0"/>
        <w:widowControl/>
        <w:suppressLineNumbers w:val="0"/>
        <w:spacing w:before="0" w:beforeAutospacing="0" w:after="0" w:afterAutospacing="0" w:line="360" w:lineRule="auto"/>
        <w:ind w:left="0" w:right="0"/>
        <w:jc w:val="center"/>
        <w:rPr>
          <w:rFonts w:hint="eastAsia" w:ascii="宋体" w:hAnsi="宋体" w:eastAsia="宋体" w:cs="宋体"/>
          <w:b/>
          <w:sz w:val="24"/>
          <w:szCs w:val="24"/>
          <w:highlight w:val="none"/>
          <w:lang w:val="en-US" w:eastAsia="zh-CN"/>
        </w:rPr>
      </w:pPr>
      <w:r>
        <w:rPr>
          <w:rFonts w:hint="eastAsia" w:ascii="宋体" w:hAnsi="宋体" w:eastAsia="宋体" w:cs="宋体"/>
          <w:b/>
          <w:sz w:val="24"/>
          <w:szCs w:val="24"/>
          <w:highlight w:val="none"/>
          <w:lang w:val="en-US" w:eastAsia="zh-CN"/>
        </w:rPr>
        <w:t>格式7</w:t>
      </w:r>
      <w:r>
        <w:rPr>
          <w:rFonts w:hint="eastAsia" w:ascii="宋体" w:hAnsi="宋体" w:eastAsia="宋体" w:cs="宋体"/>
          <w:b/>
          <w:sz w:val="24"/>
          <w:szCs w:val="24"/>
          <w:highlight w:val="none"/>
        </w:rPr>
        <w:t xml:space="preserve">  </w:t>
      </w:r>
      <w:r>
        <w:rPr>
          <w:rFonts w:hint="eastAsia" w:ascii="宋体" w:hAnsi="宋体" w:eastAsia="宋体" w:cs="宋体"/>
          <w:b/>
          <w:bCs/>
          <w:sz w:val="24"/>
          <w:szCs w:val="24"/>
          <w:highlight w:val="none"/>
        </w:rPr>
        <w:t xml:space="preserve"> </w:t>
      </w:r>
      <w:r>
        <w:rPr>
          <w:rFonts w:hint="eastAsia" w:ascii="宋体" w:hAnsi="宋体" w:eastAsia="宋体" w:cs="宋体"/>
          <w:b/>
          <w:sz w:val="24"/>
          <w:szCs w:val="24"/>
          <w:highlight w:val="none"/>
          <w:lang w:val="en-US" w:eastAsia="zh-CN"/>
        </w:rPr>
        <w:t>具有履行合同所必需的设备和专业技术能力的承诺书</w:t>
      </w:r>
    </w:p>
    <w:p w14:paraId="6CAF0988">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color w:val="auto"/>
          <w:kern w:val="0"/>
          <w:sz w:val="24"/>
          <w:szCs w:val="24"/>
          <w:highlight w:val="none"/>
          <w:lang w:val="en-US" w:eastAsia="zh-CN" w:bidi="ar"/>
        </w:rPr>
      </w:pPr>
    </w:p>
    <w:p w14:paraId="5C52DC1B">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0"/>
          <w:sz w:val="24"/>
          <w:szCs w:val="24"/>
          <w:highlight w:val="none"/>
          <w:lang w:val="en-US" w:eastAsia="zh-CN" w:bidi="ar"/>
        </w:rPr>
        <w:t>致（</w:t>
      </w:r>
      <w:r>
        <w:rPr>
          <w:rFonts w:hint="eastAsia" w:ascii="宋体" w:hAnsi="宋体" w:eastAsia="宋体" w:cs="宋体"/>
          <w:color w:val="auto"/>
          <w:kern w:val="0"/>
          <w:sz w:val="24"/>
          <w:szCs w:val="24"/>
          <w:highlight w:val="none"/>
          <w:u w:val="single"/>
          <w:lang w:val="en-US" w:eastAsia="zh-CN" w:bidi="ar"/>
        </w:rPr>
        <w:t>采购人、采购代理机构</w:t>
      </w:r>
      <w:r>
        <w:rPr>
          <w:rFonts w:hint="eastAsia" w:ascii="宋体" w:hAnsi="宋体" w:eastAsia="宋体" w:cs="宋体"/>
          <w:color w:val="auto"/>
          <w:kern w:val="0"/>
          <w:sz w:val="24"/>
          <w:szCs w:val="24"/>
          <w:highlight w:val="none"/>
          <w:lang w:val="en-US" w:eastAsia="zh-CN" w:bidi="ar"/>
        </w:rPr>
        <w:t xml:space="preserve">)： </w:t>
      </w:r>
    </w:p>
    <w:p w14:paraId="427C8CB5">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0"/>
          <w:sz w:val="24"/>
          <w:szCs w:val="24"/>
          <w:highlight w:val="none"/>
          <w:lang w:val="en-US" w:eastAsia="zh-CN" w:bidi="ar"/>
        </w:rPr>
        <w:t>我公司自愿参加由贵公司组织的</w:t>
      </w:r>
      <w:r>
        <w:rPr>
          <w:rFonts w:hint="eastAsia" w:ascii="宋体" w:hAnsi="宋体" w:eastAsia="宋体" w:cs="宋体"/>
          <w:color w:val="auto"/>
          <w:kern w:val="0"/>
          <w:sz w:val="24"/>
          <w:szCs w:val="24"/>
          <w:highlight w:val="none"/>
          <w:u w:val="single"/>
          <w:lang w:val="en-US" w:eastAsia="zh-CN" w:bidi="ar"/>
        </w:rPr>
        <w:t xml:space="preserve"> 采购文件编号      采购项目名称</w:t>
      </w:r>
      <w:r>
        <w:rPr>
          <w:rFonts w:hint="eastAsia" w:ascii="宋体" w:hAnsi="宋体" w:eastAsia="宋体" w:cs="宋体"/>
          <w:color w:val="auto"/>
          <w:kern w:val="0"/>
          <w:sz w:val="24"/>
          <w:szCs w:val="24"/>
          <w:highlight w:val="none"/>
          <w:lang w:val="en-US" w:eastAsia="zh-CN" w:bidi="ar"/>
        </w:rPr>
        <w:t xml:space="preserve">采购活动，在此郑重承诺： </w:t>
      </w:r>
    </w:p>
    <w:p w14:paraId="3FA704B7">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kern w:val="0"/>
          <w:sz w:val="24"/>
          <w:szCs w:val="24"/>
          <w:highlight w:val="none"/>
          <w:lang w:val="en-US" w:bidi="ar"/>
        </w:rPr>
      </w:pPr>
      <w:r>
        <w:rPr>
          <w:rFonts w:hint="eastAsia" w:ascii="宋体" w:hAnsi="宋体" w:eastAsia="宋体" w:cs="宋体"/>
          <w:color w:val="auto"/>
          <w:kern w:val="0"/>
          <w:sz w:val="24"/>
          <w:szCs w:val="24"/>
          <w:highlight w:val="none"/>
          <w:lang w:val="en-US" w:eastAsia="zh-CN" w:bidi="ar"/>
        </w:rPr>
        <w:t xml:space="preserve">我公司完全理解本项目采购的技术要求、商务条款及其他内容，决定参与该项目的投标活动。并承诺，如成交我公司将提供足够的产品和专业技术能力保证本合同履行。 </w:t>
      </w:r>
    </w:p>
    <w:p w14:paraId="08EFDA75">
      <w:pPr>
        <w:keepNext w:val="0"/>
        <w:keepLines w:val="0"/>
        <w:widowControl/>
        <w:suppressLineNumbers w:val="0"/>
        <w:spacing w:before="0" w:beforeAutospacing="0" w:after="0" w:afterAutospacing="0" w:line="360" w:lineRule="auto"/>
        <w:ind w:left="0" w:right="0" w:firstLine="480" w:firstLineChars="200"/>
        <w:jc w:val="left"/>
        <w:rPr>
          <w:rFonts w:hint="eastAsia" w:ascii="宋体" w:hAnsi="宋体" w:eastAsia="宋体" w:cs="宋体"/>
          <w:color w:val="auto"/>
          <w:sz w:val="24"/>
          <w:szCs w:val="24"/>
          <w:highlight w:val="none"/>
          <w:lang w:val="en-US"/>
        </w:rPr>
      </w:pPr>
      <w:r>
        <w:rPr>
          <w:rFonts w:hint="eastAsia" w:ascii="宋体" w:hAnsi="宋体" w:eastAsia="宋体" w:cs="宋体"/>
          <w:color w:val="auto"/>
          <w:kern w:val="0"/>
          <w:sz w:val="24"/>
          <w:szCs w:val="24"/>
          <w:highlight w:val="none"/>
          <w:lang w:val="en-US" w:eastAsia="zh-CN" w:bidi="ar"/>
        </w:rPr>
        <w:t xml:space="preserve">本公司对以上承诺的真实性负责。如有虚假，我公司同意按我方合同违约处理，并依法承担相应的法律责任。 </w:t>
      </w:r>
    </w:p>
    <w:p w14:paraId="3F3E9720">
      <w:pPr>
        <w:keepNext w:val="0"/>
        <w:keepLines w:val="0"/>
        <w:widowControl/>
        <w:suppressLineNumbers w:val="0"/>
        <w:spacing w:before="0" w:beforeAutospacing="0" w:after="0" w:afterAutospacing="0" w:line="360" w:lineRule="auto"/>
        <w:ind w:left="0" w:right="0"/>
        <w:jc w:val="left"/>
        <w:rPr>
          <w:rFonts w:hint="eastAsia" w:ascii="宋体" w:hAnsi="宋体" w:eastAsia="宋体" w:cs="宋体"/>
          <w:color w:val="auto"/>
          <w:kern w:val="0"/>
          <w:sz w:val="24"/>
          <w:szCs w:val="24"/>
          <w:highlight w:val="none"/>
          <w:lang w:val="en-US" w:bidi="ar"/>
        </w:rPr>
      </w:pPr>
    </w:p>
    <w:p w14:paraId="7C0620B0">
      <w:pPr>
        <w:pStyle w:val="14"/>
        <w:ind w:left="1117" w:leftChars="532" w:firstLine="240" w:firstLineChars="100"/>
        <w:jc w:val="right"/>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供应商名称：</w:t>
      </w:r>
      <w:r>
        <w:rPr>
          <w:rFonts w:hint="eastAsia" w:ascii="宋体" w:hAnsi="宋体" w:eastAsia="宋体" w:cs="宋体"/>
          <w:b w:val="0"/>
          <w:bCs/>
          <w:sz w:val="24"/>
          <w:szCs w:val="24"/>
          <w:highlight w:val="none"/>
          <w:u w:val="single"/>
          <w:lang w:eastAsia="zh-CN"/>
        </w:rPr>
        <w:t xml:space="preserve"> </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b w:val="0"/>
          <w:bCs/>
          <w:sz w:val="24"/>
          <w:szCs w:val="24"/>
          <w:highlight w:val="none"/>
        </w:rPr>
        <w:t>（盖章）</w:t>
      </w:r>
    </w:p>
    <w:p w14:paraId="568B56D3">
      <w:pPr>
        <w:spacing w:line="480" w:lineRule="auto"/>
        <w:ind w:firstLine="480" w:firstLineChars="200"/>
        <w:jc w:val="right"/>
        <w:rPr>
          <w:rFonts w:hint="eastAsia" w:ascii="宋体" w:hAnsi="宋体" w:eastAsia="宋体" w:cs="宋体"/>
          <w:bCs/>
          <w:sz w:val="24"/>
          <w:szCs w:val="24"/>
          <w:highlight w:val="none"/>
        </w:rPr>
      </w:pPr>
      <w:r>
        <w:rPr>
          <w:rFonts w:hint="eastAsia" w:ascii="宋体" w:hAnsi="宋体" w:eastAsia="宋体" w:cs="宋体"/>
          <w:bCs/>
          <w:sz w:val="24"/>
          <w:szCs w:val="24"/>
          <w:highlight w:val="none"/>
        </w:rPr>
        <w:t xml:space="preserve">                   </w:t>
      </w:r>
      <w:r>
        <w:rPr>
          <w:rFonts w:hint="eastAsia" w:ascii="宋体" w:hAnsi="宋体" w:eastAsia="宋体" w:cs="宋体"/>
          <w:b w:val="0"/>
          <w:bCs/>
          <w:sz w:val="24"/>
          <w:szCs w:val="24"/>
          <w:highlight w:val="none"/>
        </w:rPr>
        <w:t>日   期</w:t>
      </w:r>
      <w:r>
        <w:rPr>
          <w:rFonts w:hint="eastAsia" w:ascii="宋体" w:hAnsi="宋体" w:eastAsia="宋体" w:cs="宋体"/>
          <w:b w:val="0"/>
          <w:bCs/>
          <w:sz w:val="24"/>
          <w:szCs w:val="24"/>
          <w:highlight w:val="none"/>
          <w:lang w:eastAsia="zh-CN"/>
        </w:rPr>
        <w:t>：</w:t>
      </w: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年</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 xml:space="preserve">月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 xml:space="preserve"> </w:t>
      </w:r>
      <w:r>
        <w:rPr>
          <w:rFonts w:hint="eastAsia" w:ascii="宋体" w:hAnsi="宋体" w:eastAsia="宋体" w:cs="宋体"/>
          <w:bCs/>
          <w:sz w:val="24"/>
          <w:szCs w:val="24"/>
          <w:highlight w:val="none"/>
        </w:rPr>
        <w:t>日</w:t>
      </w:r>
    </w:p>
    <w:p w14:paraId="1671255A">
      <w:pPr>
        <w:rPr>
          <w:rFonts w:hint="eastAsia" w:ascii="宋体" w:hAnsi="宋体" w:eastAsia="宋体" w:cs="宋体"/>
          <w:b/>
          <w:sz w:val="24"/>
          <w:szCs w:val="24"/>
          <w:highlight w:val="none"/>
        </w:rPr>
      </w:pPr>
      <w:r>
        <w:rPr>
          <w:rFonts w:hint="eastAsia" w:ascii="宋体" w:hAnsi="宋体" w:eastAsia="宋体" w:cs="宋体"/>
          <w:b/>
          <w:sz w:val="24"/>
          <w:szCs w:val="24"/>
          <w:highlight w:val="none"/>
        </w:rPr>
        <w:br w:type="page"/>
      </w:r>
    </w:p>
    <w:p w14:paraId="2332D54B">
      <w:pPr>
        <w:spacing w:line="440" w:lineRule="exact"/>
        <w:jc w:val="center"/>
        <w:rPr>
          <w:rFonts w:hint="eastAsia" w:ascii="宋体" w:hAnsi="宋体" w:eastAsia="宋体" w:cs="宋体"/>
          <w:b/>
          <w:sz w:val="24"/>
          <w:szCs w:val="24"/>
          <w:highlight w:val="none"/>
        </w:rPr>
      </w:pPr>
      <w:r>
        <w:rPr>
          <w:rFonts w:hint="eastAsia" w:ascii="宋体" w:hAnsi="宋体" w:cs="宋体"/>
          <w:b/>
          <w:sz w:val="24"/>
          <w:szCs w:val="24"/>
          <w:highlight w:val="none"/>
          <w:lang w:val="en-US" w:eastAsia="zh-CN"/>
        </w:rPr>
        <w:t>格式8</w:t>
      </w:r>
      <w:r>
        <w:rPr>
          <w:rFonts w:hint="eastAsia" w:ascii="宋体" w:hAnsi="宋体" w:eastAsia="宋体" w:cs="宋体"/>
          <w:b/>
          <w:sz w:val="24"/>
          <w:szCs w:val="24"/>
          <w:highlight w:val="none"/>
        </w:rPr>
        <w:t xml:space="preserve">  </w:t>
      </w:r>
      <w:r>
        <w:rPr>
          <w:rFonts w:hint="eastAsia" w:ascii="宋体" w:hAnsi="宋体" w:eastAsia="宋体" w:cs="宋体"/>
          <w:b/>
          <w:bCs/>
          <w:sz w:val="24"/>
          <w:szCs w:val="24"/>
          <w:highlight w:val="none"/>
        </w:rPr>
        <w:t xml:space="preserve"> </w:t>
      </w:r>
      <w:r>
        <w:rPr>
          <w:rFonts w:hint="eastAsia" w:ascii="宋体" w:hAnsi="宋体" w:eastAsia="宋体" w:cs="宋体"/>
          <w:b/>
          <w:sz w:val="24"/>
          <w:szCs w:val="24"/>
          <w:highlight w:val="none"/>
        </w:rPr>
        <w:t>响  应  函</w:t>
      </w:r>
    </w:p>
    <w:p w14:paraId="26D39EA8">
      <w:pPr>
        <w:spacing w:line="360" w:lineRule="auto"/>
        <w:ind w:firstLine="480" w:firstLineChars="200"/>
        <w:rPr>
          <w:rFonts w:hint="eastAsia" w:ascii="宋体" w:hAnsi="宋体" w:eastAsia="宋体" w:cs="宋体"/>
          <w:kern w:val="0"/>
          <w:sz w:val="24"/>
          <w:szCs w:val="24"/>
          <w:highlight w:val="none"/>
        </w:rPr>
      </w:pPr>
    </w:p>
    <w:p w14:paraId="2180CAAF">
      <w:pPr>
        <w:spacing w:line="360" w:lineRule="auto"/>
        <w:jc w:val="left"/>
        <w:rPr>
          <w:rFonts w:hint="eastAsia" w:ascii="宋体" w:hAnsi="宋体" w:eastAsia="宋体" w:cs="宋体"/>
          <w:sz w:val="24"/>
          <w:szCs w:val="24"/>
          <w:highlight w:val="none"/>
        </w:rPr>
      </w:pPr>
      <w:r>
        <w:rPr>
          <w:rFonts w:hint="eastAsia" w:ascii="宋体" w:hAnsi="宋体" w:cs="宋体"/>
          <w:sz w:val="24"/>
          <w:szCs w:val="24"/>
          <w:highlight w:val="none"/>
          <w:lang w:eastAsia="zh-CN"/>
        </w:rPr>
        <w:t>塔城市自然资源局</w:t>
      </w:r>
      <w:r>
        <w:rPr>
          <w:rFonts w:hint="eastAsia" w:ascii="宋体" w:hAnsi="宋体" w:eastAsia="宋体" w:cs="宋体"/>
          <w:sz w:val="24"/>
          <w:szCs w:val="24"/>
          <w:highlight w:val="none"/>
        </w:rPr>
        <w:t>：</w:t>
      </w:r>
    </w:p>
    <w:p w14:paraId="477A8C95">
      <w:pPr>
        <w:pStyle w:val="14"/>
        <w:ind w:left="0" w:firstLine="480" w:firstLineChars="200"/>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我方全面研究了 “</w:t>
      </w:r>
      <w:r>
        <w:rPr>
          <w:rFonts w:hint="eastAsia" w:ascii="宋体" w:hAnsi="宋体" w:eastAsia="宋体" w:cs="宋体"/>
          <w:b w:val="0"/>
          <w:bCs/>
          <w:sz w:val="24"/>
          <w:szCs w:val="24"/>
          <w:highlight w:val="none"/>
          <w:u w:val="single"/>
        </w:rPr>
        <w:t xml:space="preserve">         </w:t>
      </w:r>
      <w:r>
        <w:rPr>
          <w:rFonts w:hint="eastAsia" w:ascii="宋体" w:hAnsi="宋体" w:eastAsia="宋体" w:cs="宋体"/>
          <w:b w:val="0"/>
          <w:bCs/>
          <w:sz w:val="24"/>
          <w:szCs w:val="24"/>
          <w:highlight w:val="none"/>
        </w:rPr>
        <w:t>”项目磋商文件（文件编号：</w:t>
      </w:r>
      <w:r>
        <w:rPr>
          <w:rFonts w:hint="eastAsia" w:ascii="宋体" w:hAnsi="宋体" w:eastAsia="宋体" w:cs="宋体"/>
          <w:b w:val="0"/>
          <w:bCs/>
          <w:sz w:val="24"/>
          <w:szCs w:val="24"/>
          <w:highlight w:val="none"/>
          <w:u w:val="single"/>
        </w:rPr>
        <w:t xml:space="preserve">       </w:t>
      </w:r>
      <w:r>
        <w:rPr>
          <w:rFonts w:hint="eastAsia" w:ascii="宋体" w:hAnsi="宋体" w:eastAsia="宋体" w:cs="宋体"/>
          <w:b w:val="0"/>
          <w:bCs/>
          <w:sz w:val="24"/>
          <w:szCs w:val="24"/>
          <w:highlight w:val="none"/>
        </w:rPr>
        <w:t>），决定参加本项目竞争性磋商。我方授权</w:t>
      </w:r>
      <w:r>
        <w:rPr>
          <w:rFonts w:hint="eastAsia" w:ascii="宋体" w:hAnsi="宋体" w:eastAsia="宋体" w:cs="宋体"/>
          <w:b w:val="0"/>
          <w:bCs/>
          <w:sz w:val="24"/>
          <w:szCs w:val="24"/>
          <w:highlight w:val="none"/>
          <w:u w:val="single"/>
        </w:rPr>
        <w:t xml:space="preserve">        </w:t>
      </w:r>
      <w:r>
        <w:rPr>
          <w:rFonts w:hint="eastAsia" w:ascii="宋体" w:hAnsi="宋体" w:eastAsia="宋体" w:cs="宋体"/>
          <w:b w:val="0"/>
          <w:bCs/>
          <w:sz w:val="24"/>
          <w:szCs w:val="24"/>
          <w:highlight w:val="none"/>
        </w:rPr>
        <w:t>（姓名、职务）代表我方</w:t>
      </w:r>
      <w:r>
        <w:rPr>
          <w:rFonts w:hint="eastAsia" w:ascii="宋体" w:hAnsi="宋体" w:eastAsia="宋体" w:cs="宋体"/>
          <w:b w:val="0"/>
          <w:bCs/>
          <w:sz w:val="24"/>
          <w:szCs w:val="24"/>
          <w:highlight w:val="none"/>
          <w:u w:val="single"/>
        </w:rPr>
        <w:t xml:space="preserve">                 </w:t>
      </w:r>
      <w:r>
        <w:rPr>
          <w:rFonts w:hint="eastAsia" w:ascii="宋体" w:hAnsi="宋体" w:eastAsia="宋体" w:cs="宋体"/>
          <w:b w:val="0"/>
          <w:bCs/>
          <w:sz w:val="24"/>
          <w:szCs w:val="24"/>
          <w:highlight w:val="none"/>
        </w:rPr>
        <w:t>（供应商的名称）全权处理本项目磋商的有关事宜。</w:t>
      </w:r>
    </w:p>
    <w:p w14:paraId="262EEA35">
      <w:pPr>
        <w:pStyle w:val="14"/>
        <w:ind w:left="0" w:firstLine="420" w:firstLineChars="175"/>
        <w:jc w:val="left"/>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1、我方自愿按照竞争性磋商文件规定的各项要求向采购人提供所需服务，商务</w:t>
      </w:r>
      <w:r>
        <w:rPr>
          <w:rFonts w:hint="eastAsia" w:ascii="宋体" w:hAnsi="宋体" w:cs="宋体"/>
          <w:b w:val="0"/>
          <w:bCs/>
          <w:sz w:val="24"/>
          <w:szCs w:val="24"/>
          <w:highlight w:val="none"/>
          <w:lang w:val="en-US" w:eastAsia="zh-CN"/>
        </w:rPr>
        <w:t>总</w:t>
      </w:r>
      <w:r>
        <w:rPr>
          <w:rFonts w:hint="eastAsia" w:ascii="宋体" w:hAnsi="宋体" w:eastAsia="宋体" w:cs="宋体"/>
          <w:b w:val="0"/>
          <w:bCs/>
          <w:sz w:val="24"/>
          <w:szCs w:val="24"/>
          <w:highlight w:val="none"/>
        </w:rPr>
        <w:t>报价为</w:t>
      </w:r>
      <w:r>
        <w:rPr>
          <w:rFonts w:hint="eastAsia" w:ascii="宋体" w:hAnsi="宋体" w:eastAsia="宋体" w:cs="宋体"/>
          <w:b w:val="0"/>
          <w:bCs/>
          <w:sz w:val="24"/>
          <w:szCs w:val="24"/>
          <w:highlight w:val="none"/>
          <w:u w:val="single"/>
        </w:rPr>
        <w:t xml:space="preserve">￥   </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b w:val="0"/>
          <w:bCs/>
          <w:sz w:val="24"/>
          <w:szCs w:val="24"/>
          <w:highlight w:val="none"/>
          <w:u w:val="single"/>
        </w:rPr>
        <w:t>元</w:t>
      </w:r>
      <w:r>
        <w:rPr>
          <w:rFonts w:hint="eastAsia" w:ascii="宋体" w:hAnsi="宋体" w:eastAsia="宋体" w:cs="宋体"/>
          <w:b w:val="0"/>
          <w:bCs/>
          <w:sz w:val="24"/>
          <w:szCs w:val="24"/>
          <w:highlight w:val="none"/>
        </w:rPr>
        <w:t>（大写：</w:t>
      </w:r>
      <w:r>
        <w:rPr>
          <w:rFonts w:hint="eastAsia" w:ascii="宋体" w:hAnsi="宋体" w:eastAsia="宋体" w:cs="宋体"/>
          <w:b w:val="0"/>
          <w:bCs/>
          <w:sz w:val="24"/>
          <w:szCs w:val="24"/>
          <w:highlight w:val="none"/>
          <w:u w:val="single"/>
        </w:rPr>
        <w:t xml:space="preserve">人民币        </w:t>
      </w:r>
      <w:r>
        <w:rPr>
          <w:rFonts w:hint="eastAsia" w:ascii="宋体" w:hAnsi="宋体" w:cs="宋体"/>
          <w:b w:val="0"/>
          <w:bCs/>
          <w:sz w:val="24"/>
          <w:szCs w:val="24"/>
          <w:highlight w:val="none"/>
          <w:u w:val="single"/>
          <w:lang w:val="en-US" w:eastAsia="zh-CN"/>
        </w:rPr>
        <w:t>元</w:t>
      </w:r>
      <w:r>
        <w:rPr>
          <w:rFonts w:hint="eastAsia" w:ascii="宋体" w:hAnsi="宋体" w:eastAsia="宋体" w:cs="宋体"/>
          <w:b w:val="0"/>
          <w:bCs/>
          <w:sz w:val="24"/>
          <w:szCs w:val="24"/>
          <w:highlight w:val="none"/>
        </w:rPr>
        <w:t>）。</w:t>
      </w:r>
    </w:p>
    <w:p w14:paraId="66F89BF2">
      <w:pPr>
        <w:pStyle w:val="14"/>
        <w:ind w:left="0" w:firstLine="420" w:firstLineChars="175"/>
        <w:jc w:val="left"/>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2、若我方中标，我方将严格履行合同规定的责任和义务，保证按采购人要求及我方承诺完成应尽义务，并交付采购人验收、使用。</w:t>
      </w:r>
    </w:p>
    <w:p w14:paraId="4E03ECF7">
      <w:pPr>
        <w:pStyle w:val="14"/>
        <w:ind w:left="0" w:firstLine="480" w:firstLineChars="200"/>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3、我方同意本次采购关于响应有效期的相关要求，且承诺响应有效期为响应截止时间届满后</w:t>
      </w:r>
      <w:r>
        <w:rPr>
          <w:rFonts w:hint="eastAsia" w:ascii="宋体" w:hAnsi="宋体" w:eastAsia="宋体" w:cs="宋体"/>
          <w:b w:val="0"/>
          <w:bCs/>
          <w:sz w:val="24"/>
          <w:szCs w:val="24"/>
          <w:highlight w:val="none"/>
          <w:u w:val="single"/>
        </w:rPr>
        <w:t xml:space="preserve"> </w:t>
      </w:r>
      <w:r>
        <w:rPr>
          <w:rFonts w:hint="eastAsia" w:ascii="宋体" w:hAnsi="宋体" w:cs="宋体"/>
          <w:b w:val="0"/>
          <w:bCs/>
          <w:sz w:val="24"/>
          <w:szCs w:val="24"/>
          <w:highlight w:val="none"/>
          <w:u w:val="single"/>
          <w:lang w:val="en-US" w:eastAsia="zh-CN"/>
        </w:rPr>
        <w:t>90</w:t>
      </w:r>
      <w:r>
        <w:rPr>
          <w:rFonts w:hint="eastAsia" w:ascii="宋体" w:hAnsi="宋体" w:eastAsia="宋体" w:cs="宋体"/>
          <w:b w:val="0"/>
          <w:bCs/>
          <w:sz w:val="24"/>
          <w:szCs w:val="24"/>
          <w:highlight w:val="none"/>
          <w:u w:val="single"/>
        </w:rPr>
        <w:t xml:space="preserve"> </w:t>
      </w:r>
      <w:r>
        <w:rPr>
          <w:rFonts w:hint="eastAsia" w:ascii="宋体" w:hAnsi="宋体" w:eastAsia="宋体" w:cs="宋体"/>
          <w:b w:val="0"/>
          <w:bCs/>
          <w:sz w:val="24"/>
          <w:szCs w:val="24"/>
          <w:highlight w:val="none"/>
        </w:rPr>
        <w:t>天（日历日）。</w:t>
      </w:r>
    </w:p>
    <w:p w14:paraId="6B117363">
      <w:pPr>
        <w:pStyle w:val="14"/>
        <w:ind w:left="0" w:firstLine="480" w:firstLineChars="200"/>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lang w:val="en-US" w:eastAsia="zh-CN"/>
        </w:rPr>
        <w:t>4</w:t>
      </w:r>
      <w:r>
        <w:rPr>
          <w:rFonts w:hint="eastAsia" w:ascii="宋体" w:hAnsi="宋体" w:eastAsia="宋体" w:cs="宋体"/>
          <w:b w:val="0"/>
          <w:bCs/>
          <w:sz w:val="24"/>
          <w:szCs w:val="24"/>
          <w:highlight w:val="none"/>
        </w:rPr>
        <w:t>、我方愿意提供采购人可能另外要求的，与采购有关的文件资料，并保证我方已提供和将要提供的文件资料是真实、准确的。</w:t>
      </w:r>
    </w:p>
    <w:p w14:paraId="00074784">
      <w:pPr>
        <w:pStyle w:val="14"/>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供应商名称：</w:t>
      </w:r>
      <w:r>
        <w:rPr>
          <w:rFonts w:hint="eastAsia" w:ascii="宋体" w:hAnsi="宋体" w:eastAsia="宋体" w:cs="宋体"/>
          <w:b w:val="0"/>
          <w:bCs/>
          <w:sz w:val="24"/>
          <w:szCs w:val="24"/>
          <w:highlight w:val="none"/>
          <w:u w:val="single"/>
        </w:rPr>
        <w:t xml:space="preserve">        </w:t>
      </w:r>
      <w:r>
        <w:rPr>
          <w:rFonts w:hint="eastAsia" w:ascii="宋体" w:hAnsi="宋体" w:eastAsia="宋体" w:cs="宋体"/>
          <w:b w:val="0"/>
          <w:bCs/>
          <w:sz w:val="24"/>
          <w:szCs w:val="24"/>
          <w:highlight w:val="none"/>
        </w:rPr>
        <w:t>（盖章）</w:t>
      </w:r>
    </w:p>
    <w:p w14:paraId="7DE8923C">
      <w:pPr>
        <w:pStyle w:val="14"/>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法定代表人或授权代表（签字）或盖章：</w:t>
      </w:r>
      <w:r>
        <w:rPr>
          <w:rFonts w:hint="eastAsia" w:ascii="宋体" w:hAnsi="宋体" w:eastAsia="宋体" w:cs="宋体"/>
          <w:b w:val="0"/>
          <w:bCs/>
          <w:sz w:val="24"/>
          <w:szCs w:val="24"/>
          <w:highlight w:val="none"/>
          <w:u w:val="single"/>
          <w:lang w:val="en-US" w:eastAsia="zh-CN"/>
        </w:rPr>
        <w:t xml:space="preserve">          </w:t>
      </w:r>
    </w:p>
    <w:p w14:paraId="578F7E87">
      <w:pPr>
        <w:pStyle w:val="14"/>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通讯地址：</w:t>
      </w:r>
      <w:r>
        <w:rPr>
          <w:rFonts w:hint="eastAsia" w:ascii="宋体" w:hAnsi="宋体" w:eastAsia="宋体" w:cs="宋体"/>
          <w:b w:val="0"/>
          <w:bCs/>
          <w:sz w:val="24"/>
          <w:szCs w:val="24"/>
          <w:highlight w:val="none"/>
          <w:u w:val="single"/>
          <w:lang w:val="en-US" w:eastAsia="zh-CN"/>
        </w:rPr>
        <w:t xml:space="preserve">          </w:t>
      </w:r>
    </w:p>
    <w:p w14:paraId="6AEB3054">
      <w:pPr>
        <w:pStyle w:val="14"/>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邮政编码：</w:t>
      </w:r>
      <w:r>
        <w:rPr>
          <w:rFonts w:hint="eastAsia" w:ascii="宋体" w:hAnsi="宋体" w:eastAsia="宋体" w:cs="宋体"/>
          <w:b w:val="0"/>
          <w:bCs/>
          <w:sz w:val="24"/>
          <w:szCs w:val="24"/>
          <w:highlight w:val="none"/>
          <w:u w:val="single"/>
          <w:lang w:val="en-US" w:eastAsia="zh-CN"/>
        </w:rPr>
        <w:t xml:space="preserve">          </w:t>
      </w:r>
    </w:p>
    <w:p w14:paraId="430302D1">
      <w:pPr>
        <w:pStyle w:val="14"/>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联系电话：</w:t>
      </w:r>
      <w:r>
        <w:rPr>
          <w:rFonts w:hint="eastAsia" w:ascii="宋体" w:hAnsi="宋体" w:eastAsia="宋体" w:cs="宋体"/>
          <w:b w:val="0"/>
          <w:bCs/>
          <w:sz w:val="24"/>
          <w:szCs w:val="24"/>
          <w:highlight w:val="none"/>
          <w:u w:val="single"/>
          <w:lang w:val="en-US" w:eastAsia="zh-CN"/>
        </w:rPr>
        <w:t xml:space="preserve">          </w:t>
      </w:r>
    </w:p>
    <w:p w14:paraId="25B1D8BC">
      <w:pPr>
        <w:pStyle w:val="14"/>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传    真：</w:t>
      </w:r>
      <w:r>
        <w:rPr>
          <w:rFonts w:hint="eastAsia" w:ascii="宋体" w:hAnsi="宋体" w:eastAsia="宋体" w:cs="宋体"/>
          <w:b w:val="0"/>
          <w:bCs/>
          <w:sz w:val="24"/>
          <w:szCs w:val="24"/>
          <w:highlight w:val="none"/>
          <w:u w:val="single"/>
          <w:lang w:val="en-US" w:eastAsia="zh-CN"/>
        </w:rPr>
        <w:t xml:space="preserve">          </w:t>
      </w:r>
    </w:p>
    <w:p w14:paraId="1F0BC8BE">
      <w:pPr>
        <w:pStyle w:val="14"/>
        <w:rPr>
          <w:rFonts w:hint="eastAsia" w:ascii="宋体" w:hAnsi="宋体" w:eastAsia="宋体" w:cs="宋体"/>
          <w:b w:val="0"/>
          <w:bCs/>
          <w:sz w:val="24"/>
          <w:szCs w:val="24"/>
          <w:highlight w:val="none"/>
        </w:rPr>
      </w:pPr>
      <w:r>
        <w:rPr>
          <w:rFonts w:hint="eastAsia" w:ascii="宋体" w:hAnsi="宋体" w:eastAsia="宋体" w:cs="宋体"/>
          <w:b w:val="0"/>
          <w:bCs/>
          <w:sz w:val="24"/>
          <w:szCs w:val="24"/>
          <w:highlight w:val="none"/>
        </w:rPr>
        <w:t>日    期：</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b w:val="0"/>
          <w:bCs/>
          <w:sz w:val="24"/>
          <w:szCs w:val="24"/>
          <w:highlight w:val="none"/>
        </w:rPr>
        <w:t>年</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b w:val="0"/>
          <w:bCs/>
          <w:sz w:val="24"/>
          <w:szCs w:val="24"/>
          <w:highlight w:val="none"/>
        </w:rPr>
        <w:t>月</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b w:val="0"/>
          <w:bCs/>
          <w:sz w:val="24"/>
          <w:szCs w:val="24"/>
          <w:highlight w:val="none"/>
        </w:rPr>
        <w:t>日</w:t>
      </w:r>
    </w:p>
    <w:p w14:paraId="1E93253B">
      <w:pPr>
        <w:pStyle w:val="33"/>
        <w:rPr>
          <w:rFonts w:hint="eastAsia" w:ascii="宋体" w:hAnsi="宋体" w:eastAsia="宋体" w:cs="宋体"/>
          <w:sz w:val="24"/>
          <w:szCs w:val="24"/>
          <w:highlight w:val="none"/>
        </w:rPr>
      </w:pPr>
    </w:p>
    <w:p w14:paraId="58F6890A">
      <w:pPr>
        <w:spacing w:line="44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br w:type="page"/>
      </w:r>
      <w:r>
        <w:rPr>
          <w:rFonts w:hint="eastAsia" w:ascii="宋体" w:hAnsi="宋体" w:eastAsia="宋体" w:cs="宋体"/>
          <w:b/>
          <w:bCs/>
          <w:sz w:val="24"/>
          <w:szCs w:val="24"/>
          <w:highlight w:val="none"/>
        </w:rPr>
        <w:t>格式</w:t>
      </w:r>
      <w:r>
        <w:rPr>
          <w:rFonts w:hint="eastAsia" w:ascii="宋体" w:hAnsi="宋体" w:cs="宋体"/>
          <w:b/>
          <w:bCs/>
          <w:sz w:val="24"/>
          <w:szCs w:val="24"/>
          <w:highlight w:val="none"/>
          <w:lang w:val="en-US" w:eastAsia="zh-CN"/>
        </w:rPr>
        <w:t>9</w:t>
      </w:r>
      <w:r>
        <w:rPr>
          <w:rFonts w:hint="eastAsia" w:ascii="宋体" w:hAnsi="宋体" w:eastAsia="宋体" w:cs="宋体"/>
          <w:b/>
          <w:sz w:val="24"/>
          <w:szCs w:val="24"/>
          <w:highlight w:val="none"/>
        </w:rPr>
        <w:t xml:space="preserve">  </w:t>
      </w:r>
      <w:r>
        <w:rPr>
          <w:rFonts w:hint="eastAsia" w:ascii="宋体" w:hAnsi="宋体" w:eastAsia="宋体" w:cs="宋体"/>
          <w:b/>
          <w:bCs/>
          <w:sz w:val="24"/>
          <w:szCs w:val="24"/>
          <w:highlight w:val="none"/>
        </w:rPr>
        <w:t xml:space="preserve"> 商务报价一览表（首次）</w:t>
      </w:r>
    </w:p>
    <w:p w14:paraId="1DA6DE79">
      <w:pPr>
        <w:spacing w:line="440" w:lineRule="exact"/>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项目名称：            </w:t>
      </w:r>
    </w:p>
    <w:p w14:paraId="2A59127B">
      <w:pPr>
        <w:spacing w:line="440" w:lineRule="exact"/>
        <w:jc w:val="both"/>
        <w:rPr>
          <w:rFonts w:hint="eastAsia" w:ascii="宋体" w:hAnsi="宋体" w:eastAsia="宋体" w:cs="宋体"/>
          <w:sz w:val="24"/>
          <w:szCs w:val="24"/>
          <w:highlight w:val="none"/>
        </w:rPr>
      </w:pPr>
      <w:r>
        <w:rPr>
          <w:rFonts w:hint="eastAsia" w:ascii="宋体" w:hAnsi="宋体" w:eastAsia="宋体" w:cs="宋体"/>
          <w:b w:val="0"/>
          <w:bCs w:val="0"/>
          <w:sz w:val="24"/>
          <w:szCs w:val="24"/>
          <w:highlight w:val="none"/>
        </w:rPr>
        <w:t>币</w:t>
      </w:r>
      <w:r>
        <w:rPr>
          <w:rFonts w:hint="eastAsia" w:ascii="宋体" w:hAnsi="宋体" w:cs="宋体"/>
          <w:b w:val="0"/>
          <w:bCs w:val="0"/>
          <w:sz w:val="24"/>
          <w:szCs w:val="24"/>
          <w:highlight w:val="none"/>
          <w:lang w:val="en-US" w:eastAsia="zh-CN"/>
        </w:rPr>
        <w:t xml:space="preserve">    </w:t>
      </w:r>
      <w:r>
        <w:rPr>
          <w:rFonts w:hint="eastAsia" w:ascii="宋体" w:hAnsi="宋体" w:eastAsia="宋体" w:cs="宋体"/>
          <w:b w:val="0"/>
          <w:bCs w:val="0"/>
          <w:sz w:val="24"/>
          <w:szCs w:val="24"/>
          <w:highlight w:val="none"/>
        </w:rPr>
        <w:t>种：人民币</w:t>
      </w:r>
    </w:p>
    <w:tbl>
      <w:tblPr>
        <w:tblStyle w:val="24"/>
        <w:tblW w:w="97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30"/>
        <w:gridCol w:w="3120"/>
        <w:gridCol w:w="5848"/>
      </w:tblGrid>
      <w:tr w14:paraId="4B0C5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65" w:hRule="atLeast"/>
          <w:jc w:val="center"/>
        </w:trPr>
        <w:tc>
          <w:tcPr>
            <w:tcW w:w="830" w:type="dxa"/>
            <w:tcBorders>
              <w:top w:val="single" w:color="000000" w:sz="2" w:space="0"/>
              <w:left w:val="single" w:color="000000" w:sz="2" w:space="0"/>
              <w:right w:val="single" w:color="000000" w:sz="2" w:space="0"/>
            </w:tcBorders>
            <w:vAlign w:val="center"/>
          </w:tcPr>
          <w:p w14:paraId="76F09334">
            <w:pPr>
              <w:spacing w:line="400" w:lineRule="exact"/>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序号</w:t>
            </w:r>
          </w:p>
        </w:tc>
        <w:tc>
          <w:tcPr>
            <w:tcW w:w="3120" w:type="dxa"/>
            <w:tcBorders>
              <w:top w:val="single" w:color="000000" w:sz="2" w:space="0"/>
              <w:left w:val="single" w:color="auto" w:sz="4" w:space="0"/>
            </w:tcBorders>
            <w:vAlign w:val="center"/>
          </w:tcPr>
          <w:p w14:paraId="0AE545FA">
            <w:pPr>
              <w:spacing w:line="400" w:lineRule="exact"/>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名 称</w:t>
            </w:r>
          </w:p>
        </w:tc>
        <w:tc>
          <w:tcPr>
            <w:tcW w:w="5848" w:type="dxa"/>
            <w:tcBorders>
              <w:top w:val="single" w:color="000000" w:sz="2" w:space="0"/>
              <w:left w:val="single" w:color="auto" w:sz="4" w:space="0"/>
            </w:tcBorders>
            <w:vAlign w:val="center"/>
          </w:tcPr>
          <w:p w14:paraId="718123EB">
            <w:pPr>
              <w:spacing w:line="400" w:lineRule="exact"/>
              <w:jc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eastAsia="zh-CN"/>
              </w:rPr>
              <w:t>内容</w:t>
            </w:r>
          </w:p>
        </w:tc>
      </w:tr>
      <w:tr w14:paraId="232F7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45" w:hRule="atLeast"/>
          <w:jc w:val="center"/>
        </w:trPr>
        <w:tc>
          <w:tcPr>
            <w:tcW w:w="830" w:type="dxa"/>
            <w:tcBorders>
              <w:left w:val="single" w:color="000000" w:sz="2" w:space="0"/>
              <w:right w:val="single" w:color="000000" w:sz="2" w:space="0"/>
            </w:tcBorders>
            <w:vAlign w:val="center"/>
          </w:tcPr>
          <w:p w14:paraId="40D237D6">
            <w:pPr>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一</w:t>
            </w:r>
          </w:p>
        </w:tc>
        <w:tc>
          <w:tcPr>
            <w:tcW w:w="3120" w:type="dxa"/>
            <w:tcBorders>
              <w:top w:val="single" w:color="auto" w:sz="4" w:space="0"/>
              <w:left w:val="single" w:color="auto" w:sz="4" w:space="0"/>
              <w:right w:val="single" w:color="auto" w:sz="4" w:space="0"/>
            </w:tcBorders>
            <w:vAlign w:val="center"/>
          </w:tcPr>
          <w:p w14:paraId="6557D892">
            <w:pPr>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投标</w:t>
            </w:r>
            <w:r>
              <w:rPr>
                <w:rFonts w:hint="eastAsia" w:ascii="宋体" w:hAnsi="宋体" w:cs="宋体"/>
                <w:b w:val="0"/>
                <w:bCs w:val="0"/>
                <w:color w:val="auto"/>
                <w:sz w:val="24"/>
                <w:szCs w:val="24"/>
                <w:highlight w:val="none"/>
                <w:lang w:eastAsia="zh-CN"/>
              </w:rPr>
              <w:t>总</w:t>
            </w:r>
            <w:r>
              <w:rPr>
                <w:rFonts w:hint="eastAsia" w:ascii="宋体" w:hAnsi="宋体" w:eastAsia="宋体" w:cs="宋体"/>
                <w:b w:val="0"/>
                <w:bCs w:val="0"/>
                <w:color w:val="auto"/>
                <w:sz w:val="24"/>
                <w:szCs w:val="24"/>
                <w:highlight w:val="none"/>
                <w:lang w:val="en-US" w:eastAsia="zh-CN"/>
              </w:rPr>
              <w:t>报</w:t>
            </w:r>
            <w:r>
              <w:rPr>
                <w:rFonts w:hint="eastAsia" w:ascii="宋体" w:hAnsi="宋体" w:eastAsia="宋体" w:cs="宋体"/>
                <w:b w:val="0"/>
                <w:bCs w:val="0"/>
                <w:color w:val="auto"/>
                <w:sz w:val="24"/>
                <w:szCs w:val="24"/>
                <w:highlight w:val="none"/>
                <w:lang w:eastAsia="zh-CN"/>
              </w:rPr>
              <w:t>价</w:t>
            </w:r>
          </w:p>
        </w:tc>
        <w:tc>
          <w:tcPr>
            <w:tcW w:w="5848" w:type="dxa"/>
            <w:tcBorders>
              <w:top w:val="single" w:color="auto" w:sz="4" w:space="0"/>
              <w:left w:val="single" w:color="auto" w:sz="4" w:space="0"/>
              <w:right w:val="single" w:color="000000" w:sz="2" w:space="0"/>
            </w:tcBorders>
            <w:vAlign w:val="center"/>
          </w:tcPr>
          <w:p w14:paraId="7ED4B120">
            <w:pPr>
              <w:wordWrap w:val="0"/>
              <w:adjustRightInd w:val="0"/>
              <w:snapToGrid w:val="0"/>
              <w:spacing w:line="360" w:lineRule="auto"/>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小写：</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lang w:val="en-US" w:eastAsia="zh-CN"/>
              </w:rPr>
              <w:t xml:space="preserve"> 元</w:t>
            </w:r>
            <w:r>
              <w:rPr>
                <w:rFonts w:hint="eastAsia" w:ascii="宋体" w:hAnsi="宋体" w:cs="宋体"/>
                <w:b w:val="0"/>
                <w:bCs w:val="0"/>
                <w:color w:val="auto"/>
                <w:sz w:val="24"/>
                <w:szCs w:val="24"/>
                <w:highlight w:val="none"/>
                <w:lang w:val="en-US" w:eastAsia="zh-CN"/>
              </w:rPr>
              <w:t xml:space="preserve">   </w:t>
            </w:r>
            <w:r>
              <w:rPr>
                <w:rFonts w:hint="eastAsia" w:ascii="宋体" w:hAnsi="宋体" w:eastAsia="宋体" w:cs="宋体"/>
                <w:b w:val="0"/>
                <w:bCs w:val="0"/>
                <w:color w:val="auto"/>
                <w:sz w:val="24"/>
                <w:szCs w:val="24"/>
                <w:highlight w:val="none"/>
                <w:lang w:eastAsia="zh-CN"/>
              </w:rPr>
              <w:t>大写：</w:t>
            </w:r>
            <w:r>
              <w:rPr>
                <w:rFonts w:hint="eastAsia" w:ascii="宋体" w:hAnsi="宋体" w:eastAsia="宋体" w:cs="宋体"/>
                <w:b w:val="0"/>
                <w:bCs w:val="0"/>
                <w:color w:val="auto"/>
                <w:sz w:val="24"/>
                <w:szCs w:val="24"/>
                <w:highlight w:val="none"/>
                <w:u w:val="single"/>
                <w:lang w:val="en-US" w:eastAsia="zh-CN"/>
              </w:rPr>
              <w:t xml:space="preserve">     </w:t>
            </w:r>
            <w:r>
              <w:rPr>
                <w:rFonts w:hint="eastAsia" w:ascii="宋体" w:hAnsi="宋体" w:eastAsia="宋体" w:cs="宋体"/>
                <w:b w:val="0"/>
                <w:bCs w:val="0"/>
                <w:color w:val="auto"/>
                <w:sz w:val="24"/>
                <w:szCs w:val="24"/>
                <w:highlight w:val="none"/>
                <w:lang w:val="en-US" w:eastAsia="zh-CN"/>
              </w:rPr>
              <w:t xml:space="preserve"> 元   </w:t>
            </w:r>
          </w:p>
        </w:tc>
      </w:tr>
      <w:tr w14:paraId="4FD51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63" w:hRule="atLeast"/>
          <w:jc w:val="center"/>
        </w:trPr>
        <w:tc>
          <w:tcPr>
            <w:tcW w:w="830" w:type="dxa"/>
            <w:tcBorders>
              <w:left w:val="single" w:color="000000" w:sz="2" w:space="0"/>
              <w:bottom w:val="single" w:color="000000" w:sz="2" w:space="0"/>
              <w:right w:val="single" w:color="000000" w:sz="2" w:space="0"/>
            </w:tcBorders>
            <w:vAlign w:val="center"/>
          </w:tcPr>
          <w:p w14:paraId="5E7A0478">
            <w:pPr>
              <w:spacing w:line="360" w:lineRule="auto"/>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二</w:t>
            </w:r>
          </w:p>
        </w:tc>
        <w:tc>
          <w:tcPr>
            <w:tcW w:w="3120" w:type="dxa"/>
            <w:tcBorders>
              <w:top w:val="single" w:color="auto" w:sz="4" w:space="0"/>
              <w:left w:val="single" w:color="auto" w:sz="4" w:space="0"/>
              <w:bottom w:val="single" w:color="000000" w:sz="2" w:space="0"/>
              <w:right w:val="single" w:color="auto" w:sz="4" w:space="0"/>
            </w:tcBorders>
            <w:vAlign w:val="center"/>
          </w:tcPr>
          <w:p w14:paraId="572A847B">
            <w:pPr>
              <w:spacing w:line="360" w:lineRule="auto"/>
              <w:jc w:val="center"/>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进度要求</w:t>
            </w:r>
          </w:p>
        </w:tc>
        <w:tc>
          <w:tcPr>
            <w:tcW w:w="5848" w:type="dxa"/>
            <w:tcBorders>
              <w:top w:val="single" w:color="auto" w:sz="4" w:space="0"/>
              <w:left w:val="single" w:color="auto" w:sz="4" w:space="0"/>
              <w:bottom w:val="single" w:color="000000" w:sz="2" w:space="0"/>
              <w:right w:val="single" w:color="000000" w:sz="2" w:space="0"/>
            </w:tcBorders>
            <w:vAlign w:val="center"/>
          </w:tcPr>
          <w:p w14:paraId="73B76AB0">
            <w:pPr>
              <w:spacing w:line="360" w:lineRule="auto"/>
              <w:jc w:val="both"/>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完全响应磋商文件要求</w:t>
            </w:r>
          </w:p>
        </w:tc>
      </w:tr>
      <w:tr w14:paraId="5AC91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1" w:hRule="atLeast"/>
          <w:jc w:val="center"/>
        </w:trPr>
        <w:tc>
          <w:tcPr>
            <w:tcW w:w="830" w:type="dxa"/>
            <w:tcBorders>
              <w:left w:val="single" w:color="000000" w:sz="2" w:space="0"/>
              <w:bottom w:val="single" w:color="000000" w:sz="2" w:space="0"/>
              <w:right w:val="single" w:color="000000" w:sz="2" w:space="0"/>
            </w:tcBorders>
            <w:vAlign w:val="center"/>
          </w:tcPr>
          <w:p w14:paraId="2F4589E5">
            <w:pPr>
              <w:spacing w:line="360" w:lineRule="auto"/>
              <w:jc w:val="center"/>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三</w:t>
            </w:r>
          </w:p>
        </w:tc>
        <w:tc>
          <w:tcPr>
            <w:tcW w:w="3120" w:type="dxa"/>
            <w:tcBorders>
              <w:top w:val="single" w:color="auto" w:sz="4" w:space="0"/>
              <w:left w:val="single" w:color="auto" w:sz="4" w:space="0"/>
              <w:bottom w:val="single" w:color="000000" w:sz="2" w:space="0"/>
              <w:right w:val="single" w:color="auto" w:sz="4" w:space="0"/>
            </w:tcBorders>
            <w:vAlign w:val="center"/>
          </w:tcPr>
          <w:p w14:paraId="01F04919">
            <w:pPr>
              <w:spacing w:line="360" w:lineRule="auto"/>
              <w:jc w:val="center"/>
              <w:rPr>
                <w:rFonts w:hint="default" w:ascii="宋体" w:hAnsi="宋体" w:eastAsia="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项目负责人</w:t>
            </w:r>
          </w:p>
        </w:tc>
        <w:tc>
          <w:tcPr>
            <w:tcW w:w="5848" w:type="dxa"/>
            <w:tcBorders>
              <w:top w:val="single" w:color="auto" w:sz="4" w:space="0"/>
              <w:left w:val="single" w:color="auto" w:sz="4" w:space="0"/>
              <w:bottom w:val="single" w:color="000000" w:sz="2" w:space="0"/>
              <w:right w:val="single" w:color="000000" w:sz="2" w:space="0"/>
            </w:tcBorders>
            <w:vAlign w:val="center"/>
          </w:tcPr>
          <w:p w14:paraId="0942FB56">
            <w:pPr>
              <w:spacing w:line="360" w:lineRule="auto"/>
              <w:jc w:val="both"/>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 xml:space="preserve"> </w:t>
            </w:r>
          </w:p>
          <w:p w14:paraId="3257D241">
            <w:pPr>
              <w:spacing w:line="360" w:lineRule="auto"/>
              <w:jc w:val="both"/>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 xml:space="preserve">    </w:t>
            </w:r>
          </w:p>
          <w:p w14:paraId="0CCE0F2F">
            <w:pPr>
              <w:spacing w:line="360" w:lineRule="auto"/>
              <w:jc w:val="both"/>
              <w:rPr>
                <w:rFonts w:hint="default" w:ascii="宋体" w:hAnsi="宋体" w:eastAsia="宋体" w:cs="宋体"/>
                <w:b w:val="0"/>
                <w:bCs w:val="0"/>
                <w:color w:val="auto"/>
                <w:sz w:val="24"/>
                <w:szCs w:val="24"/>
                <w:highlight w:val="none"/>
                <w:lang w:val="en-US" w:eastAsia="zh-CN"/>
              </w:rPr>
            </w:pPr>
          </w:p>
        </w:tc>
      </w:tr>
      <w:tr w14:paraId="7B93D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57" w:hRule="atLeast"/>
          <w:jc w:val="center"/>
        </w:trPr>
        <w:tc>
          <w:tcPr>
            <w:tcW w:w="830" w:type="dxa"/>
            <w:tcBorders>
              <w:top w:val="single" w:color="auto" w:sz="4" w:space="0"/>
              <w:left w:val="single" w:color="000000" w:sz="2" w:space="0"/>
              <w:bottom w:val="single" w:color="000000" w:sz="2" w:space="0"/>
              <w:right w:val="single" w:color="000000" w:sz="2" w:space="0"/>
            </w:tcBorders>
            <w:vAlign w:val="center"/>
          </w:tcPr>
          <w:p w14:paraId="035C9B67">
            <w:pPr>
              <w:spacing w:line="360" w:lineRule="auto"/>
              <w:jc w:val="center"/>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四</w:t>
            </w:r>
          </w:p>
        </w:tc>
        <w:tc>
          <w:tcPr>
            <w:tcW w:w="3120" w:type="dxa"/>
            <w:tcBorders>
              <w:top w:val="single" w:color="auto" w:sz="4" w:space="0"/>
              <w:left w:val="single" w:color="auto" w:sz="4" w:space="0"/>
              <w:bottom w:val="single" w:color="000000" w:sz="2" w:space="0"/>
              <w:right w:val="single" w:color="000000" w:sz="2" w:space="0"/>
            </w:tcBorders>
            <w:vAlign w:val="center"/>
          </w:tcPr>
          <w:p w14:paraId="4C7E28D8">
            <w:pPr>
              <w:spacing w:line="360" w:lineRule="auto"/>
              <w:ind w:firstLine="9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eastAsia="zh-CN"/>
              </w:rPr>
              <w:t>供应商</w:t>
            </w:r>
            <w:r>
              <w:rPr>
                <w:rFonts w:hint="eastAsia" w:ascii="宋体" w:hAnsi="宋体" w:eastAsia="宋体" w:cs="宋体"/>
                <w:b w:val="0"/>
                <w:bCs w:val="0"/>
                <w:color w:val="auto"/>
                <w:sz w:val="24"/>
                <w:szCs w:val="24"/>
                <w:highlight w:val="none"/>
              </w:rPr>
              <w:t>其它说明（由各</w:t>
            </w:r>
            <w:r>
              <w:rPr>
                <w:rFonts w:hint="eastAsia" w:ascii="宋体" w:hAnsi="宋体" w:eastAsia="宋体" w:cs="宋体"/>
                <w:b w:val="0"/>
                <w:bCs w:val="0"/>
                <w:color w:val="auto"/>
                <w:sz w:val="24"/>
                <w:szCs w:val="24"/>
                <w:highlight w:val="none"/>
                <w:lang w:eastAsia="zh-CN"/>
              </w:rPr>
              <w:t>供应商</w:t>
            </w:r>
            <w:r>
              <w:rPr>
                <w:rFonts w:hint="eastAsia" w:ascii="宋体" w:hAnsi="宋体" w:eastAsia="宋体" w:cs="宋体"/>
                <w:b w:val="0"/>
                <w:bCs w:val="0"/>
                <w:color w:val="auto"/>
                <w:sz w:val="24"/>
                <w:szCs w:val="24"/>
                <w:highlight w:val="none"/>
              </w:rPr>
              <w:t>根据本采购项目要求自行列出需说明及承诺内容）</w:t>
            </w:r>
          </w:p>
        </w:tc>
        <w:tc>
          <w:tcPr>
            <w:tcW w:w="5848" w:type="dxa"/>
            <w:tcBorders>
              <w:top w:val="single" w:color="auto" w:sz="4" w:space="0"/>
              <w:left w:val="single" w:color="auto" w:sz="4" w:space="0"/>
              <w:bottom w:val="single" w:color="000000" w:sz="2" w:space="0"/>
              <w:right w:val="single" w:color="000000" w:sz="2" w:space="0"/>
            </w:tcBorders>
            <w:vAlign w:val="center"/>
          </w:tcPr>
          <w:p w14:paraId="41E4980F">
            <w:pPr>
              <w:spacing w:line="360" w:lineRule="auto"/>
              <w:rPr>
                <w:rFonts w:hint="eastAsia" w:ascii="宋体" w:hAnsi="宋体" w:eastAsia="宋体" w:cs="宋体"/>
                <w:b w:val="0"/>
                <w:bCs w:val="0"/>
                <w:color w:val="auto"/>
                <w:sz w:val="24"/>
                <w:szCs w:val="24"/>
                <w:highlight w:val="none"/>
              </w:rPr>
            </w:pPr>
          </w:p>
        </w:tc>
      </w:tr>
      <w:tr w14:paraId="3BB0A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46" w:hRule="exact"/>
          <w:jc w:val="center"/>
        </w:trPr>
        <w:tc>
          <w:tcPr>
            <w:tcW w:w="9798" w:type="dxa"/>
            <w:gridSpan w:val="3"/>
            <w:tcBorders>
              <w:top w:val="single" w:color="auto" w:sz="4" w:space="0"/>
              <w:left w:val="single" w:color="000000" w:sz="2" w:space="0"/>
              <w:bottom w:val="single" w:color="000000" w:sz="2" w:space="0"/>
              <w:right w:val="single" w:color="000000" w:sz="2" w:space="0"/>
            </w:tcBorders>
            <w:vAlign w:val="center"/>
          </w:tcPr>
          <w:p w14:paraId="6D08ED00">
            <w:pPr>
              <w:spacing w:line="360" w:lineRule="auto"/>
              <w:ind w:firstLine="482"/>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注：报价包含的内容：</w:t>
            </w:r>
            <w:r>
              <w:rPr>
                <w:rFonts w:hint="eastAsia" w:ascii="宋体" w:hAnsi="宋体" w:eastAsia="宋体" w:cs="宋体"/>
                <w:color w:val="auto"/>
                <w:sz w:val="24"/>
                <w:szCs w:val="24"/>
                <w:highlight w:val="none"/>
                <w:lang w:eastAsia="zh-CN"/>
              </w:rPr>
              <w:t>中标供应商在服务期内完成合同条款、技术规范及标准、项目采购需求、本竞争性磋商约定的全部内容并配合采购人完成与此服务相关的全部工作。</w:t>
            </w:r>
          </w:p>
        </w:tc>
      </w:tr>
    </w:tbl>
    <w:p w14:paraId="1AE00ED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p>
    <w:p w14:paraId="1094B4C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(盖章)：</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5A3A2E8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p>
    <w:p w14:paraId="7780C02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法定代表人或委托代理人（签字或盖章）：</w:t>
      </w:r>
      <w:r>
        <w:rPr>
          <w:rFonts w:hint="eastAsia" w:ascii="宋体" w:hAnsi="宋体" w:eastAsia="宋体" w:cs="宋体"/>
          <w:b w:val="0"/>
          <w:bCs/>
          <w:sz w:val="24"/>
          <w:szCs w:val="24"/>
          <w:highlight w:val="none"/>
          <w:u w:val="single"/>
          <w:lang w:val="en-US" w:eastAsia="zh-CN"/>
        </w:rPr>
        <w:t xml:space="preserve">          </w:t>
      </w:r>
    </w:p>
    <w:p w14:paraId="3B74FA60">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宋体" w:hAnsi="宋体" w:eastAsia="宋体" w:cs="宋体"/>
          <w:color w:val="auto"/>
          <w:sz w:val="24"/>
          <w:szCs w:val="24"/>
          <w:highlight w:val="none"/>
        </w:rPr>
      </w:pPr>
    </w:p>
    <w:p w14:paraId="1D19EFE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14:paraId="2531591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注：1、供应商须按本商务报价一览表格式制作“最后报价表”，并加盖单位公章后自行带至磋商现场（线上提供），经磋商后由各供应商填写最后报价；</w:t>
      </w:r>
    </w:p>
    <w:p w14:paraId="28084FB8">
      <w:pPr>
        <w:spacing w:line="360" w:lineRule="auto"/>
        <w:jc w:val="center"/>
        <w:rPr>
          <w:rFonts w:hint="eastAsia" w:ascii="宋体" w:hAnsi="宋体" w:eastAsia="宋体" w:cs="宋体"/>
          <w:b/>
          <w:bCs/>
          <w:sz w:val="24"/>
          <w:szCs w:val="24"/>
          <w:highlight w:val="none"/>
        </w:rPr>
      </w:pPr>
      <w:r>
        <w:rPr>
          <w:rFonts w:hint="eastAsia" w:ascii="宋体" w:hAnsi="宋体" w:eastAsia="宋体" w:cs="宋体"/>
          <w:b/>
          <w:sz w:val="24"/>
          <w:szCs w:val="24"/>
          <w:highlight w:val="none"/>
        </w:rPr>
        <w:br w:type="page"/>
      </w:r>
      <w:r>
        <w:rPr>
          <w:rFonts w:hint="eastAsia" w:ascii="宋体" w:hAnsi="宋体" w:eastAsia="宋体" w:cs="宋体"/>
          <w:b/>
          <w:sz w:val="24"/>
          <w:szCs w:val="24"/>
          <w:highlight w:val="none"/>
        </w:rPr>
        <w:t>格式</w:t>
      </w:r>
      <w:r>
        <w:rPr>
          <w:rFonts w:hint="eastAsia" w:ascii="宋体" w:hAnsi="宋体" w:cs="宋体"/>
          <w:b/>
          <w:sz w:val="24"/>
          <w:szCs w:val="24"/>
          <w:highlight w:val="none"/>
          <w:lang w:val="en-US" w:eastAsia="zh-CN"/>
        </w:rPr>
        <w:t>10</w:t>
      </w:r>
      <w:r>
        <w:rPr>
          <w:rFonts w:hint="eastAsia" w:ascii="宋体" w:hAnsi="宋体" w:eastAsia="宋体" w:cs="宋体"/>
          <w:b/>
          <w:sz w:val="24"/>
          <w:szCs w:val="24"/>
          <w:highlight w:val="none"/>
        </w:rPr>
        <w:t xml:space="preserve">  </w:t>
      </w:r>
      <w:r>
        <w:rPr>
          <w:rFonts w:hint="eastAsia" w:ascii="宋体" w:hAnsi="宋体" w:eastAsia="宋体" w:cs="宋体"/>
          <w:b/>
          <w:bCs/>
          <w:sz w:val="24"/>
          <w:szCs w:val="24"/>
          <w:highlight w:val="none"/>
        </w:rPr>
        <w:t xml:space="preserve"> </w:t>
      </w:r>
      <w:r>
        <w:rPr>
          <w:rFonts w:hint="eastAsia" w:ascii="宋体" w:hAnsi="宋体" w:eastAsia="宋体" w:cs="宋体"/>
          <w:b/>
          <w:sz w:val="24"/>
          <w:szCs w:val="24"/>
          <w:highlight w:val="none"/>
        </w:rPr>
        <w:t>商务条款偏离表</w:t>
      </w:r>
    </w:p>
    <w:p w14:paraId="5B65358E">
      <w:pPr>
        <w:spacing w:line="36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项目名称：                     标项：</w:t>
      </w: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
        <w:gridCol w:w="1900"/>
        <w:gridCol w:w="1900"/>
        <w:gridCol w:w="1900"/>
        <w:gridCol w:w="1901"/>
      </w:tblGrid>
      <w:tr w14:paraId="58473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21" w:type="dxa"/>
            <w:vAlign w:val="center"/>
          </w:tcPr>
          <w:p w14:paraId="01EC05B6">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1900" w:type="dxa"/>
            <w:vAlign w:val="center"/>
          </w:tcPr>
          <w:p w14:paraId="699647FA">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条款序号</w:t>
            </w:r>
          </w:p>
        </w:tc>
        <w:tc>
          <w:tcPr>
            <w:tcW w:w="1900" w:type="dxa"/>
            <w:vAlign w:val="center"/>
          </w:tcPr>
          <w:p w14:paraId="03673FFF">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招标商务条款</w:t>
            </w:r>
          </w:p>
        </w:tc>
        <w:tc>
          <w:tcPr>
            <w:tcW w:w="1900" w:type="dxa"/>
            <w:vAlign w:val="center"/>
          </w:tcPr>
          <w:p w14:paraId="45B2A2F3">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投标商务条款</w:t>
            </w:r>
          </w:p>
        </w:tc>
        <w:tc>
          <w:tcPr>
            <w:tcW w:w="1901" w:type="dxa"/>
            <w:vAlign w:val="center"/>
          </w:tcPr>
          <w:p w14:paraId="0FF3FC58">
            <w:pPr>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偏离说明</w:t>
            </w:r>
          </w:p>
        </w:tc>
      </w:tr>
      <w:tr w14:paraId="02A90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21" w:type="dxa"/>
            <w:vAlign w:val="center"/>
          </w:tcPr>
          <w:p w14:paraId="64CF7695">
            <w:pPr>
              <w:rPr>
                <w:rFonts w:hint="eastAsia" w:ascii="宋体" w:hAnsi="宋体" w:eastAsia="宋体" w:cs="宋体"/>
                <w:b/>
                <w:bCs/>
                <w:sz w:val="24"/>
                <w:szCs w:val="24"/>
                <w:highlight w:val="none"/>
              </w:rPr>
            </w:pPr>
          </w:p>
        </w:tc>
        <w:tc>
          <w:tcPr>
            <w:tcW w:w="1900" w:type="dxa"/>
            <w:vAlign w:val="center"/>
          </w:tcPr>
          <w:p w14:paraId="30C9D810">
            <w:pPr>
              <w:rPr>
                <w:rFonts w:hint="eastAsia" w:ascii="宋体" w:hAnsi="宋体" w:eastAsia="宋体" w:cs="宋体"/>
                <w:b/>
                <w:bCs/>
                <w:sz w:val="24"/>
                <w:szCs w:val="24"/>
                <w:highlight w:val="none"/>
              </w:rPr>
            </w:pPr>
          </w:p>
        </w:tc>
        <w:tc>
          <w:tcPr>
            <w:tcW w:w="1900" w:type="dxa"/>
            <w:vAlign w:val="center"/>
          </w:tcPr>
          <w:p w14:paraId="60F78BBD">
            <w:pPr>
              <w:rPr>
                <w:rFonts w:hint="eastAsia" w:ascii="宋体" w:hAnsi="宋体" w:eastAsia="宋体" w:cs="宋体"/>
                <w:b/>
                <w:bCs/>
                <w:sz w:val="24"/>
                <w:szCs w:val="24"/>
                <w:highlight w:val="none"/>
              </w:rPr>
            </w:pPr>
          </w:p>
        </w:tc>
        <w:tc>
          <w:tcPr>
            <w:tcW w:w="1900" w:type="dxa"/>
            <w:vAlign w:val="center"/>
          </w:tcPr>
          <w:p w14:paraId="21DD7D18">
            <w:pPr>
              <w:rPr>
                <w:rFonts w:hint="eastAsia" w:ascii="宋体" w:hAnsi="宋体" w:eastAsia="宋体" w:cs="宋体"/>
                <w:b/>
                <w:bCs/>
                <w:sz w:val="24"/>
                <w:szCs w:val="24"/>
                <w:highlight w:val="none"/>
              </w:rPr>
            </w:pPr>
          </w:p>
        </w:tc>
        <w:tc>
          <w:tcPr>
            <w:tcW w:w="1901" w:type="dxa"/>
            <w:vAlign w:val="center"/>
          </w:tcPr>
          <w:p w14:paraId="41F1B1ED">
            <w:pPr>
              <w:rPr>
                <w:rFonts w:hint="eastAsia" w:ascii="宋体" w:hAnsi="宋体" w:eastAsia="宋体" w:cs="宋体"/>
                <w:b/>
                <w:bCs/>
                <w:sz w:val="24"/>
                <w:szCs w:val="24"/>
                <w:highlight w:val="none"/>
              </w:rPr>
            </w:pPr>
          </w:p>
        </w:tc>
      </w:tr>
      <w:tr w14:paraId="088DA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21" w:type="dxa"/>
            <w:vAlign w:val="center"/>
          </w:tcPr>
          <w:p w14:paraId="23D1D187">
            <w:pPr>
              <w:spacing w:line="360" w:lineRule="auto"/>
              <w:jc w:val="center"/>
              <w:rPr>
                <w:rFonts w:hint="eastAsia" w:ascii="宋体" w:hAnsi="宋体" w:eastAsia="宋体" w:cs="宋体"/>
                <w:sz w:val="24"/>
                <w:szCs w:val="24"/>
                <w:highlight w:val="none"/>
              </w:rPr>
            </w:pPr>
          </w:p>
        </w:tc>
        <w:tc>
          <w:tcPr>
            <w:tcW w:w="1900" w:type="dxa"/>
            <w:vAlign w:val="center"/>
          </w:tcPr>
          <w:p w14:paraId="1B02D655">
            <w:pPr>
              <w:spacing w:line="360" w:lineRule="auto"/>
              <w:jc w:val="center"/>
              <w:rPr>
                <w:rFonts w:hint="eastAsia" w:ascii="宋体" w:hAnsi="宋体" w:eastAsia="宋体" w:cs="宋体"/>
                <w:sz w:val="24"/>
                <w:szCs w:val="24"/>
                <w:highlight w:val="none"/>
              </w:rPr>
            </w:pPr>
          </w:p>
        </w:tc>
        <w:tc>
          <w:tcPr>
            <w:tcW w:w="1900" w:type="dxa"/>
            <w:vAlign w:val="center"/>
          </w:tcPr>
          <w:p w14:paraId="3283CAAB">
            <w:pPr>
              <w:spacing w:line="360" w:lineRule="auto"/>
              <w:jc w:val="center"/>
              <w:rPr>
                <w:rFonts w:hint="eastAsia" w:ascii="宋体" w:hAnsi="宋体" w:eastAsia="宋体" w:cs="宋体"/>
                <w:sz w:val="24"/>
                <w:szCs w:val="24"/>
                <w:highlight w:val="none"/>
              </w:rPr>
            </w:pPr>
          </w:p>
        </w:tc>
        <w:tc>
          <w:tcPr>
            <w:tcW w:w="1900" w:type="dxa"/>
            <w:vAlign w:val="center"/>
          </w:tcPr>
          <w:p w14:paraId="4244ED7D">
            <w:pPr>
              <w:spacing w:line="360" w:lineRule="auto"/>
              <w:jc w:val="center"/>
              <w:rPr>
                <w:rFonts w:hint="eastAsia" w:ascii="宋体" w:hAnsi="宋体" w:eastAsia="宋体" w:cs="宋体"/>
                <w:sz w:val="24"/>
                <w:szCs w:val="24"/>
                <w:highlight w:val="none"/>
              </w:rPr>
            </w:pPr>
          </w:p>
        </w:tc>
        <w:tc>
          <w:tcPr>
            <w:tcW w:w="1901" w:type="dxa"/>
            <w:vAlign w:val="center"/>
          </w:tcPr>
          <w:p w14:paraId="2302DD90">
            <w:pPr>
              <w:spacing w:line="360" w:lineRule="auto"/>
              <w:jc w:val="center"/>
              <w:rPr>
                <w:rFonts w:hint="eastAsia" w:ascii="宋体" w:hAnsi="宋体" w:eastAsia="宋体" w:cs="宋体"/>
                <w:sz w:val="24"/>
                <w:szCs w:val="24"/>
                <w:highlight w:val="none"/>
              </w:rPr>
            </w:pPr>
          </w:p>
        </w:tc>
      </w:tr>
      <w:tr w14:paraId="591DD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21" w:type="dxa"/>
            <w:vAlign w:val="center"/>
          </w:tcPr>
          <w:p w14:paraId="646642E9">
            <w:pPr>
              <w:spacing w:line="360" w:lineRule="auto"/>
              <w:jc w:val="center"/>
              <w:rPr>
                <w:rFonts w:hint="eastAsia" w:ascii="宋体" w:hAnsi="宋体" w:eastAsia="宋体" w:cs="宋体"/>
                <w:sz w:val="24"/>
                <w:szCs w:val="24"/>
                <w:highlight w:val="none"/>
              </w:rPr>
            </w:pPr>
          </w:p>
        </w:tc>
        <w:tc>
          <w:tcPr>
            <w:tcW w:w="1900" w:type="dxa"/>
            <w:vAlign w:val="center"/>
          </w:tcPr>
          <w:p w14:paraId="1C640F4B">
            <w:pPr>
              <w:spacing w:line="360" w:lineRule="auto"/>
              <w:jc w:val="center"/>
              <w:rPr>
                <w:rFonts w:hint="eastAsia" w:ascii="宋体" w:hAnsi="宋体" w:eastAsia="宋体" w:cs="宋体"/>
                <w:sz w:val="24"/>
                <w:szCs w:val="24"/>
                <w:highlight w:val="none"/>
              </w:rPr>
            </w:pPr>
          </w:p>
        </w:tc>
        <w:tc>
          <w:tcPr>
            <w:tcW w:w="1900" w:type="dxa"/>
            <w:vAlign w:val="center"/>
          </w:tcPr>
          <w:p w14:paraId="7E45653A">
            <w:pPr>
              <w:spacing w:line="360" w:lineRule="auto"/>
              <w:jc w:val="center"/>
              <w:rPr>
                <w:rFonts w:hint="eastAsia" w:ascii="宋体" w:hAnsi="宋体" w:eastAsia="宋体" w:cs="宋体"/>
                <w:sz w:val="24"/>
                <w:szCs w:val="24"/>
                <w:highlight w:val="none"/>
              </w:rPr>
            </w:pPr>
          </w:p>
        </w:tc>
        <w:tc>
          <w:tcPr>
            <w:tcW w:w="1900" w:type="dxa"/>
            <w:vAlign w:val="center"/>
          </w:tcPr>
          <w:p w14:paraId="408D0C24">
            <w:pPr>
              <w:spacing w:line="360" w:lineRule="auto"/>
              <w:jc w:val="center"/>
              <w:rPr>
                <w:rFonts w:hint="eastAsia" w:ascii="宋体" w:hAnsi="宋体" w:eastAsia="宋体" w:cs="宋体"/>
                <w:sz w:val="24"/>
                <w:szCs w:val="24"/>
                <w:highlight w:val="none"/>
              </w:rPr>
            </w:pPr>
          </w:p>
        </w:tc>
        <w:tc>
          <w:tcPr>
            <w:tcW w:w="1901" w:type="dxa"/>
            <w:vAlign w:val="center"/>
          </w:tcPr>
          <w:p w14:paraId="22B8E7E4">
            <w:pPr>
              <w:spacing w:line="360" w:lineRule="auto"/>
              <w:jc w:val="center"/>
              <w:rPr>
                <w:rFonts w:hint="eastAsia" w:ascii="宋体" w:hAnsi="宋体" w:eastAsia="宋体" w:cs="宋体"/>
                <w:sz w:val="24"/>
                <w:szCs w:val="24"/>
                <w:highlight w:val="none"/>
              </w:rPr>
            </w:pPr>
          </w:p>
        </w:tc>
      </w:tr>
      <w:tr w14:paraId="4BFA4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21" w:type="dxa"/>
            <w:vAlign w:val="center"/>
          </w:tcPr>
          <w:p w14:paraId="5D425C76">
            <w:pPr>
              <w:spacing w:line="360" w:lineRule="auto"/>
              <w:jc w:val="center"/>
              <w:rPr>
                <w:rFonts w:hint="eastAsia" w:ascii="宋体" w:hAnsi="宋体" w:eastAsia="宋体" w:cs="宋体"/>
                <w:sz w:val="24"/>
                <w:szCs w:val="24"/>
                <w:highlight w:val="none"/>
              </w:rPr>
            </w:pPr>
          </w:p>
        </w:tc>
        <w:tc>
          <w:tcPr>
            <w:tcW w:w="1900" w:type="dxa"/>
            <w:vAlign w:val="center"/>
          </w:tcPr>
          <w:p w14:paraId="421A5833">
            <w:pPr>
              <w:spacing w:line="360" w:lineRule="auto"/>
              <w:jc w:val="center"/>
              <w:rPr>
                <w:rFonts w:hint="eastAsia" w:ascii="宋体" w:hAnsi="宋体" w:eastAsia="宋体" w:cs="宋体"/>
                <w:sz w:val="24"/>
                <w:szCs w:val="24"/>
                <w:highlight w:val="none"/>
              </w:rPr>
            </w:pPr>
          </w:p>
        </w:tc>
        <w:tc>
          <w:tcPr>
            <w:tcW w:w="1900" w:type="dxa"/>
            <w:vAlign w:val="center"/>
          </w:tcPr>
          <w:p w14:paraId="1F3377D5">
            <w:pPr>
              <w:spacing w:line="360" w:lineRule="auto"/>
              <w:jc w:val="center"/>
              <w:rPr>
                <w:rFonts w:hint="eastAsia" w:ascii="宋体" w:hAnsi="宋体" w:eastAsia="宋体" w:cs="宋体"/>
                <w:sz w:val="24"/>
                <w:szCs w:val="24"/>
                <w:highlight w:val="none"/>
              </w:rPr>
            </w:pPr>
          </w:p>
        </w:tc>
        <w:tc>
          <w:tcPr>
            <w:tcW w:w="1900" w:type="dxa"/>
            <w:vAlign w:val="center"/>
          </w:tcPr>
          <w:p w14:paraId="73175A15">
            <w:pPr>
              <w:spacing w:line="360" w:lineRule="auto"/>
              <w:jc w:val="center"/>
              <w:rPr>
                <w:rFonts w:hint="eastAsia" w:ascii="宋体" w:hAnsi="宋体" w:eastAsia="宋体" w:cs="宋体"/>
                <w:sz w:val="24"/>
                <w:szCs w:val="24"/>
                <w:highlight w:val="none"/>
              </w:rPr>
            </w:pPr>
          </w:p>
        </w:tc>
        <w:tc>
          <w:tcPr>
            <w:tcW w:w="1901" w:type="dxa"/>
            <w:vAlign w:val="center"/>
          </w:tcPr>
          <w:p w14:paraId="666D9522">
            <w:pPr>
              <w:spacing w:line="360" w:lineRule="auto"/>
              <w:jc w:val="center"/>
              <w:rPr>
                <w:rFonts w:hint="eastAsia" w:ascii="宋体" w:hAnsi="宋体" w:eastAsia="宋体" w:cs="宋体"/>
                <w:sz w:val="24"/>
                <w:szCs w:val="24"/>
                <w:highlight w:val="none"/>
              </w:rPr>
            </w:pPr>
          </w:p>
        </w:tc>
      </w:tr>
      <w:tr w14:paraId="189EF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21" w:type="dxa"/>
            <w:vAlign w:val="center"/>
          </w:tcPr>
          <w:p w14:paraId="2B75A1A1">
            <w:pPr>
              <w:spacing w:line="360" w:lineRule="auto"/>
              <w:jc w:val="center"/>
              <w:rPr>
                <w:rFonts w:hint="eastAsia" w:ascii="宋体" w:hAnsi="宋体" w:eastAsia="宋体" w:cs="宋体"/>
                <w:sz w:val="24"/>
                <w:szCs w:val="24"/>
                <w:highlight w:val="none"/>
              </w:rPr>
            </w:pPr>
          </w:p>
        </w:tc>
        <w:tc>
          <w:tcPr>
            <w:tcW w:w="1900" w:type="dxa"/>
            <w:vAlign w:val="center"/>
          </w:tcPr>
          <w:p w14:paraId="2E401C20">
            <w:pPr>
              <w:spacing w:line="360" w:lineRule="auto"/>
              <w:jc w:val="center"/>
              <w:rPr>
                <w:rFonts w:hint="eastAsia" w:ascii="宋体" w:hAnsi="宋体" w:eastAsia="宋体" w:cs="宋体"/>
                <w:sz w:val="24"/>
                <w:szCs w:val="24"/>
                <w:highlight w:val="none"/>
              </w:rPr>
            </w:pPr>
          </w:p>
        </w:tc>
        <w:tc>
          <w:tcPr>
            <w:tcW w:w="1900" w:type="dxa"/>
            <w:vAlign w:val="center"/>
          </w:tcPr>
          <w:p w14:paraId="393678C5">
            <w:pPr>
              <w:spacing w:line="360" w:lineRule="auto"/>
              <w:jc w:val="center"/>
              <w:rPr>
                <w:rFonts w:hint="eastAsia" w:ascii="宋体" w:hAnsi="宋体" w:eastAsia="宋体" w:cs="宋体"/>
                <w:sz w:val="24"/>
                <w:szCs w:val="24"/>
                <w:highlight w:val="none"/>
              </w:rPr>
            </w:pPr>
          </w:p>
        </w:tc>
        <w:tc>
          <w:tcPr>
            <w:tcW w:w="1900" w:type="dxa"/>
            <w:vAlign w:val="center"/>
          </w:tcPr>
          <w:p w14:paraId="4471274E">
            <w:pPr>
              <w:spacing w:line="360" w:lineRule="auto"/>
              <w:jc w:val="center"/>
              <w:rPr>
                <w:rFonts w:hint="eastAsia" w:ascii="宋体" w:hAnsi="宋体" w:eastAsia="宋体" w:cs="宋体"/>
                <w:sz w:val="24"/>
                <w:szCs w:val="24"/>
                <w:highlight w:val="none"/>
              </w:rPr>
            </w:pPr>
          </w:p>
        </w:tc>
        <w:tc>
          <w:tcPr>
            <w:tcW w:w="1901" w:type="dxa"/>
            <w:vAlign w:val="center"/>
          </w:tcPr>
          <w:p w14:paraId="2193E280">
            <w:pPr>
              <w:spacing w:line="360" w:lineRule="auto"/>
              <w:jc w:val="center"/>
              <w:rPr>
                <w:rFonts w:hint="eastAsia" w:ascii="宋体" w:hAnsi="宋体" w:eastAsia="宋体" w:cs="宋体"/>
                <w:sz w:val="24"/>
                <w:szCs w:val="24"/>
                <w:highlight w:val="none"/>
              </w:rPr>
            </w:pPr>
          </w:p>
        </w:tc>
      </w:tr>
      <w:tr w14:paraId="20CD7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21" w:type="dxa"/>
            <w:vAlign w:val="center"/>
          </w:tcPr>
          <w:p w14:paraId="41951305">
            <w:pPr>
              <w:spacing w:line="360" w:lineRule="auto"/>
              <w:jc w:val="center"/>
              <w:rPr>
                <w:rFonts w:hint="eastAsia" w:ascii="宋体" w:hAnsi="宋体" w:eastAsia="宋体" w:cs="宋体"/>
                <w:sz w:val="24"/>
                <w:szCs w:val="24"/>
                <w:highlight w:val="none"/>
              </w:rPr>
            </w:pPr>
          </w:p>
        </w:tc>
        <w:tc>
          <w:tcPr>
            <w:tcW w:w="1900" w:type="dxa"/>
            <w:vAlign w:val="center"/>
          </w:tcPr>
          <w:p w14:paraId="767486C0">
            <w:pPr>
              <w:spacing w:line="360" w:lineRule="auto"/>
              <w:jc w:val="center"/>
              <w:rPr>
                <w:rFonts w:hint="eastAsia" w:ascii="宋体" w:hAnsi="宋体" w:eastAsia="宋体" w:cs="宋体"/>
                <w:sz w:val="24"/>
                <w:szCs w:val="24"/>
                <w:highlight w:val="none"/>
              </w:rPr>
            </w:pPr>
          </w:p>
        </w:tc>
        <w:tc>
          <w:tcPr>
            <w:tcW w:w="1900" w:type="dxa"/>
            <w:vAlign w:val="center"/>
          </w:tcPr>
          <w:p w14:paraId="75198C51">
            <w:pPr>
              <w:spacing w:line="360" w:lineRule="auto"/>
              <w:jc w:val="center"/>
              <w:rPr>
                <w:rFonts w:hint="eastAsia" w:ascii="宋体" w:hAnsi="宋体" w:eastAsia="宋体" w:cs="宋体"/>
                <w:sz w:val="24"/>
                <w:szCs w:val="24"/>
                <w:highlight w:val="none"/>
              </w:rPr>
            </w:pPr>
          </w:p>
        </w:tc>
        <w:tc>
          <w:tcPr>
            <w:tcW w:w="1900" w:type="dxa"/>
            <w:vAlign w:val="center"/>
          </w:tcPr>
          <w:p w14:paraId="33DC1F16">
            <w:pPr>
              <w:spacing w:line="360" w:lineRule="auto"/>
              <w:jc w:val="center"/>
              <w:rPr>
                <w:rFonts w:hint="eastAsia" w:ascii="宋体" w:hAnsi="宋体" w:eastAsia="宋体" w:cs="宋体"/>
                <w:sz w:val="24"/>
                <w:szCs w:val="24"/>
                <w:highlight w:val="none"/>
              </w:rPr>
            </w:pPr>
          </w:p>
        </w:tc>
        <w:tc>
          <w:tcPr>
            <w:tcW w:w="1901" w:type="dxa"/>
            <w:vAlign w:val="center"/>
          </w:tcPr>
          <w:p w14:paraId="0905709E">
            <w:pPr>
              <w:spacing w:line="360" w:lineRule="auto"/>
              <w:jc w:val="center"/>
              <w:rPr>
                <w:rFonts w:hint="eastAsia" w:ascii="宋体" w:hAnsi="宋体" w:eastAsia="宋体" w:cs="宋体"/>
                <w:sz w:val="24"/>
                <w:szCs w:val="24"/>
                <w:highlight w:val="none"/>
              </w:rPr>
            </w:pPr>
          </w:p>
        </w:tc>
      </w:tr>
      <w:tr w14:paraId="39C00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21" w:type="dxa"/>
            <w:vAlign w:val="center"/>
          </w:tcPr>
          <w:p w14:paraId="4A0D62C9">
            <w:pPr>
              <w:spacing w:line="360" w:lineRule="auto"/>
              <w:jc w:val="center"/>
              <w:rPr>
                <w:rFonts w:hint="eastAsia" w:ascii="宋体" w:hAnsi="宋体" w:eastAsia="宋体" w:cs="宋体"/>
                <w:sz w:val="24"/>
                <w:szCs w:val="24"/>
                <w:highlight w:val="none"/>
              </w:rPr>
            </w:pPr>
          </w:p>
        </w:tc>
        <w:tc>
          <w:tcPr>
            <w:tcW w:w="1900" w:type="dxa"/>
            <w:vAlign w:val="center"/>
          </w:tcPr>
          <w:p w14:paraId="620C0D73">
            <w:pPr>
              <w:spacing w:line="360" w:lineRule="auto"/>
              <w:jc w:val="center"/>
              <w:rPr>
                <w:rFonts w:hint="eastAsia" w:ascii="宋体" w:hAnsi="宋体" w:eastAsia="宋体" w:cs="宋体"/>
                <w:sz w:val="24"/>
                <w:szCs w:val="24"/>
                <w:highlight w:val="none"/>
              </w:rPr>
            </w:pPr>
          </w:p>
        </w:tc>
        <w:tc>
          <w:tcPr>
            <w:tcW w:w="1900" w:type="dxa"/>
            <w:vAlign w:val="center"/>
          </w:tcPr>
          <w:p w14:paraId="173C5DD0">
            <w:pPr>
              <w:spacing w:line="360" w:lineRule="auto"/>
              <w:jc w:val="center"/>
              <w:rPr>
                <w:rFonts w:hint="eastAsia" w:ascii="宋体" w:hAnsi="宋体" w:eastAsia="宋体" w:cs="宋体"/>
                <w:sz w:val="24"/>
                <w:szCs w:val="24"/>
                <w:highlight w:val="none"/>
              </w:rPr>
            </w:pPr>
          </w:p>
        </w:tc>
        <w:tc>
          <w:tcPr>
            <w:tcW w:w="1900" w:type="dxa"/>
            <w:vAlign w:val="center"/>
          </w:tcPr>
          <w:p w14:paraId="321B7A0E">
            <w:pPr>
              <w:spacing w:line="360" w:lineRule="auto"/>
              <w:jc w:val="center"/>
              <w:rPr>
                <w:rFonts w:hint="eastAsia" w:ascii="宋体" w:hAnsi="宋体" w:eastAsia="宋体" w:cs="宋体"/>
                <w:sz w:val="24"/>
                <w:szCs w:val="24"/>
                <w:highlight w:val="none"/>
              </w:rPr>
            </w:pPr>
          </w:p>
        </w:tc>
        <w:tc>
          <w:tcPr>
            <w:tcW w:w="1901" w:type="dxa"/>
            <w:vAlign w:val="center"/>
          </w:tcPr>
          <w:p w14:paraId="51CB14E3">
            <w:pPr>
              <w:spacing w:line="360" w:lineRule="auto"/>
              <w:jc w:val="center"/>
              <w:rPr>
                <w:rFonts w:hint="eastAsia" w:ascii="宋体" w:hAnsi="宋体" w:eastAsia="宋体" w:cs="宋体"/>
                <w:sz w:val="24"/>
                <w:szCs w:val="24"/>
                <w:highlight w:val="none"/>
              </w:rPr>
            </w:pPr>
          </w:p>
        </w:tc>
      </w:tr>
      <w:tr w14:paraId="22551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21" w:type="dxa"/>
            <w:vAlign w:val="center"/>
          </w:tcPr>
          <w:p w14:paraId="01F7A5E2">
            <w:pPr>
              <w:spacing w:line="360" w:lineRule="auto"/>
              <w:jc w:val="center"/>
              <w:rPr>
                <w:rFonts w:hint="eastAsia" w:ascii="宋体" w:hAnsi="宋体" w:eastAsia="宋体" w:cs="宋体"/>
                <w:sz w:val="24"/>
                <w:szCs w:val="24"/>
                <w:highlight w:val="none"/>
              </w:rPr>
            </w:pPr>
          </w:p>
        </w:tc>
        <w:tc>
          <w:tcPr>
            <w:tcW w:w="1900" w:type="dxa"/>
            <w:vAlign w:val="center"/>
          </w:tcPr>
          <w:p w14:paraId="22DCA4CF">
            <w:pPr>
              <w:spacing w:line="360" w:lineRule="auto"/>
              <w:jc w:val="center"/>
              <w:rPr>
                <w:rFonts w:hint="eastAsia" w:ascii="宋体" w:hAnsi="宋体" w:eastAsia="宋体" w:cs="宋体"/>
                <w:sz w:val="24"/>
                <w:szCs w:val="24"/>
                <w:highlight w:val="none"/>
              </w:rPr>
            </w:pPr>
          </w:p>
        </w:tc>
        <w:tc>
          <w:tcPr>
            <w:tcW w:w="1900" w:type="dxa"/>
            <w:vAlign w:val="center"/>
          </w:tcPr>
          <w:p w14:paraId="6A0C5630">
            <w:pPr>
              <w:spacing w:line="360" w:lineRule="auto"/>
              <w:jc w:val="center"/>
              <w:rPr>
                <w:rFonts w:hint="eastAsia" w:ascii="宋体" w:hAnsi="宋体" w:eastAsia="宋体" w:cs="宋体"/>
                <w:sz w:val="24"/>
                <w:szCs w:val="24"/>
                <w:highlight w:val="none"/>
              </w:rPr>
            </w:pPr>
          </w:p>
        </w:tc>
        <w:tc>
          <w:tcPr>
            <w:tcW w:w="1900" w:type="dxa"/>
            <w:vAlign w:val="center"/>
          </w:tcPr>
          <w:p w14:paraId="389B84D6">
            <w:pPr>
              <w:spacing w:line="360" w:lineRule="auto"/>
              <w:jc w:val="center"/>
              <w:rPr>
                <w:rFonts w:hint="eastAsia" w:ascii="宋体" w:hAnsi="宋体" w:eastAsia="宋体" w:cs="宋体"/>
                <w:sz w:val="24"/>
                <w:szCs w:val="24"/>
                <w:highlight w:val="none"/>
              </w:rPr>
            </w:pPr>
          </w:p>
        </w:tc>
        <w:tc>
          <w:tcPr>
            <w:tcW w:w="1901" w:type="dxa"/>
            <w:vAlign w:val="center"/>
          </w:tcPr>
          <w:p w14:paraId="6EFAD2A8">
            <w:pPr>
              <w:spacing w:line="360" w:lineRule="auto"/>
              <w:jc w:val="center"/>
              <w:rPr>
                <w:rFonts w:hint="eastAsia" w:ascii="宋体" w:hAnsi="宋体" w:eastAsia="宋体" w:cs="宋体"/>
                <w:sz w:val="24"/>
                <w:szCs w:val="24"/>
                <w:highlight w:val="none"/>
              </w:rPr>
            </w:pPr>
          </w:p>
        </w:tc>
      </w:tr>
      <w:tr w14:paraId="59B01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21" w:type="dxa"/>
            <w:vAlign w:val="center"/>
          </w:tcPr>
          <w:p w14:paraId="117BE1A2">
            <w:pPr>
              <w:spacing w:line="360" w:lineRule="auto"/>
              <w:jc w:val="center"/>
              <w:rPr>
                <w:rFonts w:hint="eastAsia" w:ascii="宋体" w:hAnsi="宋体" w:eastAsia="宋体" w:cs="宋体"/>
                <w:sz w:val="24"/>
                <w:szCs w:val="24"/>
                <w:highlight w:val="none"/>
              </w:rPr>
            </w:pPr>
          </w:p>
        </w:tc>
        <w:tc>
          <w:tcPr>
            <w:tcW w:w="1900" w:type="dxa"/>
            <w:vAlign w:val="center"/>
          </w:tcPr>
          <w:p w14:paraId="750ACDF7">
            <w:pPr>
              <w:spacing w:line="360" w:lineRule="auto"/>
              <w:jc w:val="center"/>
              <w:rPr>
                <w:rFonts w:hint="eastAsia" w:ascii="宋体" w:hAnsi="宋体" w:eastAsia="宋体" w:cs="宋体"/>
                <w:sz w:val="24"/>
                <w:szCs w:val="24"/>
                <w:highlight w:val="none"/>
              </w:rPr>
            </w:pPr>
          </w:p>
        </w:tc>
        <w:tc>
          <w:tcPr>
            <w:tcW w:w="1900" w:type="dxa"/>
            <w:vAlign w:val="center"/>
          </w:tcPr>
          <w:p w14:paraId="178AB4EC">
            <w:pPr>
              <w:spacing w:line="360" w:lineRule="auto"/>
              <w:jc w:val="center"/>
              <w:rPr>
                <w:rFonts w:hint="eastAsia" w:ascii="宋体" w:hAnsi="宋体" w:eastAsia="宋体" w:cs="宋体"/>
                <w:sz w:val="24"/>
                <w:szCs w:val="24"/>
                <w:highlight w:val="none"/>
              </w:rPr>
            </w:pPr>
          </w:p>
        </w:tc>
        <w:tc>
          <w:tcPr>
            <w:tcW w:w="1900" w:type="dxa"/>
            <w:vAlign w:val="center"/>
          </w:tcPr>
          <w:p w14:paraId="44001B83">
            <w:pPr>
              <w:spacing w:line="360" w:lineRule="auto"/>
              <w:jc w:val="center"/>
              <w:rPr>
                <w:rFonts w:hint="eastAsia" w:ascii="宋体" w:hAnsi="宋体" w:eastAsia="宋体" w:cs="宋体"/>
                <w:sz w:val="24"/>
                <w:szCs w:val="24"/>
                <w:highlight w:val="none"/>
              </w:rPr>
            </w:pPr>
          </w:p>
        </w:tc>
        <w:tc>
          <w:tcPr>
            <w:tcW w:w="1901" w:type="dxa"/>
            <w:vAlign w:val="center"/>
          </w:tcPr>
          <w:p w14:paraId="1AD07EB8">
            <w:pPr>
              <w:spacing w:line="360" w:lineRule="auto"/>
              <w:jc w:val="center"/>
              <w:rPr>
                <w:rFonts w:hint="eastAsia" w:ascii="宋体" w:hAnsi="宋体" w:eastAsia="宋体" w:cs="宋体"/>
                <w:sz w:val="24"/>
                <w:szCs w:val="24"/>
                <w:highlight w:val="none"/>
              </w:rPr>
            </w:pPr>
          </w:p>
        </w:tc>
      </w:tr>
    </w:tbl>
    <w:p w14:paraId="7A733832">
      <w:pPr>
        <w:rPr>
          <w:rFonts w:hint="eastAsia" w:ascii="宋体" w:hAnsi="宋体" w:eastAsia="宋体" w:cs="宋体"/>
          <w:sz w:val="24"/>
          <w:szCs w:val="24"/>
          <w:highlight w:val="none"/>
        </w:rPr>
      </w:pPr>
    </w:p>
    <w:p w14:paraId="5912E606">
      <w:pPr>
        <w:ind w:firstLine="482" w:firstLineChars="200"/>
        <w:rPr>
          <w:rFonts w:hint="eastAsia" w:ascii="宋体" w:hAnsi="宋体" w:eastAsia="宋体" w:cs="宋体"/>
          <w:bCs/>
          <w:sz w:val="24"/>
          <w:szCs w:val="24"/>
          <w:highlight w:val="none"/>
        </w:rPr>
      </w:pPr>
      <w:r>
        <w:rPr>
          <w:rFonts w:hint="eastAsia" w:ascii="宋体" w:hAnsi="宋体" w:eastAsia="宋体" w:cs="宋体"/>
          <w:b/>
          <w:bCs/>
          <w:sz w:val="24"/>
          <w:szCs w:val="24"/>
          <w:highlight w:val="none"/>
        </w:rPr>
        <w:t>注：</w:t>
      </w:r>
      <w:r>
        <w:rPr>
          <w:rFonts w:hint="eastAsia" w:ascii="宋体" w:hAnsi="宋体" w:eastAsia="宋体" w:cs="宋体"/>
          <w:b/>
          <w:bCs/>
          <w:sz w:val="24"/>
          <w:szCs w:val="24"/>
          <w:highlight w:val="none"/>
          <w:lang w:eastAsia="zh-CN"/>
        </w:rPr>
        <w:t>供应商</w:t>
      </w:r>
      <w:r>
        <w:rPr>
          <w:rFonts w:hint="eastAsia" w:ascii="宋体" w:hAnsi="宋体" w:eastAsia="宋体" w:cs="宋体"/>
          <w:b/>
          <w:bCs/>
          <w:sz w:val="24"/>
          <w:szCs w:val="24"/>
          <w:highlight w:val="none"/>
        </w:rPr>
        <w:t>按此表格式列出不影响投标实质性响应的商务偏差，没有说明的其他条款将被认为完全满足磋商文件的规定。</w:t>
      </w:r>
    </w:p>
    <w:p w14:paraId="0D6B9245">
      <w:pPr>
        <w:pStyle w:val="12"/>
        <w:spacing w:line="360" w:lineRule="auto"/>
        <w:ind w:firstLine="480" w:firstLineChars="200"/>
        <w:rPr>
          <w:rFonts w:hint="eastAsia" w:ascii="宋体" w:hAnsi="宋体" w:eastAsia="宋体" w:cs="宋体"/>
          <w:bCs/>
          <w:sz w:val="24"/>
          <w:szCs w:val="24"/>
          <w:highlight w:val="none"/>
        </w:rPr>
      </w:pPr>
    </w:p>
    <w:p w14:paraId="42E0FC84">
      <w:pPr>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(盖章)：</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sz w:val="24"/>
          <w:szCs w:val="24"/>
          <w:highlight w:val="none"/>
        </w:rPr>
        <w:t xml:space="preserve"> </w:t>
      </w:r>
    </w:p>
    <w:p w14:paraId="7B6AED32">
      <w:pPr>
        <w:ind w:firstLine="480" w:firstLineChars="200"/>
        <w:rPr>
          <w:rFonts w:hint="eastAsia" w:ascii="宋体" w:hAnsi="宋体" w:eastAsia="宋体" w:cs="宋体"/>
          <w:sz w:val="24"/>
          <w:szCs w:val="24"/>
          <w:highlight w:val="none"/>
        </w:rPr>
      </w:pPr>
    </w:p>
    <w:p w14:paraId="055C8DBC">
      <w:pPr>
        <w:ind w:firstLine="480" w:firstLineChars="200"/>
        <w:rPr>
          <w:rFonts w:hint="eastAsia" w:ascii="宋体" w:hAnsi="宋体" w:eastAsia="宋体" w:cs="宋体"/>
          <w:sz w:val="24"/>
          <w:szCs w:val="24"/>
          <w:highlight w:val="none"/>
        </w:rPr>
      </w:pPr>
    </w:p>
    <w:p w14:paraId="522AAB03">
      <w:pPr>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法定代表人或委托代理人（签字或盖章）：</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4027E74F">
      <w:pPr>
        <w:ind w:firstLine="480" w:firstLineChars="200"/>
        <w:rPr>
          <w:rFonts w:hint="eastAsia" w:ascii="宋体" w:hAnsi="宋体" w:eastAsia="宋体" w:cs="宋体"/>
          <w:sz w:val="24"/>
          <w:szCs w:val="24"/>
          <w:highlight w:val="none"/>
        </w:rPr>
      </w:pPr>
    </w:p>
    <w:p w14:paraId="2D39BCC2">
      <w:pPr>
        <w:ind w:firstLine="480" w:firstLineChars="200"/>
        <w:rPr>
          <w:rFonts w:hint="eastAsia" w:ascii="宋体" w:hAnsi="宋体" w:eastAsia="宋体" w:cs="宋体"/>
          <w:sz w:val="24"/>
          <w:szCs w:val="24"/>
          <w:highlight w:val="none"/>
        </w:rPr>
      </w:pPr>
    </w:p>
    <w:p w14:paraId="304D7D0C">
      <w:pPr>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日期：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lang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lang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日</w:t>
      </w:r>
    </w:p>
    <w:p w14:paraId="3DA11F8A">
      <w:pPr>
        <w:rPr>
          <w:rFonts w:hint="eastAsia" w:ascii="宋体" w:hAnsi="宋体" w:eastAsia="宋体" w:cs="宋体"/>
          <w:b/>
          <w:bCs/>
          <w:sz w:val="24"/>
          <w:szCs w:val="24"/>
          <w:highlight w:val="none"/>
        </w:rPr>
      </w:pPr>
    </w:p>
    <w:p w14:paraId="22591483">
      <w:pPr>
        <w:pStyle w:val="12"/>
        <w:spacing w:line="360" w:lineRule="auto"/>
        <w:jc w:val="center"/>
        <w:rPr>
          <w:rFonts w:hint="eastAsia" w:ascii="宋体" w:hAnsi="宋体" w:eastAsia="宋体" w:cs="宋体"/>
          <w:b/>
          <w:sz w:val="24"/>
          <w:szCs w:val="24"/>
          <w:highlight w:val="none"/>
        </w:rPr>
      </w:pPr>
    </w:p>
    <w:p w14:paraId="2B84E4B6">
      <w:pPr>
        <w:pStyle w:val="12"/>
        <w:spacing w:line="360" w:lineRule="auto"/>
        <w:jc w:val="center"/>
        <w:rPr>
          <w:rFonts w:hint="eastAsia" w:ascii="宋体" w:hAnsi="宋体" w:eastAsia="宋体" w:cs="宋体"/>
          <w:b/>
          <w:sz w:val="24"/>
          <w:szCs w:val="24"/>
          <w:highlight w:val="none"/>
        </w:rPr>
      </w:pPr>
    </w:p>
    <w:p w14:paraId="6A53CB25">
      <w:pPr>
        <w:pStyle w:val="12"/>
        <w:spacing w:line="360" w:lineRule="auto"/>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br w:type="page"/>
      </w:r>
      <w:r>
        <w:rPr>
          <w:rFonts w:hint="eastAsia" w:ascii="宋体" w:hAnsi="宋体" w:eastAsia="宋体" w:cs="宋体"/>
          <w:b/>
          <w:sz w:val="24"/>
          <w:szCs w:val="24"/>
          <w:highlight w:val="none"/>
        </w:rPr>
        <w:t>格式</w:t>
      </w:r>
      <w:r>
        <w:rPr>
          <w:rFonts w:hint="eastAsia" w:hAnsi="宋体" w:cs="宋体"/>
          <w:b/>
          <w:sz w:val="24"/>
          <w:szCs w:val="24"/>
          <w:highlight w:val="none"/>
          <w:lang w:val="en-US" w:eastAsia="zh-CN"/>
        </w:rPr>
        <w:t>11</w:t>
      </w:r>
      <w:r>
        <w:rPr>
          <w:rFonts w:hint="eastAsia" w:ascii="宋体" w:hAnsi="宋体" w:eastAsia="宋体" w:cs="宋体"/>
          <w:b/>
          <w:sz w:val="24"/>
          <w:szCs w:val="24"/>
          <w:highlight w:val="none"/>
        </w:rPr>
        <w:t xml:space="preserve">  </w:t>
      </w:r>
      <w:r>
        <w:rPr>
          <w:rFonts w:hint="eastAsia" w:ascii="宋体" w:hAnsi="宋体" w:eastAsia="宋体" w:cs="宋体"/>
          <w:b/>
          <w:bCs/>
          <w:sz w:val="24"/>
          <w:szCs w:val="24"/>
          <w:highlight w:val="none"/>
        </w:rPr>
        <w:t xml:space="preserve"> </w:t>
      </w:r>
      <w:r>
        <w:rPr>
          <w:rFonts w:hint="eastAsia" w:ascii="宋体" w:hAnsi="宋体" w:eastAsia="宋体" w:cs="宋体"/>
          <w:b/>
          <w:sz w:val="24"/>
          <w:szCs w:val="24"/>
          <w:highlight w:val="none"/>
        </w:rPr>
        <w:t>（</w:t>
      </w:r>
      <w:r>
        <w:rPr>
          <w:rFonts w:hint="eastAsia" w:ascii="宋体" w:hAnsi="宋体" w:eastAsia="宋体" w:cs="宋体"/>
          <w:b/>
          <w:sz w:val="24"/>
          <w:szCs w:val="24"/>
          <w:highlight w:val="none"/>
          <w:lang w:val="zh-CN"/>
        </w:rPr>
        <w:t>20</w:t>
      </w:r>
      <w:r>
        <w:rPr>
          <w:rFonts w:hint="eastAsia" w:hAnsi="宋体" w:cs="宋体"/>
          <w:b/>
          <w:sz w:val="24"/>
          <w:szCs w:val="24"/>
          <w:highlight w:val="none"/>
          <w:lang w:val="en-US" w:eastAsia="zh-CN"/>
        </w:rPr>
        <w:t>21</w:t>
      </w:r>
      <w:r>
        <w:rPr>
          <w:rFonts w:hint="eastAsia" w:ascii="宋体" w:hAnsi="宋体" w:eastAsia="宋体" w:cs="宋体"/>
          <w:b/>
          <w:sz w:val="24"/>
          <w:szCs w:val="24"/>
          <w:highlight w:val="none"/>
          <w:lang w:val="zh-CN"/>
        </w:rPr>
        <w:t>年1月1日至今</w:t>
      </w:r>
      <w:r>
        <w:rPr>
          <w:rFonts w:hint="eastAsia" w:ascii="宋体" w:hAnsi="宋体" w:eastAsia="宋体" w:cs="宋体"/>
          <w:b/>
          <w:sz w:val="24"/>
          <w:szCs w:val="24"/>
          <w:highlight w:val="none"/>
        </w:rPr>
        <w:t>）同类项目业绩表</w:t>
      </w:r>
    </w:p>
    <w:tbl>
      <w:tblPr>
        <w:tblStyle w:val="24"/>
        <w:tblW w:w="9885"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804"/>
        <w:gridCol w:w="1356"/>
        <w:gridCol w:w="1320"/>
        <w:gridCol w:w="1267"/>
        <w:gridCol w:w="1154"/>
        <w:gridCol w:w="9"/>
        <w:gridCol w:w="1356"/>
        <w:gridCol w:w="9"/>
        <w:gridCol w:w="1442"/>
        <w:gridCol w:w="1168"/>
      </w:tblGrid>
      <w:tr w14:paraId="71271B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tcBorders>
              <w:top w:val="single" w:color="auto" w:sz="4" w:space="0"/>
            </w:tcBorders>
            <w:vAlign w:val="center"/>
          </w:tcPr>
          <w:p w14:paraId="2DBFA747">
            <w:pPr>
              <w:spacing w:line="400" w:lineRule="exact"/>
              <w:rPr>
                <w:rFonts w:hint="eastAsia" w:ascii="宋体" w:hAnsi="宋体" w:eastAsia="宋体" w:cs="宋体"/>
                <w:b/>
                <w:sz w:val="24"/>
                <w:szCs w:val="24"/>
                <w:highlight w:val="none"/>
              </w:rPr>
            </w:pPr>
            <w:r>
              <w:rPr>
                <w:rFonts w:hint="eastAsia" w:ascii="宋体" w:hAnsi="宋体" w:eastAsia="宋体" w:cs="宋体"/>
                <w:b/>
                <w:sz w:val="24"/>
                <w:szCs w:val="24"/>
                <w:highlight w:val="none"/>
              </w:rPr>
              <w:t>年份</w:t>
            </w:r>
          </w:p>
        </w:tc>
        <w:tc>
          <w:tcPr>
            <w:tcW w:w="1356" w:type="dxa"/>
            <w:vAlign w:val="center"/>
          </w:tcPr>
          <w:p w14:paraId="11FEEB30">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项目名称</w:t>
            </w:r>
          </w:p>
        </w:tc>
        <w:tc>
          <w:tcPr>
            <w:tcW w:w="1320" w:type="dxa"/>
            <w:vAlign w:val="center"/>
          </w:tcPr>
          <w:p w14:paraId="5C5421A0">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用户名称</w:t>
            </w:r>
          </w:p>
        </w:tc>
        <w:tc>
          <w:tcPr>
            <w:tcW w:w="1267" w:type="dxa"/>
            <w:vAlign w:val="center"/>
          </w:tcPr>
          <w:p w14:paraId="7F6C6C9A">
            <w:pPr>
              <w:spacing w:line="400" w:lineRule="exact"/>
              <w:rPr>
                <w:rFonts w:hint="eastAsia" w:ascii="宋体" w:hAnsi="宋体" w:eastAsia="宋体" w:cs="宋体"/>
                <w:b/>
                <w:sz w:val="24"/>
                <w:szCs w:val="24"/>
                <w:highlight w:val="none"/>
              </w:rPr>
            </w:pPr>
            <w:r>
              <w:rPr>
                <w:rFonts w:hint="eastAsia" w:ascii="宋体" w:hAnsi="宋体" w:eastAsia="宋体" w:cs="宋体"/>
                <w:b/>
                <w:sz w:val="24"/>
                <w:szCs w:val="24"/>
                <w:highlight w:val="none"/>
              </w:rPr>
              <w:t>完成时间</w:t>
            </w:r>
          </w:p>
        </w:tc>
        <w:tc>
          <w:tcPr>
            <w:tcW w:w="1154" w:type="dxa"/>
            <w:vAlign w:val="center"/>
          </w:tcPr>
          <w:p w14:paraId="1F6D90AB">
            <w:pPr>
              <w:spacing w:line="400" w:lineRule="exact"/>
              <w:rPr>
                <w:rFonts w:hint="eastAsia" w:ascii="宋体" w:hAnsi="宋体" w:eastAsia="宋体" w:cs="宋体"/>
                <w:b/>
                <w:sz w:val="24"/>
                <w:szCs w:val="24"/>
                <w:highlight w:val="none"/>
              </w:rPr>
            </w:pPr>
            <w:r>
              <w:rPr>
                <w:rFonts w:hint="eastAsia" w:ascii="宋体" w:hAnsi="宋体" w:eastAsia="宋体" w:cs="宋体"/>
                <w:b/>
                <w:sz w:val="24"/>
                <w:szCs w:val="24"/>
                <w:highlight w:val="none"/>
              </w:rPr>
              <w:t>合同金额</w:t>
            </w:r>
          </w:p>
        </w:tc>
        <w:tc>
          <w:tcPr>
            <w:tcW w:w="1374" w:type="dxa"/>
            <w:gridSpan w:val="3"/>
            <w:tcBorders>
              <w:right w:val="single" w:color="auto" w:sz="4" w:space="0"/>
            </w:tcBorders>
            <w:vAlign w:val="center"/>
          </w:tcPr>
          <w:p w14:paraId="5542DEEB">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完成项目质量</w:t>
            </w:r>
          </w:p>
        </w:tc>
        <w:tc>
          <w:tcPr>
            <w:tcW w:w="1442" w:type="dxa"/>
            <w:tcBorders>
              <w:left w:val="single" w:color="auto" w:sz="4" w:space="0"/>
            </w:tcBorders>
            <w:vAlign w:val="center"/>
          </w:tcPr>
          <w:p w14:paraId="192158F7">
            <w:pPr>
              <w:spacing w:line="400" w:lineRule="exact"/>
              <w:rPr>
                <w:rFonts w:hint="eastAsia" w:ascii="宋体" w:hAnsi="宋体" w:eastAsia="宋体" w:cs="宋体"/>
                <w:b/>
                <w:sz w:val="24"/>
                <w:szCs w:val="24"/>
                <w:highlight w:val="none"/>
              </w:rPr>
            </w:pPr>
            <w:r>
              <w:rPr>
                <w:rFonts w:hint="eastAsia" w:ascii="宋体" w:hAnsi="宋体" w:eastAsia="宋体" w:cs="宋体"/>
                <w:b/>
                <w:sz w:val="24"/>
                <w:szCs w:val="24"/>
                <w:highlight w:val="none"/>
              </w:rPr>
              <w:t>用户联系电话</w:t>
            </w:r>
          </w:p>
        </w:tc>
        <w:tc>
          <w:tcPr>
            <w:tcW w:w="1168" w:type="dxa"/>
            <w:tcBorders>
              <w:left w:val="single" w:color="auto" w:sz="4" w:space="0"/>
            </w:tcBorders>
            <w:vAlign w:val="center"/>
          </w:tcPr>
          <w:p w14:paraId="139651AF">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备注</w:t>
            </w:r>
          </w:p>
        </w:tc>
      </w:tr>
      <w:tr w14:paraId="00A03A6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vAlign w:val="center"/>
          </w:tcPr>
          <w:p w14:paraId="21418C2D">
            <w:pPr>
              <w:spacing w:line="400" w:lineRule="exact"/>
              <w:jc w:val="center"/>
              <w:rPr>
                <w:rFonts w:hint="eastAsia" w:ascii="宋体" w:hAnsi="宋体" w:eastAsia="宋体" w:cs="宋体"/>
                <w:sz w:val="24"/>
                <w:szCs w:val="24"/>
                <w:highlight w:val="none"/>
              </w:rPr>
            </w:pPr>
          </w:p>
        </w:tc>
        <w:tc>
          <w:tcPr>
            <w:tcW w:w="1356" w:type="dxa"/>
            <w:vAlign w:val="center"/>
          </w:tcPr>
          <w:p w14:paraId="358223E2">
            <w:pPr>
              <w:spacing w:line="400" w:lineRule="exact"/>
              <w:jc w:val="center"/>
              <w:rPr>
                <w:rFonts w:hint="eastAsia" w:ascii="宋体" w:hAnsi="宋体" w:eastAsia="宋体" w:cs="宋体"/>
                <w:sz w:val="24"/>
                <w:szCs w:val="24"/>
                <w:highlight w:val="none"/>
              </w:rPr>
            </w:pPr>
          </w:p>
        </w:tc>
        <w:tc>
          <w:tcPr>
            <w:tcW w:w="1320" w:type="dxa"/>
            <w:vAlign w:val="center"/>
          </w:tcPr>
          <w:p w14:paraId="1CF05317">
            <w:pPr>
              <w:spacing w:line="400" w:lineRule="exact"/>
              <w:jc w:val="center"/>
              <w:rPr>
                <w:rFonts w:hint="eastAsia" w:ascii="宋体" w:hAnsi="宋体" w:eastAsia="宋体" w:cs="宋体"/>
                <w:sz w:val="24"/>
                <w:szCs w:val="24"/>
                <w:highlight w:val="none"/>
              </w:rPr>
            </w:pPr>
          </w:p>
        </w:tc>
        <w:tc>
          <w:tcPr>
            <w:tcW w:w="1267" w:type="dxa"/>
            <w:vAlign w:val="center"/>
          </w:tcPr>
          <w:p w14:paraId="5D561BF1">
            <w:pPr>
              <w:spacing w:line="400" w:lineRule="exact"/>
              <w:jc w:val="center"/>
              <w:rPr>
                <w:rFonts w:hint="eastAsia" w:ascii="宋体" w:hAnsi="宋体" w:eastAsia="宋体" w:cs="宋体"/>
                <w:sz w:val="24"/>
                <w:szCs w:val="24"/>
                <w:highlight w:val="none"/>
              </w:rPr>
            </w:pPr>
          </w:p>
        </w:tc>
        <w:tc>
          <w:tcPr>
            <w:tcW w:w="1154" w:type="dxa"/>
            <w:vAlign w:val="center"/>
          </w:tcPr>
          <w:p w14:paraId="72F65914">
            <w:pPr>
              <w:spacing w:line="400" w:lineRule="exact"/>
              <w:jc w:val="center"/>
              <w:rPr>
                <w:rFonts w:hint="eastAsia" w:ascii="宋体" w:hAnsi="宋体" w:eastAsia="宋体" w:cs="宋体"/>
                <w:sz w:val="24"/>
                <w:szCs w:val="24"/>
                <w:highlight w:val="none"/>
              </w:rPr>
            </w:pPr>
          </w:p>
        </w:tc>
        <w:tc>
          <w:tcPr>
            <w:tcW w:w="1374" w:type="dxa"/>
            <w:gridSpan w:val="3"/>
            <w:tcBorders>
              <w:right w:val="single" w:color="auto" w:sz="4" w:space="0"/>
            </w:tcBorders>
            <w:vAlign w:val="center"/>
          </w:tcPr>
          <w:p w14:paraId="77314519">
            <w:pPr>
              <w:spacing w:line="400" w:lineRule="exact"/>
              <w:jc w:val="center"/>
              <w:rPr>
                <w:rFonts w:hint="eastAsia" w:ascii="宋体" w:hAnsi="宋体" w:eastAsia="宋体" w:cs="宋体"/>
                <w:sz w:val="24"/>
                <w:szCs w:val="24"/>
                <w:highlight w:val="none"/>
              </w:rPr>
            </w:pPr>
          </w:p>
        </w:tc>
        <w:tc>
          <w:tcPr>
            <w:tcW w:w="1442" w:type="dxa"/>
            <w:tcBorders>
              <w:left w:val="single" w:color="auto" w:sz="4" w:space="0"/>
            </w:tcBorders>
            <w:vAlign w:val="center"/>
          </w:tcPr>
          <w:p w14:paraId="7D3B78FC">
            <w:pPr>
              <w:spacing w:line="400" w:lineRule="exact"/>
              <w:jc w:val="center"/>
              <w:rPr>
                <w:rFonts w:hint="eastAsia" w:ascii="宋体" w:hAnsi="宋体" w:eastAsia="宋体" w:cs="宋体"/>
                <w:sz w:val="24"/>
                <w:szCs w:val="24"/>
                <w:highlight w:val="none"/>
              </w:rPr>
            </w:pPr>
          </w:p>
        </w:tc>
        <w:tc>
          <w:tcPr>
            <w:tcW w:w="1168" w:type="dxa"/>
            <w:tcBorders>
              <w:left w:val="single" w:color="auto" w:sz="4" w:space="0"/>
            </w:tcBorders>
            <w:vAlign w:val="top"/>
          </w:tcPr>
          <w:p w14:paraId="52F68E56">
            <w:pPr>
              <w:spacing w:line="400" w:lineRule="exact"/>
              <w:jc w:val="center"/>
              <w:rPr>
                <w:rFonts w:hint="eastAsia" w:ascii="宋体" w:hAnsi="宋体" w:eastAsia="宋体" w:cs="宋体"/>
                <w:sz w:val="24"/>
                <w:szCs w:val="24"/>
                <w:highlight w:val="none"/>
              </w:rPr>
            </w:pPr>
          </w:p>
        </w:tc>
      </w:tr>
      <w:tr w14:paraId="53979B9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vAlign w:val="center"/>
          </w:tcPr>
          <w:p w14:paraId="10669ABF">
            <w:pPr>
              <w:spacing w:line="400" w:lineRule="exact"/>
              <w:jc w:val="center"/>
              <w:rPr>
                <w:rFonts w:hint="eastAsia" w:ascii="宋体" w:hAnsi="宋体" w:eastAsia="宋体" w:cs="宋体"/>
                <w:sz w:val="24"/>
                <w:szCs w:val="24"/>
                <w:highlight w:val="none"/>
              </w:rPr>
            </w:pPr>
          </w:p>
        </w:tc>
        <w:tc>
          <w:tcPr>
            <w:tcW w:w="1356" w:type="dxa"/>
            <w:vAlign w:val="center"/>
          </w:tcPr>
          <w:p w14:paraId="36EDEA76">
            <w:pPr>
              <w:spacing w:line="400" w:lineRule="exact"/>
              <w:jc w:val="center"/>
              <w:rPr>
                <w:rFonts w:hint="eastAsia" w:ascii="宋体" w:hAnsi="宋体" w:eastAsia="宋体" w:cs="宋体"/>
                <w:sz w:val="24"/>
                <w:szCs w:val="24"/>
                <w:highlight w:val="none"/>
              </w:rPr>
            </w:pPr>
          </w:p>
        </w:tc>
        <w:tc>
          <w:tcPr>
            <w:tcW w:w="1320" w:type="dxa"/>
            <w:vAlign w:val="center"/>
          </w:tcPr>
          <w:p w14:paraId="5FC6774B">
            <w:pPr>
              <w:spacing w:line="400" w:lineRule="exact"/>
              <w:jc w:val="center"/>
              <w:rPr>
                <w:rFonts w:hint="eastAsia" w:ascii="宋体" w:hAnsi="宋体" w:eastAsia="宋体" w:cs="宋体"/>
                <w:sz w:val="24"/>
                <w:szCs w:val="24"/>
                <w:highlight w:val="none"/>
              </w:rPr>
            </w:pPr>
          </w:p>
        </w:tc>
        <w:tc>
          <w:tcPr>
            <w:tcW w:w="1267" w:type="dxa"/>
            <w:vAlign w:val="center"/>
          </w:tcPr>
          <w:p w14:paraId="1BE5E0A8">
            <w:pPr>
              <w:spacing w:line="400" w:lineRule="exact"/>
              <w:jc w:val="center"/>
              <w:rPr>
                <w:rFonts w:hint="eastAsia" w:ascii="宋体" w:hAnsi="宋体" w:eastAsia="宋体" w:cs="宋体"/>
                <w:sz w:val="24"/>
                <w:szCs w:val="24"/>
                <w:highlight w:val="none"/>
              </w:rPr>
            </w:pPr>
          </w:p>
        </w:tc>
        <w:tc>
          <w:tcPr>
            <w:tcW w:w="1154" w:type="dxa"/>
            <w:vAlign w:val="center"/>
          </w:tcPr>
          <w:p w14:paraId="26F94FC7">
            <w:pPr>
              <w:spacing w:line="400" w:lineRule="exact"/>
              <w:jc w:val="center"/>
              <w:rPr>
                <w:rFonts w:hint="eastAsia" w:ascii="宋体" w:hAnsi="宋体" w:eastAsia="宋体" w:cs="宋体"/>
                <w:sz w:val="24"/>
                <w:szCs w:val="24"/>
                <w:highlight w:val="none"/>
              </w:rPr>
            </w:pPr>
          </w:p>
        </w:tc>
        <w:tc>
          <w:tcPr>
            <w:tcW w:w="1374" w:type="dxa"/>
            <w:gridSpan w:val="3"/>
            <w:tcBorders>
              <w:right w:val="single" w:color="auto" w:sz="4" w:space="0"/>
            </w:tcBorders>
            <w:vAlign w:val="center"/>
          </w:tcPr>
          <w:p w14:paraId="1C5F6996">
            <w:pPr>
              <w:spacing w:line="400" w:lineRule="exact"/>
              <w:jc w:val="center"/>
              <w:rPr>
                <w:rFonts w:hint="eastAsia" w:ascii="宋体" w:hAnsi="宋体" w:eastAsia="宋体" w:cs="宋体"/>
                <w:sz w:val="24"/>
                <w:szCs w:val="24"/>
                <w:highlight w:val="none"/>
              </w:rPr>
            </w:pPr>
          </w:p>
        </w:tc>
        <w:tc>
          <w:tcPr>
            <w:tcW w:w="1442" w:type="dxa"/>
            <w:tcBorders>
              <w:left w:val="single" w:color="auto" w:sz="4" w:space="0"/>
            </w:tcBorders>
            <w:vAlign w:val="center"/>
          </w:tcPr>
          <w:p w14:paraId="6DA1510A">
            <w:pPr>
              <w:spacing w:line="400" w:lineRule="exact"/>
              <w:jc w:val="center"/>
              <w:rPr>
                <w:rFonts w:hint="eastAsia" w:ascii="宋体" w:hAnsi="宋体" w:eastAsia="宋体" w:cs="宋体"/>
                <w:sz w:val="24"/>
                <w:szCs w:val="24"/>
                <w:highlight w:val="none"/>
              </w:rPr>
            </w:pPr>
          </w:p>
        </w:tc>
        <w:tc>
          <w:tcPr>
            <w:tcW w:w="1168" w:type="dxa"/>
            <w:tcBorders>
              <w:left w:val="single" w:color="auto" w:sz="4" w:space="0"/>
            </w:tcBorders>
            <w:vAlign w:val="top"/>
          </w:tcPr>
          <w:p w14:paraId="0F201F8C">
            <w:pPr>
              <w:spacing w:line="400" w:lineRule="exact"/>
              <w:jc w:val="center"/>
              <w:rPr>
                <w:rFonts w:hint="eastAsia" w:ascii="宋体" w:hAnsi="宋体" w:eastAsia="宋体" w:cs="宋体"/>
                <w:sz w:val="24"/>
                <w:szCs w:val="24"/>
                <w:highlight w:val="none"/>
              </w:rPr>
            </w:pPr>
          </w:p>
        </w:tc>
      </w:tr>
      <w:tr w14:paraId="59D4C70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vAlign w:val="center"/>
          </w:tcPr>
          <w:p w14:paraId="7F4DDC71">
            <w:pPr>
              <w:spacing w:line="400" w:lineRule="exact"/>
              <w:jc w:val="center"/>
              <w:rPr>
                <w:rFonts w:hint="eastAsia" w:ascii="宋体" w:hAnsi="宋体" w:eastAsia="宋体" w:cs="宋体"/>
                <w:sz w:val="24"/>
                <w:szCs w:val="24"/>
                <w:highlight w:val="none"/>
              </w:rPr>
            </w:pPr>
          </w:p>
        </w:tc>
        <w:tc>
          <w:tcPr>
            <w:tcW w:w="1356" w:type="dxa"/>
            <w:vAlign w:val="center"/>
          </w:tcPr>
          <w:p w14:paraId="622F6A7E">
            <w:pPr>
              <w:spacing w:line="400" w:lineRule="exact"/>
              <w:jc w:val="center"/>
              <w:rPr>
                <w:rFonts w:hint="eastAsia" w:ascii="宋体" w:hAnsi="宋体" w:eastAsia="宋体" w:cs="宋体"/>
                <w:sz w:val="24"/>
                <w:szCs w:val="24"/>
                <w:highlight w:val="none"/>
              </w:rPr>
            </w:pPr>
          </w:p>
        </w:tc>
        <w:tc>
          <w:tcPr>
            <w:tcW w:w="1320" w:type="dxa"/>
            <w:vAlign w:val="center"/>
          </w:tcPr>
          <w:p w14:paraId="4D995886">
            <w:pPr>
              <w:spacing w:line="400" w:lineRule="exact"/>
              <w:jc w:val="center"/>
              <w:rPr>
                <w:rFonts w:hint="eastAsia" w:ascii="宋体" w:hAnsi="宋体" w:eastAsia="宋体" w:cs="宋体"/>
                <w:sz w:val="24"/>
                <w:szCs w:val="24"/>
                <w:highlight w:val="none"/>
              </w:rPr>
            </w:pPr>
          </w:p>
        </w:tc>
        <w:tc>
          <w:tcPr>
            <w:tcW w:w="1267" w:type="dxa"/>
            <w:vAlign w:val="center"/>
          </w:tcPr>
          <w:p w14:paraId="51399238">
            <w:pPr>
              <w:spacing w:line="400" w:lineRule="exact"/>
              <w:jc w:val="center"/>
              <w:rPr>
                <w:rFonts w:hint="eastAsia" w:ascii="宋体" w:hAnsi="宋体" w:eastAsia="宋体" w:cs="宋体"/>
                <w:sz w:val="24"/>
                <w:szCs w:val="24"/>
                <w:highlight w:val="none"/>
              </w:rPr>
            </w:pPr>
          </w:p>
        </w:tc>
        <w:tc>
          <w:tcPr>
            <w:tcW w:w="1154" w:type="dxa"/>
            <w:vAlign w:val="center"/>
          </w:tcPr>
          <w:p w14:paraId="2F82C64B">
            <w:pPr>
              <w:spacing w:line="400" w:lineRule="exact"/>
              <w:jc w:val="center"/>
              <w:rPr>
                <w:rFonts w:hint="eastAsia" w:ascii="宋体" w:hAnsi="宋体" w:eastAsia="宋体" w:cs="宋体"/>
                <w:sz w:val="24"/>
                <w:szCs w:val="24"/>
                <w:highlight w:val="none"/>
              </w:rPr>
            </w:pPr>
          </w:p>
        </w:tc>
        <w:tc>
          <w:tcPr>
            <w:tcW w:w="1374" w:type="dxa"/>
            <w:gridSpan w:val="3"/>
            <w:tcBorders>
              <w:right w:val="single" w:color="auto" w:sz="4" w:space="0"/>
            </w:tcBorders>
            <w:vAlign w:val="center"/>
          </w:tcPr>
          <w:p w14:paraId="6E8E0A56">
            <w:pPr>
              <w:spacing w:line="400" w:lineRule="exact"/>
              <w:jc w:val="center"/>
              <w:rPr>
                <w:rFonts w:hint="eastAsia" w:ascii="宋体" w:hAnsi="宋体" w:eastAsia="宋体" w:cs="宋体"/>
                <w:sz w:val="24"/>
                <w:szCs w:val="24"/>
                <w:highlight w:val="none"/>
              </w:rPr>
            </w:pPr>
          </w:p>
        </w:tc>
        <w:tc>
          <w:tcPr>
            <w:tcW w:w="1442" w:type="dxa"/>
            <w:tcBorders>
              <w:left w:val="single" w:color="auto" w:sz="4" w:space="0"/>
            </w:tcBorders>
            <w:vAlign w:val="center"/>
          </w:tcPr>
          <w:p w14:paraId="71CDF2C9">
            <w:pPr>
              <w:spacing w:line="40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tc>
        <w:tc>
          <w:tcPr>
            <w:tcW w:w="1168" w:type="dxa"/>
            <w:tcBorders>
              <w:left w:val="single" w:color="auto" w:sz="4" w:space="0"/>
            </w:tcBorders>
            <w:vAlign w:val="top"/>
          </w:tcPr>
          <w:p w14:paraId="47F12979">
            <w:pPr>
              <w:spacing w:line="400" w:lineRule="exact"/>
              <w:jc w:val="center"/>
              <w:rPr>
                <w:rFonts w:hint="eastAsia" w:ascii="宋体" w:hAnsi="宋体" w:eastAsia="宋体" w:cs="宋体"/>
                <w:sz w:val="24"/>
                <w:szCs w:val="24"/>
                <w:highlight w:val="none"/>
              </w:rPr>
            </w:pPr>
          </w:p>
        </w:tc>
      </w:tr>
      <w:tr w14:paraId="266F3DA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vAlign w:val="center"/>
          </w:tcPr>
          <w:p w14:paraId="54F74D6B">
            <w:pPr>
              <w:spacing w:line="400" w:lineRule="exact"/>
              <w:jc w:val="center"/>
              <w:rPr>
                <w:rFonts w:hint="eastAsia" w:ascii="宋体" w:hAnsi="宋体" w:eastAsia="宋体" w:cs="宋体"/>
                <w:sz w:val="24"/>
                <w:szCs w:val="24"/>
                <w:highlight w:val="none"/>
              </w:rPr>
            </w:pPr>
          </w:p>
        </w:tc>
        <w:tc>
          <w:tcPr>
            <w:tcW w:w="1356" w:type="dxa"/>
            <w:tcBorders>
              <w:right w:val="single" w:color="auto" w:sz="4" w:space="0"/>
            </w:tcBorders>
            <w:vAlign w:val="center"/>
          </w:tcPr>
          <w:p w14:paraId="082E8A78">
            <w:pPr>
              <w:spacing w:line="400" w:lineRule="exact"/>
              <w:jc w:val="center"/>
              <w:rPr>
                <w:rFonts w:hint="eastAsia" w:ascii="宋体" w:hAnsi="宋体" w:eastAsia="宋体" w:cs="宋体"/>
                <w:sz w:val="24"/>
                <w:szCs w:val="24"/>
                <w:highlight w:val="none"/>
              </w:rPr>
            </w:pPr>
          </w:p>
        </w:tc>
        <w:tc>
          <w:tcPr>
            <w:tcW w:w="1320" w:type="dxa"/>
            <w:tcBorders>
              <w:left w:val="single" w:color="auto" w:sz="4" w:space="0"/>
            </w:tcBorders>
            <w:vAlign w:val="center"/>
          </w:tcPr>
          <w:p w14:paraId="24A9B2BF">
            <w:pPr>
              <w:spacing w:line="400" w:lineRule="exact"/>
              <w:jc w:val="center"/>
              <w:rPr>
                <w:rFonts w:hint="eastAsia" w:ascii="宋体" w:hAnsi="宋体" w:eastAsia="宋体" w:cs="宋体"/>
                <w:sz w:val="24"/>
                <w:szCs w:val="24"/>
                <w:highlight w:val="none"/>
              </w:rPr>
            </w:pPr>
          </w:p>
        </w:tc>
        <w:tc>
          <w:tcPr>
            <w:tcW w:w="1267" w:type="dxa"/>
            <w:vAlign w:val="center"/>
          </w:tcPr>
          <w:p w14:paraId="581D027C">
            <w:pPr>
              <w:spacing w:line="400" w:lineRule="exact"/>
              <w:jc w:val="center"/>
              <w:rPr>
                <w:rFonts w:hint="eastAsia" w:ascii="宋体" w:hAnsi="宋体" w:eastAsia="宋体" w:cs="宋体"/>
                <w:sz w:val="24"/>
                <w:szCs w:val="24"/>
                <w:highlight w:val="none"/>
              </w:rPr>
            </w:pPr>
          </w:p>
        </w:tc>
        <w:tc>
          <w:tcPr>
            <w:tcW w:w="1154" w:type="dxa"/>
            <w:vAlign w:val="center"/>
          </w:tcPr>
          <w:p w14:paraId="3614B0FA">
            <w:pPr>
              <w:spacing w:line="400" w:lineRule="exact"/>
              <w:jc w:val="center"/>
              <w:rPr>
                <w:rFonts w:hint="eastAsia" w:ascii="宋体" w:hAnsi="宋体" w:eastAsia="宋体" w:cs="宋体"/>
                <w:sz w:val="24"/>
                <w:szCs w:val="24"/>
                <w:highlight w:val="none"/>
              </w:rPr>
            </w:pPr>
          </w:p>
        </w:tc>
        <w:tc>
          <w:tcPr>
            <w:tcW w:w="1374" w:type="dxa"/>
            <w:gridSpan w:val="3"/>
            <w:tcBorders>
              <w:right w:val="single" w:color="auto" w:sz="4" w:space="0"/>
            </w:tcBorders>
            <w:vAlign w:val="center"/>
          </w:tcPr>
          <w:p w14:paraId="050A4435">
            <w:pPr>
              <w:spacing w:line="400" w:lineRule="exact"/>
              <w:jc w:val="center"/>
              <w:rPr>
                <w:rFonts w:hint="eastAsia" w:ascii="宋体" w:hAnsi="宋体" w:eastAsia="宋体" w:cs="宋体"/>
                <w:sz w:val="24"/>
                <w:szCs w:val="24"/>
                <w:highlight w:val="none"/>
              </w:rPr>
            </w:pPr>
          </w:p>
        </w:tc>
        <w:tc>
          <w:tcPr>
            <w:tcW w:w="1442" w:type="dxa"/>
            <w:tcBorders>
              <w:left w:val="single" w:color="auto" w:sz="4" w:space="0"/>
            </w:tcBorders>
            <w:vAlign w:val="center"/>
          </w:tcPr>
          <w:p w14:paraId="5BEDD131">
            <w:pPr>
              <w:spacing w:line="400" w:lineRule="exact"/>
              <w:jc w:val="center"/>
              <w:rPr>
                <w:rFonts w:hint="eastAsia" w:ascii="宋体" w:hAnsi="宋体" w:eastAsia="宋体" w:cs="宋体"/>
                <w:sz w:val="24"/>
                <w:szCs w:val="24"/>
                <w:highlight w:val="none"/>
              </w:rPr>
            </w:pPr>
          </w:p>
        </w:tc>
        <w:tc>
          <w:tcPr>
            <w:tcW w:w="1168" w:type="dxa"/>
            <w:tcBorders>
              <w:left w:val="single" w:color="auto" w:sz="4" w:space="0"/>
            </w:tcBorders>
            <w:vAlign w:val="top"/>
          </w:tcPr>
          <w:p w14:paraId="3E1CC9FB">
            <w:pPr>
              <w:spacing w:line="400" w:lineRule="exact"/>
              <w:jc w:val="center"/>
              <w:rPr>
                <w:rFonts w:hint="eastAsia" w:ascii="宋体" w:hAnsi="宋体" w:eastAsia="宋体" w:cs="宋体"/>
                <w:sz w:val="24"/>
                <w:szCs w:val="24"/>
                <w:highlight w:val="none"/>
              </w:rPr>
            </w:pPr>
          </w:p>
        </w:tc>
      </w:tr>
      <w:tr w14:paraId="69036CF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tcBorders>
              <w:right w:val="single" w:color="auto" w:sz="4" w:space="0"/>
            </w:tcBorders>
            <w:vAlign w:val="center"/>
          </w:tcPr>
          <w:p w14:paraId="433DD356">
            <w:pPr>
              <w:spacing w:line="400" w:lineRule="exact"/>
              <w:rPr>
                <w:rFonts w:hint="eastAsia" w:ascii="宋体" w:hAnsi="宋体" w:eastAsia="宋体" w:cs="宋体"/>
                <w:sz w:val="24"/>
                <w:szCs w:val="24"/>
                <w:highlight w:val="none"/>
              </w:rPr>
            </w:pPr>
          </w:p>
        </w:tc>
        <w:tc>
          <w:tcPr>
            <w:tcW w:w="1356" w:type="dxa"/>
            <w:tcBorders>
              <w:left w:val="single" w:color="auto" w:sz="4" w:space="0"/>
              <w:right w:val="single" w:color="auto" w:sz="4" w:space="0"/>
            </w:tcBorders>
            <w:vAlign w:val="center"/>
          </w:tcPr>
          <w:p w14:paraId="21086FFB">
            <w:pPr>
              <w:spacing w:line="400" w:lineRule="exact"/>
              <w:rPr>
                <w:rFonts w:hint="eastAsia" w:ascii="宋体" w:hAnsi="宋体" w:eastAsia="宋体" w:cs="宋体"/>
                <w:sz w:val="24"/>
                <w:szCs w:val="24"/>
                <w:highlight w:val="none"/>
              </w:rPr>
            </w:pPr>
          </w:p>
        </w:tc>
        <w:tc>
          <w:tcPr>
            <w:tcW w:w="1320" w:type="dxa"/>
            <w:tcBorders>
              <w:left w:val="single" w:color="auto" w:sz="4" w:space="0"/>
              <w:right w:val="single" w:color="auto" w:sz="4" w:space="0"/>
            </w:tcBorders>
            <w:vAlign w:val="center"/>
          </w:tcPr>
          <w:p w14:paraId="2F60F36F">
            <w:pPr>
              <w:spacing w:line="400" w:lineRule="exact"/>
              <w:rPr>
                <w:rFonts w:hint="eastAsia" w:ascii="宋体" w:hAnsi="宋体" w:eastAsia="宋体" w:cs="宋体"/>
                <w:sz w:val="24"/>
                <w:szCs w:val="24"/>
                <w:highlight w:val="none"/>
              </w:rPr>
            </w:pPr>
          </w:p>
        </w:tc>
        <w:tc>
          <w:tcPr>
            <w:tcW w:w="1267" w:type="dxa"/>
            <w:tcBorders>
              <w:left w:val="single" w:color="auto" w:sz="4" w:space="0"/>
              <w:right w:val="single" w:color="auto" w:sz="4" w:space="0"/>
            </w:tcBorders>
            <w:vAlign w:val="center"/>
          </w:tcPr>
          <w:p w14:paraId="473DE370">
            <w:pPr>
              <w:spacing w:line="400" w:lineRule="exact"/>
              <w:rPr>
                <w:rFonts w:hint="eastAsia" w:ascii="宋体" w:hAnsi="宋体" w:eastAsia="宋体" w:cs="宋体"/>
                <w:sz w:val="24"/>
                <w:szCs w:val="24"/>
                <w:highlight w:val="none"/>
              </w:rPr>
            </w:pPr>
          </w:p>
        </w:tc>
        <w:tc>
          <w:tcPr>
            <w:tcW w:w="1163" w:type="dxa"/>
            <w:gridSpan w:val="2"/>
            <w:tcBorders>
              <w:left w:val="single" w:color="auto" w:sz="4" w:space="0"/>
              <w:right w:val="single" w:color="auto" w:sz="4" w:space="0"/>
            </w:tcBorders>
            <w:vAlign w:val="center"/>
          </w:tcPr>
          <w:p w14:paraId="59EF0B9D">
            <w:pPr>
              <w:spacing w:line="400" w:lineRule="exact"/>
              <w:rPr>
                <w:rFonts w:hint="eastAsia" w:ascii="宋体" w:hAnsi="宋体" w:eastAsia="宋体" w:cs="宋体"/>
                <w:sz w:val="24"/>
                <w:szCs w:val="24"/>
                <w:highlight w:val="none"/>
              </w:rPr>
            </w:pPr>
          </w:p>
        </w:tc>
        <w:tc>
          <w:tcPr>
            <w:tcW w:w="1365" w:type="dxa"/>
            <w:gridSpan w:val="2"/>
            <w:tcBorders>
              <w:left w:val="single" w:color="auto" w:sz="4" w:space="0"/>
              <w:right w:val="single" w:color="auto" w:sz="4" w:space="0"/>
            </w:tcBorders>
            <w:vAlign w:val="center"/>
          </w:tcPr>
          <w:p w14:paraId="78E64F5E">
            <w:pPr>
              <w:spacing w:line="400" w:lineRule="exact"/>
              <w:rPr>
                <w:rFonts w:hint="eastAsia" w:ascii="宋体" w:hAnsi="宋体" w:eastAsia="宋体" w:cs="宋体"/>
                <w:sz w:val="24"/>
                <w:szCs w:val="24"/>
                <w:highlight w:val="none"/>
              </w:rPr>
            </w:pPr>
          </w:p>
        </w:tc>
        <w:tc>
          <w:tcPr>
            <w:tcW w:w="1442" w:type="dxa"/>
            <w:tcBorders>
              <w:left w:val="single" w:color="auto" w:sz="4" w:space="0"/>
            </w:tcBorders>
            <w:vAlign w:val="center"/>
          </w:tcPr>
          <w:p w14:paraId="73453737">
            <w:pPr>
              <w:spacing w:line="400" w:lineRule="exact"/>
              <w:rPr>
                <w:rFonts w:hint="eastAsia" w:ascii="宋体" w:hAnsi="宋体" w:eastAsia="宋体" w:cs="宋体"/>
                <w:sz w:val="24"/>
                <w:szCs w:val="24"/>
                <w:highlight w:val="none"/>
              </w:rPr>
            </w:pPr>
          </w:p>
        </w:tc>
        <w:tc>
          <w:tcPr>
            <w:tcW w:w="1168" w:type="dxa"/>
            <w:tcBorders>
              <w:left w:val="single" w:color="auto" w:sz="4" w:space="0"/>
            </w:tcBorders>
            <w:vAlign w:val="top"/>
          </w:tcPr>
          <w:p w14:paraId="7311BBA0">
            <w:pPr>
              <w:spacing w:line="400" w:lineRule="exact"/>
              <w:rPr>
                <w:rFonts w:hint="eastAsia" w:ascii="宋体" w:hAnsi="宋体" w:eastAsia="宋体" w:cs="宋体"/>
                <w:sz w:val="24"/>
                <w:szCs w:val="24"/>
                <w:highlight w:val="none"/>
              </w:rPr>
            </w:pPr>
          </w:p>
        </w:tc>
      </w:tr>
      <w:tr w14:paraId="37D8057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vAlign w:val="center"/>
          </w:tcPr>
          <w:p w14:paraId="4E243E40">
            <w:pPr>
              <w:spacing w:line="400" w:lineRule="exact"/>
              <w:rPr>
                <w:rFonts w:hint="eastAsia" w:ascii="宋体" w:hAnsi="宋体" w:eastAsia="宋体" w:cs="宋体"/>
                <w:sz w:val="24"/>
                <w:szCs w:val="24"/>
                <w:highlight w:val="none"/>
              </w:rPr>
            </w:pPr>
          </w:p>
        </w:tc>
        <w:tc>
          <w:tcPr>
            <w:tcW w:w="1356" w:type="dxa"/>
            <w:vAlign w:val="center"/>
          </w:tcPr>
          <w:p w14:paraId="3A8FCE62">
            <w:pPr>
              <w:spacing w:line="400" w:lineRule="exact"/>
              <w:rPr>
                <w:rFonts w:hint="eastAsia" w:ascii="宋体" w:hAnsi="宋体" w:eastAsia="宋体" w:cs="宋体"/>
                <w:sz w:val="24"/>
                <w:szCs w:val="24"/>
                <w:highlight w:val="none"/>
              </w:rPr>
            </w:pPr>
          </w:p>
        </w:tc>
        <w:tc>
          <w:tcPr>
            <w:tcW w:w="1320" w:type="dxa"/>
            <w:vAlign w:val="center"/>
          </w:tcPr>
          <w:p w14:paraId="330B7D6A">
            <w:pPr>
              <w:spacing w:line="400" w:lineRule="exact"/>
              <w:rPr>
                <w:rFonts w:hint="eastAsia" w:ascii="宋体" w:hAnsi="宋体" w:eastAsia="宋体" w:cs="宋体"/>
                <w:sz w:val="24"/>
                <w:szCs w:val="24"/>
                <w:highlight w:val="none"/>
              </w:rPr>
            </w:pPr>
          </w:p>
        </w:tc>
        <w:tc>
          <w:tcPr>
            <w:tcW w:w="1267" w:type="dxa"/>
            <w:vAlign w:val="center"/>
          </w:tcPr>
          <w:p w14:paraId="2ABB01F9">
            <w:pPr>
              <w:spacing w:line="400" w:lineRule="exact"/>
              <w:rPr>
                <w:rFonts w:hint="eastAsia" w:ascii="宋体" w:hAnsi="宋体" w:eastAsia="宋体" w:cs="宋体"/>
                <w:sz w:val="24"/>
                <w:szCs w:val="24"/>
                <w:highlight w:val="none"/>
              </w:rPr>
            </w:pPr>
          </w:p>
        </w:tc>
        <w:tc>
          <w:tcPr>
            <w:tcW w:w="1163" w:type="dxa"/>
            <w:gridSpan w:val="2"/>
            <w:tcBorders>
              <w:right w:val="single" w:color="auto" w:sz="4" w:space="0"/>
            </w:tcBorders>
            <w:vAlign w:val="center"/>
          </w:tcPr>
          <w:p w14:paraId="76C2BA5D">
            <w:pPr>
              <w:spacing w:line="400" w:lineRule="exact"/>
              <w:rPr>
                <w:rFonts w:hint="eastAsia" w:ascii="宋体" w:hAnsi="宋体" w:eastAsia="宋体" w:cs="宋体"/>
                <w:sz w:val="24"/>
                <w:szCs w:val="24"/>
                <w:highlight w:val="none"/>
              </w:rPr>
            </w:pPr>
          </w:p>
        </w:tc>
        <w:tc>
          <w:tcPr>
            <w:tcW w:w="1356" w:type="dxa"/>
            <w:tcBorders>
              <w:left w:val="single" w:color="auto" w:sz="4" w:space="0"/>
              <w:right w:val="single" w:color="auto" w:sz="4" w:space="0"/>
            </w:tcBorders>
            <w:vAlign w:val="center"/>
          </w:tcPr>
          <w:p w14:paraId="1F4F1D71">
            <w:pPr>
              <w:spacing w:line="400" w:lineRule="exact"/>
              <w:rPr>
                <w:rFonts w:hint="eastAsia" w:ascii="宋体" w:hAnsi="宋体" w:eastAsia="宋体" w:cs="宋体"/>
                <w:sz w:val="24"/>
                <w:szCs w:val="24"/>
                <w:highlight w:val="none"/>
              </w:rPr>
            </w:pPr>
          </w:p>
        </w:tc>
        <w:tc>
          <w:tcPr>
            <w:tcW w:w="1451" w:type="dxa"/>
            <w:gridSpan w:val="2"/>
            <w:tcBorders>
              <w:left w:val="single" w:color="auto" w:sz="4" w:space="0"/>
            </w:tcBorders>
            <w:vAlign w:val="center"/>
          </w:tcPr>
          <w:p w14:paraId="3C730E33">
            <w:pPr>
              <w:spacing w:line="400" w:lineRule="exact"/>
              <w:rPr>
                <w:rFonts w:hint="eastAsia" w:ascii="宋体" w:hAnsi="宋体" w:eastAsia="宋体" w:cs="宋体"/>
                <w:sz w:val="24"/>
                <w:szCs w:val="24"/>
                <w:highlight w:val="none"/>
              </w:rPr>
            </w:pPr>
          </w:p>
        </w:tc>
        <w:tc>
          <w:tcPr>
            <w:tcW w:w="1168" w:type="dxa"/>
            <w:tcBorders>
              <w:left w:val="single" w:color="auto" w:sz="4" w:space="0"/>
            </w:tcBorders>
            <w:vAlign w:val="top"/>
          </w:tcPr>
          <w:p w14:paraId="687885A6">
            <w:pPr>
              <w:spacing w:line="400" w:lineRule="exact"/>
              <w:rPr>
                <w:rFonts w:hint="eastAsia" w:ascii="宋体" w:hAnsi="宋体" w:eastAsia="宋体" w:cs="宋体"/>
                <w:sz w:val="24"/>
                <w:szCs w:val="24"/>
                <w:highlight w:val="none"/>
              </w:rPr>
            </w:pPr>
          </w:p>
        </w:tc>
      </w:tr>
      <w:tr w14:paraId="1C2ECC2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vAlign w:val="center"/>
          </w:tcPr>
          <w:p w14:paraId="1A260830">
            <w:pPr>
              <w:spacing w:line="400" w:lineRule="exact"/>
              <w:jc w:val="center"/>
              <w:rPr>
                <w:rFonts w:hint="eastAsia" w:ascii="宋体" w:hAnsi="宋体" w:eastAsia="宋体" w:cs="宋体"/>
                <w:sz w:val="24"/>
                <w:szCs w:val="24"/>
                <w:highlight w:val="none"/>
              </w:rPr>
            </w:pPr>
          </w:p>
        </w:tc>
        <w:tc>
          <w:tcPr>
            <w:tcW w:w="1356" w:type="dxa"/>
            <w:vAlign w:val="center"/>
          </w:tcPr>
          <w:p w14:paraId="49A518A7">
            <w:pPr>
              <w:spacing w:line="400" w:lineRule="exact"/>
              <w:jc w:val="center"/>
              <w:rPr>
                <w:rFonts w:hint="eastAsia" w:ascii="宋体" w:hAnsi="宋体" w:eastAsia="宋体" w:cs="宋体"/>
                <w:sz w:val="24"/>
                <w:szCs w:val="24"/>
                <w:highlight w:val="none"/>
              </w:rPr>
            </w:pPr>
          </w:p>
        </w:tc>
        <w:tc>
          <w:tcPr>
            <w:tcW w:w="1320" w:type="dxa"/>
            <w:vAlign w:val="center"/>
          </w:tcPr>
          <w:p w14:paraId="223B35D2">
            <w:pPr>
              <w:spacing w:line="400" w:lineRule="exact"/>
              <w:jc w:val="center"/>
              <w:rPr>
                <w:rFonts w:hint="eastAsia" w:ascii="宋体" w:hAnsi="宋体" w:eastAsia="宋体" w:cs="宋体"/>
                <w:sz w:val="24"/>
                <w:szCs w:val="24"/>
                <w:highlight w:val="none"/>
              </w:rPr>
            </w:pPr>
          </w:p>
        </w:tc>
        <w:tc>
          <w:tcPr>
            <w:tcW w:w="1267" w:type="dxa"/>
            <w:vAlign w:val="center"/>
          </w:tcPr>
          <w:p w14:paraId="7D0C35DF">
            <w:pPr>
              <w:spacing w:line="400" w:lineRule="exact"/>
              <w:jc w:val="center"/>
              <w:rPr>
                <w:rFonts w:hint="eastAsia" w:ascii="宋体" w:hAnsi="宋体" w:eastAsia="宋体" w:cs="宋体"/>
                <w:sz w:val="24"/>
                <w:szCs w:val="24"/>
                <w:highlight w:val="none"/>
              </w:rPr>
            </w:pPr>
          </w:p>
        </w:tc>
        <w:tc>
          <w:tcPr>
            <w:tcW w:w="1163" w:type="dxa"/>
            <w:gridSpan w:val="2"/>
            <w:tcBorders>
              <w:right w:val="single" w:color="auto" w:sz="4" w:space="0"/>
            </w:tcBorders>
            <w:vAlign w:val="center"/>
          </w:tcPr>
          <w:p w14:paraId="099D04F9">
            <w:pPr>
              <w:spacing w:line="400" w:lineRule="exact"/>
              <w:jc w:val="center"/>
              <w:rPr>
                <w:rFonts w:hint="eastAsia" w:ascii="宋体" w:hAnsi="宋体" w:eastAsia="宋体" w:cs="宋体"/>
                <w:sz w:val="24"/>
                <w:szCs w:val="24"/>
                <w:highlight w:val="none"/>
              </w:rPr>
            </w:pPr>
          </w:p>
        </w:tc>
        <w:tc>
          <w:tcPr>
            <w:tcW w:w="1356" w:type="dxa"/>
            <w:tcBorders>
              <w:left w:val="single" w:color="auto" w:sz="4" w:space="0"/>
              <w:right w:val="single" w:color="auto" w:sz="4" w:space="0"/>
            </w:tcBorders>
            <w:vAlign w:val="center"/>
          </w:tcPr>
          <w:p w14:paraId="6FA34C60">
            <w:pPr>
              <w:spacing w:line="400" w:lineRule="exact"/>
              <w:jc w:val="center"/>
              <w:rPr>
                <w:rFonts w:hint="eastAsia" w:ascii="宋体" w:hAnsi="宋体" w:eastAsia="宋体" w:cs="宋体"/>
                <w:sz w:val="24"/>
                <w:szCs w:val="24"/>
                <w:highlight w:val="none"/>
              </w:rPr>
            </w:pPr>
          </w:p>
        </w:tc>
        <w:tc>
          <w:tcPr>
            <w:tcW w:w="1451" w:type="dxa"/>
            <w:gridSpan w:val="2"/>
            <w:tcBorders>
              <w:left w:val="single" w:color="auto" w:sz="4" w:space="0"/>
            </w:tcBorders>
            <w:vAlign w:val="center"/>
          </w:tcPr>
          <w:p w14:paraId="3F4962C5">
            <w:pPr>
              <w:spacing w:line="400" w:lineRule="exact"/>
              <w:jc w:val="center"/>
              <w:rPr>
                <w:rFonts w:hint="eastAsia" w:ascii="宋体" w:hAnsi="宋体" w:eastAsia="宋体" w:cs="宋体"/>
                <w:sz w:val="24"/>
                <w:szCs w:val="24"/>
                <w:highlight w:val="none"/>
              </w:rPr>
            </w:pPr>
          </w:p>
        </w:tc>
        <w:tc>
          <w:tcPr>
            <w:tcW w:w="1168" w:type="dxa"/>
            <w:tcBorders>
              <w:left w:val="single" w:color="auto" w:sz="4" w:space="0"/>
            </w:tcBorders>
            <w:vAlign w:val="top"/>
          </w:tcPr>
          <w:p w14:paraId="03B9FA73">
            <w:pPr>
              <w:spacing w:line="400" w:lineRule="exact"/>
              <w:jc w:val="center"/>
              <w:rPr>
                <w:rFonts w:hint="eastAsia" w:ascii="宋体" w:hAnsi="宋体" w:eastAsia="宋体" w:cs="宋体"/>
                <w:sz w:val="24"/>
                <w:szCs w:val="24"/>
                <w:highlight w:val="none"/>
              </w:rPr>
            </w:pPr>
          </w:p>
        </w:tc>
      </w:tr>
      <w:tr w14:paraId="079E921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vAlign w:val="center"/>
          </w:tcPr>
          <w:p w14:paraId="46DE6497">
            <w:pPr>
              <w:spacing w:line="400" w:lineRule="exact"/>
              <w:jc w:val="center"/>
              <w:rPr>
                <w:rFonts w:hint="eastAsia" w:ascii="宋体" w:hAnsi="宋体" w:eastAsia="宋体" w:cs="宋体"/>
                <w:sz w:val="24"/>
                <w:szCs w:val="24"/>
                <w:highlight w:val="none"/>
              </w:rPr>
            </w:pPr>
          </w:p>
        </w:tc>
        <w:tc>
          <w:tcPr>
            <w:tcW w:w="1356" w:type="dxa"/>
            <w:vAlign w:val="center"/>
          </w:tcPr>
          <w:p w14:paraId="4E03116B">
            <w:pPr>
              <w:spacing w:line="400" w:lineRule="exact"/>
              <w:jc w:val="center"/>
              <w:rPr>
                <w:rFonts w:hint="eastAsia" w:ascii="宋体" w:hAnsi="宋体" w:eastAsia="宋体" w:cs="宋体"/>
                <w:sz w:val="24"/>
                <w:szCs w:val="24"/>
                <w:highlight w:val="none"/>
              </w:rPr>
            </w:pPr>
          </w:p>
        </w:tc>
        <w:tc>
          <w:tcPr>
            <w:tcW w:w="1320" w:type="dxa"/>
            <w:vAlign w:val="center"/>
          </w:tcPr>
          <w:p w14:paraId="19E27ABD">
            <w:pPr>
              <w:spacing w:line="400" w:lineRule="exact"/>
              <w:jc w:val="center"/>
              <w:rPr>
                <w:rFonts w:hint="eastAsia" w:ascii="宋体" w:hAnsi="宋体" w:eastAsia="宋体" w:cs="宋体"/>
                <w:sz w:val="24"/>
                <w:szCs w:val="24"/>
                <w:highlight w:val="none"/>
              </w:rPr>
            </w:pPr>
          </w:p>
        </w:tc>
        <w:tc>
          <w:tcPr>
            <w:tcW w:w="1267" w:type="dxa"/>
            <w:vAlign w:val="center"/>
          </w:tcPr>
          <w:p w14:paraId="1F065082">
            <w:pPr>
              <w:spacing w:line="400" w:lineRule="exact"/>
              <w:jc w:val="center"/>
              <w:rPr>
                <w:rFonts w:hint="eastAsia" w:ascii="宋体" w:hAnsi="宋体" w:eastAsia="宋体" w:cs="宋体"/>
                <w:sz w:val="24"/>
                <w:szCs w:val="24"/>
                <w:highlight w:val="none"/>
              </w:rPr>
            </w:pPr>
          </w:p>
        </w:tc>
        <w:tc>
          <w:tcPr>
            <w:tcW w:w="1163" w:type="dxa"/>
            <w:gridSpan w:val="2"/>
            <w:tcBorders>
              <w:right w:val="single" w:color="auto" w:sz="4" w:space="0"/>
            </w:tcBorders>
            <w:vAlign w:val="center"/>
          </w:tcPr>
          <w:p w14:paraId="4A7F972F">
            <w:pPr>
              <w:spacing w:line="400" w:lineRule="exact"/>
              <w:jc w:val="center"/>
              <w:rPr>
                <w:rFonts w:hint="eastAsia" w:ascii="宋体" w:hAnsi="宋体" w:eastAsia="宋体" w:cs="宋体"/>
                <w:sz w:val="24"/>
                <w:szCs w:val="24"/>
                <w:highlight w:val="none"/>
              </w:rPr>
            </w:pPr>
          </w:p>
        </w:tc>
        <w:tc>
          <w:tcPr>
            <w:tcW w:w="1356" w:type="dxa"/>
            <w:tcBorders>
              <w:left w:val="single" w:color="auto" w:sz="4" w:space="0"/>
              <w:right w:val="single" w:color="auto" w:sz="4" w:space="0"/>
            </w:tcBorders>
            <w:vAlign w:val="center"/>
          </w:tcPr>
          <w:p w14:paraId="4585795E">
            <w:pPr>
              <w:spacing w:line="400" w:lineRule="exact"/>
              <w:jc w:val="center"/>
              <w:rPr>
                <w:rFonts w:hint="eastAsia" w:ascii="宋体" w:hAnsi="宋体" w:eastAsia="宋体" w:cs="宋体"/>
                <w:sz w:val="24"/>
                <w:szCs w:val="24"/>
                <w:highlight w:val="none"/>
              </w:rPr>
            </w:pPr>
          </w:p>
        </w:tc>
        <w:tc>
          <w:tcPr>
            <w:tcW w:w="1451" w:type="dxa"/>
            <w:gridSpan w:val="2"/>
            <w:tcBorders>
              <w:left w:val="single" w:color="auto" w:sz="4" w:space="0"/>
            </w:tcBorders>
            <w:vAlign w:val="center"/>
          </w:tcPr>
          <w:p w14:paraId="0A2D9A6C">
            <w:pPr>
              <w:spacing w:line="400" w:lineRule="exact"/>
              <w:jc w:val="center"/>
              <w:rPr>
                <w:rFonts w:hint="eastAsia" w:ascii="宋体" w:hAnsi="宋体" w:eastAsia="宋体" w:cs="宋体"/>
                <w:sz w:val="24"/>
                <w:szCs w:val="24"/>
                <w:highlight w:val="none"/>
              </w:rPr>
            </w:pPr>
          </w:p>
        </w:tc>
        <w:tc>
          <w:tcPr>
            <w:tcW w:w="1168" w:type="dxa"/>
            <w:tcBorders>
              <w:left w:val="single" w:color="auto" w:sz="4" w:space="0"/>
            </w:tcBorders>
            <w:vAlign w:val="top"/>
          </w:tcPr>
          <w:p w14:paraId="53670C7F">
            <w:pPr>
              <w:spacing w:line="400" w:lineRule="exact"/>
              <w:jc w:val="center"/>
              <w:rPr>
                <w:rFonts w:hint="eastAsia" w:ascii="宋体" w:hAnsi="宋体" w:eastAsia="宋体" w:cs="宋体"/>
                <w:sz w:val="24"/>
                <w:szCs w:val="24"/>
                <w:highlight w:val="none"/>
              </w:rPr>
            </w:pPr>
          </w:p>
        </w:tc>
      </w:tr>
      <w:tr w14:paraId="00DA211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tcBorders>
              <w:bottom w:val="single" w:color="auto" w:sz="4" w:space="0"/>
            </w:tcBorders>
            <w:vAlign w:val="center"/>
          </w:tcPr>
          <w:p w14:paraId="129940FE">
            <w:pPr>
              <w:spacing w:line="400" w:lineRule="exact"/>
              <w:jc w:val="center"/>
              <w:rPr>
                <w:rFonts w:hint="eastAsia" w:ascii="宋体" w:hAnsi="宋体" w:eastAsia="宋体" w:cs="宋体"/>
                <w:sz w:val="24"/>
                <w:szCs w:val="24"/>
                <w:highlight w:val="none"/>
              </w:rPr>
            </w:pPr>
          </w:p>
        </w:tc>
        <w:tc>
          <w:tcPr>
            <w:tcW w:w="1356" w:type="dxa"/>
            <w:tcBorders>
              <w:bottom w:val="single" w:color="auto" w:sz="4" w:space="0"/>
            </w:tcBorders>
            <w:vAlign w:val="center"/>
          </w:tcPr>
          <w:p w14:paraId="5849C555">
            <w:pPr>
              <w:spacing w:line="400" w:lineRule="exact"/>
              <w:jc w:val="center"/>
              <w:rPr>
                <w:rFonts w:hint="eastAsia" w:ascii="宋体" w:hAnsi="宋体" w:eastAsia="宋体" w:cs="宋体"/>
                <w:sz w:val="24"/>
                <w:szCs w:val="24"/>
                <w:highlight w:val="none"/>
              </w:rPr>
            </w:pPr>
          </w:p>
        </w:tc>
        <w:tc>
          <w:tcPr>
            <w:tcW w:w="1320" w:type="dxa"/>
            <w:tcBorders>
              <w:bottom w:val="single" w:color="auto" w:sz="4" w:space="0"/>
            </w:tcBorders>
            <w:vAlign w:val="center"/>
          </w:tcPr>
          <w:p w14:paraId="0EC1C10E">
            <w:pPr>
              <w:spacing w:line="400" w:lineRule="exact"/>
              <w:jc w:val="center"/>
              <w:rPr>
                <w:rFonts w:hint="eastAsia" w:ascii="宋体" w:hAnsi="宋体" w:eastAsia="宋体" w:cs="宋体"/>
                <w:sz w:val="24"/>
                <w:szCs w:val="24"/>
                <w:highlight w:val="none"/>
              </w:rPr>
            </w:pPr>
          </w:p>
        </w:tc>
        <w:tc>
          <w:tcPr>
            <w:tcW w:w="1267" w:type="dxa"/>
            <w:tcBorders>
              <w:bottom w:val="single" w:color="auto" w:sz="4" w:space="0"/>
            </w:tcBorders>
            <w:vAlign w:val="center"/>
          </w:tcPr>
          <w:p w14:paraId="7C0CFAD5">
            <w:pPr>
              <w:spacing w:line="400" w:lineRule="exact"/>
              <w:jc w:val="center"/>
              <w:rPr>
                <w:rFonts w:hint="eastAsia" w:ascii="宋体" w:hAnsi="宋体" w:eastAsia="宋体" w:cs="宋体"/>
                <w:sz w:val="24"/>
                <w:szCs w:val="24"/>
                <w:highlight w:val="none"/>
              </w:rPr>
            </w:pPr>
          </w:p>
        </w:tc>
        <w:tc>
          <w:tcPr>
            <w:tcW w:w="1163" w:type="dxa"/>
            <w:gridSpan w:val="2"/>
            <w:tcBorders>
              <w:bottom w:val="single" w:color="auto" w:sz="4" w:space="0"/>
              <w:right w:val="single" w:color="auto" w:sz="4" w:space="0"/>
            </w:tcBorders>
            <w:vAlign w:val="center"/>
          </w:tcPr>
          <w:p w14:paraId="1357F8F6">
            <w:pPr>
              <w:spacing w:line="400" w:lineRule="exact"/>
              <w:jc w:val="center"/>
              <w:rPr>
                <w:rFonts w:hint="eastAsia" w:ascii="宋体" w:hAnsi="宋体" w:eastAsia="宋体" w:cs="宋体"/>
                <w:sz w:val="24"/>
                <w:szCs w:val="24"/>
                <w:highlight w:val="none"/>
              </w:rPr>
            </w:pPr>
          </w:p>
        </w:tc>
        <w:tc>
          <w:tcPr>
            <w:tcW w:w="1356" w:type="dxa"/>
            <w:tcBorders>
              <w:left w:val="single" w:color="auto" w:sz="4" w:space="0"/>
              <w:bottom w:val="single" w:color="auto" w:sz="4" w:space="0"/>
              <w:right w:val="single" w:color="auto" w:sz="4" w:space="0"/>
            </w:tcBorders>
            <w:vAlign w:val="center"/>
          </w:tcPr>
          <w:p w14:paraId="5A8AA73F">
            <w:pPr>
              <w:spacing w:line="400" w:lineRule="exact"/>
              <w:jc w:val="center"/>
              <w:rPr>
                <w:rFonts w:hint="eastAsia" w:ascii="宋体" w:hAnsi="宋体" w:eastAsia="宋体" w:cs="宋体"/>
                <w:sz w:val="24"/>
                <w:szCs w:val="24"/>
                <w:highlight w:val="none"/>
              </w:rPr>
            </w:pPr>
          </w:p>
        </w:tc>
        <w:tc>
          <w:tcPr>
            <w:tcW w:w="1451" w:type="dxa"/>
            <w:gridSpan w:val="2"/>
            <w:tcBorders>
              <w:left w:val="single" w:color="auto" w:sz="4" w:space="0"/>
              <w:bottom w:val="single" w:color="auto" w:sz="4" w:space="0"/>
            </w:tcBorders>
            <w:vAlign w:val="center"/>
          </w:tcPr>
          <w:p w14:paraId="5836F5AA">
            <w:pPr>
              <w:spacing w:line="400" w:lineRule="exact"/>
              <w:jc w:val="center"/>
              <w:rPr>
                <w:rFonts w:hint="eastAsia" w:ascii="宋体" w:hAnsi="宋体" w:eastAsia="宋体" w:cs="宋体"/>
                <w:sz w:val="24"/>
                <w:szCs w:val="24"/>
                <w:highlight w:val="none"/>
              </w:rPr>
            </w:pPr>
          </w:p>
        </w:tc>
        <w:tc>
          <w:tcPr>
            <w:tcW w:w="1168" w:type="dxa"/>
            <w:tcBorders>
              <w:left w:val="single" w:color="auto" w:sz="4" w:space="0"/>
              <w:bottom w:val="single" w:color="auto" w:sz="4" w:space="0"/>
            </w:tcBorders>
            <w:vAlign w:val="top"/>
          </w:tcPr>
          <w:p w14:paraId="103C4687">
            <w:pPr>
              <w:spacing w:line="400" w:lineRule="exact"/>
              <w:jc w:val="center"/>
              <w:rPr>
                <w:rFonts w:hint="eastAsia" w:ascii="宋体" w:hAnsi="宋体" w:eastAsia="宋体" w:cs="宋体"/>
                <w:sz w:val="24"/>
                <w:szCs w:val="24"/>
                <w:highlight w:val="none"/>
              </w:rPr>
            </w:pPr>
          </w:p>
        </w:tc>
      </w:tr>
      <w:tr w14:paraId="5937B4C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tcBorders>
              <w:top w:val="single" w:color="auto" w:sz="4" w:space="0"/>
              <w:bottom w:val="single" w:color="auto" w:sz="4" w:space="0"/>
            </w:tcBorders>
            <w:vAlign w:val="center"/>
          </w:tcPr>
          <w:p w14:paraId="641120D3">
            <w:pPr>
              <w:spacing w:line="400" w:lineRule="exact"/>
              <w:jc w:val="center"/>
              <w:rPr>
                <w:rFonts w:hint="eastAsia" w:ascii="宋体" w:hAnsi="宋体" w:eastAsia="宋体" w:cs="宋体"/>
                <w:sz w:val="24"/>
                <w:szCs w:val="24"/>
                <w:highlight w:val="none"/>
              </w:rPr>
            </w:pPr>
          </w:p>
        </w:tc>
        <w:tc>
          <w:tcPr>
            <w:tcW w:w="1356" w:type="dxa"/>
            <w:tcBorders>
              <w:top w:val="single" w:color="auto" w:sz="4" w:space="0"/>
              <w:bottom w:val="single" w:color="auto" w:sz="4" w:space="0"/>
            </w:tcBorders>
            <w:vAlign w:val="center"/>
          </w:tcPr>
          <w:p w14:paraId="50C625CE">
            <w:pPr>
              <w:spacing w:line="400" w:lineRule="exact"/>
              <w:jc w:val="center"/>
              <w:rPr>
                <w:rFonts w:hint="eastAsia" w:ascii="宋体" w:hAnsi="宋体" w:eastAsia="宋体" w:cs="宋体"/>
                <w:sz w:val="24"/>
                <w:szCs w:val="24"/>
                <w:highlight w:val="none"/>
              </w:rPr>
            </w:pPr>
          </w:p>
        </w:tc>
        <w:tc>
          <w:tcPr>
            <w:tcW w:w="1320" w:type="dxa"/>
            <w:tcBorders>
              <w:top w:val="single" w:color="auto" w:sz="4" w:space="0"/>
              <w:bottom w:val="single" w:color="auto" w:sz="4" w:space="0"/>
            </w:tcBorders>
            <w:vAlign w:val="center"/>
          </w:tcPr>
          <w:p w14:paraId="3EFD6F9C">
            <w:pPr>
              <w:spacing w:line="400" w:lineRule="exact"/>
              <w:jc w:val="center"/>
              <w:rPr>
                <w:rFonts w:hint="eastAsia" w:ascii="宋体" w:hAnsi="宋体" w:eastAsia="宋体" w:cs="宋体"/>
                <w:sz w:val="24"/>
                <w:szCs w:val="24"/>
                <w:highlight w:val="none"/>
              </w:rPr>
            </w:pPr>
          </w:p>
        </w:tc>
        <w:tc>
          <w:tcPr>
            <w:tcW w:w="1267" w:type="dxa"/>
            <w:tcBorders>
              <w:top w:val="single" w:color="auto" w:sz="4" w:space="0"/>
              <w:bottom w:val="single" w:color="auto" w:sz="4" w:space="0"/>
            </w:tcBorders>
            <w:vAlign w:val="center"/>
          </w:tcPr>
          <w:p w14:paraId="106523B8">
            <w:pPr>
              <w:spacing w:line="400" w:lineRule="exact"/>
              <w:jc w:val="center"/>
              <w:rPr>
                <w:rFonts w:hint="eastAsia" w:ascii="宋体" w:hAnsi="宋体" w:eastAsia="宋体" w:cs="宋体"/>
                <w:sz w:val="24"/>
                <w:szCs w:val="24"/>
                <w:highlight w:val="none"/>
              </w:rPr>
            </w:pPr>
          </w:p>
        </w:tc>
        <w:tc>
          <w:tcPr>
            <w:tcW w:w="1163" w:type="dxa"/>
            <w:gridSpan w:val="2"/>
            <w:tcBorders>
              <w:top w:val="single" w:color="auto" w:sz="4" w:space="0"/>
              <w:bottom w:val="single" w:color="auto" w:sz="4" w:space="0"/>
              <w:right w:val="single" w:color="auto" w:sz="4" w:space="0"/>
            </w:tcBorders>
            <w:vAlign w:val="center"/>
          </w:tcPr>
          <w:p w14:paraId="12956A1E">
            <w:pPr>
              <w:spacing w:line="400" w:lineRule="exact"/>
              <w:jc w:val="center"/>
              <w:rPr>
                <w:rFonts w:hint="eastAsia" w:ascii="宋体" w:hAnsi="宋体" w:eastAsia="宋体" w:cs="宋体"/>
                <w:sz w:val="24"/>
                <w:szCs w:val="24"/>
                <w:highlight w:val="none"/>
              </w:rPr>
            </w:pPr>
          </w:p>
        </w:tc>
        <w:tc>
          <w:tcPr>
            <w:tcW w:w="1356" w:type="dxa"/>
            <w:tcBorders>
              <w:top w:val="single" w:color="auto" w:sz="4" w:space="0"/>
              <w:left w:val="single" w:color="auto" w:sz="4" w:space="0"/>
              <w:bottom w:val="single" w:color="auto" w:sz="4" w:space="0"/>
              <w:right w:val="single" w:color="auto" w:sz="4" w:space="0"/>
            </w:tcBorders>
            <w:vAlign w:val="center"/>
          </w:tcPr>
          <w:p w14:paraId="6648EDAC">
            <w:pPr>
              <w:spacing w:line="400" w:lineRule="exact"/>
              <w:jc w:val="center"/>
              <w:rPr>
                <w:rFonts w:hint="eastAsia" w:ascii="宋体" w:hAnsi="宋体" w:eastAsia="宋体" w:cs="宋体"/>
                <w:sz w:val="24"/>
                <w:szCs w:val="24"/>
                <w:highlight w:val="none"/>
              </w:rPr>
            </w:pPr>
          </w:p>
        </w:tc>
        <w:tc>
          <w:tcPr>
            <w:tcW w:w="1451" w:type="dxa"/>
            <w:gridSpan w:val="2"/>
            <w:tcBorders>
              <w:top w:val="single" w:color="auto" w:sz="4" w:space="0"/>
              <w:left w:val="single" w:color="auto" w:sz="4" w:space="0"/>
              <w:bottom w:val="single" w:color="auto" w:sz="4" w:space="0"/>
            </w:tcBorders>
            <w:vAlign w:val="center"/>
          </w:tcPr>
          <w:p w14:paraId="2DC6D294">
            <w:pPr>
              <w:spacing w:line="400" w:lineRule="exact"/>
              <w:jc w:val="center"/>
              <w:rPr>
                <w:rFonts w:hint="eastAsia" w:ascii="宋体" w:hAnsi="宋体" w:eastAsia="宋体" w:cs="宋体"/>
                <w:sz w:val="24"/>
                <w:szCs w:val="24"/>
                <w:highlight w:val="none"/>
              </w:rPr>
            </w:pPr>
          </w:p>
        </w:tc>
        <w:tc>
          <w:tcPr>
            <w:tcW w:w="1168" w:type="dxa"/>
            <w:tcBorders>
              <w:top w:val="single" w:color="auto" w:sz="4" w:space="0"/>
              <w:left w:val="single" w:color="auto" w:sz="4" w:space="0"/>
              <w:bottom w:val="single" w:color="auto" w:sz="4" w:space="0"/>
            </w:tcBorders>
            <w:vAlign w:val="top"/>
          </w:tcPr>
          <w:p w14:paraId="17C311DE">
            <w:pPr>
              <w:spacing w:line="400" w:lineRule="exact"/>
              <w:jc w:val="center"/>
              <w:rPr>
                <w:rFonts w:hint="eastAsia" w:ascii="宋体" w:hAnsi="宋体" w:eastAsia="宋体" w:cs="宋体"/>
                <w:sz w:val="24"/>
                <w:szCs w:val="24"/>
                <w:highlight w:val="none"/>
              </w:rPr>
            </w:pPr>
          </w:p>
        </w:tc>
      </w:tr>
      <w:tr w14:paraId="765C83D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tcBorders>
              <w:top w:val="single" w:color="auto" w:sz="4" w:space="0"/>
              <w:bottom w:val="single" w:color="auto" w:sz="4" w:space="0"/>
            </w:tcBorders>
            <w:vAlign w:val="center"/>
          </w:tcPr>
          <w:p w14:paraId="167F244A">
            <w:pPr>
              <w:spacing w:line="400" w:lineRule="exact"/>
              <w:jc w:val="center"/>
              <w:rPr>
                <w:rFonts w:hint="eastAsia" w:ascii="宋体" w:hAnsi="宋体" w:eastAsia="宋体" w:cs="宋体"/>
                <w:sz w:val="24"/>
                <w:szCs w:val="24"/>
                <w:highlight w:val="none"/>
              </w:rPr>
            </w:pPr>
          </w:p>
        </w:tc>
        <w:tc>
          <w:tcPr>
            <w:tcW w:w="1356" w:type="dxa"/>
            <w:tcBorders>
              <w:top w:val="single" w:color="auto" w:sz="4" w:space="0"/>
              <w:bottom w:val="single" w:color="auto" w:sz="4" w:space="0"/>
            </w:tcBorders>
            <w:vAlign w:val="center"/>
          </w:tcPr>
          <w:p w14:paraId="48E76221">
            <w:pPr>
              <w:spacing w:line="400" w:lineRule="exact"/>
              <w:jc w:val="center"/>
              <w:rPr>
                <w:rFonts w:hint="eastAsia" w:ascii="宋体" w:hAnsi="宋体" w:eastAsia="宋体" w:cs="宋体"/>
                <w:sz w:val="24"/>
                <w:szCs w:val="24"/>
                <w:highlight w:val="none"/>
              </w:rPr>
            </w:pPr>
          </w:p>
        </w:tc>
        <w:tc>
          <w:tcPr>
            <w:tcW w:w="1320" w:type="dxa"/>
            <w:tcBorders>
              <w:top w:val="single" w:color="auto" w:sz="4" w:space="0"/>
              <w:bottom w:val="single" w:color="auto" w:sz="4" w:space="0"/>
            </w:tcBorders>
            <w:vAlign w:val="center"/>
          </w:tcPr>
          <w:p w14:paraId="3C4401F1">
            <w:pPr>
              <w:spacing w:line="400" w:lineRule="exact"/>
              <w:jc w:val="center"/>
              <w:rPr>
                <w:rFonts w:hint="eastAsia" w:ascii="宋体" w:hAnsi="宋体" w:eastAsia="宋体" w:cs="宋体"/>
                <w:sz w:val="24"/>
                <w:szCs w:val="24"/>
                <w:highlight w:val="none"/>
              </w:rPr>
            </w:pPr>
          </w:p>
        </w:tc>
        <w:tc>
          <w:tcPr>
            <w:tcW w:w="1267" w:type="dxa"/>
            <w:tcBorders>
              <w:top w:val="single" w:color="auto" w:sz="4" w:space="0"/>
              <w:bottom w:val="single" w:color="auto" w:sz="4" w:space="0"/>
            </w:tcBorders>
            <w:vAlign w:val="center"/>
          </w:tcPr>
          <w:p w14:paraId="1EA9407E">
            <w:pPr>
              <w:spacing w:line="400" w:lineRule="exact"/>
              <w:jc w:val="center"/>
              <w:rPr>
                <w:rFonts w:hint="eastAsia" w:ascii="宋体" w:hAnsi="宋体" w:eastAsia="宋体" w:cs="宋体"/>
                <w:sz w:val="24"/>
                <w:szCs w:val="24"/>
                <w:highlight w:val="none"/>
              </w:rPr>
            </w:pPr>
          </w:p>
        </w:tc>
        <w:tc>
          <w:tcPr>
            <w:tcW w:w="1163" w:type="dxa"/>
            <w:gridSpan w:val="2"/>
            <w:tcBorders>
              <w:top w:val="single" w:color="auto" w:sz="4" w:space="0"/>
              <w:bottom w:val="single" w:color="auto" w:sz="4" w:space="0"/>
              <w:right w:val="single" w:color="auto" w:sz="4" w:space="0"/>
            </w:tcBorders>
            <w:vAlign w:val="center"/>
          </w:tcPr>
          <w:p w14:paraId="5975C43F">
            <w:pPr>
              <w:spacing w:line="400" w:lineRule="exact"/>
              <w:jc w:val="center"/>
              <w:rPr>
                <w:rFonts w:hint="eastAsia" w:ascii="宋体" w:hAnsi="宋体" w:eastAsia="宋体" w:cs="宋体"/>
                <w:sz w:val="24"/>
                <w:szCs w:val="24"/>
                <w:highlight w:val="none"/>
              </w:rPr>
            </w:pPr>
          </w:p>
        </w:tc>
        <w:tc>
          <w:tcPr>
            <w:tcW w:w="1356" w:type="dxa"/>
            <w:tcBorders>
              <w:top w:val="single" w:color="auto" w:sz="4" w:space="0"/>
              <w:left w:val="single" w:color="auto" w:sz="4" w:space="0"/>
              <w:bottom w:val="single" w:color="auto" w:sz="4" w:space="0"/>
              <w:right w:val="single" w:color="auto" w:sz="4" w:space="0"/>
            </w:tcBorders>
            <w:vAlign w:val="center"/>
          </w:tcPr>
          <w:p w14:paraId="0612ED03">
            <w:pPr>
              <w:spacing w:line="400" w:lineRule="exact"/>
              <w:jc w:val="center"/>
              <w:rPr>
                <w:rFonts w:hint="eastAsia" w:ascii="宋体" w:hAnsi="宋体" w:eastAsia="宋体" w:cs="宋体"/>
                <w:sz w:val="24"/>
                <w:szCs w:val="24"/>
                <w:highlight w:val="none"/>
              </w:rPr>
            </w:pPr>
          </w:p>
        </w:tc>
        <w:tc>
          <w:tcPr>
            <w:tcW w:w="1451" w:type="dxa"/>
            <w:gridSpan w:val="2"/>
            <w:tcBorders>
              <w:top w:val="single" w:color="auto" w:sz="4" w:space="0"/>
              <w:left w:val="single" w:color="auto" w:sz="4" w:space="0"/>
              <w:bottom w:val="single" w:color="auto" w:sz="4" w:space="0"/>
            </w:tcBorders>
            <w:vAlign w:val="center"/>
          </w:tcPr>
          <w:p w14:paraId="170FEBC0">
            <w:pPr>
              <w:spacing w:line="400" w:lineRule="exact"/>
              <w:jc w:val="center"/>
              <w:rPr>
                <w:rFonts w:hint="eastAsia" w:ascii="宋体" w:hAnsi="宋体" w:eastAsia="宋体" w:cs="宋体"/>
                <w:sz w:val="24"/>
                <w:szCs w:val="24"/>
                <w:highlight w:val="none"/>
              </w:rPr>
            </w:pPr>
          </w:p>
        </w:tc>
        <w:tc>
          <w:tcPr>
            <w:tcW w:w="1168" w:type="dxa"/>
            <w:tcBorders>
              <w:top w:val="single" w:color="auto" w:sz="4" w:space="0"/>
              <w:left w:val="single" w:color="auto" w:sz="4" w:space="0"/>
              <w:bottom w:val="single" w:color="auto" w:sz="4" w:space="0"/>
            </w:tcBorders>
            <w:vAlign w:val="top"/>
          </w:tcPr>
          <w:p w14:paraId="53BDAD42">
            <w:pPr>
              <w:spacing w:line="400" w:lineRule="exact"/>
              <w:jc w:val="center"/>
              <w:rPr>
                <w:rFonts w:hint="eastAsia" w:ascii="宋体" w:hAnsi="宋体" w:eastAsia="宋体" w:cs="宋体"/>
                <w:sz w:val="24"/>
                <w:szCs w:val="24"/>
                <w:highlight w:val="none"/>
              </w:rPr>
            </w:pPr>
          </w:p>
        </w:tc>
      </w:tr>
      <w:tr w14:paraId="33DC338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tcBorders>
              <w:top w:val="single" w:color="auto" w:sz="4" w:space="0"/>
              <w:bottom w:val="single" w:color="auto" w:sz="4" w:space="0"/>
            </w:tcBorders>
            <w:vAlign w:val="center"/>
          </w:tcPr>
          <w:p w14:paraId="78BE8D04">
            <w:pPr>
              <w:spacing w:line="400" w:lineRule="exact"/>
              <w:jc w:val="center"/>
              <w:rPr>
                <w:rFonts w:hint="eastAsia" w:ascii="宋体" w:hAnsi="宋体" w:eastAsia="宋体" w:cs="宋体"/>
                <w:sz w:val="24"/>
                <w:szCs w:val="24"/>
                <w:highlight w:val="none"/>
              </w:rPr>
            </w:pPr>
          </w:p>
        </w:tc>
        <w:tc>
          <w:tcPr>
            <w:tcW w:w="1356" w:type="dxa"/>
            <w:tcBorders>
              <w:top w:val="single" w:color="auto" w:sz="4" w:space="0"/>
              <w:bottom w:val="single" w:color="auto" w:sz="4" w:space="0"/>
            </w:tcBorders>
            <w:vAlign w:val="center"/>
          </w:tcPr>
          <w:p w14:paraId="5AC1284F">
            <w:pPr>
              <w:spacing w:line="400" w:lineRule="exact"/>
              <w:jc w:val="center"/>
              <w:rPr>
                <w:rFonts w:hint="eastAsia" w:ascii="宋体" w:hAnsi="宋体" w:eastAsia="宋体" w:cs="宋体"/>
                <w:sz w:val="24"/>
                <w:szCs w:val="24"/>
                <w:highlight w:val="none"/>
              </w:rPr>
            </w:pPr>
          </w:p>
        </w:tc>
        <w:tc>
          <w:tcPr>
            <w:tcW w:w="1320" w:type="dxa"/>
            <w:tcBorders>
              <w:top w:val="single" w:color="auto" w:sz="4" w:space="0"/>
              <w:bottom w:val="single" w:color="auto" w:sz="4" w:space="0"/>
            </w:tcBorders>
            <w:vAlign w:val="center"/>
          </w:tcPr>
          <w:p w14:paraId="78852343">
            <w:pPr>
              <w:spacing w:line="400" w:lineRule="exact"/>
              <w:jc w:val="center"/>
              <w:rPr>
                <w:rFonts w:hint="eastAsia" w:ascii="宋体" w:hAnsi="宋体" w:eastAsia="宋体" w:cs="宋体"/>
                <w:sz w:val="24"/>
                <w:szCs w:val="24"/>
                <w:highlight w:val="none"/>
              </w:rPr>
            </w:pPr>
          </w:p>
        </w:tc>
        <w:tc>
          <w:tcPr>
            <w:tcW w:w="1267" w:type="dxa"/>
            <w:tcBorders>
              <w:top w:val="single" w:color="auto" w:sz="4" w:space="0"/>
              <w:bottom w:val="single" w:color="auto" w:sz="4" w:space="0"/>
            </w:tcBorders>
            <w:vAlign w:val="center"/>
          </w:tcPr>
          <w:p w14:paraId="1DED382A">
            <w:pPr>
              <w:spacing w:line="400" w:lineRule="exact"/>
              <w:jc w:val="center"/>
              <w:rPr>
                <w:rFonts w:hint="eastAsia" w:ascii="宋体" w:hAnsi="宋体" w:eastAsia="宋体" w:cs="宋体"/>
                <w:sz w:val="24"/>
                <w:szCs w:val="24"/>
                <w:highlight w:val="none"/>
              </w:rPr>
            </w:pPr>
          </w:p>
        </w:tc>
        <w:tc>
          <w:tcPr>
            <w:tcW w:w="1163" w:type="dxa"/>
            <w:gridSpan w:val="2"/>
            <w:tcBorders>
              <w:top w:val="single" w:color="auto" w:sz="4" w:space="0"/>
              <w:bottom w:val="single" w:color="auto" w:sz="4" w:space="0"/>
              <w:right w:val="single" w:color="auto" w:sz="4" w:space="0"/>
            </w:tcBorders>
            <w:vAlign w:val="center"/>
          </w:tcPr>
          <w:p w14:paraId="20BFE6B9">
            <w:pPr>
              <w:spacing w:line="400" w:lineRule="exact"/>
              <w:jc w:val="center"/>
              <w:rPr>
                <w:rFonts w:hint="eastAsia" w:ascii="宋体" w:hAnsi="宋体" w:eastAsia="宋体" w:cs="宋体"/>
                <w:sz w:val="24"/>
                <w:szCs w:val="24"/>
                <w:highlight w:val="none"/>
              </w:rPr>
            </w:pPr>
          </w:p>
        </w:tc>
        <w:tc>
          <w:tcPr>
            <w:tcW w:w="1356" w:type="dxa"/>
            <w:tcBorders>
              <w:top w:val="single" w:color="auto" w:sz="4" w:space="0"/>
              <w:left w:val="single" w:color="auto" w:sz="4" w:space="0"/>
              <w:bottom w:val="single" w:color="auto" w:sz="4" w:space="0"/>
              <w:right w:val="single" w:color="auto" w:sz="4" w:space="0"/>
            </w:tcBorders>
            <w:vAlign w:val="center"/>
          </w:tcPr>
          <w:p w14:paraId="2675B1F2">
            <w:pPr>
              <w:spacing w:line="400" w:lineRule="exact"/>
              <w:jc w:val="center"/>
              <w:rPr>
                <w:rFonts w:hint="eastAsia" w:ascii="宋体" w:hAnsi="宋体" w:eastAsia="宋体" w:cs="宋体"/>
                <w:sz w:val="24"/>
                <w:szCs w:val="24"/>
                <w:highlight w:val="none"/>
              </w:rPr>
            </w:pPr>
          </w:p>
        </w:tc>
        <w:tc>
          <w:tcPr>
            <w:tcW w:w="1451" w:type="dxa"/>
            <w:gridSpan w:val="2"/>
            <w:tcBorders>
              <w:top w:val="single" w:color="auto" w:sz="4" w:space="0"/>
              <w:left w:val="single" w:color="auto" w:sz="4" w:space="0"/>
              <w:bottom w:val="single" w:color="auto" w:sz="4" w:space="0"/>
            </w:tcBorders>
            <w:vAlign w:val="center"/>
          </w:tcPr>
          <w:p w14:paraId="0C2479EB">
            <w:pPr>
              <w:spacing w:line="400" w:lineRule="exact"/>
              <w:jc w:val="center"/>
              <w:rPr>
                <w:rFonts w:hint="eastAsia" w:ascii="宋体" w:hAnsi="宋体" w:eastAsia="宋体" w:cs="宋体"/>
                <w:sz w:val="24"/>
                <w:szCs w:val="24"/>
                <w:highlight w:val="none"/>
              </w:rPr>
            </w:pPr>
          </w:p>
        </w:tc>
        <w:tc>
          <w:tcPr>
            <w:tcW w:w="1168" w:type="dxa"/>
            <w:tcBorders>
              <w:top w:val="single" w:color="auto" w:sz="4" w:space="0"/>
              <w:left w:val="single" w:color="auto" w:sz="4" w:space="0"/>
              <w:bottom w:val="single" w:color="auto" w:sz="4" w:space="0"/>
            </w:tcBorders>
            <w:vAlign w:val="top"/>
          </w:tcPr>
          <w:p w14:paraId="1C0AE5CE">
            <w:pPr>
              <w:spacing w:line="400" w:lineRule="exact"/>
              <w:jc w:val="center"/>
              <w:rPr>
                <w:rFonts w:hint="eastAsia" w:ascii="宋体" w:hAnsi="宋体" w:eastAsia="宋体" w:cs="宋体"/>
                <w:sz w:val="24"/>
                <w:szCs w:val="24"/>
                <w:highlight w:val="none"/>
              </w:rPr>
            </w:pPr>
          </w:p>
        </w:tc>
      </w:tr>
      <w:tr w14:paraId="4CD323F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67" w:hRule="atLeast"/>
          <w:jc w:val="center"/>
        </w:trPr>
        <w:tc>
          <w:tcPr>
            <w:tcW w:w="804" w:type="dxa"/>
            <w:tcBorders>
              <w:top w:val="single" w:color="auto" w:sz="4" w:space="0"/>
            </w:tcBorders>
            <w:vAlign w:val="center"/>
          </w:tcPr>
          <w:p w14:paraId="52F9D292">
            <w:pPr>
              <w:spacing w:line="400" w:lineRule="exact"/>
              <w:jc w:val="center"/>
              <w:rPr>
                <w:rFonts w:hint="eastAsia" w:ascii="宋体" w:hAnsi="宋体" w:eastAsia="宋体" w:cs="宋体"/>
                <w:sz w:val="24"/>
                <w:szCs w:val="24"/>
                <w:highlight w:val="none"/>
              </w:rPr>
            </w:pPr>
          </w:p>
        </w:tc>
        <w:tc>
          <w:tcPr>
            <w:tcW w:w="1356" w:type="dxa"/>
            <w:tcBorders>
              <w:top w:val="single" w:color="auto" w:sz="4" w:space="0"/>
            </w:tcBorders>
            <w:vAlign w:val="center"/>
          </w:tcPr>
          <w:p w14:paraId="169659EE">
            <w:pPr>
              <w:spacing w:line="400" w:lineRule="exact"/>
              <w:jc w:val="center"/>
              <w:rPr>
                <w:rFonts w:hint="eastAsia" w:ascii="宋体" w:hAnsi="宋体" w:eastAsia="宋体" w:cs="宋体"/>
                <w:sz w:val="24"/>
                <w:szCs w:val="24"/>
                <w:highlight w:val="none"/>
              </w:rPr>
            </w:pPr>
          </w:p>
        </w:tc>
        <w:tc>
          <w:tcPr>
            <w:tcW w:w="1320" w:type="dxa"/>
            <w:tcBorders>
              <w:top w:val="single" w:color="auto" w:sz="4" w:space="0"/>
            </w:tcBorders>
            <w:vAlign w:val="center"/>
          </w:tcPr>
          <w:p w14:paraId="546CFE9E">
            <w:pPr>
              <w:spacing w:line="400" w:lineRule="exact"/>
              <w:jc w:val="center"/>
              <w:rPr>
                <w:rFonts w:hint="eastAsia" w:ascii="宋体" w:hAnsi="宋体" w:eastAsia="宋体" w:cs="宋体"/>
                <w:sz w:val="24"/>
                <w:szCs w:val="24"/>
                <w:highlight w:val="none"/>
              </w:rPr>
            </w:pPr>
          </w:p>
        </w:tc>
        <w:tc>
          <w:tcPr>
            <w:tcW w:w="1267" w:type="dxa"/>
            <w:tcBorders>
              <w:top w:val="single" w:color="auto" w:sz="4" w:space="0"/>
            </w:tcBorders>
            <w:vAlign w:val="center"/>
          </w:tcPr>
          <w:p w14:paraId="0C6C2A48">
            <w:pPr>
              <w:spacing w:line="400" w:lineRule="exact"/>
              <w:jc w:val="center"/>
              <w:rPr>
                <w:rFonts w:hint="eastAsia" w:ascii="宋体" w:hAnsi="宋体" w:eastAsia="宋体" w:cs="宋体"/>
                <w:sz w:val="24"/>
                <w:szCs w:val="24"/>
                <w:highlight w:val="none"/>
              </w:rPr>
            </w:pPr>
          </w:p>
        </w:tc>
        <w:tc>
          <w:tcPr>
            <w:tcW w:w="1163" w:type="dxa"/>
            <w:gridSpan w:val="2"/>
            <w:tcBorders>
              <w:top w:val="single" w:color="auto" w:sz="4" w:space="0"/>
              <w:right w:val="single" w:color="auto" w:sz="4" w:space="0"/>
            </w:tcBorders>
            <w:vAlign w:val="center"/>
          </w:tcPr>
          <w:p w14:paraId="773CABC2">
            <w:pPr>
              <w:spacing w:line="400" w:lineRule="exact"/>
              <w:jc w:val="center"/>
              <w:rPr>
                <w:rFonts w:hint="eastAsia" w:ascii="宋体" w:hAnsi="宋体" w:eastAsia="宋体" w:cs="宋体"/>
                <w:sz w:val="24"/>
                <w:szCs w:val="24"/>
                <w:highlight w:val="none"/>
              </w:rPr>
            </w:pPr>
          </w:p>
        </w:tc>
        <w:tc>
          <w:tcPr>
            <w:tcW w:w="1356" w:type="dxa"/>
            <w:tcBorders>
              <w:top w:val="single" w:color="auto" w:sz="4" w:space="0"/>
              <w:left w:val="single" w:color="auto" w:sz="4" w:space="0"/>
              <w:right w:val="single" w:color="auto" w:sz="4" w:space="0"/>
            </w:tcBorders>
            <w:vAlign w:val="center"/>
          </w:tcPr>
          <w:p w14:paraId="4DC9C124">
            <w:pPr>
              <w:spacing w:line="400" w:lineRule="exact"/>
              <w:jc w:val="center"/>
              <w:rPr>
                <w:rFonts w:hint="eastAsia" w:ascii="宋体" w:hAnsi="宋体" w:eastAsia="宋体" w:cs="宋体"/>
                <w:sz w:val="24"/>
                <w:szCs w:val="24"/>
                <w:highlight w:val="none"/>
              </w:rPr>
            </w:pPr>
          </w:p>
        </w:tc>
        <w:tc>
          <w:tcPr>
            <w:tcW w:w="1451" w:type="dxa"/>
            <w:gridSpan w:val="2"/>
            <w:tcBorders>
              <w:top w:val="single" w:color="auto" w:sz="4" w:space="0"/>
              <w:left w:val="single" w:color="auto" w:sz="4" w:space="0"/>
            </w:tcBorders>
            <w:vAlign w:val="center"/>
          </w:tcPr>
          <w:p w14:paraId="3CAEBCF1">
            <w:pPr>
              <w:spacing w:line="400" w:lineRule="exact"/>
              <w:jc w:val="center"/>
              <w:rPr>
                <w:rFonts w:hint="eastAsia" w:ascii="宋体" w:hAnsi="宋体" w:eastAsia="宋体" w:cs="宋体"/>
                <w:sz w:val="24"/>
                <w:szCs w:val="24"/>
                <w:highlight w:val="none"/>
              </w:rPr>
            </w:pPr>
          </w:p>
        </w:tc>
        <w:tc>
          <w:tcPr>
            <w:tcW w:w="1168" w:type="dxa"/>
            <w:tcBorders>
              <w:top w:val="single" w:color="auto" w:sz="4" w:space="0"/>
              <w:left w:val="single" w:color="auto" w:sz="4" w:space="0"/>
            </w:tcBorders>
            <w:vAlign w:val="top"/>
          </w:tcPr>
          <w:p w14:paraId="3FF7A430">
            <w:pPr>
              <w:spacing w:line="400" w:lineRule="exact"/>
              <w:jc w:val="center"/>
              <w:rPr>
                <w:rFonts w:hint="eastAsia" w:ascii="宋体" w:hAnsi="宋体" w:eastAsia="宋体" w:cs="宋体"/>
                <w:sz w:val="24"/>
                <w:szCs w:val="24"/>
                <w:highlight w:val="none"/>
              </w:rPr>
            </w:pPr>
          </w:p>
        </w:tc>
      </w:tr>
    </w:tbl>
    <w:p w14:paraId="52EAE8FB">
      <w:pPr>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注：供应商（仅限于供应商自身实施的）以上业绩需提供</w:t>
      </w:r>
      <w:r>
        <w:rPr>
          <w:rFonts w:hint="eastAsia" w:ascii="宋体" w:hAnsi="宋体" w:cs="宋体"/>
          <w:b/>
          <w:bCs/>
          <w:sz w:val="24"/>
          <w:szCs w:val="24"/>
          <w:highlight w:val="none"/>
          <w:lang w:val="en-US" w:eastAsia="zh-CN"/>
        </w:rPr>
        <w:t>中标通知书或合同</w:t>
      </w:r>
      <w:r>
        <w:rPr>
          <w:rFonts w:hint="eastAsia" w:ascii="宋体" w:hAnsi="宋体" w:eastAsia="宋体" w:cs="宋体"/>
          <w:b/>
          <w:bCs/>
          <w:sz w:val="24"/>
          <w:szCs w:val="24"/>
          <w:highlight w:val="none"/>
        </w:rPr>
        <w:t>有关书面证明材料。</w:t>
      </w:r>
    </w:p>
    <w:p w14:paraId="6FE8D416">
      <w:pPr>
        <w:spacing w:line="400" w:lineRule="exact"/>
        <w:ind w:left="360"/>
        <w:jc w:val="center"/>
        <w:rPr>
          <w:rFonts w:hint="eastAsia" w:ascii="宋体" w:hAnsi="宋体" w:eastAsia="宋体" w:cs="宋体"/>
          <w:sz w:val="24"/>
          <w:szCs w:val="24"/>
          <w:highlight w:val="none"/>
        </w:rPr>
      </w:pPr>
    </w:p>
    <w:p w14:paraId="5BA073B8">
      <w:pPr>
        <w:spacing w:line="400" w:lineRule="exact"/>
        <w:ind w:left="360"/>
        <w:jc w:val="center"/>
        <w:rPr>
          <w:rFonts w:hint="eastAsia" w:ascii="宋体" w:hAnsi="宋体" w:eastAsia="宋体" w:cs="宋体"/>
          <w:sz w:val="24"/>
          <w:szCs w:val="24"/>
          <w:highlight w:val="none"/>
        </w:rPr>
      </w:pPr>
    </w:p>
    <w:p w14:paraId="406F168E">
      <w:pPr>
        <w:adjustRightInd w:val="0"/>
        <w:spacing w:line="400" w:lineRule="exact"/>
        <w:jc w:val="lef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供应商（盖章）</w:t>
      </w:r>
      <w:r>
        <w:rPr>
          <w:rFonts w:hint="eastAsia" w:ascii="宋体" w:hAnsi="宋体" w:eastAsia="宋体" w:cs="宋体"/>
          <w:sz w:val="24"/>
          <w:szCs w:val="24"/>
          <w:highlight w:val="none"/>
          <w:lang w:eastAsia="zh-CN"/>
        </w:rPr>
        <w:t>：</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4128A451">
      <w:pPr>
        <w:adjustRightInd w:val="0"/>
        <w:spacing w:line="400" w:lineRule="exact"/>
        <w:ind w:firstLine="480" w:firstLineChars="200"/>
        <w:jc w:val="left"/>
        <w:rPr>
          <w:rFonts w:hint="eastAsia" w:ascii="宋体" w:hAnsi="宋体" w:eastAsia="宋体" w:cs="宋体"/>
          <w:sz w:val="24"/>
          <w:szCs w:val="24"/>
          <w:highlight w:val="none"/>
        </w:rPr>
      </w:pPr>
    </w:p>
    <w:p w14:paraId="317F3241">
      <w:pPr>
        <w:adjustRightInd w:val="0"/>
        <w:spacing w:line="400" w:lineRule="exact"/>
        <w:jc w:val="left"/>
        <w:rPr>
          <w:rFonts w:hint="eastAsia" w:ascii="宋体" w:hAnsi="宋体" w:eastAsia="宋体" w:cs="宋体"/>
          <w:color w:val="auto"/>
          <w:sz w:val="24"/>
          <w:szCs w:val="24"/>
          <w:highlight w:val="none"/>
        </w:rPr>
      </w:pPr>
      <w:r>
        <w:rPr>
          <w:rFonts w:hint="eastAsia" w:ascii="宋体" w:hAnsi="宋体" w:eastAsia="宋体" w:cs="宋体"/>
          <w:sz w:val="24"/>
          <w:szCs w:val="24"/>
          <w:highlight w:val="none"/>
        </w:rPr>
        <w:t>法定代表人或委托代理人（签字或盖章）</w:t>
      </w:r>
      <w:r>
        <w:rPr>
          <w:rFonts w:hint="eastAsia" w:ascii="宋体" w:hAnsi="宋体" w:eastAsia="宋体" w:cs="宋体"/>
          <w:bCs/>
          <w:sz w:val="24"/>
          <w:szCs w:val="24"/>
          <w:highlight w:val="none"/>
        </w:rPr>
        <w:t>：</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3AB1788D">
      <w:pPr>
        <w:pStyle w:val="11"/>
        <w:ind w:left="0" w:leftChars="0"/>
        <w:rPr>
          <w:rFonts w:hint="eastAsia" w:ascii="宋体" w:hAnsi="宋体" w:eastAsia="宋体" w:cs="宋体"/>
          <w:sz w:val="24"/>
          <w:szCs w:val="24"/>
          <w:highlight w:val="none"/>
        </w:rPr>
      </w:pPr>
    </w:p>
    <w:p w14:paraId="014F167A">
      <w:pPr>
        <w:spacing w:line="400" w:lineRule="exact"/>
        <w:ind w:right="480"/>
        <w:jc w:val="left"/>
        <w:rPr>
          <w:rFonts w:hint="eastAsia" w:ascii="宋体" w:hAnsi="宋体" w:eastAsia="宋体" w:cs="宋体"/>
          <w:b/>
          <w:sz w:val="24"/>
          <w:szCs w:val="24"/>
          <w:highlight w:val="none"/>
          <w:u w:val="single"/>
        </w:rPr>
      </w:pPr>
      <w:r>
        <w:rPr>
          <w:rFonts w:hint="eastAsia" w:ascii="宋体" w:hAnsi="宋体" w:eastAsia="宋体" w:cs="宋体"/>
          <w:sz w:val="24"/>
          <w:szCs w:val="24"/>
          <w:highlight w:val="none"/>
        </w:rPr>
        <w:t>日期：</w:t>
      </w: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u w:val="single"/>
        </w:rPr>
        <w:t xml:space="preserve">    年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 xml:space="preserve">月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日</w:t>
      </w:r>
    </w:p>
    <w:p w14:paraId="16F08E8F">
      <w:pPr>
        <w:widowControl/>
        <w:jc w:val="left"/>
        <w:rPr>
          <w:rFonts w:hint="eastAsia" w:ascii="宋体" w:hAnsi="宋体" w:eastAsia="宋体" w:cs="宋体"/>
          <w:sz w:val="24"/>
          <w:szCs w:val="24"/>
          <w:highlight w:val="none"/>
        </w:rPr>
      </w:pPr>
    </w:p>
    <w:p w14:paraId="507140A5">
      <w:pPr>
        <w:spacing w:line="572" w:lineRule="atLeast"/>
        <w:jc w:val="center"/>
        <w:rPr>
          <w:rFonts w:hint="eastAsia" w:ascii="宋体" w:hAnsi="宋体" w:eastAsia="宋体" w:cs="宋体"/>
          <w:b/>
          <w:sz w:val="24"/>
          <w:szCs w:val="24"/>
          <w:highlight w:val="none"/>
        </w:rPr>
      </w:pPr>
    </w:p>
    <w:p w14:paraId="01170003">
      <w:pPr>
        <w:jc w:val="both"/>
        <w:rPr>
          <w:rFonts w:hint="eastAsia" w:ascii="宋体" w:hAnsi="宋体" w:cs="宋体"/>
          <w:b/>
          <w:bCs/>
          <w:sz w:val="24"/>
          <w:highlight w:val="none"/>
        </w:rPr>
      </w:pPr>
      <w:r>
        <w:rPr>
          <w:rFonts w:hint="eastAsia" w:ascii="宋体" w:hAnsi="宋体" w:eastAsia="宋体" w:cs="宋体"/>
          <w:b/>
          <w:sz w:val="24"/>
          <w:szCs w:val="24"/>
          <w:highlight w:val="none"/>
        </w:rPr>
        <w:br w:type="page"/>
      </w:r>
    </w:p>
    <w:p w14:paraId="5D05EBE0">
      <w:pPr>
        <w:autoSpaceDE w:val="0"/>
        <w:autoSpaceDN w:val="0"/>
        <w:adjustRightInd w:val="0"/>
        <w:jc w:val="center"/>
        <w:rPr>
          <w:rFonts w:hint="eastAsia" w:ascii="宋体" w:hAnsi="宋体" w:eastAsia="宋体" w:cs="宋体"/>
          <w:b/>
          <w:sz w:val="24"/>
        </w:rPr>
      </w:pPr>
      <w:r>
        <w:rPr>
          <w:rFonts w:hint="eastAsia" w:ascii="宋体" w:hAnsi="宋体" w:eastAsia="宋体" w:cs="宋体"/>
          <w:b/>
          <w:sz w:val="24"/>
          <w:szCs w:val="24"/>
          <w:highlight w:val="none"/>
        </w:rPr>
        <w:t>格式1</w:t>
      </w:r>
      <w:r>
        <w:rPr>
          <w:rFonts w:hint="eastAsia" w:ascii="宋体" w:hAnsi="宋体" w:eastAsia="宋体" w:cs="宋体"/>
          <w:b/>
          <w:sz w:val="24"/>
          <w:szCs w:val="24"/>
          <w:highlight w:val="none"/>
          <w:lang w:val="en-US" w:eastAsia="zh-CN"/>
        </w:rPr>
        <w:t>2</w:t>
      </w:r>
      <w:r>
        <w:rPr>
          <w:rFonts w:hint="eastAsia" w:ascii="宋体" w:hAnsi="宋体" w:eastAsia="宋体" w:cs="宋体"/>
          <w:b/>
          <w:sz w:val="24"/>
          <w:szCs w:val="24"/>
          <w:highlight w:val="none"/>
        </w:rPr>
        <w:t xml:space="preserve"> </w:t>
      </w:r>
      <w:r>
        <w:rPr>
          <w:rFonts w:hint="eastAsia" w:ascii="宋体" w:hAnsi="宋体" w:cs="宋体"/>
          <w:b/>
          <w:sz w:val="24"/>
          <w:szCs w:val="24"/>
          <w:highlight w:val="none"/>
          <w:lang w:val="en-US" w:eastAsia="zh-CN"/>
        </w:rPr>
        <w:t>技术</w:t>
      </w:r>
      <w:r>
        <w:rPr>
          <w:rFonts w:hint="eastAsia" w:ascii="宋体" w:hAnsi="宋体" w:eastAsia="宋体" w:cs="宋体"/>
          <w:b/>
          <w:sz w:val="24"/>
          <w:szCs w:val="24"/>
          <w:highlight w:val="none"/>
          <w:lang w:val="en-US" w:eastAsia="zh-CN"/>
        </w:rPr>
        <w:t>服务人员明细</w:t>
      </w:r>
      <w:r>
        <w:rPr>
          <w:rFonts w:hint="eastAsia" w:ascii="宋体" w:hAnsi="宋体" w:eastAsia="宋体" w:cs="宋体"/>
          <w:b/>
          <w:sz w:val="24"/>
          <w:szCs w:val="24"/>
          <w:highlight w:val="none"/>
        </w:rPr>
        <w:t>表</w:t>
      </w:r>
    </w:p>
    <w:tbl>
      <w:tblPr>
        <w:tblStyle w:val="24"/>
        <w:tblpPr w:leftFromText="180" w:rightFromText="180" w:vertAnchor="text" w:horzAnchor="page" w:tblpX="1281" w:tblpY="310"/>
        <w:tblOverlap w:val="never"/>
        <w:tblW w:w="104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388"/>
        <w:gridCol w:w="1226"/>
        <w:gridCol w:w="1626"/>
        <w:gridCol w:w="1473"/>
        <w:gridCol w:w="1473"/>
        <w:gridCol w:w="1473"/>
        <w:gridCol w:w="1151"/>
      </w:tblGrid>
      <w:tr w14:paraId="09FD4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648" w:type="dxa"/>
            <w:noWrap w:val="0"/>
            <w:vAlign w:val="center"/>
          </w:tcPr>
          <w:p w14:paraId="05F29CBA">
            <w:pPr>
              <w:autoSpaceDE w:val="0"/>
              <w:autoSpaceDN w:val="0"/>
              <w:adjustRightInd w:val="0"/>
              <w:jc w:val="center"/>
              <w:rPr>
                <w:rFonts w:hint="eastAsia" w:ascii="宋体" w:hAnsi="宋体" w:eastAsia="宋体" w:cs="宋体"/>
                <w:sz w:val="24"/>
                <w:lang w:val="zh-CN"/>
              </w:rPr>
            </w:pPr>
            <w:r>
              <w:rPr>
                <w:rFonts w:hint="eastAsia" w:ascii="宋体" w:hAnsi="宋体" w:eastAsia="宋体" w:cs="宋体"/>
                <w:sz w:val="24"/>
                <w:lang w:val="zh-CN"/>
              </w:rPr>
              <w:t>序号</w:t>
            </w:r>
          </w:p>
        </w:tc>
        <w:tc>
          <w:tcPr>
            <w:tcW w:w="1388" w:type="dxa"/>
            <w:noWrap w:val="0"/>
            <w:vAlign w:val="center"/>
          </w:tcPr>
          <w:p w14:paraId="51968055">
            <w:pPr>
              <w:autoSpaceDE w:val="0"/>
              <w:autoSpaceDN w:val="0"/>
              <w:adjustRightInd w:val="0"/>
              <w:jc w:val="center"/>
              <w:rPr>
                <w:rFonts w:hint="eastAsia" w:ascii="宋体" w:hAnsi="宋体" w:eastAsia="宋体" w:cs="宋体"/>
                <w:sz w:val="24"/>
                <w:lang w:val="en-US" w:eastAsia="zh-CN"/>
              </w:rPr>
            </w:pPr>
            <w:r>
              <w:rPr>
                <w:rFonts w:hint="eastAsia" w:ascii="宋体" w:hAnsi="宋体" w:cs="宋体"/>
                <w:sz w:val="24"/>
                <w:lang w:val="en-US" w:eastAsia="zh-CN"/>
              </w:rPr>
              <w:t>职务</w:t>
            </w:r>
          </w:p>
        </w:tc>
        <w:tc>
          <w:tcPr>
            <w:tcW w:w="1226" w:type="dxa"/>
            <w:noWrap w:val="0"/>
            <w:vAlign w:val="center"/>
          </w:tcPr>
          <w:p w14:paraId="610A7A5D">
            <w:pPr>
              <w:autoSpaceDE w:val="0"/>
              <w:autoSpaceDN w:val="0"/>
              <w:adjustRightInd w:val="0"/>
              <w:jc w:val="center"/>
              <w:rPr>
                <w:rFonts w:hint="eastAsia" w:ascii="宋体" w:hAnsi="宋体" w:eastAsia="宋体" w:cs="宋体"/>
                <w:sz w:val="24"/>
                <w:lang w:val="zh-CN"/>
              </w:rPr>
            </w:pPr>
            <w:r>
              <w:rPr>
                <w:rFonts w:hint="eastAsia" w:ascii="宋体" w:hAnsi="宋体" w:eastAsia="宋体" w:cs="宋体"/>
                <w:sz w:val="24"/>
                <w:lang w:val="zh-CN"/>
              </w:rPr>
              <w:t>姓名</w:t>
            </w:r>
          </w:p>
        </w:tc>
        <w:tc>
          <w:tcPr>
            <w:tcW w:w="1626" w:type="dxa"/>
            <w:noWrap w:val="0"/>
            <w:vAlign w:val="center"/>
          </w:tcPr>
          <w:p w14:paraId="58BE5454">
            <w:pPr>
              <w:autoSpaceDE w:val="0"/>
              <w:autoSpaceDN w:val="0"/>
              <w:adjustRightInd w:val="0"/>
              <w:jc w:val="center"/>
              <w:rPr>
                <w:rFonts w:hint="eastAsia" w:ascii="宋体" w:hAnsi="宋体" w:eastAsia="宋体" w:cs="宋体"/>
                <w:sz w:val="24"/>
                <w:lang w:val="zh-CN"/>
              </w:rPr>
            </w:pPr>
            <w:r>
              <w:rPr>
                <w:rFonts w:hint="eastAsia" w:ascii="宋体" w:hAnsi="宋体" w:eastAsia="宋体" w:cs="宋体"/>
                <w:sz w:val="24"/>
                <w:lang w:val="zh-CN"/>
              </w:rPr>
              <w:t>性别</w:t>
            </w:r>
          </w:p>
        </w:tc>
        <w:tc>
          <w:tcPr>
            <w:tcW w:w="1473" w:type="dxa"/>
            <w:noWrap w:val="0"/>
            <w:vAlign w:val="center"/>
          </w:tcPr>
          <w:p w14:paraId="141023CE">
            <w:pPr>
              <w:autoSpaceDE w:val="0"/>
              <w:autoSpaceDN w:val="0"/>
              <w:adjustRightInd w:val="0"/>
              <w:jc w:val="center"/>
              <w:rPr>
                <w:rFonts w:hint="eastAsia" w:ascii="宋体" w:hAnsi="宋体" w:eastAsia="宋体" w:cs="宋体"/>
                <w:sz w:val="24"/>
                <w:lang w:val="zh-CN" w:eastAsia="zh-CN"/>
              </w:rPr>
            </w:pPr>
            <w:r>
              <w:rPr>
                <w:rFonts w:hint="eastAsia" w:ascii="宋体" w:hAnsi="宋体" w:eastAsia="宋体" w:cs="宋体"/>
                <w:sz w:val="24"/>
                <w:lang w:val="en-US" w:eastAsia="zh-CN"/>
              </w:rPr>
              <w:t>年龄</w:t>
            </w:r>
          </w:p>
        </w:tc>
        <w:tc>
          <w:tcPr>
            <w:tcW w:w="1473" w:type="dxa"/>
            <w:noWrap w:val="0"/>
            <w:vAlign w:val="center"/>
          </w:tcPr>
          <w:p w14:paraId="5EACDA49">
            <w:pPr>
              <w:autoSpaceDE w:val="0"/>
              <w:autoSpaceDN w:val="0"/>
              <w:adjustRightInd w:val="0"/>
              <w:jc w:val="center"/>
              <w:rPr>
                <w:rFonts w:hint="eastAsia" w:ascii="宋体" w:hAnsi="宋体" w:eastAsia="宋体" w:cs="宋体"/>
                <w:sz w:val="24"/>
                <w:lang w:val="zh-CN"/>
              </w:rPr>
            </w:pPr>
            <w:r>
              <w:rPr>
                <w:rFonts w:hint="eastAsia" w:ascii="宋体" w:hAnsi="宋体" w:eastAsia="宋体" w:cs="宋体"/>
                <w:sz w:val="24"/>
                <w:lang w:val="zh-CN"/>
              </w:rPr>
              <w:t>技术职称</w:t>
            </w:r>
          </w:p>
        </w:tc>
        <w:tc>
          <w:tcPr>
            <w:tcW w:w="1473" w:type="dxa"/>
            <w:noWrap w:val="0"/>
            <w:vAlign w:val="center"/>
          </w:tcPr>
          <w:p w14:paraId="623435D0">
            <w:pPr>
              <w:autoSpaceDE w:val="0"/>
              <w:autoSpaceDN w:val="0"/>
              <w:adjustRightInd w:val="0"/>
              <w:jc w:val="center"/>
              <w:rPr>
                <w:rFonts w:hint="eastAsia" w:ascii="宋体" w:hAnsi="宋体" w:eastAsia="宋体" w:cs="宋体"/>
                <w:sz w:val="24"/>
                <w:lang w:val="zh-CN"/>
              </w:rPr>
            </w:pPr>
            <w:r>
              <w:rPr>
                <w:rFonts w:hint="eastAsia" w:ascii="宋体" w:hAnsi="宋体" w:eastAsia="宋体" w:cs="宋体"/>
                <w:sz w:val="24"/>
                <w:lang w:val="zh-CN"/>
              </w:rPr>
              <w:t>执业资格</w:t>
            </w:r>
            <w:r>
              <w:rPr>
                <w:rFonts w:hint="eastAsia" w:ascii="宋体" w:hAnsi="宋体" w:eastAsia="宋体" w:cs="宋体"/>
                <w:sz w:val="24"/>
              </w:rPr>
              <w:t>及</w:t>
            </w:r>
            <w:r>
              <w:rPr>
                <w:rFonts w:hint="eastAsia" w:ascii="宋体" w:hAnsi="宋体" w:eastAsia="宋体" w:cs="宋体"/>
                <w:sz w:val="24"/>
                <w:lang w:val="zh-CN"/>
              </w:rPr>
              <w:t>证书号</w:t>
            </w:r>
          </w:p>
        </w:tc>
        <w:tc>
          <w:tcPr>
            <w:tcW w:w="1151" w:type="dxa"/>
            <w:noWrap w:val="0"/>
            <w:vAlign w:val="center"/>
          </w:tcPr>
          <w:p w14:paraId="5C678D39">
            <w:pPr>
              <w:autoSpaceDE w:val="0"/>
              <w:autoSpaceDN w:val="0"/>
              <w:adjustRightInd w:val="0"/>
              <w:jc w:val="center"/>
              <w:rPr>
                <w:rFonts w:hint="eastAsia" w:ascii="宋体" w:hAnsi="宋体" w:eastAsia="宋体" w:cs="宋体"/>
                <w:sz w:val="24"/>
                <w:lang w:val="zh-CN"/>
              </w:rPr>
            </w:pPr>
            <w:r>
              <w:rPr>
                <w:rFonts w:hint="eastAsia" w:ascii="宋体" w:hAnsi="宋体" w:eastAsia="宋体" w:cs="宋体"/>
                <w:sz w:val="24"/>
                <w:lang w:val="zh-CN"/>
              </w:rPr>
              <w:t>从事专业工作年限</w:t>
            </w:r>
          </w:p>
        </w:tc>
      </w:tr>
      <w:tr w14:paraId="1C790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74344B12">
            <w:pPr>
              <w:autoSpaceDE w:val="0"/>
              <w:autoSpaceDN w:val="0"/>
              <w:adjustRightInd w:val="0"/>
              <w:jc w:val="center"/>
              <w:rPr>
                <w:rFonts w:hint="eastAsia" w:ascii="宋体" w:hAnsi="宋体" w:eastAsia="宋体" w:cs="宋体"/>
                <w:sz w:val="24"/>
                <w:lang w:val="zh-CN"/>
              </w:rPr>
            </w:pPr>
            <w:r>
              <w:rPr>
                <w:rFonts w:hint="eastAsia" w:ascii="宋体" w:hAnsi="宋体" w:eastAsia="宋体" w:cs="宋体"/>
                <w:sz w:val="24"/>
                <w:lang w:val="zh-CN"/>
              </w:rPr>
              <w:t>1</w:t>
            </w:r>
          </w:p>
        </w:tc>
        <w:tc>
          <w:tcPr>
            <w:tcW w:w="1388" w:type="dxa"/>
            <w:noWrap w:val="0"/>
            <w:vAlign w:val="top"/>
          </w:tcPr>
          <w:p w14:paraId="1BA3E750">
            <w:pPr>
              <w:autoSpaceDE w:val="0"/>
              <w:autoSpaceDN w:val="0"/>
              <w:adjustRightInd w:val="0"/>
              <w:jc w:val="center"/>
              <w:rPr>
                <w:rFonts w:hint="default" w:ascii="宋体" w:hAnsi="宋体" w:eastAsia="宋体" w:cs="宋体"/>
                <w:sz w:val="24"/>
                <w:lang w:val="en-US" w:eastAsia="zh-CN"/>
              </w:rPr>
            </w:pPr>
            <w:r>
              <w:rPr>
                <w:rFonts w:hint="eastAsia" w:ascii="宋体" w:hAnsi="宋体" w:cs="宋体"/>
                <w:sz w:val="24"/>
                <w:lang w:val="en-US" w:eastAsia="zh-CN"/>
              </w:rPr>
              <w:t>项目负责人</w:t>
            </w:r>
          </w:p>
        </w:tc>
        <w:tc>
          <w:tcPr>
            <w:tcW w:w="1226" w:type="dxa"/>
            <w:noWrap w:val="0"/>
            <w:vAlign w:val="top"/>
          </w:tcPr>
          <w:p w14:paraId="132A67DB">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3226AFAB">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2E1B4F89">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02661FC8">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3D422440">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7E763188">
            <w:pPr>
              <w:autoSpaceDE w:val="0"/>
              <w:autoSpaceDN w:val="0"/>
              <w:adjustRightInd w:val="0"/>
              <w:jc w:val="center"/>
              <w:rPr>
                <w:rFonts w:hint="eastAsia" w:ascii="宋体" w:hAnsi="宋体" w:eastAsia="宋体" w:cs="宋体"/>
                <w:sz w:val="24"/>
                <w:lang w:val="zh-CN"/>
              </w:rPr>
            </w:pPr>
          </w:p>
        </w:tc>
      </w:tr>
      <w:tr w14:paraId="1E95D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3A91F377">
            <w:pPr>
              <w:autoSpaceDE w:val="0"/>
              <w:autoSpaceDN w:val="0"/>
              <w:adjustRightInd w:val="0"/>
              <w:jc w:val="center"/>
              <w:rPr>
                <w:rFonts w:hint="eastAsia" w:ascii="宋体" w:hAnsi="宋体" w:eastAsia="宋体" w:cs="宋体"/>
                <w:sz w:val="24"/>
                <w:lang w:val="zh-CN"/>
              </w:rPr>
            </w:pPr>
            <w:r>
              <w:rPr>
                <w:rFonts w:hint="eastAsia" w:ascii="宋体" w:hAnsi="宋体" w:eastAsia="宋体" w:cs="宋体"/>
                <w:sz w:val="24"/>
                <w:lang w:val="zh-CN"/>
              </w:rPr>
              <w:t>2</w:t>
            </w:r>
          </w:p>
        </w:tc>
        <w:tc>
          <w:tcPr>
            <w:tcW w:w="1388" w:type="dxa"/>
            <w:noWrap w:val="0"/>
            <w:vAlign w:val="top"/>
          </w:tcPr>
          <w:p w14:paraId="36C03E7F">
            <w:pPr>
              <w:autoSpaceDE w:val="0"/>
              <w:autoSpaceDN w:val="0"/>
              <w:adjustRightInd w:val="0"/>
              <w:jc w:val="center"/>
              <w:rPr>
                <w:rFonts w:hint="default" w:ascii="宋体" w:hAnsi="宋体" w:eastAsia="宋体" w:cs="宋体"/>
                <w:sz w:val="24"/>
                <w:lang w:val="en-US" w:eastAsia="zh-CN"/>
              </w:rPr>
            </w:pPr>
            <w:r>
              <w:rPr>
                <w:rFonts w:hint="eastAsia" w:ascii="宋体" w:hAnsi="宋体" w:cs="宋体"/>
                <w:sz w:val="24"/>
                <w:lang w:val="en-US" w:eastAsia="zh-CN"/>
              </w:rPr>
              <w:t>技术负责人</w:t>
            </w:r>
          </w:p>
        </w:tc>
        <w:tc>
          <w:tcPr>
            <w:tcW w:w="1226" w:type="dxa"/>
            <w:noWrap w:val="0"/>
            <w:vAlign w:val="top"/>
          </w:tcPr>
          <w:p w14:paraId="1F778071">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399958BE">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2B0B7283">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1664B1AF">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3B6AFA62">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6306FBE5">
            <w:pPr>
              <w:autoSpaceDE w:val="0"/>
              <w:autoSpaceDN w:val="0"/>
              <w:adjustRightInd w:val="0"/>
              <w:jc w:val="center"/>
              <w:rPr>
                <w:rFonts w:hint="eastAsia" w:ascii="宋体" w:hAnsi="宋体" w:eastAsia="宋体" w:cs="宋体"/>
                <w:sz w:val="24"/>
                <w:lang w:val="zh-CN"/>
              </w:rPr>
            </w:pPr>
          </w:p>
        </w:tc>
      </w:tr>
      <w:tr w14:paraId="2D920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18B43A19">
            <w:pPr>
              <w:autoSpaceDE w:val="0"/>
              <w:autoSpaceDN w:val="0"/>
              <w:adjustRightInd w:val="0"/>
              <w:jc w:val="center"/>
              <w:rPr>
                <w:rFonts w:hint="eastAsia" w:ascii="宋体" w:hAnsi="宋体" w:eastAsia="宋体" w:cs="宋体"/>
                <w:sz w:val="24"/>
                <w:lang w:val="zh-CN"/>
              </w:rPr>
            </w:pPr>
            <w:r>
              <w:rPr>
                <w:rFonts w:hint="eastAsia" w:ascii="宋体" w:hAnsi="宋体" w:eastAsia="宋体" w:cs="宋体"/>
                <w:sz w:val="24"/>
                <w:lang w:val="zh-CN"/>
              </w:rPr>
              <w:t>3</w:t>
            </w:r>
          </w:p>
        </w:tc>
        <w:tc>
          <w:tcPr>
            <w:tcW w:w="1388" w:type="dxa"/>
            <w:noWrap w:val="0"/>
            <w:vAlign w:val="top"/>
          </w:tcPr>
          <w:p w14:paraId="7A0F6E8F">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770B86FC">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0DCC54A2">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4BB7C749">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01A9769C">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2E3EF9D0">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461FF1DB">
            <w:pPr>
              <w:autoSpaceDE w:val="0"/>
              <w:autoSpaceDN w:val="0"/>
              <w:adjustRightInd w:val="0"/>
              <w:jc w:val="center"/>
              <w:rPr>
                <w:rFonts w:hint="eastAsia" w:ascii="宋体" w:hAnsi="宋体" w:eastAsia="宋体" w:cs="宋体"/>
                <w:sz w:val="24"/>
                <w:lang w:val="zh-CN"/>
              </w:rPr>
            </w:pPr>
          </w:p>
        </w:tc>
      </w:tr>
      <w:tr w14:paraId="48485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32416503">
            <w:pPr>
              <w:autoSpaceDE w:val="0"/>
              <w:autoSpaceDN w:val="0"/>
              <w:adjustRightInd w:val="0"/>
              <w:jc w:val="center"/>
              <w:rPr>
                <w:rFonts w:hint="eastAsia" w:ascii="宋体" w:hAnsi="宋体" w:eastAsia="宋体" w:cs="宋体"/>
                <w:sz w:val="24"/>
                <w:lang w:val="zh-CN"/>
              </w:rPr>
            </w:pPr>
            <w:r>
              <w:rPr>
                <w:rFonts w:hint="eastAsia" w:ascii="宋体" w:hAnsi="宋体" w:eastAsia="宋体" w:cs="宋体"/>
                <w:sz w:val="24"/>
                <w:lang w:val="zh-CN"/>
              </w:rPr>
              <w:t>……</w:t>
            </w:r>
          </w:p>
        </w:tc>
        <w:tc>
          <w:tcPr>
            <w:tcW w:w="1388" w:type="dxa"/>
            <w:noWrap w:val="0"/>
            <w:vAlign w:val="top"/>
          </w:tcPr>
          <w:p w14:paraId="73BE7A86">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4A330B29">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2EC2F38F">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4859971C">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45E28DE5">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71BC2FE8">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2757DDFF">
            <w:pPr>
              <w:autoSpaceDE w:val="0"/>
              <w:autoSpaceDN w:val="0"/>
              <w:adjustRightInd w:val="0"/>
              <w:jc w:val="center"/>
              <w:rPr>
                <w:rFonts w:hint="eastAsia" w:ascii="宋体" w:hAnsi="宋体" w:eastAsia="宋体" w:cs="宋体"/>
                <w:sz w:val="24"/>
                <w:lang w:val="zh-CN"/>
              </w:rPr>
            </w:pPr>
          </w:p>
        </w:tc>
      </w:tr>
      <w:tr w14:paraId="6B5BA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648" w:type="dxa"/>
            <w:noWrap w:val="0"/>
            <w:vAlign w:val="top"/>
          </w:tcPr>
          <w:p w14:paraId="4C99B767">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556A3F2E">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05522CA0">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04A5210F">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6FD983EC">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7791959F">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28B5D929">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6B64C37C">
            <w:pPr>
              <w:autoSpaceDE w:val="0"/>
              <w:autoSpaceDN w:val="0"/>
              <w:adjustRightInd w:val="0"/>
              <w:jc w:val="center"/>
              <w:rPr>
                <w:rFonts w:hint="eastAsia" w:ascii="宋体" w:hAnsi="宋体" w:eastAsia="宋体" w:cs="宋体"/>
                <w:sz w:val="24"/>
                <w:lang w:val="zh-CN"/>
              </w:rPr>
            </w:pPr>
          </w:p>
        </w:tc>
      </w:tr>
      <w:tr w14:paraId="7745F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68D99295">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68897D36">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6825ABC4">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22A4E910">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7BADED26">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1251D062">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55A93A5B">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2D92E984">
            <w:pPr>
              <w:autoSpaceDE w:val="0"/>
              <w:autoSpaceDN w:val="0"/>
              <w:adjustRightInd w:val="0"/>
              <w:jc w:val="center"/>
              <w:rPr>
                <w:rFonts w:hint="eastAsia" w:ascii="宋体" w:hAnsi="宋体" w:eastAsia="宋体" w:cs="宋体"/>
                <w:sz w:val="24"/>
                <w:lang w:val="zh-CN"/>
              </w:rPr>
            </w:pPr>
          </w:p>
        </w:tc>
      </w:tr>
      <w:tr w14:paraId="63251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0E9C0789">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4AFB05D5">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4D132E88">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49187BEC">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33F38DCF">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578E4B30">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7B31438E">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6FB2BCA9">
            <w:pPr>
              <w:autoSpaceDE w:val="0"/>
              <w:autoSpaceDN w:val="0"/>
              <w:adjustRightInd w:val="0"/>
              <w:jc w:val="center"/>
              <w:rPr>
                <w:rFonts w:hint="eastAsia" w:ascii="宋体" w:hAnsi="宋体" w:eastAsia="宋体" w:cs="宋体"/>
                <w:sz w:val="24"/>
                <w:lang w:val="zh-CN"/>
              </w:rPr>
            </w:pPr>
          </w:p>
        </w:tc>
      </w:tr>
      <w:tr w14:paraId="27AA8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79F6AC39">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76418E42">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7B5A684C">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3BAE8AFD">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4F22EC86">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6842F612">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3497CC8F">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06213185">
            <w:pPr>
              <w:autoSpaceDE w:val="0"/>
              <w:autoSpaceDN w:val="0"/>
              <w:adjustRightInd w:val="0"/>
              <w:jc w:val="center"/>
              <w:rPr>
                <w:rFonts w:hint="eastAsia" w:ascii="宋体" w:hAnsi="宋体" w:eastAsia="宋体" w:cs="宋体"/>
                <w:sz w:val="24"/>
                <w:lang w:val="zh-CN"/>
              </w:rPr>
            </w:pPr>
          </w:p>
        </w:tc>
      </w:tr>
      <w:tr w14:paraId="47DB4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3F15DEB1">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4FB77872">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2F65EB9F">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1FB164EC">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6E4B1C56">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4E105151">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4426E076">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59C582E9">
            <w:pPr>
              <w:autoSpaceDE w:val="0"/>
              <w:autoSpaceDN w:val="0"/>
              <w:adjustRightInd w:val="0"/>
              <w:jc w:val="center"/>
              <w:rPr>
                <w:rFonts w:hint="eastAsia" w:ascii="宋体" w:hAnsi="宋体" w:eastAsia="宋体" w:cs="宋体"/>
                <w:sz w:val="24"/>
                <w:lang w:val="zh-CN"/>
              </w:rPr>
            </w:pPr>
          </w:p>
        </w:tc>
      </w:tr>
      <w:tr w14:paraId="6A511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3A082B76">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4F61D237">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376AF8AF">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4509FDF4">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18190E88">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25F4E363">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17492A25">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4862F385">
            <w:pPr>
              <w:autoSpaceDE w:val="0"/>
              <w:autoSpaceDN w:val="0"/>
              <w:adjustRightInd w:val="0"/>
              <w:jc w:val="center"/>
              <w:rPr>
                <w:rFonts w:hint="eastAsia" w:ascii="宋体" w:hAnsi="宋体" w:eastAsia="宋体" w:cs="宋体"/>
                <w:sz w:val="24"/>
                <w:lang w:val="zh-CN"/>
              </w:rPr>
            </w:pPr>
          </w:p>
        </w:tc>
      </w:tr>
      <w:tr w14:paraId="5F825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77D4ADFA">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7BCDCEDE">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214505F5">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61BA0D59">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22D9FF9F">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02FC0460">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0040A742">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72702B62">
            <w:pPr>
              <w:autoSpaceDE w:val="0"/>
              <w:autoSpaceDN w:val="0"/>
              <w:adjustRightInd w:val="0"/>
              <w:jc w:val="center"/>
              <w:rPr>
                <w:rFonts w:hint="eastAsia" w:ascii="宋体" w:hAnsi="宋体" w:eastAsia="宋体" w:cs="宋体"/>
                <w:sz w:val="24"/>
                <w:lang w:val="zh-CN"/>
              </w:rPr>
            </w:pPr>
          </w:p>
        </w:tc>
      </w:tr>
      <w:tr w14:paraId="7D070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39D01FDA">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079D6251">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0FE707EF">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7530D85C">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6E1B5E34">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566DCCC6">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5806C54B">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28064142">
            <w:pPr>
              <w:autoSpaceDE w:val="0"/>
              <w:autoSpaceDN w:val="0"/>
              <w:adjustRightInd w:val="0"/>
              <w:jc w:val="center"/>
              <w:rPr>
                <w:rFonts w:hint="eastAsia" w:ascii="宋体" w:hAnsi="宋体" w:eastAsia="宋体" w:cs="宋体"/>
                <w:sz w:val="24"/>
                <w:lang w:val="zh-CN"/>
              </w:rPr>
            </w:pPr>
          </w:p>
        </w:tc>
      </w:tr>
      <w:tr w14:paraId="537FE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642BEDB0">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36800B17">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3B301D1A">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622C75C8">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098B9F85">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40C45539">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5A0BDDD6">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04E0BC9A">
            <w:pPr>
              <w:autoSpaceDE w:val="0"/>
              <w:autoSpaceDN w:val="0"/>
              <w:adjustRightInd w:val="0"/>
              <w:jc w:val="center"/>
              <w:rPr>
                <w:rFonts w:hint="eastAsia" w:ascii="宋体" w:hAnsi="宋体" w:eastAsia="宋体" w:cs="宋体"/>
                <w:sz w:val="24"/>
                <w:lang w:val="zh-CN"/>
              </w:rPr>
            </w:pPr>
          </w:p>
        </w:tc>
      </w:tr>
      <w:tr w14:paraId="23B40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50522052">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3AD37041">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18232FB0">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1F7137D7">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267022C4">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4F644B08">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2091FB11">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214FC13A">
            <w:pPr>
              <w:autoSpaceDE w:val="0"/>
              <w:autoSpaceDN w:val="0"/>
              <w:adjustRightInd w:val="0"/>
              <w:jc w:val="center"/>
              <w:rPr>
                <w:rFonts w:hint="eastAsia" w:ascii="宋体" w:hAnsi="宋体" w:eastAsia="宋体" w:cs="宋体"/>
                <w:sz w:val="24"/>
                <w:lang w:val="zh-CN"/>
              </w:rPr>
            </w:pPr>
          </w:p>
        </w:tc>
      </w:tr>
      <w:tr w14:paraId="25077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147FD99F">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5C188D4D">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4D1938CA">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7C12AFD7">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197688CC">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22483EEF">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04F4CB67">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7D0DDC4F">
            <w:pPr>
              <w:autoSpaceDE w:val="0"/>
              <w:autoSpaceDN w:val="0"/>
              <w:adjustRightInd w:val="0"/>
              <w:jc w:val="center"/>
              <w:rPr>
                <w:rFonts w:hint="eastAsia" w:ascii="宋体" w:hAnsi="宋体" w:eastAsia="宋体" w:cs="宋体"/>
                <w:sz w:val="24"/>
                <w:lang w:val="zh-CN"/>
              </w:rPr>
            </w:pPr>
          </w:p>
        </w:tc>
      </w:tr>
      <w:tr w14:paraId="71480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648" w:type="dxa"/>
            <w:noWrap w:val="0"/>
            <w:vAlign w:val="top"/>
          </w:tcPr>
          <w:p w14:paraId="280D6DD3">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626475B3">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522755F2">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09A5B5C1">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540E5756">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1D44B122">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6FF0B41C">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0F881D4F">
            <w:pPr>
              <w:autoSpaceDE w:val="0"/>
              <w:autoSpaceDN w:val="0"/>
              <w:adjustRightInd w:val="0"/>
              <w:jc w:val="center"/>
              <w:rPr>
                <w:rFonts w:hint="eastAsia" w:ascii="宋体" w:hAnsi="宋体" w:eastAsia="宋体" w:cs="宋体"/>
                <w:sz w:val="24"/>
                <w:lang w:val="zh-CN"/>
              </w:rPr>
            </w:pPr>
          </w:p>
        </w:tc>
      </w:tr>
      <w:tr w14:paraId="3DCCD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48" w:type="dxa"/>
            <w:noWrap w:val="0"/>
            <w:vAlign w:val="top"/>
          </w:tcPr>
          <w:p w14:paraId="5B5C5642">
            <w:pPr>
              <w:autoSpaceDE w:val="0"/>
              <w:autoSpaceDN w:val="0"/>
              <w:adjustRightInd w:val="0"/>
              <w:jc w:val="center"/>
              <w:rPr>
                <w:rFonts w:hint="eastAsia" w:ascii="宋体" w:hAnsi="宋体" w:eastAsia="宋体" w:cs="宋体"/>
                <w:sz w:val="24"/>
                <w:lang w:val="zh-CN"/>
              </w:rPr>
            </w:pPr>
          </w:p>
        </w:tc>
        <w:tc>
          <w:tcPr>
            <w:tcW w:w="1388" w:type="dxa"/>
            <w:noWrap w:val="0"/>
            <w:vAlign w:val="top"/>
          </w:tcPr>
          <w:p w14:paraId="76FDA5DE">
            <w:pPr>
              <w:autoSpaceDE w:val="0"/>
              <w:autoSpaceDN w:val="0"/>
              <w:adjustRightInd w:val="0"/>
              <w:jc w:val="center"/>
              <w:rPr>
                <w:rFonts w:hint="eastAsia" w:ascii="宋体" w:hAnsi="宋体" w:eastAsia="宋体" w:cs="宋体"/>
                <w:sz w:val="24"/>
                <w:lang w:val="zh-CN"/>
              </w:rPr>
            </w:pPr>
          </w:p>
        </w:tc>
        <w:tc>
          <w:tcPr>
            <w:tcW w:w="1226" w:type="dxa"/>
            <w:noWrap w:val="0"/>
            <w:vAlign w:val="top"/>
          </w:tcPr>
          <w:p w14:paraId="2F3BF263">
            <w:pPr>
              <w:autoSpaceDE w:val="0"/>
              <w:autoSpaceDN w:val="0"/>
              <w:adjustRightInd w:val="0"/>
              <w:jc w:val="center"/>
              <w:rPr>
                <w:rFonts w:hint="eastAsia" w:ascii="宋体" w:hAnsi="宋体" w:eastAsia="宋体" w:cs="宋体"/>
                <w:sz w:val="24"/>
                <w:lang w:val="zh-CN"/>
              </w:rPr>
            </w:pPr>
          </w:p>
        </w:tc>
        <w:tc>
          <w:tcPr>
            <w:tcW w:w="1626" w:type="dxa"/>
            <w:noWrap w:val="0"/>
            <w:vAlign w:val="top"/>
          </w:tcPr>
          <w:p w14:paraId="018FCFCE">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086B8F26">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51313C49">
            <w:pPr>
              <w:autoSpaceDE w:val="0"/>
              <w:autoSpaceDN w:val="0"/>
              <w:adjustRightInd w:val="0"/>
              <w:jc w:val="center"/>
              <w:rPr>
                <w:rFonts w:hint="eastAsia" w:ascii="宋体" w:hAnsi="宋体" w:eastAsia="宋体" w:cs="宋体"/>
                <w:sz w:val="24"/>
                <w:lang w:val="zh-CN"/>
              </w:rPr>
            </w:pPr>
          </w:p>
        </w:tc>
        <w:tc>
          <w:tcPr>
            <w:tcW w:w="1473" w:type="dxa"/>
            <w:noWrap w:val="0"/>
            <w:vAlign w:val="top"/>
          </w:tcPr>
          <w:p w14:paraId="2C331FE9">
            <w:pPr>
              <w:autoSpaceDE w:val="0"/>
              <w:autoSpaceDN w:val="0"/>
              <w:adjustRightInd w:val="0"/>
              <w:jc w:val="center"/>
              <w:rPr>
                <w:rFonts w:hint="eastAsia" w:ascii="宋体" w:hAnsi="宋体" w:eastAsia="宋体" w:cs="宋体"/>
                <w:sz w:val="24"/>
                <w:lang w:val="zh-CN"/>
              </w:rPr>
            </w:pPr>
          </w:p>
        </w:tc>
        <w:tc>
          <w:tcPr>
            <w:tcW w:w="1151" w:type="dxa"/>
            <w:noWrap w:val="0"/>
            <w:vAlign w:val="top"/>
          </w:tcPr>
          <w:p w14:paraId="2897FF1C">
            <w:pPr>
              <w:autoSpaceDE w:val="0"/>
              <w:autoSpaceDN w:val="0"/>
              <w:adjustRightInd w:val="0"/>
              <w:jc w:val="center"/>
              <w:rPr>
                <w:rFonts w:hint="eastAsia" w:ascii="宋体" w:hAnsi="宋体" w:eastAsia="宋体" w:cs="宋体"/>
                <w:sz w:val="24"/>
                <w:lang w:val="zh-CN"/>
              </w:rPr>
            </w:pPr>
          </w:p>
        </w:tc>
      </w:tr>
    </w:tbl>
    <w:p w14:paraId="643EED76">
      <w:pPr>
        <w:pStyle w:val="7"/>
        <w:ind w:firstLine="0"/>
        <w:jc w:val="left"/>
        <w:rPr>
          <w:rFonts w:hint="eastAsia" w:ascii="宋体" w:hAnsi="宋体" w:eastAsia="宋体" w:cs="宋体"/>
          <w:b/>
          <w:sz w:val="24"/>
          <w:lang w:eastAsia="zh-CN"/>
        </w:rPr>
      </w:pPr>
      <w:r>
        <w:rPr>
          <w:rFonts w:hint="eastAsia" w:ascii="宋体" w:hAnsi="宋体" w:cs="宋体"/>
          <w:b/>
          <w:sz w:val="24"/>
          <w:lang w:val="en-US" w:eastAsia="zh-CN"/>
        </w:rPr>
        <w:t>备注：</w:t>
      </w:r>
      <w:r>
        <w:rPr>
          <w:rFonts w:hint="eastAsia" w:ascii="宋体" w:hAnsi="宋体" w:eastAsia="宋体" w:cs="宋体"/>
          <w:b/>
          <w:sz w:val="24"/>
        </w:rPr>
        <w:t>提供相关证书及2024年1月</w:t>
      </w:r>
      <w:r>
        <w:rPr>
          <w:rFonts w:hint="eastAsia" w:ascii="宋体" w:hAnsi="宋体" w:eastAsia="宋体" w:cs="宋体"/>
          <w:b/>
          <w:sz w:val="24"/>
          <w:lang w:val="en-US" w:eastAsia="zh-CN"/>
        </w:rPr>
        <w:t>至今任意</w:t>
      </w:r>
      <w:r>
        <w:rPr>
          <w:rFonts w:hint="eastAsia" w:ascii="宋体" w:hAnsi="宋体" w:eastAsia="宋体" w:cs="宋体"/>
          <w:b/>
          <w:sz w:val="24"/>
        </w:rPr>
        <w:t>连续三个月的社保证明</w:t>
      </w:r>
      <w:r>
        <w:rPr>
          <w:rFonts w:hint="eastAsia" w:ascii="宋体" w:hAnsi="宋体" w:cs="宋体"/>
          <w:b/>
          <w:sz w:val="24"/>
          <w:lang w:eastAsia="zh-CN"/>
        </w:rPr>
        <w:t>。</w:t>
      </w:r>
    </w:p>
    <w:p w14:paraId="5B868F3B">
      <w:pPr>
        <w:tabs>
          <w:tab w:val="left" w:pos="360"/>
          <w:tab w:val="left" w:pos="1800"/>
        </w:tabs>
        <w:spacing w:line="240" w:lineRule="atLeast"/>
        <w:rPr>
          <w:rFonts w:hint="eastAsia" w:ascii="宋体" w:hAnsi="宋体" w:eastAsia="宋体" w:cs="宋体"/>
          <w:b/>
          <w:sz w:val="24"/>
        </w:rPr>
      </w:pPr>
    </w:p>
    <w:p w14:paraId="050C9067">
      <w:pPr>
        <w:tabs>
          <w:tab w:val="left" w:pos="360"/>
          <w:tab w:val="left" w:pos="1800"/>
        </w:tabs>
        <w:spacing w:line="240" w:lineRule="atLeast"/>
        <w:rPr>
          <w:rFonts w:hint="eastAsia" w:ascii="宋体" w:hAnsi="宋体" w:eastAsia="宋体" w:cs="宋体"/>
          <w:b/>
          <w:sz w:val="24"/>
        </w:rPr>
      </w:pPr>
      <w:r>
        <w:rPr>
          <w:rFonts w:hint="eastAsia" w:ascii="宋体" w:hAnsi="宋体" w:eastAsia="宋体" w:cs="宋体"/>
          <w:b/>
          <w:sz w:val="24"/>
        </w:rPr>
        <w:t>我方承诺上述填报内容真实。如不真实，将按照有关规定接受处理。</w:t>
      </w:r>
    </w:p>
    <w:p w14:paraId="59B8375A">
      <w:pPr>
        <w:pStyle w:val="7"/>
        <w:ind w:firstLine="0"/>
        <w:jc w:val="center"/>
        <w:rPr>
          <w:rFonts w:hint="eastAsia" w:ascii="宋体" w:hAnsi="宋体" w:cs="宋体"/>
          <w:b/>
          <w:bCs/>
          <w:sz w:val="24"/>
          <w:szCs w:val="24"/>
        </w:rPr>
      </w:pPr>
    </w:p>
    <w:p w14:paraId="34C160AD">
      <w:pPr>
        <w:rPr>
          <w:rFonts w:hint="eastAsia" w:ascii="宋体" w:hAnsi="宋体" w:eastAsia="宋体" w:cs="宋体"/>
          <w:sz w:val="24"/>
          <w:szCs w:val="24"/>
          <w:highlight w:val="none"/>
        </w:rPr>
      </w:pPr>
    </w:p>
    <w:p w14:paraId="5D4BC7B2">
      <w:pPr>
        <w:ind w:left="560" w:hanging="480" w:hangingChars="200"/>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(盖章)：</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r>
        <w:rPr>
          <w:rFonts w:hint="eastAsia" w:ascii="宋体" w:hAnsi="宋体" w:eastAsia="宋体" w:cs="宋体"/>
          <w:sz w:val="24"/>
          <w:szCs w:val="24"/>
          <w:highlight w:val="none"/>
        </w:rPr>
        <w:t xml:space="preserve"> </w:t>
      </w:r>
    </w:p>
    <w:p w14:paraId="5DDBB7E9">
      <w:pPr>
        <w:ind w:left="560" w:hanging="480" w:hangingChars="200"/>
        <w:rPr>
          <w:rFonts w:hint="eastAsia" w:ascii="宋体" w:hAnsi="宋体" w:eastAsia="宋体" w:cs="宋体"/>
          <w:sz w:val="24"/>
          <w:szCs w:val="24"/>
          <w:highlight w:val="none"/>
        </w:rPr>
      </w:pPr>
    </w:p>
    <w:p w14:paraId="0D6FA94B">
      <w:pPr>
        <w:ind w:left="560" w:hanging="480" w:hangingChars="200"/>
        <w:rPr>
          <w:rFonts w:hint="eastAsia" w:ascii="宋体" w:hAnsi="宋体" w:eastAsia="宋体" w:cs="宋体"/>
          <w:sz w:val="24"/>
          <w:szCs w:val="24"/>
          <w:highlight w:val="none"/>
        </w:rPr>
      </w:pPr>
    </w:p>
    <w:p w14:paraId="728A3E53">
      <w:pPr>
        <w:ind w:left="560" w:hanging="480" w:hangingChars="200"/>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法定代表人或委托代理人（签字或盖章）：</w:t>
      </w:r>
      <w:r>
        <w:rPr>
          <w:rFonts w:hint="eastAsia" w:ascii="宋体" w:hAnsi="宋体" w:eastAsia="宋体" w:cs="宋体"/>
          <w:b w:val="0"/>
          <w:bCs/>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2378E3CF">
      <w:pPr>
        <w:ind w:left="560" w:hanging="480" w:hangingChars="200"/>
        <w:rPr>
          <w:rFonts w:hint="eastAsia" w:ascii="宋体" w:hAnsi="宋体" w:eastAsia="宋体" w:cs="宋体"/>
          <w:sz w:val="24"/>
          <w:szCs w:val="24"/>
          <w:highlight w:val="none"/>
        </w:rPr>
      </w:pPr>
    </w:p>
    <w:p w14:paraId="42220076">
      <w:pPr>
        <w:ind w:left="560" w:hanging="480" w:hangingChars="200"/>
        <w:rPr>
          <w:rFonts w:hint="eastAsia" w:ascii="宋体" w:hAnsi="宋体" w:eastAsia="宋体" w:cs="宋体"/>
          <w:sz w:val="24"/>
          <w:szCs w:val="24"/>
          <w:highlight w:val="none"/>
        </w:rPr>
      </w:pPr>
    </w:p>
    <w:p w14:paraId="02225484">
      <w:pPr>
        <w:ind w:left="560" w:hanging="480" w:hangingChars="200"/>
        <w:rPr>
          <w:rFonts w:hint="eastAsia" w:ascii="宋体" w:hAnsi="宋体" w:eastAsia="宋体" w:cs="宋体"/>
          <w:sz w:val="24"/>
          <w:szCs w:val="24"/>
          <w:highlight w:val="none"/>
        </w:rPr>
      </w:pPr>
      <w:r>
        <w:rPr>
          <w:rFonts w:hint="eastAsia" w:ascii="宋体" w:hAnsi="宋体" w:eastAsia="宋体" w:cs="宋体"/>
          <w:sz w:val="24"/>
          <w:szCs w:val="24"/>
          <w:highlight w:val="none"/>
        </w:rPr>
        <w:t>日期：</w:t>
      </w:r>
      <w:r>
        <w:rPr>
          <w:rFonts w:hint="eastAsia" w:ascii="宋体" w:hAnsi="宋体" w:eastAsia="宋体" w:cs="宋体"/>
          <w:bCs/>
          <w:sz w:val="24"/>
          <w:szCs w:val="24"/>
          <w:highlight w:val="none"/>
        </w:rPr>
        <w:t xml:space="preserve"> </w:t>
      </w:r>
      <w:r>
        <w:rPr>
          <w:rFonts w:hint="eastAsia" w:ascii="宋体" w:hAnsi="宋体" w:eastAsia="宋体" w:cs="宋体"/>
          <w:bCs/>
          <w:sz w:val="24"/>
          <w:szCs w:val="24"/>
          <w:highlight w:val="none"/>
          <w:u w:val="single"/>
        </w:rPr>
        <w:t xml:space="preserve">    年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 xml:space="preserve">月  </w:t>
      </w:r>
      <w:r>
        <w:rPr>
          <w:rFonts w:hint="eastAsia" w:ascii="宋体" w:hAnsi="宋体" w:eastAsia="宋体" w:cs="宋体"/>
          <w:bCs/>
          <w:sz w:val="24"/>
          <w:szCs w:val="24"/>
          <w:highlight w:val="none"/>
          <w:u w:val="single"/>
          <w:lang w:val="en-US" w:eastAsia="zh-CN"/>
        </w:rPr>
        <w:t xml:space="preserve">   </w:t>
      </w:r>
      <w:r>
        <w:rPr>
          <w:rFonts w:hint="eastAsia" w:ascii="宋体" w:hAnsi="宋体" w:eastAsia="宋体" w:cs="宋体"/>
          <w:bCs/>
          <w:sz w:val="24"/>
          <w:szCs w:val="24"/>
          <w:highlight w:val="none"/>
          <w:u w:val="single"/>
        </w:rPr>
        <w:t>日</w:t>
      </w:r>
    </w:p>
    <w:p w14:paraId="46542535">
      <w:pPr>
        <w:rPr>
          <w:rFonts w:hint="eastAsia" w:ascii="宋体" w:hAnsi="宋体" w:eastAsia="宋体" w:cs="宋体"/>
          <w:sz w:val="24"/>
          <w:szCs w:val="24"/>
          <w:highlight w:val="none"/>
        </w:rPr>
      </w:pPr>
    </w:p>
    <w:p w14:paraId="5E5C9DB4">
      <w:pPr>
        <w:jc w:val="center"/>
        <w:rPr>
          <w:rFonts w:hint="eastAsia" w:ascii="宋体" w:hAnsi="宋体" w:cs="宋体"/>
          <w:b/>
          <w:bCs/>
          <w:sz w:val="24"/>
          <w:highlight w:val="none"/>
        </w:rPr>
      </w:pPr>
    </w:p>
    <w:p w14:paraId="5AF8B85D">
      <w:pPr>
        <w:rPr>
          <w:rFonts w:hint="eastAsia" w:ascii="宋体" w:hAnsi="宋体" w:cs="宋体"/>
          <w:b/>
          <w:bCs/>
          <w:sz w:val="24"/>
          <w:highlight w:val="none"/>
          <w:lang w:val="en-US" w:eastAsia="zh-CN"/>
        </w:rPr>
      </w:pPr>
    </w:p>
    <w:p w14:paraId="31BD254A">
      <w:pPr>
        <w:rPr>
          <w:rFonts w:hint="eastAsia" w:ascii="宋体" w:hAnsi="宋体" w:cs="宋体"/>
          <w:b/>
          <w:bCs/>
          <w:sz w:val="24"/>
          <w:highlight w:val="none"/>
          <w:lang w:val="en-US" w:eastAsia="zh-CN"/>
        </w:rPr>
      </w:pPr>
    </w:p>
    <w:p w14:paraId="4F262534">
      <w:pPr>
        <w:rPr>
          <w:rFonts w:hint="eastAsia" w:ascii="宋体" w:hAnsi="宋体" w:cs="宋体"/>
          <w:b/>
          <w:bCs/>
          <w:sz w:val="24"/>
          <w:highlight w:val="none"/>
          <w:lang w:val="en-US" w:eastAsia="zh-CN"/>
        </w:rPr>
      </w:pPr>
    </w:p>
    <w:p w14:paraId="45F3D0CD">
      <w:pPr>
        <w:rPr>
          <w:rFonts w:hint="eastAsia" w:ascii="宋体" w:hAnsi="宋体" w:cs="宋体"/>
          <w:b/>
          <w:bCs/>
          <w:sz w:val="24"/>
          <w:highlight w:val="none"/>
          <w:lang w:val="en-US" w:eastAsia="zh-CN"/>
        </w:rPr>
      </w:pPr>
    </w:p>
    <w:p w14:paraId="35467ABB">
      <w:pPr>
        <w:jc w:val="both"/>
        <w:rPr>
          <w:rFonts w:hint="eastAsia" w:ascii="宋体" w:hAnsi="宋体" w:cs="宋体"/>
          <w:b/>
          <w:bCs/>
          <w:sz w:val="24"/>
          <w:highlight w:val="none"/>
          <w:lang w:val="en-US" w:eastAsia="zh-CN"/>
        </w:rPr>
      </w:pPr>
    </w:p>
    <w:p w14:paraId="26B80D6F">
      <w:pPr>
        <w:ind w:firstLine="3373" w:firstLineChars="1400"/>
        <w:jc w:val="both"/>
        <w:rPr>
          <w:rFonts w:ascii="宋体" w:hAnsi="宋体" w:cs="宋体"/>
          <w:b/>
          <w:bCs/>
          <w:sz w:val="24"/>
          <w:highlight w:val="none"/>
        </w:rPr>
      </w:pPr>
      <w:r>
        <w:rPr>
          <w:rFonts w:hint="eastAsia" w:ascii="宋体" w:hAnsi="宋体" w:cs="宋体"/>
          <w:b/>
          <w:bCs/>
          <w:sz w:val="24"/>
          <w:highlight w:val="none"/>
          <w:lang w:val="en-US" w:eastAsia="zh-CN"/>
        </w:rPr>
        <w:t xml:space="preserve">  </w:t>
      </w:r>
      <w:r>
        <w:rPr>
          <w:rFonts w:hint="eastAsia" w:ascii="宋体" w:hAnsi="宋体" w:cs="宋体"/>
          <w:b/>
          <w:bCs/>
          <w:sz w:val="24"/>
          <w:highlight w:val="none"/>
        </w:rPr>
        <w:t>格式</w:t>
      </w:r>
      <w:r>
        <w:rPr>
          <w:rFonts w:hint="eastAsia" w:ascii="宋体" w:hAnsi="宋体" w:cs="宋体"/>
          <w:b/>
          <w:bCs/>
          <w:sz w:val="24"/>
          <w:highlight w:val="none"/>
          <w:lang w:val="en-US" w:eastAsia="zh-CN"/>
        </w:rPr>
        <w:t xml:space="preserve">13 </w:t>
      </w:r>
      <w:r>
        <w:rPr>
          <w:rFonts w:hint="eastAsia" w:ascii="宋体" w:hAnsi="宋体" w:cs="宋体"/>
          <w:b/>
          <w:bCs/>
          <w:sz w:val="24"/>
          <w:highlight w:val="none"/>
        </w:rPr>
        <w:t>中小企业声明函(服务)</w:t>
      </w:r>
    </w:p>
    <w:p w14:paraId="77DFDB5A">
      <w:pPr>
        <w:tabs>
          <w:tab w:val="left" w:pos="6300"/>
        </w:tabs>
        <w:snapToGrid w:val="0"/>
        <w:spacing w:line="500" w:lineRule="exact"/>
        <w:ind w:firstLine="720" w:firstLineChars="200"/>
        <w:jc w:val="center"/>
        <w:outlineLvl w:val="0"/>
        <w:rPr>
          <w:rFonts w:ascii="宋体" w:hAnsi="宋体" w:cs="宋体"/>
          <w:sz w:val="36"/>
          <w:szCs w:val="36"/>
          <w:highlight w:val="none"/>
        </w:rPr>
      </w:pPr>
    </w:p>
    <w:p w14:paraId="21D42FAC">
      <w:pPr>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本公司（联合体）郑重声明，根据《政府采购促进中小企业发展管理办法》（财库﹝2020﹞46 号）的规定，本公司（联合体）参加</w:t>
      </w:r>
      <w:r>
        <w:rPr>
          <w:rFonts w:hint="eastAsia" w:ascii="宋体" w:hAnsi="宋体" w:eastAsia="宋体" w:cs="宋体"/>
          <w:color w:val="000000"/>
          <w:sz w:val="24"/>
          <w:highlight w:val="none"/>
          <w:u w:val="single"/>
        </w:rPr>
        <w:t xml:space="preserve"> （单位名称）</w:t>
      </w:r>
      <w:r>
        <w:rPr>
          <w:rFonts w:hint="eastAsia" w:ascii="宋体" w:hAnsi="宋体" w:eastAsia="宋体" w:cs="宋体"/>
          <w:color w:val="000000"/>
          <w:sz w:val="24"/>
          <w:highlight w:val="none"/>
        </w:rPr>
        <w:t xml:space="preserve"> 的</w:t>
      </w:r>
      <w:r>
        <w:rPr>
          <w:rFonts w:hint="eastAsia" w:ascii="宋体" w:hAnsi="宋体" w:eastAsia="宋体" w:cs="宋体"/>
          <w:color w:val="000000"/>
          <w:sz w:val="24"/>
          <w:highlight w:val="none"/>
          <w:u w:val="single"/>
        </w:rPr>
        <w:t xml:space="preserve"> （项目名称） </w:t>
      </w:r>
      <w:r>
        <w:rPr>
          <w:rFonts w:hint="eastAsia" w:ascii="宋体" w:hAnsi="宋体" w:eastAsia="宋体" w:cs="宋体"/>
          <w:color w:val="000000"/>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6E410100">
      <w:pPr>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 xml:space="preserve">1. </w:t>
      </w:r>
      <w:r>
        <w:rPr>
          <w:rFonts w:hint="eastAsia" w:ascii="宋体" w:hAnsi="宋体" w:eastAsia="宋体" w:cs="宋体"/>
          <w:color w:val="000000"/>
          <w:sz w:val="24"/>
          <w:highlight w:val="none"/>
          <w:u w:val="single"/>
        </w:rPr>
        <w:t xml:space="preserve">（标的名称） </w:t>
      </w:r>
      <w:r>
        <w:rPr>
          <w:rFonts w:hint="eastAsia" w:ascii="宋体" w:hAnsi="宋体" w:eastAsia="宋体" w:cs="宋体"/>
          <w:color w:val="000000"/>
          <w:sz w:val="24"/>
          <w:highlight w:val="none"/>
        </w:rPr>
        <w:t xml:space="preserve">，属于 </w:t>
      </w:r>
      <w:r>
        <w:rPr>
          <w:rFonts w:hint="eastAsia" w:ascii="宋体" w:hAnsi="宋体" w:eastAsia="宋体" w:cs="宋体"/>
          <w:color w:val="000000"/>
          <w:sz w:val="24"/>
          <w:highlight w:val="none"/>
          <w:u w:val="single"/>
        </w:rPr>
        <w:t xml:space="preserve">（采购文件中明确的所属行业） </w:t>
      </w:r>
      <w:r>
        <w:rPr>
          <w:rFonts w:hint="eastAsia" w:ascii="宋体" w:hAnsi="宋体" w:eastAsia="宋体" w:cs="宋体"/>
          <w:color w:val="000000"/>
          <w:sz w:val="24"/>
          <w:highlight w:val="none"/>
        </w:rPr>
        <w:t xml:space="preserve">；承建（承接）企业为 </w:t>
      </w:r>
      <w:r>
        <w:rPr>
          <w:rFonts w:hint="eastAsia" w:ascii="宋体" w:hAnsi="宋体" w:eastAsia="宋体" w:cs="宋体"/>
          <w:color w:val="000000"/>
          <w:sz w:val="24"/>
          <w:highlight w:val="none"/>
          <w:u w:val="single"/>
        </w:rPr>
        <w:t xml:space="preserve">（企业名称） </w:t>
      </w:r>
      <w:r>
        <w:rPr>
          <w:rFonts w:hint="eastAsia" w:ascii="宋体" w:hAnsi="宋体" w:eastAsia="宋体" w:cs="宋体"/>
          <w:color w:val="000000"/>
          <w:sz w:val="24"/>
          <w:highlight w:val="none"/>
        </w:rPr>
        <w:t>，从业人员</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人，营业收入为</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万元，资产总额为</w:t>
      </w:r>
      <w:r>
        <w:rPr>
          <w:rFonts w:hint="eastAsia" w:ascii="宋体" w:hAnsi="宋体" w:eastAsia="宋体" w:cs="宋体"/>
          <w:color w:val="000000"/>
          <w:sz w:val="24"/>
          <w:highlight w:val="none"/>
          <w:u w:val="single"/>
        </w:rPr>
        <w:t xml:space="preserve">     </w:t>
      </w:r>
      <w:r>
        <w:rPr>
          <w:rFonts w:hint="eastAsia" w:ascii="宋体" w:hAnsi="宋体" w:eastAsia="宋体" w:cs="宋体"/>
          <w:color w:val="000000"/>
          <w:sz w:val="24"/>
          <w:highlight w:val="none"/>
        </w:rPr>
        <w:t>万元 ，属于</w:t>
      </w:r>
      <w:r>
        <w:rPr>
          <w:rFonts w:hint="eastAsia" w:ascii="宋体" w:hAnsi="宋体" w:eastAsia="宋体" w:cs="宋体"/>
          <w:color w:val="000000"/>
          <w:sz w:val="24"/>
          <w:highlight w:val="none"/>
          <w:u w:val="single"/>
        </w:rPr>
        <w:t xml:space="preserve"> （中型企业、小型企业、微型企业） </w:t>
      </w:r>
      <w:r>
        <w:rPr>
          <w:rFonts w:hint="eastAsia" w:ascii="宋体" w:hAnsi="宋体" w:eastAsia="宋体" w:cs="宋体"/>
          <w:color w:val="000000"/>
          <w:sz w:val="24"/>
          <w:highlight w:val="none"/>
        </w:rPr>
        <w:t>；</w:t>
      </w:r>
    </w:p>
    <w:p w14:paraId="246A410A">
      <w:pPr>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w:t>
      </w:r>
    </w:p>
    <w:p w14:paraId="43A6FECF">
      <w:pPr>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以上企业，不属于大企业的分支机构，不存在控股股东为大企业的情形，也不存在与大企业的负责人为同一人的情形。</w:t>
      </w:r>
    </w:p>
    <w:p w14:paraId="62DC78A7">
      <w:pPr>
        <w:spacing w:line="360" w:lineRule="auto"/>
        <w:ind w:firstLine="480" w:firstLineChars="200"/>
        <w:jc w:val="left"/>
        <w:rPr>
          <w:rFonts w:hint="eastAsia" w:ascii="宋体" w:hAnsi="宋体" w:eastAsia="宋体" w:cs="宋体"/>
          <w:color w:val="000000"/>
          <w:sz w:val="24"/>
          <w:highlight w:val="none"/>
        </w:rPr>
      </w:pPr>
      <w:r>
        <w:rPr>
          <w:rFonts w:hint="eastAsia" w:ascii="宋体" w:hAnsi="宋体" w:eastAsia="宋体" w:cs="宋体"/>
          <w:color w:val="000000"/>
          <w:sz w:val="24"/>
          <w:highlight w:val="none"/>
        </w:rPr>
        <w:t>本企业对上述声明内容的真实性负责。如有虚假，将依法承担相应责任。</w:t>
      </w:r>
    </w:p>
    <w:p w14:paraId="771AAB95">
      <w:pPr>
        <w:spacing w:line="360" w:lineRule="auto"/>
        <w:ind w:firstLine="480"/>
        <w:rPr>
          <w:rFonts w:ascii="宋体" w:hAnsi="宋体" w:cs="宋体"/>
          <w:sz w:val="24"/>
          <w:highlight w:val="none"/>
        </w:rPr>
      </w:pPr>
    </w:p>
    <w:p w14:paraId="17AD243F">
      <w:pPr>
        <w:spacing w:line="360" w:lineRule="auto"/>
        <w:ind w:firstLine="5280" w:firstLineChars="2200"/>
        <w:rPr>
          <w:rFonts w:ascii="宋体" w:hAnsi="宋体" w:cs="宋体"/>
          <w:sz w:val="24"/>
          <w:highlight w:val="none"/>
        </w:rPr>
      </w:pPr>
      <w:r>
        <w:rPr>
          <w:rFonts w:hint="eastAsia" w:ascii="宋体" w:hAnsi="宋体" w:cs="宋体"/>
          <w:sz w:val="24"/>
          <w:highlight w:val="none"/>
        </w:rPr>
        <w:t>企业名称（盖章）：</w:t>
      </w:r>
    </w:p>
    <w:p w14:paraId="26AE6F09">
      <w:pPr>
        <w:pStyle w:val="12"/>
        <w:spacing w:line="360" w:lineRule="auto"/>
        <w:ind w:firstLine="480"/>
        <w:rPr>
          <w:rFonts w:hAnsi="宋体" w:cs="宋体"/>
          <w:sz w:val="24"/>
          <w:szCs w:val="24"/>
          <w:highlight w:val="none"/>
        </w:rPr>
      </w:pPr>
      <w:r>
        <w:rPr>
          <w:rFonts w:hint="eastAsia" w:hAnsi="宋体" w:cs="宋体"/>
          <w:sz w:val="24"/>
          <w:szCs w:val="24"/>
          <w:highlight w:val="none"/>
        </w:rPr>
        <w:t xml:space="preserve">                           </w:t>
      </w:r>
    </w:p>
    <w:p w14:paraId="13EAD4D5">
      <w:pPr>
        <w:pStyle w:val="12"/>
        <w:spacing w:line="360" w:lineRule="auto"/>
        <w:ind w:firstLine="5280" w:firstLineChars="2200"/>
        <w:rPr>
          <w:rFonts w:hint="default" w:ascii="宋体" w:hAnsi="宋体" w:eastAsia="宋体" w:cs="宋体"/>
          <w:b/>
          <w:bCs/>
          <w:sz w:val="24"/>
          <w:szCs w:val="24"/>
          <w:highlight w:val="none"/>
          <w:lang w:val="en-US"/>
        </w:rPr>
        <w:sectPr>
          <w:footerReference r:id="rId12" w:type="first"/>
          <w:headerReference r:id="rId10" w:type="default"/>
          <w:footerReference r:id="rId11" w:type="default"/>
          <w:pgSz w:w="11906" w:h="16838"/>
          <w:pgMar w:top="1440" w:right="1083" w:bottom="1440" w:left="1083" w:header="850" w:footer="992" w:gutter="0"/>
          <w:pgNumType w:fmt="numberInDash"/>
          <w:cols w:space="0" w:num="1"/>
          <w:titlePg/>
          <w:rtlGutter w:val="0"/>
          <w:docGrid w:linePitch="312" w:charSpace="0"/>
        </w:sectPr>
      </w:pPr>
      <w:r>
        <w:rPr>
          <w:rFonts w:hint="eastAsia" w:hAnsi="宋体" w:cs="宋体"/>
          <w:sz w:val="24"/>
          <w:szCs w:val="24"/>
          <w:highlight w:val="none"/>
        </w:rPr>
        <w:t>日期</w:t>
      </w:r>
      <w:r>
        <w:rPr>
          <w:rFonts w:hint="eastAsia" w:hAnsi="宋体" w:cs="宋体"/>
          <w:sz w:val="24"/>
          <w:szCs w:val="24"/>
          <w:highlight w:val="none"/>
          <w:lang w:eastAsia="zh-CN"/>
        </w:rPr>
        <w:t>：</w:t>
      </w:r>
      <w:r>
        <w:rPr>
          <w:rFonts w:hint="eastAsia" w:hAnsi="宋体" w:cs="宋体"/>
          <w:sz w:val="24"/>
          <w:szCs w:val="24"/>
          <w:highlight w:val="none"/>
          <w:lang w:val="en-US" w:eastAsia="zh-CN"/>
        </w:rPr>
        <w:t xml:space="preserve"> </w:t>
      </w:r>
    </w:p>
    <w:p w14:paraId="01FA149D">
      <w:pPr>
        <w:pStyle w:val="3"/>
        <w:spacing w:line="360" w:lineRule="auto"/>
        <w:jc w:val="center"/>
        <w:rPr>
          <w:rFonts w:hint="eastAsia" w:ascii="宋体" w:hAnsi="宋体" w:eastAsia="宋体" w:cs="宋体"/>
          <w:b/>
          <w:bCs/>
          <w:kern w:val="0"/>
          <w:sz w:val="36"/>
          <w:szCs w:val="36"/>
          <w:highlight w:val="none"/>
          <w:lang w:val="en-US" w:eastAsia="zh-CN" w:bidi="ar-SA"/>
        </w:rPr>
      </w:pPr>
      <w:bookmarkStart w:id="286" w:name="_Toc1249"/>
      <w:bookmarkStart w:id="287" w:name="_Toc9162"/>
      <w:bookmarkStart w:id="288" w:name="_Toc32010"/>
      <w:bookmarkStart w:id="289" w:name="_Toc14366"/>
      <w:r>
        <w:rPr>
          <w:rFonts w:hint="eastAsia" w:ascii="宋体" w:hAnsi="宋体" w:eastAsia="宋体" w:cs="宋体"/>
          <w:b/>
          <w:bCs/>
          <w:kern w:val="0"/>
          <w:sz w:val="36"/>
          <w:szCs w:val="36"/>
          <w:highlight w:val="none"/>
          <w:lang w:val="en-US" w:eastAsia="zh-CN" w:bidi="ar-SA"/>
        </w:rPr>
        <w:t>第六章、评审标准（综合评分法）</w:t>
      </w:r>
      <w:bookmarkEnd w:id="286"/>
      <w:bookmarkEnd w:id="287"/>
      <w:bookmarkEnd w:id="288"/>
      <w:bookmarkEnd w:id="289"/>
      <w:bookmarkStart w:id="290" w:name="_Toc246216304"/>
      <w:bookmarkStart w:id="291" w:name="_Toc243905166"/>
      <w:bookmarkStart w:id="292" w:name="_Toc246216439"/>
      <w:bookmarkStart w:id="293" w:name="_Toc246216281"/>
      <w:bookmarkStart w:id="294" w:name="_Toc245369914"/>
      <w:bookmarkStart w:id="295" w:name="_Toc243907641"/>
      <w:bookmarkStart w:id="296" w:name="_Toc243906411"/>
    </w:p>
    <w:bookmarkEnd w:id="290"/>
    <w:bookmarkEnd w:id="291"/>
    <w:bookmarkEnd w:id="292"/>
    <w:bookmarkEnd w:id="293"/>
    <w:bookmarkEnd w:id="294"/>
    <w:bookmarkEnd w:id="295"/>
    <w:bookmarkEnd w:id="296"/>
    <w:p w14:paraId="3EA62E07">
      <w:pPr>
        <w:spacing w:line="360" w:lineRule="auto"/>
        <w:rPr>
          <w:rFonts w:hint="eastAsia" w:ascii="宋体" w:hAnsi="宋体" w:eastAsia="宋体" w:cs="宋体"/>
          <w:b/>
          <w:sz w:val="30"/>
          <w:szCs w:val="30"/>
          <w:highlight w:val="none"/>
          <w:lang w:eastAsia="zh-CN"/>
        </w:rPr>
      </w:pPr>
      <w:r>
        <w:rPr>
          <w:rFonts w:hint="eastAsia" w:ascii="宋体" w:hAnsi="宋体" w:cs="宋体"/>
          <w:b/>
          <w:sz w:val="30"/>
          <w:szCs w:val="30"/>
          <w:highlight w:val="none"/>
        </w:rPr>
        <w:t>一、</w:t>
      </w:r>
      <w:r>
        <w:rPr>
          <w:rFonts w:hint="eastAsia" w:ascii="宋体" w:hAnsi="宋体" w:cs="宋体"/>
          <w:b/>
          <w:sz w:val="30"/>
          <w:szCs w:val="30"/>
          <w:highlight w:val="none"/>
          <w:lang w:eastAsia="zh-CN"/>
        </w:rPr>
        <w:t>初步评审</w:t>
      </w:r>
    </w:p>
    <w:p w14:paraId="7CEF5BF8">
      <w:pPr>
        <w:spacing w:line="360" w:lineRule="auto"/>
        <w:rPr>
          <w:rFonts w:hint="eastAsia" w:ascii="宋体" w:hAnsi="宋体" w:cs="宋体"/>
          <w:b/>
          <w:bCs/>
          <w:sz w:val="28"/>
          <w:szCs w:val="21"/>
          <w:highlight w:val="none"/>
        </w:rPr>
      </w:pPr>
      <w:r>
        <w:rPr>
          <w:rFonts w:hint="eastAsia" w:ascii="宋体" w:hAnsi="宋体" w:cs="宋体"/>
          <w:b/>
          <w:bCs/>
          <w:sz w:val="28"/>
          <w:szCs w:val="21"/>
          <w:highlight w:val="none"/>
        </w:rPr>
        <w:t>1、资格性审查</w:t>
      </w:r>
    </w:p>
    <w:tbl>
      <w:tblPr>
        <w:tblStyle w:val="24"/>
        <w:tblW w:w="98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1"/>
        <w:gridCol w:w="1691"/>
        <w:gridCol w:w="2750"/>
        <w:gridCol w:w="4708"/>
      </w:tblGrid>
      <w:tr w14:paraId="7FBC2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1" w:type="dxa"/>
            <w:vAlign w:val="center"/>
          </w:tcPr>
          <w:p w14:paraId="3228263B">
            <w:pPr>
              <w:keepNext w:val="0"/>
              <w:keepLines w:val="0"/>
              <w:pageBreakBefore w:val="0"/>
              <w:widowControl w:val="0"/>
              <w:kinsoku/>
              <w:overflowPunct/>
              <w:topLinePunct w:val="0"/>
              <w:autoSpaceDE/>
              <w:autoSpaceDN/>
              <w:bidi w:val="0"/>
              <w:adjustRightInd/>
              <w:snapToGrid/>
              <w:spacing w:line="312" w:lineRule="auto"/>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序号</w:t>
            </w:r>
          </w:p>
        </w:tc>
        <w:tc>
          <w:tcPr>
            <w:tcW w:w="4441" w:type="dxa"/>
            <w:gridSpan w:val="2"/>
            <w:vAlign w:val="center"/>
          </w:tcPr>
          <w:p w14:paraId="49AC5814">
            <w:pPr>
              <w:keepNext w:val="0"/>
              <w:keepLines w:val="0"/>
              <w:pageBreakBefore w:val="0"/>
              <w:widowControl w:val="0"/>
              <w:kinsoku/>
              <w:overflowPunct/>
              <w:topLinePunct w:val="0"/>
              <w:autoSpaceDE/>
              <w:autoSpaceDN/>
              <w:bidi w:val="0"/>
              <w:adjustRightInd/>
              <w:snapToGrid/>
              <w:spacing w:line="312" w:lineRule="auto"/>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检查因素</w:t>
            </w:r>
          </w:p>
        </w:tc>
        <w:tc>
          <w:tcPr>
            <w:tcW w:w="4708" w:type="dxa"/>
            <w:vAlign w:val="center"/>
          </w:tcPr>
          <w:p w14:paraId="533909AA">
            <w:pPr>
              <w:keepNext w:val="0"/>
              <w:keepLines w:val="0"/>
              <w:pageBreakBefore w:val="0"/>
              <w:widowControl w:val="0"/>
              <w:kinsoku/>
              <w:overflowPunct/>
              <w:topLinePunct w:val="0"/>
              <w:autoSpaceDE/>
              <w:autoSpaceDN/>
              <w:bidi w:val="0"/>
              <w:adjustRightInd/>
              <w:snapToGrid/>
              <w:spacing w:line="312" w:lineRule="auto"/>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检查内容</w:t>
            </w:r>
          </w:p>
        </w:tc>
      </w:tr>
      <w:tr w14:paraId="36522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4" w:hRule="atLeast"/>
          <w:jc w:val="center"/>
        </w:trPr>
        <w:tc>
          <w:tcPr>
            <w:tcW w:w="731" w:type="dxa"/>
            <w:vMerge w:val="restart"/>
            <w:vAlign w:val="center"/>
          </w:tcPr>
          <w:p w14:paraId="1A1BA12D">
            <w:pPr>
              <w:keepNext w:val="0"/>
              <w:keepLines w:val="0"/>
              <w:pageBreakBefore w:val="0"/>
              <w:widowControl w:val="0"/>
              <w:kinsoku/>
              <w:overflowPunct/>
              <w:topLinePunct w:val="0"/>
              <w:autoSpaceDE/>
              <w:autoSpaceDN/>
              <w:bidi w:val="0"/>
              <w:adjustRightInd/>
              <w:snapToGrid/>
              <w:spacing w:line="312" w:lineRule="auto"/>
              <w:jc w:val="center"/>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w:t>
            </w:r>
          </w:p>
        </w:tc>
        <w:tc>
          <w:tcPr>
            <w:tcW w:w="1691" w:type="dxa"/>
            <w:vMerge w:val="restart"/>
            <w:vAlign w:val="center"/>
          </w:tcPr>
          <w:p w14:paraId="0A765CA6">
            <w:pPr>
              <w:bidi w:val="0"/>
              <w:jc w:val="center"/>
              <w:rPr>
                <w:highlight w:val="none"/>
                <w:lang w:val="zh-CN" w:eastAsia="zh-CN"/>
              </w:rPr>
            </w:pPr>
            <w:r>
              <w:rPr>
                <w:rFonts w:hint="eastAsia" w:ascii="宋体" w:hAnsi="宋体" w:eastAsia="宋体" w:cs="宋体"/>
                <w:sz w:val="24"/>
                <w:szCs w:val="24"/>
                <w:highlight w:val="none"/>
              </w:rPr>
              <w:t>《中华人民共和国政府采购法》第二十二条规定</w:t>
            </w:r>
          </w:p>
        </w:tc>
        <w:tc>
          <w:tcPr>
            <w:tcW w:w="2750" w:type="dxa"/>
            <w:vAlign w:val="center"/>
          </w:tcPr>
          <w:p w14:paraId="6FCC9168">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宋体" w:hAnsi="宋体" w:cs="宋体"/>
                <w:color w:val="auto"/>
                <w:sz w:val="24"/>
                <w:highlight w:val="none"/>
              </w:rPr>
            </w:pPr>
            <w:r>
              <w:rPr>
                <w:rFonts w:hint="eastAsia" w:ascii="宋体" w:hAnsi="宋体" w:cs="宋体"/>
                <w:color w:val="auto"/>
                <w:sz w:val="24"/>
                <w:highlight w:val="none"/>
              </w:rPr>
              <w:t>具有独立承担民事责任的能力；</w:t>
            </w:r>
          </w:p>
        </w:tc>
        <w:tc>
          <w:tcPr>
            <w:tcW w:w="4708" w:type="dxa"/>
            <w:vAlign w:val="center"/>
          </w:tcPr>
          <w:p w14:paraId="6C5E4EE0">
            <w:pPr>
              <w:keepNext w:val="0"/>
              <w:keepLines w:val="0"/>
              <w:pageBreakBefore w:val="0"/>
              <w:widowControl w:val="0"/>
              <w:kinsoku/>
              <w:overflowPunct/>
              <w:topLinePunct w:val="0"/>
              <w:autoSpaceDE/>
              <w:autoSpaceDN/>
              <w:bidi w:val="0"/>
              <w:adjustRightInd/>
              <w:snapToGrid/>
              <w:spacing w:line="312" w:lineRule="auto"/>
              <w:textAlignment w:val="auto"/>
              <w:rPr>
                <w:rFonts w:ascii="宋体" w:hAnsi="宋体" w:cs="宋体"/>
                <w:color w:val="auto"/>
                <w:kern w:val="0"/>
                <w:sz w:val="24"/>
                <w:highlight w:val="none"/>
                <w:lang w:val="zh-CN"/>
              </w:rPr>
            </w:pPr>
            <w:r>
              <w:rPr>
                <w:rStyle w:val="27"/>
                <w:rFonts w:hint="eastAsia" w:cs="宋体"/>
                <w:b w:val="0"/>
                <w:bCs/>
                <w:color w:val="auto"/>
                <w:sz w:val="24"/>
                <w:highlight w:val="none"/>
              </w:rPr>
              <w:t>三证合一营业执照（副本）或事业单位法人证书（副本）复印件</w:t>
            </w:r>
          </w:p>
        </w:tc>
      </w:tr>
      <w:tr w14:paraId="58B89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31" w:type="dxa"/>
            <w:vMerge w:val="continue"/>
            <w:vAlign w:val="center"/>
          </w:tcPr>
          <w:p w14:paraId="22FD53E3">
            <w:pPr>
              <w:keepNext w:val="0"/>
              <w:keepLines w:val="0"/>
              <w:pageBreakBefore w:val="0"/>
              <w:widowControl w:val="0"/>
              <w:kinsoku/>
              <w:overflowPunct/>
              <w:topLinePunct w:val="0"/>
              <w:autoSpaceDE/>
              <w:autoSpaceDN/>
              <w:bidi w:val="0"/>
              <w:adjustRightInd/>
              <w:snapToGrid/>
              <w:spacing w:line="312" w:lineRule="auto"/>
              <w:jc w:val="center"/>
              <w:textAlignment w:val="auto"/>
              <w:rPr>
                <w:rFonts w:ascii="宋体" w:hAnsi="宋体" w:cs="宋体"/>
                <w:color w:val="auto"/>
                <w:kern w:val="0"/>
                <w:sz w:val="24"/>
                <w:highlight w:val="none"/>
                <w:lang w:val="zh-CN"/>
              </w:rPr>
            </w:pPr>
          </w:p>
        </w:tc>
        <w:tc>
          <w:tcPr>
            <w:tcW w:w="1691" w:type="dxa"/>
            <w:vMerge w:val="continue"/>
            <w:vAlign w:val="center"/>
          </w:tcPr>
          <w:p w14:paraId="7F30F6F0">
            <w:pPr>
              <w:keepNext w:val="0"/>
              <w:keepLines w:val="0"/>
              <w:pageBreakBefore w:val="0"/>
              <w:widowControl w:val="0"/>
              <w:kinsoku/>
              <w:overflowPunct/>
              <w:topLinePunct w:val="0"/>
              <w:autoSpaceDE/>
              <w:autoSpaceDN/>
              <w:bidi w:val="0"/>
              <w:adjustRightInd/>
              <w:snapToGrid/>
              <w:spacing w:line="312" w:lineRule="auto"/>
              <w:textAlignment w:val="auto"/>
              <w:rPr>
                <w:rFonts w:ascii="宋体" w:hAnsi="宋体" w:cs="宋体"/>
                <w:color w:val="auto"/>
                <w:kern w:val="0"/>
                <w:sz w:val="24"/>
                <w:highlight w:val="none"/>
                <w:lang w:val="zh-CN"/>
              </w:rPr>
            </w:pPr>
          </w:p>
        </w:tc>
        <w:tc>
          <w:tcPr>
            <w:tcW w:w="2750" w:type="dxa"/>
            <w:vAlign w:val="center"/>
          </w:tcPr>
          <w:p w14:paraId="2CFB8AF2">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宋体" w:hAnsi="宋体" w:cs="宋体"/>
                <w:color w:val="auto"/>
                <w:sz w:val="24"/>
                <w:highlight w:val="none"/>
              </w:rPr>
            </w:pPr>
            <w:r>
              <w:rPr>
                <w:rFonts w:hint="eastAsia" w:ascii="宋体" w:hAnsi="宋体" w:cs="宋体"/>
                <w:color w:val="auto"/>
                <w:sz w:val="24"/>
                <w:highlight w:val="none"/>
              </w:rPr>
              <w:t>具有良好的商业信誉和健全的财务会计制度；</w:t>
            </w:r>
          </w:p>
        </w:tc>
        <w:tc>
          <w:tcPr>
            <w:tcW w:w="4708" w:type="dxa"/>
            <w:vAlign w:val="center"/>
          </w:tcPr>
          <w:p w14:paraId="1045A82E">
            <w:pPr>
              <w:keepNext w:val="0"/>
              <w:keepLines w:val="0"/>
              <w:pageBreakBefore w:val="0"/>
              <w:widowControl w:val="0"/>
              <w:kinsoku/>
              <w:overflowPunct/>
              <w:topLinePunct w:val="0"/>
              <w:autoSpaceDE/>
              <w:autoSpaceDN/>
              <w:bidi w:val="0"/>
              <w:adjustRightInd/>
              <w:snapToGrid/>
              <w:spacing w:line="312" w:lineRule="auto"/>
              <w:textAlignment w:val="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提供（202</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lang w:val="zh-CN"/>
              </w:rPr>
              <w:t>或202</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lang w:val="zh-CN"/>
              </w:rPr>
              <w:t>年度）财务会计报告或企业财务报表（至少包括包资产负债表）或基本开户银行出具的资信证明。供应商注册时间截至响应文件递交截止日不足一年的，也可提供在相关主管部门备案的公司章程复印件</w:t>
            </w:r>
          </w:p>
        </w:tc>
      </w:tr>
      <w:tr w14:paraId="62622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5" w:hRule="atLeast"/>
          <w:jc w:val="center"/>
        </w:trPr>
        <w:tc>
          <w:tcPr>
            <w:tcW w:w="731" w:type="dxa"/>
            <w:vMerge w:val="continue"/>
            <w:vAlign w:val="center"/>
          </w:tcPr>
          <w:p w14:paraId="167B72FA">
            <w:pPr>
              <w:keepNext w:val="0"/>
              <w:keepLines w:val="0"/>
              <w:pageBreakBefore w:val="0"/>
              <w:widowControl w:val="0"/>
              <w:kinsoku/>
              <w:overflowPunct/>
              <w:topLinePunct w:val="0"/>
              <w:autoSpaceDE/>
              <w:autoSpaceDN/>
              <w:bidi w:val="0"/>
              <w:adjustRightInd/>
              <w:snapToGrid/>
              <w:spacing w:line="312" w:lineRule="auto"/>
              <w:jc w:val="center"/>
              <w:textAlignment w:val="auto"/>
              <w:rPr>
                <w:rFonts w:ascii="宋体" w:hAnsi="宋体" w:cs="宋体"/>
                <w:color w:val="auto"/>
                <w:kern w:val="0"/>
                <w:sz w:val="24"/>
                <w:highlight w:val="none"/>
                <w:lang w:val="zh-CN"/>
              </w:rPr>
            </w:pPr>
          </w:p>
        </w:tc>
        <w:tc>
          <w:tcPr>
            <w:tcW w:w="1691" w:type="dxa"/>
            <w:vMerge w:val="continue"/>
            <w:vAlign w:val="center"/>
          </w:tcPr>
          <w:p w14:paraId="6702107A">
            <w:pPr>
              <w:keepNext w:val="0"/>
              <w:keepLines w:val="0"/>
              <w:pageBreakBefore w:val="0"/>
              <w:widowControl w:val="0"/>
              <w:kinsoku/>
              <w:overflowPunct/>
              <w:topLinePunct w:val="0"/>
              <w:autoSpaceDE/>
              <w:autoSpaceDN/>
              <w:bidi w:val="0"/>
              <w:adjustRightInd/>
              <w:snapToGrid/>
              <w:spacing w:line="312" w:lineRule="auto"/>
              <w:textAlignment w:val="auto"/>
              <w:rPr>
                <w:rFonts w:ascii="宋体" w:hAnsi="宋体" w:cs="宋体"/>
                <w:color w:val="auto"/>
                <w:kern w:val="0"/>
                <w:sz w:val="24"/>
                <w:highlight w:val="none"/>
                <w:lang w:val="zh-CN"/>
              </w:rPr>
            </w:pPr>
          </w:p>
        </w:tc>
        <w:tc>
          <w:tcPr>
            <w:tcW w:w="2750" w:type="dxa"/>
            <w:vAlign w:val="center"/>
          </w:tcPr>
          <w:p w14:paraId="55D4AFE0">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宋体" w:hAnsi="宋体" w:cs="宋体"/>
                <w:color w:val="auto"/>
                <w:sz w:val="24"/>
                <w:highlight w:val="none"/>
              </w:rPr>
            </w:pPr>
            <w:r>
              <w:rPr>
                <w:rFonts w:hint="eastAsia" w:ascii="宋体" w:hAnsi="宋体" w:cs="宋体"/>
                <w:color w:val="auto"/>
                <w:sz w:val="24"/>
                <w:highlight w:val="none"/>
              </w:rPr>
              <w:t>具有履行合同所必需的设备和专业技术能力；</w:t>
            </w:r>
          </w:p>
        </w:tc>
        <w:tc>
          <w:tcPr>
            <w:tcW w:w="4708" w:type="dxa"/>
            <w:vAlign w:val="center"/>
          </w:tcPr>
          <w:p w14:paraId="5E126FC9">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提供“</w:t>
            </w:r>
            <w:r>
              <w:rPr>
                <w:rStyle w:val="27"/>
                <w:rFonts w:hint="eastAsia" w:ascii="宋体" w:hAnsi="宋体" w:eastAsia="宋体" w:cs="宋体"/>
                <w:b w:val="0"/>
                <w:bCs/>
                <w:color w:val="auto"/>
                <w:sz w:val="24"/>
                <w:highlight w:val="none"/>
              </w:rPr>
              <w:t>具有履行合同所必需的设备和专业技术能力的承诺书</w:t>
            </w:r>
            <w:r>
              <w:rPr>
                <w:rFonts w:hint="eastAsia" w:ascii="宋体" w:hAnsi="宋体" w:eastAsia="宋体" w:cs="宋体"/>
                <w:color w:val="auto"/>
                <w:kern w:val="0"/>
                <w:sz w:val="24"/>
                <w:highlight w:val="none"/>
              </w:rPr>
              <w:t>”，</w:t>
            </w:r>
            <w:r>
              <w:rPr>
                <w:rStyle w:val="27"/>
                <w:rFonts w:hint="eastAsia" w:ascii="宋体" w:hAnsi="宋体" w:eastAsia="宋体" w:cs="宋体"/>
                <w:b w:val="0"/>
                <w:bCs/>
                <w:color w:val="auto"/>
                <w:sz w:val="24"/>
                <w:highlight w:val="none"/>
              </w:rPr>
              <w:t xml:space="preserve">格式见“第五章  </w:t>
            </w:r>
            <w:r>
              <w:rPr>
                <w:rStyle w:val="27"/>
                <w:rFonts w:hint="eastAsia" w:ascii="宋体" w:hAnsi="宋体" w:eastAsia="宋体" w:cs="宋体"/>
                <w:b w:val="0"/>
                <w:bCs/>
                <w:color w:val="auto"/>
                <w:sz w:val="24"/>
                <w:highlight w:val="none"/>
                <w:lang w:eastAsia="zh-CN"/>
              </w:rPr>
              <w:t>响应</w:t>
            </w:r>
            <w:r>
              <w:rPr>
                <w:rStyle w:val="27"/>
                <w:rFonts w:hint="eastAsia" w:ascii="宋体" w:hAnsi="宋体" w:eastAsia="宋体" w:cs="宋体"/>
                <w:b w:val="0"/>
                <w:bCs/>
                <w:color w:val="auto"/>
                <w:sz w:val="24"/>
                <w:highlight w:val="none"/>
              </w:rPr>
              <w:t>文件格式（</w:t>
            </w:r>
            <w:r>
              <w:rPr>
                <w:rStyle w:val="27"/>
                <w:rFonts w:hint="eastAsia" w:ascii="宋体" w:hAnsi="宋体" w:eastAsia="宋体" w:cs="宋体"/>
                <w:b w:val="0"/>
                <w:bCs/>
                <w:color w:val="auto"/>
                <w:sz w:val="24"/>
                <w:highlight w:val="none"/>
                <w:lang w:val="en-US" w:eastAsia="zh-CN"/>
              </w:rPr>
              <w:t>7</w:t>
            </w:r>
            <w:r>
              <w:rPr>
                <w:rStyle w:val="27"/>
                <w:rFonts w:hint="eastAsia" w:ascii="宋体" w:hAnsi="宋体" w:eastAsia="宋体" w:cs="宋体"/>
                <w:b w:val="0"/>
                <w:bCs/>
                <w:color w:val="auto"/>
                <w:sz w:val="24"/>
                <w:highlight w:val="none"/>
              </w:rPr>
              <w:t>）”</w:t>
            </w:r>
          </w:p>
        </w:tc>
      </w:tr>
      <w:tr w14:paraId="76A9A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4" w:hRule="atLeast"/>
          <w:jc w:val="center"/>
        </w:trPr>
        <w:tc>
          <w:tcPr>
            <w:tcW w:w="731" w:type="dxa"/>
            <w:vMerge w:val="continue"/>
            <w:vAlign w:val="center"/>
          </w:tcPr>
          <w:p w14:paraId="5716EAA6">
            <w:pPr>
              <w:keepNext w:val="0"/>
              <w:keepLines w:val="0"/>
              <w:pageBreakBefore w:val="0"/>
              <w:widowControl w:val="0"/>
              <w:kinsoku/>
              <w:overflowPunct/>
              <w:topLinePunct w:val="0"/>
              <w:autoSpaceDE/>
              <w:autoSpaceDN/>
              <w:bidi w:val="0"/>
              <w:adjustRightInd/>
              <w:snapToGrid/>
              <w:spacing w:line="312" w:lineRule="auto"/>
              <w:jc w:val="center"/>
              <w:textAlignment w:val="auto"/>
              <w:rPr>
                <w:rFonts w:ascii="宋体" w:hAnsi="宋体" w:cs="宋体"/>
                <w:color w:val="auto"/>
                <w:kern w:val="0"/>
                <w:sz w:val="24"/>
                <w:highlight w:val="none"/>
                <w:lang w:val="zh-CN"/>
              </w:rPr>
            </w:pPr>
          </w:p>
        </w:tc>
        <w:tc>
          <w:tcPr>
            <w:tcW w:w="1691" w:type="dxa"/>
            <w:vMerge w:val="continue"/>
            <w:vAlign w:val="center"/>
          </w:tcPr>
          <w:p w14:paraId="676890EA">
            <w:pPr>
              <w:keepNext w:val="0"/>
              <w:keepLines w:val="0"/>
              <w:pageBreakBefore w:val="0"/>
              <w:widowControl w:val="0"/>
              <w:kinsoku/>
              <w:overflowPunct/>
              <w:topLinePunct w:val="0"/>
              <w:autoSpaceDE/>
              <w:autoSpaceDN/>
              <w:bidi w:val="0"/>
              <w:adjustRightInd/>
              <w:snapToGrid/>
              <w:spacing w:line="312" w:lineRule="auto"/>
              <w:textAlignment w:val="auto"/>
              <w:rPr>
                <w:rFonts w:ascii="宋体" w:hAnsi="宋体" w:cs="宋体"/>
                <w:color w:val="auto"/>
                <w:kern w:val="0"/>
                <w:sz w:val="24"/>
                <w:highlight w:val="none"/>
                <w:lang w:val="zh-CN"/>
              </w:rPr>
            </w:pPr>
          </w:p>
        </w:tc>
        <w:tc>
          <w:tcPr>
            <w:tcW w:w="2750" w:type="dxa"/>
            <w:vAlign w:val="center"/>
          </w:tcPr>
          <w:p w14:paraId="30BBA92B">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宋体" w:hAnsi="宋体" w:cs="宋体"/>
                <w:color w:val="auto"/>
                <w:sz w:val="24"/>
                <w:highlight w:val="none"/>
              </w:rPr>
            </w:pPr>
            <w:r>
              <w:rPr>
                <w:rFonts w:hint="eastAsia" w:ascii="宋体" w:hAnsi="宋体" w:cs="宋体"/>
                <w:color w:val="auto"/>
                <w:sz w:val="24"/>
                <w:highlight w:val="none"/>
              </w:rPr>
              <w:t>有依法缴纳税收和社会保障资金的良好记录；</w:t>
            </w:r>
          </w:p>
        </w:tc>
        <w:tc>
          <w:tcPr>
            <w:tcW w:w="4708" w:type="dxa"/>
            <w:vAlign w:val="center"/>
          </w:tcPr>
          <w:p w14:paraId="48154C17">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宋体" w:hAnsi="宋体" w:eastAsia="宋体" w:cs="宋体"/>
                <w:color w:val="auto"/>
                <w:kern w:val="0"/>
                <w:sz w:val="24"/>
                <w:highlight w:val="none"/>
                <w:lang w:val="zh-CN"/>
              </w:rPr>
            </w:pPr>
            <w:r>
              <w:rPr>
                <w:rStyle w:val="27"/>
                <w:rFonts w:hint="eastAsia" w:ascii="宋体" w:hAnsi="宋体" w:eastAsia="宋体" w:cs="宋体"/>
                <w:b w:val="0"/>
                <w:bCs/>
                <w:color w:val="auto"/>
                <w:sz w:val="24"/>
                <w:highlight w:val="none"/>
                <w:lang w:eastAsia="zh-CN"/>
              </w:rPr>
              <w:t>202</w:t>
            </w:r>
            <w:r>
              <w:rPr>
                <w:rStyle w:val="27"/>
                <w:rFonts w:hint="eastAsia" w:ascii="宋体" w:hAnsi="宋体" w:cs="宋体"/>
                <w:b w:val="0"/>
                <w:bCs/>
                <w:color w:val="auto"/>
                <w:sz w:val="24"/>
                <w:highlight w:val="none"/>
                <w:lang w:val="en-US" w:eastAsia="zh-CN"/>
              </w:rPr>
              <w:t>4</w:t>
            </w:r>
            <w:r>
              <w:rPr>
                <w:rStyle w:val="27"/>
                <w:rFonts w:hint="eastAsia" w:ascii="宋体" w:hAnsi="宋体" w:eastAsia="宋体" w:cs="宋体"/>
                <w:b w:val="0"/>
                <w:bCs/>
                <w:color w:val="auto"/>
                <w:sz w:val="24"/>
                <w:highlight w:val="none"/>
                <w:lang w:eastAsia="zh-CN"/>
              </w:rPr>
              <w:t>年以来（</w:t>
            </w:r>
            <w:r>
              <w:rPr>
                <w:rStyle w:val="27"/>
                <w:rFonts w:hint="eastAsia" w:ascii="宋体" w:hAnsi="宋体" w:cs="宋体"/>
                <w:b w:val="0"/>
                <w:bCs/>
                <w:color w:val="auto"/>
                <w:sz w:val="24"/>
                <w:highlight w:val="none"/>
                <w:lang w:val="en-US" w:eastAsia="zh-CN"/>
              </w:rPr>
              <w:t>任意连续</w:t>
            </w:r>
            <w:r>
              <w:rPr>
                <w:rStyle w:val="27"/>
                <w:rFonts w:hint="eastAsia" w:ascii="宋体" w:hAnsi="宋体" w:eastAsia="宋体" w:cs="宋体"/>
                <w:b w:val="0"/>
                <w:bCs/>
                <w:color w:val="auto"/>
                <w:sz w:val="24"/>
                <w:highlight w:val="none"/>
                <w:lang w:eastAsia="zh-CN"/>
              </w:rPr>
              <w:t>三个月）依法缴纳税收和社会保障资金的良好记录的证明材料（附复印件）</w:t>
            </w:r>
          </w:p>
        </w:tc>
      </w:tr>
      <w:tr w14:paraId="2F08D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4" w:hRule="atLeast"/>
          <w:jc w:val="center"/>
        </w:trPr>
        <w:tc>
          <w:tcPr>
            <w:tcW w:w="731" w:type="dxa"/>
            <w:vMerge w:val="continue"/>
            <w:vAlign w:val="center"/>
          </w:tcPr>
          <w:p w14:paraId="6E110FA5">
            <w:pPr>
              <w:keepNext w:val="0"/>
              <w:keepLines w:val="0"/>
              <w:pageBreakBefore w:val="0"/>
              <w:widowControl w:val="0"/>
              <w:kinsoku/>
              <w:overflowPunct/>
              <w:topLinePunct w:val="0"/>
              <w:autoSpaceDE/>
              <w:autoSpaceDN/>
              <w:bidi w:val="0"/>
              <w:adjustRightInd/>
              <w:snapToGrid/>
              <w:spacing w:line="312" w:lineRule="auto"/>
              <w:jc w:val="center"/>
              <w:textAlignment w:val="auto"/>
              <w:rPr>
                <w:rFonts w:ascii="宋体" w:hAnsi="宋体" w:cs="宋体"/>
                <w:color w:val="auto"/>
                <w:kern w:val="0"/>
                <w:sz w:val="24"/>
                <w:highlight w:val="none"/>
                <w:lang w:val="zh-CN"/>
              </w:rPr>
            </w:pPr>
          </w:p>
        </w:tc>
        <w:tc>
          <w:tcPr>
            <w:tcW w:w="1691" w:type="dxa"/>
            <w:vMerge w:val="continue"/>
            <w:vAlign w:val="center"/>
          </w:tcPr>
          <w:p w14:paraId="40643F14">
            <w:pPr>
              <w:keepNext w:val="0"/>
              <w:keepLines w:val="0"/>
              <w:pageBreakBefore w:val="0"/>
              <w:widowControl w:val="0"/>
              <w:kinsoku/>
              <w:overflowPunct/>
              <w:topLinePunct w:val="0"/>
              <w:autoSpaceDE/>
              <w:autoSpaceDN/>
              <w:bidi w:val="0"/>
              <w:adjustRightInd/>
              <w:snapToGrid/>
              <w:spacing w:line="312" w:lineRule="auto"/>
              <w:textAlignment w:val="auto"/>
              <w:rPr>
                <w:rFonts w:ascii="宋体" w:hAnsi="宋体" w:cs="宋体"/>
                <w:color w:val="auto"/>
                <w:sz w:val="24"/>
                <w:highlight w:val="none"/>
              </w:rPr>
            </w:pPr>
          </w:p>
        </w:tc>
        <w:tc>
          <w:tcPr>
            <w:tcW w:w="2750" w:type="dxa"/>
            <w:vAlign w:val="center"/>
          </w:tcPr>
          <w:p w14:paraId="32081D31">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宋体" w:hAnsi="宋体" w:cs="宋体"/>
                <w:color w:val="auto"/>
                <w:sz w:val="24"/>
                <w:highlight w:val="none"/>
              </w:rPr>
            </w:pPr>
            <w:r>
              <w:rPr>
                <w:rFonts w:hint="eastAsia" w:ascii="宋体" w:hAnsi="宋体" w:cs="宋体"/>
                <w:color w:val="auto"/>
                <w:sz w:val="24"/>
                <w:highlight w:val="none"/>
              </w:rPr>
              <w:t>参加政府采购活动前三年内，在经营活动中没有重大违法记录；</w:t>
            </w:r>
          </w:p>
        </w:tc>
        <w:tc>
          <w:tcPr>
            <w:tcW w:w="4708" w:type="dxa"/>
            <w:vAlign w:val="center"/>
          </w:tcPr>
          <w:p w14:paraId="6F32802A">
            <w:pPr>
              <w:keepNext w:val="0"/>
              <w:keepLines w:val="0"/>
              <w:pageBreakBefore w:val="0"/>
              <w:widowControl w:val="0"/>
              <w:kinsoku/>
              <w:overflowPunct/>
              <w:topLinePunct w:val="0"/>
              <w:autoSpaceDE/>
              <w:autoSpaceDN/>
              <w:bidi w:val="0"/>
              <w:adjustRightInd/>
              <w:snapToGrid/>
              <w:spacing w:line="312" w:lineRule="auto"/>
              <w:textAlignment w:val="auto"/>
              <w:rPr>
                <w:rStyle w:val="27"/>
                <w:rFonts w:hint="eastAsia" w:ascii="宋体" w:hAnsi="宋体" w:eastAsia="宋体" w:cs="宋体"/>
                <w:b w:val="0"/>
                <w:bCs/>
                <w:color w:val="auto"/>
                <w:sz w:val="24"/>
                <w:highlight w:val="none"/>
              </w:rPr>
            </w:pPr>
            <w:r>
              <w:rPr>
                <w:rStyle w:val="27"/>
                <w:rFonts w:hint="eastAsia" w:ascii="宋体" w:hAnsi="宋体" w:eastAsia="宋体" w:cs="宋体"/>
                <w:b w:val="0"/>
                <w:bCs/>
                <w:color w:val="auto"/>
                <w:sz w:val="24"/>
                <w:highlight w:val="none"/>
              </w:rPr>
              <w:t xml:space="preserve">提供“无重大违法记录承诺书”，格式见“第五章  </w:t>
            </w:r>
            <w:r>
              <w:rPr>
                <w:rStyle w:val="27"/>
                <w:rFonts w:hint="eastAsia" w:ascii="宋体" w:hAnsi="宋体" w:eastAsia="宋体" w:cs="宋体"/>
                <w:b w:val="0"/>
                <w:bCs/>
                <w:color w:val="auto"/>
                <w:sz w:val="24"/>
                <w:highlight w:val="none"/>
                <w:lang w:eastAsia="zh-CN"/>
              </w:rPr>
              <w:t>响应</w:t>
            </w:r>
            <w:r>
              <w:rPr>
                <w:rStyle w:val="27"/>
                <w:rFonts w:hint="eastAsia" w:ascii="宋体" w:hAnsi="宋体" w:eastAsia="宋体" w:cs="宋体"/>
                <w:b w:val="0"/>
                <w:bCs/>
                <w:color w:val="auto"/>
                <w:sz w:val="24"/>
                <w:highlight w:val="none"/>
              </w:rPr>
              <w:t>文件格式（</w:t>
            </w:r>
            <w:r>
              <w:rPr>
                <w:rStyle w:val="27"/>
                <w:rFonts w:hint="eastAsia" w:ascii="宋体" w:hAnsi="宋体" w:eastAsia="宋体" w:cs="宋体"/>
                <w:b w:val="0"/>
                <w:bCs/>
                <w:color w:val="auto"/>
                <w:sz w:val="24"/>
                <w:highlight w:val="none"/>
                <w:lang w:val="en-US" w:eastAsia="zh-CN"/>
              </w:rPr>
              <w:t>6</w:t>
            </w:r>
            <w:r>
              <w:rPr>
                <w:rStyle w:val="27"/>
                <w:rFonts w:hint="eastAsia" w:ascii="宋体" w:hAnsi="宋体" w:eastAsia="宋体" w:cs="宋体"/>
                <w:b w:val="0"/>
                <w:bCs/>
                <w:color w:val="auto"/>
                <w:sz w:val="24"/>
                <w:highlight w:val="none"/>
              </w:rPr>
              <w:t>）”</w:t>
            </w:r>
          </w:p>
        </w:tc>
      </w:tr>
      <w:tr w14:paraId="77136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jc w:val="center"/>
        </w:trPr>
        <w:tc>
          <w:tcPr>
            <w:tcW w:w="731" w:type="dxa"/>
            <w:vAlign w:val="center"/>
          </w:tcPr>
          <w:p w14:paraId="1C476676">
            <w:pPr>
              <w:keepNext w:val="0"/>
              <w:keepLines w:val="0"/>
              <w:pageBreakBefore w:val="0"/>
              <w:widowControl w:val="0"/>
              <w:kinsoku/>
              <w:overflowPunct/>
              <w:topLinePunct w:val="0"/>
              <w:autoSpaceDE/>
              <w:autoSpaceDN/>
              <w:bidi w:val="0"/>
              <w:adjustRightInd/>
              <w:snapToGrid/>
              <w:spacing w:line="312" w:lineRule="auto"/>
              <w:jc w:val="center"/>
              <w:textAlignment w:val="auto"/>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2</w:t>
            </w:r>
          </w:p>
        </w:tc>
        <w:tc>
          <w:tcPr>
            <w:tcW w:w="4441" w:type="dxa"/>
            <w:gridSpan w:val="2"/>
            <w:vAlign w:val="center"/>
          </w:tcPr>
          <w:p w14:paraId="7219359F">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宋体" w:hAnsi="宋体" w:cs="宋体"/>
                <w:bCs/>
                <w:color w:val="auto"/>
                <w:kern w:val="0"/>
                <w:sz w:val="24"/>
                <w:szCs w:val="22"/>
                <w:highlight w:val="none"/>
                <w:lang w:val="en-US" w:eastAsia="zh-Hans" w:bidi="ar-SA"/>
              </w:rPr>
            </w:pPr>
            <w:r>
              <w:rPr>
                <w:rFonts w:hint="eastAsia" w:ascii="宋体" w:hAnsi="宋体" w:cs="宋体"/>
                <w:bCs/>
                <w:color w:val="auto"/>
                <w:kern w:val="0"/>
                <w:sz w:val="24"/>
                <w:szCs w:val="22"/>
                <w:highlight w:val="none"/>
                <w:lang w:eastAsia="zh-Hans"/>
              </w:rPr>
              <w:t>供应商为中小企业</w:t>
            </w:r>
          </w:p>
        </w:tc>
        <w:tc>
          <w:tcPr>
            <w:tcW w:w="4708" w:type="dxa"/>
            <w:vAlign w:val="center"/>
          </w:tcPr>
          <w:p w14:paraId="316ADAF9">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宋体" w:hAnsi="宋体" w:cs="宋体"/>
                <w:color w:val="auto"/>
                <w:kern w:val="0"/>
                <w:sz w:val="24"/>
                <w:szCs w:val="24"/>
                <w:highlight w:val="none"/>
                <w:lang w:val="en-US" w:eastAsia="zh-Hans" w:bidi="ar-SA"/>
              </w:rPr>
            </w:pPr>
            <w:r>
              <w:rPr>
                <w:rFonts w:hint="eastAsia" w:ascii="宋体" w:hAnsi="宋体" w:cs="宋体"/>
                <w:color w:val="auto"/>
                <w:kern w:val="0"/>
                <w:sz w:val="24"/>
                <w:highlight w:val="none"/>
                <w:lang w:eastAsia="zh-Hans"/>
              </w:rPr>
              <w:t>根据采购文件要求，提供“中小企业声明函”</w:t>
            </w:r>
          </w:p>
        </w:tc>
      </w:tr>
      <w:tr w14:paraId="18F00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jc w:val="center"/>
        </w:trPr>
        <w:tc>
          <w:tcPr>
            <w:tcW w:w="731" w:type="dxa"/>
            <w:vAlign w:val="center"/>
          </w:tcPr>
          <w:p w14:paraId="2E021BB0">
            <w:pPr>
              <w:keepNext w:val="0"/>
              <w:keepLines w:val="0"/>
              <w:pageBreakBefore w:val="0"/>
              <w:widowControl w:val="0"/>
              <w:kinsoku/>
              <w:overflowPunct/>
              <w:topLinePunct w:val="0"/>
              <w:autoSpaceDE/>
              <w:autoSpaceDN/>
              <w:bidi w:val="0"/>
              <w:adjustRightInd/>
              <w:snapToGrid/>
              <w:spacing w:line="312" w:lineRule="auto"/>
              <w:jc w:val="center"/>
              <w:textAlignment w:val="auto"/>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w:t>
            </w:r>
          </w:p>
        </w:tc>
        <w:tc>
          <w:tcPr>
            <w:tcW w:w="4441" w:type="dxa"/>
            <w:gridSpan w:val="2"/>
            <w:vAlign w:val="center"/>
          </w:tcPr>
          <w:p w14:paraId="60CFB36B">
            <w:pPr>
              <w:keepNext w:val="0"/>
              <w:keepLines w:val="0"/>
              <w:pageBreakBefore w:val="0"/>
              <w:widowControl w:val="0"/>
              <w:kinsoku/>
              <w:overflowPunct/>
              <w:topLinePunct w:val="0"/>
              <w:autoSpaceDE/>
              <w:autoSpaceDN/>
              <w:bidi w:val="0"/>
              <w:adjustRightInd/>
              <w:snapToGrid/>
              <w:spacing w:line="312" w:lineRule="auto"/>
              <w:textAlignment w:val="auto"/>
              <w:rPr>
                <w:rFonts w:hint="default" w:ascii="宋体" w:hAnsi="宋体" w:eastAsia="宋体" w:cs="宋体"/>
                <w:bCs/>
                <w:color w:val="auto"/>
                <w:kern w:val="0"/>
                <w:sz w:val="24"/>
                <w:szCs w:val="22"/>
                <w:highlight w:val="none"/>
                <w:lang w:val="en-US" w:eastAsia="zh-CN"/>
              </w:rPr>
            </w:pPr>
            <w:r>
              <w:rPr>
                <w:rFonts w:hint="eastAsia" w:ascii="宋体" w:hAnsi="宋体" w:cs="宋体"/>
                <w:bCs/>
                <w:color w:val="auto"/>
                <w:kern w:val="0"/>
                <w:sz w:val="24"/>
                <w:szCs w:val="22"/>
                <w:highlight w:val="none"/>
                <w:lang w:val="en-US" w:eastAsia="zh-CN"/>
              </w:rPr>
              <w:t>特定资格要求</w:t>
            </w:r>
          </w:p>
        </w:tc>
        <w:tc>
          <w:tcPr>
            <w:tcW w:w="4708" w:type="dxa"/>
            <w:vAlign w:val="center"/>
          </w:tcPr>
          <w:p w14:paraId="39289628">
            <w:pPr>
              <w:keepNext w:val="0"/>
              <w:keepLines w:val="0"/>
              <w:pageBreakBefore w:val="0"/>
              <w:widowControl w:val="0"/>
              <w:kinsoku/>
              <w:overflowPunct/>
              <w:topLinePunct w:val="0"/>
              <w:autoSpaceDE/>
              <w:autoSpaceDN/>
              <w:bidi w:val="0"/>
              <w:adjustRightInd/>
              <w:snapToGrid/>
              <w:spacing w:line="312" w:lineRule="auto"/>
              <w:textAlignment w:val="auto"/>
              <w:rPr>
                <w:rFonts w:hint="eastAsia" w:ascii="宋体" w:hAnsi="宋体" w:cs="宋体"/>
                <w:color w:val="auto"/>
                <w:kern w:val="0"/>
                <w:sz w:val="24"/>
                <w:highlight w:val="none"/>
                <w:lang w:eastAsia="zh-Hans"/>
              </w:rPr>
            </w:pPr>
            <w:r>
              <w:rPr>
                <w:rFonts w:hint="eastAsia" w:ascii="宋体" w:hAnsi="宋体" w:eastAsia="宋体" w:cs="宋体"/>
                <w:kern w:val="2"/>
                <w:sz w:val="24"/>
                <w:szCs w:val="20"/>
                <w:lang w:val="en-US" w:eastAsia="zh-CN" w:bidi="ar-SA"/>
              </w:rPr>
              <w:t>具有国家测绘主管部门颁发的乙级或乙级以上测绘级资质证书</w:t>
            </w:r>
            <w:r>
              <w:rPr>
                <w:rFonts w:hint="eastAsia" w:ascii="宋体" w:hAnsi="宋体" w:cs="宋体"/>
                <w:kern w:val="2"/>
                <w:sz w:val="24"/>
                <w:szCs w:val="20"/>
                <w:lang w:val="en-US" w:eastAsia="zh-CN" w:bidi="ar-SA"/>
              </w:rPr>
              <w:t>、</w:t>
            </w:r>
            <w:r>
              <w:rPr>
                <w:rFonts w:hint="eastAsia" w:asciiTheme="minorEastAsia" w:hAnsiTheme="minorEastAsia" w:eastAsiaTheme="minorEastAsia"/>
                <w:sz w:val="24"/>
              </w:rPr>
              <w:t>项目负责人应具有测绘专业的高级技术职称证书</w:t>
            </w:r>
          </w:p>
        </w:tc>
      </w:tr>
    </w:tbl>
    <w:p w14:paraId="1A8F3F04">
      <w:pPr>
        <w:spacing w:line="360" w:lineRule="auto"/>
        <w:rPr>
          <w:rFonts w:hint="eastAsia" w:ascii="宋体" w:hAnsi="宋体" w:cs="宋体"/>
          <w:b/>
          <w:bCs/>
          <w:sz w:val="28"/>
          <w:szCs w:val="21"/>
          <w:highlight w:val="none"/>
        </w:rPr>
      </w:pPr>
    </w:p>
    <w:p w14:paraId="46DBB859">
      <w:pPr>
        <w:rPr>
          <w:rFonts w:hint="eastAsia" w:ascii="宋体" w:hAnsi="宋体" w:cs="宋体"/>
          <w:b/>
          <w:bCs/>
          <w:sz w:val="28"/>
          <w:szCs w:val="21"/>
          <w:highlight w:val="none"/>
        </w:rPr>
      </w:pPr>
      <w:r>
        <w:rPr>
          <w:rFonts w:hint="eastAsia" w:ascii="宋体" w:hAnsi="宋体" w:cs="宋体"/>
          <w:b/>
          <w:bCs/>
          <w:sz w:val="28"/>
          <w:szCs w:val="21"/>
          <w:highlight w:val="none"/>
        </w:rPr>
        <w:br w:type="page"/>
      </w:r>
    </w:p>
    <w:p w14:paraId="2B6D6B1E">
      <w:pPr>
        <w:spacing w:line="360" w:lineRule="auto"/>
        <w:rPr>
          <w:rFonts w:hint="eastAsia" w:ascii="宋体" w:hAnsi="宋体" w:cs="宋体"/>
          <w:b/>
          <w:bCs/>
          <w:sz w:val="28"/>
          <w:szCs w:val="21"/>
          <w:highlight w:val="none"/>
        </w:rPr>
      </w:pPr>
      <w:r>
        <w:rPr>
          <w:rFonts w:hint="eastAsia" w:ascii="宋体" w:hAnsi="宋体" w:cs="宋体"/>
          <w:b/>
          <w:bCs/>
          <w:sz w:val="28"/>
          <w:szCs w:val="21"/>
          <w:highlight w:val="none"/>
        </w:rPr>
        <w:t>2、符合性审查</w:t>
      </w:r>
    </w:p>
    <w:tbl>
      <w:tblPr>
        <w:tblStyle w:val="24"/>
        <w:tblW w:w="100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1566"/>
        <w:gridCol w:w="2884"/>
        <w:gridCol w:w="4764"/>
      </w:tblGrid>
      <w:tr w14:paraId="770AD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790" w:type="dxa"/>
            <w:vAlign w:val="center"/>
          </w:tcPr>
          <w:p w14:paraId="595129D0">
            <w:pPr>
              <w:spacing w:line="288" w:lineRule="auto"/>
              <w:jc w:val="center"/>
              <w:rPr>
                <w:rFonts w:hint="eastAsia" w:ascii="宋体" w:hAnsi="宋体" w:cs="宋体"/>
                <w:kern w:val="0"/>
                <w:sz w:val="24"/>
                <w:szCs w:val="24"/>
                <w:highlight w:val="none"/>
              </w:rPr>
            </w:pPr>
            <w:r>
              <w:rPr>
                <w:rFonts w:hint="eastAsia" w:ascii="宋体" w:hAnsi="宋体" w:cs="宋体"/>
                <w:kern w:val="0"/>
                <w:sz w:val="24"/>
                <w:szCs w:val="24"/>
                <w:highlight w:val="none"/>
              </w:rPr>
              <w:t>序号</w:t>
            </w:r>
          </w:p>
        </w:tc>
        <w:tc>
          <w:tcPr>
            <w:tcW w:w="4450" w:type="dxa"/>
            <w:gridSpan w:val="2"/>
            <w:vAlign w:val="center"/>
          </w:tcPr>
          <w:p w14:paraId="57D0A71C">
            <w:pPr>
              <w:spacing w:line="288" w:lineRule="auto"/>
              <w:jc w:val="center"/>
              <w:rPr>
                <w:rFonts w:hint="eastAsia" w:ascii="宋体" w:hAnsi="宋体" w:cs="宋体"/>
                <w:kern w:val="0"/>
                <w:sz w:val="24"/>
                <w:szCs w:val="24"/>
                <w:highlight w:val="none"/>
              </w:rPr>
            </w:pPr>
            <w:r>
              <w:rPr>
                <w:rFonts w:hint="eastAsia" w:ascii="宋体" w:hAnsi="宋体" w:cs="宋体"/>
                <w:kern w:val="0"/>
                <w:sz w:val="24"/>
                <w:szCs w:val="24"/>
                <w:highlight w:val="none"/>
              </w:rPr>
              <w:t>评审因素</w:t>
            </w:r>
          </w:p>
        </w:tc>
        <w:tc>
          <w:tcPr>
            <w:tcW w:w="4764" w:type="dxa"/>
            <w:vAlign w:val="center"/>
          </w:tcPr>
          <w:p w14:paraId="167D4CD5">
            <w:pPr>
              <w:spacing w:line="288" w:lineRule="auto"/>
              <w:jc w:val="center"/>
              <w:rPr>
                <w:rFonts w:hint="eastAsia" w:ascii="宋体" w:hAnsi="宋体" w:cs="宋体"/>
                <w:kern w:val="0"/>
                <w:sz w:val="24"/>
                <w:szCs w:val="24"/>
                <w:highlight w:val="none"/>
              </w:rPr>
            </w:pPr>
            <w:r>
              <w:rPr>
                <w:rFonts w:hint="eastAsia" w:ascii="宋体" w:hAnsi="宋体" w:cs="宋体"/>
                <w:kern w:val="0"/>
                <w:sz w:val="24"/>
                <w:szCs w:val="24"/>
                <w:highlight w:val="none"/>
              </w:rPr>
              <w:t>评审标准</w:t>
            </w:r>
          </w:p>
        </w:tc>
      </w:tr>
      <w:tr w14:paraId="21ED0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790" w:type="dxa"/>
            <w:vMerge w:val="restart"/>
            <w:vAlign w:val="center"/>
          </w:tcPr>
          <w:p w14:paraId="6E4D8500">
            <w:pPr>
              <w:spacing w:line="288" w:lineRule="auto"/>
              <w:jc w:val="center"/>
              <w:rPr>
                <w:rFonts w:hint="eastAsia" w:ascii="宋体" w:hAnsi="宋体" w:cs="宋体"/>
                <w:kern w:val="0"/>
                <w:sz w:val="24"/>
                <w:szCs w:val="24"/>
                <w:highlight w:val="none"/>
              </w:rPr>
            </w:pPr>
            <w:r>
              <w:rPr>
                <w:rFonts w:hint="eastAsia" w:ascii="宋体" w:hAnsi="宋体" w:cs="宋体"/>
                <w:kern w:val="0"/>
                <w:sz w:val="24"/>
                <w:szCs w:val="24"/>
                <w:highlight w:val="none"/>
              </w:rPr>
              <w:t>1</w:t>
            </w:r>
          </w:p>
        </w:tc>
        <w:tc>
          <w:tcPr>
            <w:tcW w:w="1566" w:type="dxa"/>
            <w:vMerge w:val="restart"/>
            <w:vAlign w:val="center"/>
          </w:tcPr>
          <w:p w14:paraId="6E19C342">
            <w:pPr>
              <w:spacing w:line="288" w:lineRule="auto"/>
              <w:jc w:val="center"/>
              <w:rPr>
                <w:rFonts w:hint="eastAsia" w:ascii="宋体" w:hAnsi="宋体" w:cs="宋体"/>
                <w:kern w:val="0"/>
                <w:sz w:val="24"/>
                <w:szCs w:val="24"/>
                <w:highlight w:val="none"/>
              </w:rPr>
            </w:pPr>
            <w:r>
              <w:rPr>
                <w:rFonts w:hint="eastAsia" w:ascii="宋体" w:hAnsi="宋体" w:cs="宋体"/>
                <w:kern w:val="0"/>
                <w:sz w:val="24"/>
                <w:szCs w:val="24"/>
                <w:highlight w:val="none"/>
              </w:rPr>
              <w:t>有效性审查</w:t>
            </w:r>
          </w:p>
        </w:tc>
        <w:tc>
          <w:tcPr>
            <w:tcW w:w="2884" w:type="dxa"/>
            <w:vAlign w:val="center"/>
          </w:tcPr>
          <w:p w14:paraId="62165B3E">
            <w:pPr>
              <w:spacing w:line="288" w:lineRule="auto"/>
              <w:rPr>
                <w:rFonts w:hint="eastAsia" w:ascii="宋体" w:hAnsi="宋体" w:cs="宋体"/>
                <w:kern w:val="0"/>
                <w:sz w:val="24"/>
                <w:szCs w:val="24"/>
                <w:highlight w:val="none"/>
              </w:rPr>
            </w:pPr>
            <w:r>
              <w:rPr>
                <w:rFonts w:hint="eastAsia" w:ascii="宋体" w:hAnsi="宋体" w:cs="宋体"/>
                <w:sz w:val="24"/>
                <w:szCs w:val="24"/>
                <w:highlight w:val="none"/>
                <w:lang w:val="zh-CN"/>
              </w:rPr>
              <w:t>响应文件</w:t>
            </w:r>
            <w:r>
              <w:rPr>
                <w:rFonts w:hint="eastAsia" w:ascii="宋体" w:hAnsi="宋体" w:cs="宋体"/>
                <w:sz w:val="24"/>
                <w:szCs w:val="24"/>
                <w:highlight w:val="none"/>
              </w:rPr>
              <w:t>签署</w:t>
            </w:r>
          </w:p>
        </w:tc>
        <w:tc>
          <w:tcPr>
            <w:tcW w:w="4764" w:type="dxa"/>
            <w:vAlign w:val="center"/>
          </w:tcPr>
          <w:p w14:paraId="7A75ACD9">
            <w:pPr>
              <w:spacing w:line="288" w:lineRule="auto"/>
              <w:rPr>
                <w:rFonts w:hint="eastAsia" w:ascii="宋体" w:hAnsi="宋体" w:cs="宋体"/>
                <w:kern w:val="0"/>
                <w:sz w:val="24"/>
                <w:szCs w:val="24"/>
                <w:highlight w:val="none"/>
              </w:rPr>
            </w:pPr>
            <w:r>
              <w:rPr>
                <w:rFonts w:hint="eastAsia" w:ascii="宋体" w:hAnsi="宋体" w:cs="仿宋_GB2312"/>
                <w:sz w:val="24"/>
                <w:lang w:val="zh-CN"/>
              </w:rPr>
              <w:t>响应文件</w:t>
            </w:r>
            <w:r>
              <w:rPr>
                <w:rFonts w:hint="eastAsia" w:ascii="宋体" w:hAnsi="宋体"/>
                <w:sz w:val="24"/>
              </w:rPr>
              <w:t>中法定代表人或其授权代表人的签字齐全。</w:t>
            </w:r>
          </w:p>
        </w:tc>
      </w:tr>
      <w:tr w14:paraId="3B9FC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9" w:hRule="atLeast"/>
          <w:jc w:val="center"/>
        </w:trPr>
        <w:tc>
          <w:tcPr>
            <w:tcW w:w="790" w:type="dxa"/>
            <w:vMerge w:val="continue"/>
            <w:vAlign w:val="center"/>
          </w:tcPr>
          <w:p w14:paraId="3813E01C">
            <w:pPr>
              <w:spacing w:line="288" w:lineRule="auto"/>
              <w:jc w:val="center"/>
              <w:rPr>
                <w:rFonts w:hint="eastAsia" w:ascii="宋体" w:hAnsi="宋体" w:cs="宋体"/>
                <w:kern w:val="0"/>
                <w:sz w:val="24"/>
                <w:szCs w:val="24"/>
                <w:highlight w:val="none"/>
              </w:rPr>
            </w:pPr>
          </w:p>
        </w:tc>
        <w:tc>
          <w:tcPr>
            <w:tcW w:w="1566" w:type="dxa"/>
            <w:vMerge w:val="continue"/>
            <w:vAlign w:val="center"/>
          </w:tcPr>
          <w:p w14:paraId="69B0EBFF">
            <w:pPr>
              <w:spacing w:line="288" w:lineRule="auto"/>
              <w:jc w:val="center"/>
              <w:rPr>
                <w:rFonts w:hint="eastAsia" w:ascii="宋体" w:hAnsi="宋体" w:cs="宋体"/>
                <w:kern w:val="0"/>
                <w:sz w:val="24"/>
                <w:szCs w:val="24"/>
                <w:highlight w:val="none"/>
              </w:rPr>
            </w:pPr>
          </w:p>
        </w:tc>
        <w:tc>
          <w:tcPr>
            <w:tcW w:w="2884" w:type="dxa"/>
            <w:vAlign w:val="center"/>
          </w:tcPr>
          <w:p w14:paraId="491B0379">
            <w:pPr>
              <w:spacing w:line="288" w:lineRule="auto"/>
              <w:rPr>
                <w:rFonts w:hint="eastAsia" w:ascii="宋体" w:hAnsi="宋体" w:cs="宋体"/>
                <w:sz w:val="24"/>
                <w:szCs w:val="24"/>
                <w:highlight w:val="none"/>
                <w:lang w:val="zh-CN"/>
              </w:rPr>
            </w:pPr>
            <w:r>
              <w:rPr>
                <w:rFonts w:hint="eastAsia" w:ascii="宋体" w:hAnsi="宋体" w:cs="宋体"/>
                <w:sz w:val="24"/>
                <w:szCs w:val="24"/>
                <w:highlight w:val="none"/>
              </w:rPr>
              <w:t>法定代表人身份证明及授权委托书</w:t>
            </w:r>
          </w:p>
        </w:tc>
        <w:tc>
          <w:tcPr>
            <w:tcW w:w="4764" w:type="dxa"/>
            <w:vAlign w:val="center"/>
          </w:tcPr>
          <w:p w14:paraId="64ED3AE5">
            <w:pPr>
              <w:spacing w:line="288" w:lineRule="auto"/>
              <w:rPr>
                <w:rFonts w:hint="eastAsia" w:ascii="宋体" w:hAnsi="宋体" w:cs="宋体"/>
                <w:sz w:val="24"/>
                <w:szCs w:val="24"/>
                <w:highlight w:val="none"/>
                <w:lang w:val="zh-CN"/>
              </w:rPr>
            </w:pPr>
            <w:r>
              <w:rPr>
                <w:rFonts w:hint="eastAsia" w:ascii="宋体" w:hAnsi="宋体" w:cs="宋体"/>
                <w:sz w:val="24"/>
                <w:szCs w:val="24"/>
                <w:highlight w:val="none"/>
              </w:rPr>
              <w:t>法定代表人身份证明及授权委托书有效，且符合磋商文件规定的格式，签字或盖章齐全。</w:t>
            </w:r>
          </w:p>
        </w:tc>
      </w:tr>
      <w:tr w14:paraId="7F2AC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90" w:type="dxa"/>
            <w:vMerge w:val="continue"/>
            <w:vAlign w:val="center"/>
          </w:tcPr>
          <w:p w14:paraId="499E1FA7">
            <w:pPr>
              <w:spacing w:line="288" w:lineRule="auto"/>
              <w:jc w:val="center"/>
              <w:rPr>
                <w:rFonts w:hint="eastAsia" w:ascii="宋体" w:hAnsi="宋体" w:cs="宋体"/>
                <w:kern w:val="0"/>
                <w:sz w:val="24"/>
                <w:szCs w:val="24"/>
                <w:highlight w:val="none"/>
              </w:rPr>
            </w:pPr>
          </w:p>
        </w:tc>
        <w:tc>
          <w:tcPr>
            <w:tcW w:w="1566" w:type="dxa"/>
            <w:vMerge w:val="continue"/>
            <w:vAlign w:val="center"/>
          </w:tcPr>
          <w:p w14:paraId="4E4BDA29">
            <w:pPr>
              <w:spacing w:line="288" w:lineRule="auto"/>
              <w:jc w:val="center"/>
              <w:rPr>
                <w:rFonts w:hint="eastAsia" w:ascii="宋体" w:hAnsi="宋体" w:cs="宋体"/>
                <w:kern w:val="0"/>
                <w:sz w:val="24"/>
                <w:szCs w:val="24"/>
                <w:highlight w:val="none"/>
              </w:rPr>
            </w:pPr>
          </w:p>
        </w:tc>
        <w:tc>
          <w:tcPr>
            <w:tcW w:w="2884" w:type="dxa"/>
            <w:vAlign w:val="center"/>
          </w:tcPr>
          <w:p w14:paraId="582AE3E5">
            <w:pPr>
              <w:spacing w:line="288" w:lineRule="auto"/>
              <w:rPr>
                <w:rFonts w:hint="eastAsia" w:ascii="宋体" w:hAnsi="宋体" w:cs="宋体"/>
                <w:sz w:val="24"/>
                <w:szCs w:val="24"/>
                <w:highlight w:val="none"/>
                <w:lang w:val="zh-CN"/>
              </w:rPr>
            </w:pPr>
            <w:r>
              <w:rPr>
                <w:rFonts w:hint="eastAsia" w:ascii="宋体" w:hAnsi="宋体" w:cs="宋体"/>
                <w:sz w:val="24"/>
                <w:szCs w:val="24"/>
                <w:highlight w:val="none"/>
                <w:lang w:val="zh-CN"/>
              </w:rPr>
              <w:t>投标方案</w:t>
            </w:r>
          </w:p>
        </w:tc>
        <w:tc>
          <w:tcPr>
            <w:tcW w:w="4764" w:type="dxa"/>
            <w:vAlign w:val="center"/>
          </w:tcPr>
          <w:p w14:paraId="5412E843">
            <w:pPr>
              <w:spacing w:line="288" w:lineRule="auto"/>
              <w:rPr>
                <w:rFonts w:hint="eastAsia" w:ascii="宋体" w:hAnsi="宋体" w:cs="宋体"/>
                <w:sz w:val="24"/>
                <w:szCs w:val="24"/>
                <w:highlight w:val="none"/>
                <w:lang w:val="zh-CN"/>
              </w:rPr>
            </w:pPr>
            <w:r>
              <w:rPr>
                <w:rFonts w:hint="eastAsia" w:ascii="宋体" w:hAnsi="宋体" w:cs="宋体"/>
                <w:sz w:val="24"/>
                <w:szCs w:val="24"/>
                <w:highlight w:val="none"/>
                <w:lang w:val="zh-CN"/>
              </w:rPr>
              <w:t>只能有一个方案投标。</w:t>
            </w:r>
          </w:p>
        </w:tc>
      </w:tr>
      <w:tr w14:paraId="65586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90" w:type="dxa"/>
            <w:vMerge w:val="continue"/>
            <w:vAlign w:val="center"/>
          </w:tcPr>
          <w:p w14:paraId="5AD89F11">
            <w:pPr>
              <w:spacing w:line="288" w:lineRule="auto"/>
              <w:jc w:val="center"/>
              <w:rPr>
                <w:rFonts w:hint="eastAsia" w:ascii="宋体" w:hAnsi="宋体" w:cs="宋体"/>
                <w:kern w:val="0"/>
                <w:sz w:val="24"/>
                <w:szCs w:val="24"/>
                <w:highlight w:val="none"/>
              </w:rPr>
            </w:pPr>
          </w:p>
        </w:tc>
        <w:tc>
          <w:tcPr>
            <w:tcW w:w="1566" w:type="dxa"/>
            <w:vMerge w:val="continue"/>
            <w:vAlign w:val="center"/>
          </w:tcPr>
          <w:p w14:paraId="5E1079AE">
            <w:pPr>
              <w:spacing w:line="288" w:lineRule="auto"/>
              <w:jc w:val="center"/>
              <w:rPr>
                <w:rFonts w:hint="eastAsia" w:ascii="宋体" w:hAnsi="宋体" w:cs="宋体"/>
                <w:kern w:val="0"/>
                <w:sz w:val="24"/>
                <w:szCs w:val="24"/>
                <w:highlight w:val="none"/>
              </w:rPr>
            </w:pPr>
          </w:p>
        </w:tc>
        <w:tc>
          <w:tcPr>
            <w:tcW w:w="2884" w:type="dxa"/>
            <w:vAlign w:val="center"/>
          </w:tcPr>
          <w:p w14:paraId="4FE6EA30">
            <w:pPr>
              <w:spacing w:line="288" w:lineRule="auto"/>
              <w:rPr>
                <w:rFonts w:hint="eastAsia" w:ascii="宋体" w:hAnsi="宋体" w:cs="宋体"/>
                <w:sz w:val="24"/>
                <w:szCs w:val="24"/>
                <w:highlight w:val="none"/>
                <w:lang w:val="zh-CN"/>
              </w:rPr>
            </w:pPr>
            <w:r>
              <w:rPr>
                <w:rFonts w:hint="eastAsia" w:ascii="宋体" w:hAnsi="宋体" w:cs="宋体"/>
                <w:sz w:val="24"/>
                <w:szCs w:val="24"/>
                <w:highlight w:val="none"/>
                <w:lang w:val="zh-CN"/>
              </w:rPr>
              <w:t>报价唯一</w:t>
            </w:r>
          </w:p>
        </w:tc>
        <w:tc>
          <w:tcPr>
            <w:tcW w:w="4764" w:type="dxa"/>
            <w:vAlign w:val="center"/>
          </w:tcPr>
          <w:p w14:paraId="212CA96B">
            <w:pPr>
              <w:spacing w:line="288" w:lineRule="auto"/>
              <w:rPr>
                <w:rFonts w:hint="eastAsia" w:ascii="宋体" w:hAnsi="宋体" w:cs="宋体"/>
                <w:sz w:val="24"/>
                <w:szCs w:val="24"/>
                <w:highlight w:val="none"/>
                <w:lang w:val="zh-CN"/>
              </w:rPr>
            </w:pPr>
            <w:r>
              <w:rPr>
                <w:rFonts w:hint="eastAsia" w:ascii="宋体" w:hAnsi="宋体" w:cs="宋体"/>
                <w:sz w:val="24"/>
                <w:szCs w:val="24"/>
                <w:highlight w:val="none"/>
                <w:lang w:val="zh-CN"/>
              </w:rPr>
              <w:t>只能有一个有效报价，不得提交选择性报价。</w:t>
            </w:r>
          </w:p>
        </w:tc>
      </w:tr>
      <w:tr w14:paraId="65F99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790" w:type="dxa"/>
            <w:vMerge w:val="continue"/>
            <w:vAlign w:val="center"/>
          </w:tcPr>
          <w:p w14:paraId="41164177">
            <w:pPr>
              <w:spacing w:line="288" w:lineRule="auto"/>
              <w:jc w:val="center"/>
              <w:rPr>
                <w:rFonts w:hint="eastAsia" w:ascii="宋体" w:hAnsi="宋体" w:cs="宋体"/>
                <w:kern w:val="0"/>
                <w:sz w:val="24"/>
                <w:szCs w:val="24"/>
                <w:highlight w:val="none"/>
              </w:rPr>
            </w:pPr>
          </w:p>
        </w:tc>
        <w:tc>
          <w:tcPr>
            <w:tcW w:w="1566" w:type="dxa"/>
            <w:vMerge w:val="continue"/>
            <w:vAlign w:val="center"/>
          </w:tcPr>
          <w:p w14:paraId="0AC63881">
            <w:pPr>
              <w:spacing w:line="288" w:lineRule="auto"/>
              <w:jc w:val="center"/>
              <w:rPr>
                <w:rFonts w:hint="eastAsia" w:ascii="宋体" w:hAnsi="宋体" w:cs="宋体"/>
                <w:kern w:val="0"/>
                <w:sz w:val="24"/>
                <w:szCs w:val="24"/>
                <w:highlight w:val="none"/>
              </w:rPr>
            </w:pPr>
          </w:p>
        </w:tc>
        <w:tc>
          <w:tcPr>
            <w:tcW w:w="2884" w:type="dxa"/>
            <w:vAlign w:val="center"/>
          </w:tcPr>
          <w:p w14:paraId="7C2AFF52">
            <w:pPr>
              <w:spacing w:line="288" w:lineRule="auto"/>
              <w:rPr>
                <w:rFonts w:hint="eastAsia" w:ascii="宋体" w:hAnsi="宋体" w:cs="宋体"/>
                <w:sz w:val="24"/>
                <w:szCs w:val="24"/>
                <w:highlight w:val="none"/>
                <w:lang w:val="zh-CN"/>
              </w:rPr>
            </w:pPr>
            <w:r>
              <w:rPr>
                <w:rFonts w:hint="eastAsia" w:ascii="宋体" w:hAnsi="宋体" w:cs="宋体"/>
                <w:sz w:val="24"/>
                <w:szCs w:val="24"/>
                <w:highlight w:val="none"/>
                <w:lang w:val="zh-CN"/>
              </w:rPr>
              <w:t>响应文件内容</w:t>
            </w:r>
          </w:p>
        </w:tc>
        <w:tc>
          <w:tcPr>
            <w:tcW w:w="4764" w:type="dxa"/>
            <w:vAlign w:val="center"/>
          </w:tcPr>
          <w:p w14:paraId="590C88CA">
            <w:pPr>
              <w:spacing w:line="288" w:lineRule="auto"/>
              <w:rPr>
                <w:rFonts w:hint="eastAsia" w:ascii="宋体" w:hAnsi="宋体" w:cs="宋体"/>
                <w:sz w:val="24"/>
                <w:szCs w:val="24"/>
                <w:highlight w:val="none"/>
                <w:lang w:val="zh-CN"/>
              </w:rPr>
            </w:pPr>
            <w:r>
              <w:rPr>
                <w:rFonts w:hint="eastAsia" w:ascii="宋体" w:hAnsi="宋体" w:cs="宋体"/>
                <w:sz w:val="24"/>
                <w:szCs w:val="24"/>
                <w:highlight w:val="none"/>
                <w:lang w:val="zh-CN"/>
              </w:rPr>
              <w:t>响应文件内容齐全、无遗漏。</w:t>
            </w:r>
          </w:p>
        </w:tc>
      </w:tr>
      <w:tr w14:paraId="203DA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790" w:type="dxa"/>
            <w:vMerge w:val="restart"/>
            <w:vAlign w:val="center"/>
          </w:tcPr>
          <w:p w14:paraId="39AE262D">
            <w:pPr>
              <w:spacing w:line="288" w:lineRule="auto"/>
              <w:jc w:val="center"/>
              <w:rPr>
                <w:rFonts w:hint="eastAsia" w:ascii="宋体" w:hAnsi="宋体" w:cs="宋体"/>
                <w:kern w:val="0"/>
                <w:sz w:val="24"/>
                <w:szCs w:val="24"/>
                <w:highlight w:val="none"/>
              </w:rPr>
            </w:pPr>
            <w:r>
              <w:rPr>
                <w:rFonts w:hint="eastAsia" w:ascii="宋体" w:hAnsi="宋体" w:cs="宋体"/>
                <w:kern w:val="0"/>
                <w:sz w:val="24"/>
                <w:szCs w:val="24"/>
                <w:highlight w:val="none"/>
              </w:rPr>
              <w:t>3</w:t>
            </w:r>
          </w:p>
        </w:tc>
        <w:tc>
          <w:tcPr>
            <w:tcW w:w="1566" w:type="dxa"/>
            <w:vMerge w:val="restart"/>
            <w:vAlign w:val="center"/>
          </w:tcPr>
          <w:p w14:paraId="37ACFBF3">
            <w:pPr>
              <w:spacing w:line="288" w:lineRule="auto"/>
              <w:jc w:val="center"/>
              <w:rPr>
                <w:rFonts w:hint="eastAsia" w:ascii="宋体" w:hAnsi="宋体" w:cs="宋体"/>
                <w:sz w:val="24"/>
                <w:szCs w:val="24"/>
                <w:highlight w:val="none"/>
                <w:lang w:val="zh-CN"/>
              </w:rPr>
            </w:pPr>
            <w:r>
              <w:rPr>
                <w:rFonts w:hint="eastAsia" w:ascii="宋体" w:hAnsi="宋体" w:cs="宋体"/>
                <w:kern w:val="0"/>
                <w:sz w:val="24"/>
                <w:szCs w:val="24"/>
                <w:highlight w:val="none"/>
              </w:rPr>
              <w:t>磋商文件的响应程度审查</w:t>
            </w:r>
          </w:p>
        </w:tc>
        <w:tc>
          <w:tcPr>
            <w:tcW w:w="2884" w:type="dxa"/>
            <w:vAlign w:val="center"/>
          </w:tcPr>
          <w:p w14:paraId="7C6CDBE6">
            <w:pPr>
              <w:spacing w:line="288" w:lineRule="auto"/>
              <w:rPr>
                <w:rFonts w:hint="eastAsia" w:ascii="宋体" w:hAnsi="宋体" w:cs="宋体"/>
                <w:kern w:val="0"/>
                <w:sz w:val="24"/>
                <w:szCs w:val="24"/>
                <w:highlight w:val="none"/>
              </w:rPr>
            </w:pPr>
            <w:r>
              <w:rPr>
                <w:rFonts w:hint="eastAsia" w:ascii="宋体" w:hAnsi="宋体" w:cs="宋体"/>
                <w:sz w:val="24"/>
                <w:szCs w:val="24"/>
                <w:highlight w:val="none"/>
                <w:lang w:val="zh-CN"/>
              </w:rPr>
              <w:t>响应文件</w:t>
            </w:r>
            <w:r>
              <w:rPr>
                <w:rFonts w:hint="eastAsia" w:ascii="宋体" w:hAnsi="宋体" w:cs="宋体"/>
                <w:kern w:val="0"/>
                <w:sz w:val="24"/>
                <w:szCs w:val="24"/>
                <w:highlight w:val="none"/>
              </w:rPr>
              <w:t>有效期</w:t>
            </w:r>
          </w:p>
        </w:tc>
        <w:tc>
          <w:tcPr>
            <w:tcW w:w="4764" w:type="dxa"/>
            <w:vAlign w:val="center"/>
          </w:tcPr>
          <w:p w14:paraId="647232A8">
            <w:pPr>
              <w:spacing w:line="288" w:lineRule="auto"/>
              <w:rPr>
                <w:rFonts w:hint="eastAsia" w:ascii="宋体" w:hAnsi="宋体" w:cs="宋体"/>
                <w:kern w:val="0"/>
                <w:sz w:val="24"/>
                <w:szCs w:val="24"/>
                <w:highlight w:val="none"/>
              </w:rPr>
            </w:pPr>
            <w:r>
              <w:rPr>
                <w:rFonts w:hint="eastAsia" w:ascii="宋体" w:hAnsi="宋体" w:cs="宋体"/>
                <w:kern w:val="0"/>
                <w:sz w:val="24"/>
                <w:szCs w:val="24"/>
                <w:highlight w:val="none"/>
              </w:rPr>
              <w:t>满足磋商文件</w:t>
            </w:r>
            <w:r>
              <w:rPr>
                <w:rFonts w:hint="eastAsia" w:ascii="宋体" w:hAnsi="宋体" w:cs="宋体"/>
                <w:sz w:val="24"/>
                <w:szCs w:val="24"/>
                <w:highlight w:val="none"/>
                <w:lang w:val="zh-CN"/>
              </w:rPr>
              <w:t>规定。</w:t>
            </w:r>
          </w:p>
        </w:tc>
      </w:tr>
      <w:tr w14:paraId="24C96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790" w:type="dxa"/>
            <w:vMerge w:val="continue"/>
            <w:vAlign w:val="center"/>
          </w:tcPr>
          <w:p w14:paraId="59186DFF">
            <w:pPr>
              <w:spacing w:line="288" w:lineRule="auto"/>
              <w:jc w:val="center"/>
              <w:rPr>
                <w:rFonts w:hint="eastAsia" w:ascii="宋体" w:hAnsi="宋体" w:cs="宋体"/>
                <w:kern w:val="0"/>
                <w:sz w:val="24"/>
                <w:szCs w:val="24"/>
                <w:highlight w:val="none"/>
              </w:rPr>
            </w:pPr>
          </w:p>
        </w:tc>
        <w:tc>
          <w:tcPr>
            <w:tcW w:w="1566" w:type="dxa"/>
            <w:vMerge w:val="continue"/>
            <w:vAlign w:val="center"/>
          </w:tcPr>
          <w:p w14:paraId="05A947BE">
            <w:pPr>
              <w:spacing w:line="288" w:lineRule="auto"/>
              <w:rPr>
                <w:rFonts w:hint="eastAsia" w:ascii="宋体" w:hAnsi="宋体" w:cs="宋体"/>
                <w:sz w:val="24"/>
                <w:szCs w:val="24"/>
                <w:highlight w:val="none"/>
                <w:lang w:val="zh-CN"/>
              </w:rPr>
            </w:pPr>
          </w:p>
        </w:tc>
        <w:tc>
          <w:tcPr>
            <w:tcW w:w="2884" w:type="dxa"/>
            <w:vAlign w:val="center"/>
          </w:tcPr>
          <w:p w14:paraId="1BFFF34A">
            <w:pPr>
              <w:spacing w:line="288" w:lineRule="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工期要求</w:t>
            </w:r>
          </w:p>
        </w:tc>
        <w:tc>
          <w:tcPr>
            <w:tcW w:w="4764" w:type="dxa"/>
            <w:vAlign w:val="center"/>
          </w:tcPr>
          <w:p w14:paraId="393EBCF4">
            <w:pPr>
              <w:spacing w:line="288" w:lineRule="auto"/>
              <w:rPr>
                <w:rFonts w:hint="eastAsia" w:ascii="宋体" w:hAnsi="宋体" w:cs="宋体"/>
                <w:sz w:val="24"/>
                <w:szCs w:val="24"/>
                <w:highlight w:val="none"/>
              </w:rPr>
            </w:pPr>
            <w:r>
              <w:rPr>
                <w:rFonts w:hint="eastAsia" w:ascii="宋体" w:hAnsi="宋体" w:cs="宋体"/>
                <w:sz w:val="24"/>
                <w:szCs w:val="24"/>
                <w:highlight w:val="none"/>
                <w:lang w:val="zh-CN"/>
              </w:rPr>
              <w:t>满足磋商文件规定。</w:t>
            </w:r>
          </w:p>
        </w:tc>
      </w:tr>
      <w:tr w14:paraId="60D4F1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790" w:type="dxa"/>
            <w:vMerge w:val="continue"/>
            <w:vAlign w:val="center"/>
          </w:tcPr>
          <w:p w14:paraId="55A33F43">
            <w:pPr>
              <w:spacing w:line="288" w:lineRule="auto"/>
              <w:jc w:val="center"/>
              <w:rPr>
                <w:rFonts w:hint="eastAsia" w:ascii="宋体" w:hAnsi="宋体" w:cs="宋体"/>
                <w:kern w:val="0"/>
                <w:sz w:val="24"/>
                <w:szCs w:val="24"/>
                <w:highlight w:val="none"/>
              </w:rPr>
            </w:pPr>
          </w:p>
        </w:tc>
        <w:tc>
          <w:tcPr>
            <w:tcW w:w="1566" w:type="dxa"/>
            <w:vMerge w:val="continue"/>
            <w:vAlign w:val="center"/>
          </w:tcPr>
          <w:p w14:paraId="3DBF78FF">
            <w:pPr>
              <w:spacing w:line="288" w:lineRule="auto"/>
              <w:rPr>
                <w:rFonts w:hint="eastAsia" w:ascii="宋体" w:hAnsi="宋体" w:cs="宋体"/>
                <w:sz w:val="24"/>
                <w:szCs w:val="24"/>
                <w:highlight w:val="none"/>
                <w:lang w:val="zh-CN"/>
              </w:rPr>
            </w:pPr>
          </w:p>
        </w:tc>
        <w:tc>
          <w:tcPr>
            <w:tcW w:w="2884" w:type="dxa"/>
            <w:vAlign w:val="center"/>
          </w:tcPr>
          <w:p w14:paraId="5B57DEFB">
            <w:pPr>
              <w:spacing w:line="288" w:lineRule="auto"/>
              <w:rPr>
                <w:rFonts w:hint="eastAsia" w:ascii="宋体" w:hAnsi="宋体" w:cs="宋体"/>
                <w:sz w:val="24"/>
                <w:szCs w:val="24"/>
                <w:highlight w:val="none"/>
              </w:rPr>
            </w:pPr>
            <w:r>
              <w:rPr>
                <w:rFonts w:hint="eastAsia" w:ascii="宋体" w:hAnsi="宋体" w:cs="宋体"/>
                <w:sz w:val="24"/>
                <w:szCs w:val="24"/>
                <w:highlight w:val="none"/>
                <w:lang w:val="zh-CN"/>
              </w:rPr>
              <w:t>其他</w:t>
            </w:r>
          </w:p>
        </w:tc>
        <w:tc>
          <w:tcPr>
            <w:tcW w:w="4764" w:type="dxa"/>
            <w:vAlign w:val="center"/>
          </w:tcPr>
          <w:p w14:paraId="32C380D3">
            <w:pPr>
              <w:spacing w:line="288" w:lineRule="auto"/>
              <w:rPr>
                <w:rFonts w:hint="eastAsia" w:ascii="宋体" w:hAnsi="宋体" w:cs="宋体"/>
                <w:sz w:val="24"/>
                <w:szCs w:val="24"/>
                <w:highlight w:val="none"/>
              </w:rPr>
            </w:pPr>
            <w:r>
              <w:rPr>
                <w:rFonts w:hint="eastAsia" w:ascii="宋体" w:hAnsi="宋体" w:cs="宋体"/>
                <w:kern w:val="0"/>
                <w:sz w:val="24"/>
              </w:rPr>
              <w:t>满足竞争性磋商文件相关</w:t>
            </w:r>
            <w:r>
              <w:rPr>
                <w:rFonts w:hint="eastAsia" w:ascii="宋体" w:hAnsi="宋体" w:cs="仿宋_GB2312"/>
                <w:sz w:val="24"/>
                <w:lang w:val="zh-CN"/>
              </w:rPr>
              <w:t>规定。</w:t>
            </w:r>
          </w:p>
        </w:tc>
      </w:tr>
    </w:tbl>
    <w:p w14:paraId="400E2425">
      <w:pPr>
        <w:spacing w:line="360" w:lineRule="auto"/>
        <w:rPr>
          <w:rFonts w:hint="eastAsia" w:ascii="宋体" w:hAnsi="宋体" w:cs="宋体"/>
          <w:highlight w:val="none"/>
        </w:rPr>
        <w:sectPr>
          <w:footerReference r:id="rId15" w:type="first"/>
          <w:headerReference r:id="rId13" w:type="default"/>
          <w:footerReference r:id="rId14" w:type="default"/>
          <w:pgSz w:w="11906" w:h="16838"/>
          <w:pgMar w:top="1440" w:right="1083" w:bottom="1440" w:left="1083" w:header="850" w:footer="992" w:gutter="0"/>
          <w:pgNumType w:fmt="numberInDash"/>
          <w:cols w:space="0" w:num="1"/>
          <w:titlePg/>
          <w:rtlGutter w:val="0"/>
          <w:docGrid w:linePitch="312" w:charSpace="0"/>
        </w:sectPr>
      </w:pPr>
      <w:r>
        <w:rPr>
          <w:rFonts w:hint="eastAsia" w:ascii="宋体" w:hAnsi="宋体" w:cs="宋体"/>
          <w:b/>
          <w:sz w:val="24"/>
          <w:szCs w:val="24"/>
          <w:highlight w:val="none"/>
        </w:rPr>
        <w:t>注：以上评审内容，有一项不通过者，视为</w:t>
      </w:r>
      <w:r>
        <w:rPr>
          <w:rFonts w:hint="eastAsia" w:ascii="宋体" w:hAnsi="宋体" w:cs="宋体"/>
          <w:b/>
          <w:sz w:val="24"/>
          <w:szCs w:val="24"/>
          <w:highlight w:val="none"/>
          <w:lang w:eastAsia="zh-CN"/>
        </w:rPr>
        <w:t>供应商</w:t>
      </w:r>
      <w:r>
        <w:rPr>
          <w:rFonts w:hint="eastAsia" w:ascii="宋体" w:hAnsi="宋体" w:cs="宋体"/>
          <w:b/>
          <w:sz w:val="24"/>
          <w:szCs w:val="24"/>
          <w:highlight w:val="none"/>
        </w:rPr>
        <w:t>初步评审不通过，未通过初审的其</w:t>
      </w:r>
      <w:r>
        <w:rPr>
          <w:rFonts w:hint="eastAsia" w:ascii="宋体" w:hAnsi="宋体" w:cs="宋体"/>
          <w:b/>
          <w:sz w:val="24"/>
          <w:szCs w:val="24"/>
          <w:highlight w:val="none"/>
          <w:lang w:eastAsia="zh-CN"/>
        </w:rPr>
        <w:t>响应文件</w:t>
      </w:r>
      <w:r>
        <w:rPr>
          <w:rFonts w:hint="eastAsia" w:ascii="宋体" w:hAnsi="宋体" w:cs="宋体"/>
          <w:b/>
          <w:sz w:val="24"/>
          <w:szCs w:val="24"/>
          <w:highlight w:val="none"/>
        </w:rPr>
        <w:t>将按照无效响应处理</w:t>
      </w:r>
    </w:p>
    <w:p w14:paraId="0A75F943">
      <w:pPr>
        <w:spacing w:line="360" w:lineRule="auto"/>
        <w:rPr>
          <w:rFonts w:hint="eastAsia" w:ascii="宋体" w:hAnsi="宋体" w:cs="宋体"/>
          <w:b/>
          <w:bCs/>
          <w:color w:val="auto"/>
          <w:sz w:val="30"/>
          <w:szCs w:val="30"/>
          <w:highlight w:val="none"/>
        </w:rPr>
      </w:pPr>
      <w:r>
        <w:rPr>
          <w:rFonts w:hint="eastAsia" w:ascii="宋体" w:hAnsi="宋体" w:cs="宋体"/>
          <w:b/>
          <w:bCs/>
          <w:color w:val="auto"/>
          <w:sz w:val="30"/>
          <w:szCs w:val="30"/>
          <w:highlight w:val="none"/>
        </w:rPr>
        <w:t>二、</w:t>
      </w:r>
      <w:r>
        <w:rPr>
          <w:rFonts w:hint="eastAsia" w:ascii="宋体" w:hAnsi="宋体" w:cs="宋体"/>
          <w:b/>
          <w:bCs/>
          <w:color w:val="auto"/>
          <w:sz w:val="30"/>
          <w:szCs w:val="30"/>
          <w:highlight w:val="none"/>
          <w:lang w:val="en-US" w:eastAsia="zh-CN"/>
        </w:rPr>
        <w:t>详细</w:t>
      </w:r>
      <w:r>
        <w:rPr>
          <w:rFonts w:hint="eastAsia" w:ascii="宋体" w:hAnsi="宋体" w:cs="宋体"/>
          <w:b/>
          <w:bCs/>
          <w:color w:val="auto"/>
          <w:sz w:val="30"/>
          <w:szCs w:val="30"/>
          <w:highlight w:val="none"/>
        </w:rPr>
        <w:t>评审内容</w:t>
      </w:r>
    </w:p>
    <w:tbl>
      <w:tblPr>
        <w:tblStyle w:val="24"/>
        <w:tblW w:w="99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1"/>
        <w:gridCol w:w="790"/>
        <w:gridCol w:w="7825"/>
      </w:tblGrid>
      <w:tr w14:paraId="36414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926" w:type="dxa"/>
            <w:gridSpan w:val="3"/>
            <w:vAlign w:val="center"/>
          </w:tcPr>
          <w:p w14:paraId="038B610B">
            <w:pPr>
              <w:spacing w:line="360" w:lineRule="auto"/>
              <w:rPr>
                <w:rFonts w:hint="eastAsia" w:ascii="宋体" w:hAnsi="宋体" w:cs="宋体"/>
                <w:kern w:val="0"/>
                <w:sz w:val="24"/>
              </w:rPr>
            </w:pPr>
            <w:r>
              <w:rPr>
                <w:rFonts w:hint="eastAsia" w:ascii="宋体" w:hAnsi="宋体" w:cs="宋体"/>
                <w:b/>
                <w:bCs/>
                <w:kern w:val="0"/>
                <w:sz w:val="24"/>
              </w:rPr>
              <w:t>①</w:t>
            </w:r>
            <w:r>
              <w:rPr>
                <w:rFonts w:hint="eastAsia" w:ascii="宋体" w:hAnsi="宋体"/>
                <w:b/>
                <w:bCs/>
                <w:sz w:val="24"/>
              </w:rPr>
              <w:t>报价部分（10分）</w:t>
            </w:r>
          </w:p>
        </w:tc>
      </w:tr>
      <w:tr w14:paraId="75174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vAlign w:val="center"/>
          </w:tcPr>
          <w:p w14:paraId="7FEB1F41">
            <w:pPr>
              <w:pStyle w:val="43"/>
              <w:snapToGrid w:val="0"/>
              <w:spacing w:line="360" w:lineRule="auto"/>
              <w:jc w:val="center"/>
              <w:rPr>
                <w:rFonts w:hint="eastAsia" w:ascii="宋体" w:hAnsi="宋体" w:cs="宋体"/>
                <w:color w:val="auto"/>
                <w:kern w:val="2"/>
              </w:rPr>
            </w:pPr>
            <w:r>
              <w:rPr>
                <w:rFonts w:hint="eastAsia" w:ascii="宋体" w:hAnsi="宋体" w:cs="宋体"/>
              </w:rPr>
              <w:t>报价部分</w:t>
            </w:r>
          </w:p>
        </w:tc>
        <w:tc>
          <w:tcPr>
            <w:tcW w:w="790" w:type="dxa"/>
            <w:tcBorders>
              <w:bottom w:val="single" w:color="auto" w:sz="4" w:space="0"/>
            </w:tcBorders>
            <w:vAlign w:val="center"/>
          </w:tcPr>
          <w:p w14:paraId="7ABAE2C3">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10</w:t>
            </w:r>
          </w:p>
        </w:tc>
        <w:tc>
          <w:tcPr>
            <w:tcW w:w="7825" w:type="dxa"/>
            <w:tcBorders>
              <w:bottom w:val="single" w:color="auto" w:sz="4" w:space="0"/>
            </w:tcBorders>
            <w:vAlign w:val="center"/>
          </w:tcPr>
          <w:p w14:paraId="1BFE831C">
            <w:pPr>
              <w:spacing w:line="360" w:lineRule="auto"/>
              <w:jc w:val="left"/>
              <w:rPr>
                <w:rFonts w:hint="eastAsia" w:ascii="宋体" w:hAnsi="宋体" w:cs="宋体"/>
                <w:kern w:val="0"/>
                <w:sz w:val="24"/>
              </w:rPr>
            </w:pPr>
            <w:r>
              <w:rPr>
                <w:rFonts w:hint="eastAsia" w:ascii="宋体" w:hAnsi="宋体" w:cs="宋体"/>
                <w:kern w:val="0"/>
                <w:sz w:val="24"/>
              </w:rPr>
              <w:t>满足</w:t>
            </w:r>
            <w:r>
              <w:rPr>
                <w:rFonts w:hint="eastAsia" w:ascii="宋体" w:hAnsi="宋体" w:cs="宋体"/>
                <w:kern w:val="0"/>
                <w:sz w:val="24"/>
                <w:lang w:eastAsia="zh-CN"/>
              </w:rPr>
              <w:t>磋商文件</w:t>
            </w:r>
            <w:r>
              <w:rPr>
                <w:rFonts w:hint="eastAsia" w:ascii="宋体" w:hAnsi="宋体" w:cs="宋体"/>
                <w:kern w:val="0"/>
                <w:sz w:val="24"/>
              </w:rPr>
              <w:t>要求且投标价格最低的投标报价为评标基准价。其价格分为满分10分。其它投标供应商的价格分统一按照以下公式计算：投标报价得分=（评标基准价/投标报价）*价格权值*100。</w:t>
            </w:r>
          </w:p>
        </w:tc>
      </w:tr>
      <w:tr w14:paraId="214C3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926" w:type="dxa"/>
            <w:gridSpan w:val="3"/>
            <w:vAlign w:val="center"/>
          </w:tcPr>
          <w:p w14:paraId="2BD0FC42">
            <w:pPr>
              <w:spacing w:line="360" w:lineRule="auto"/>
              <w:jc w:val="left"/>
              <w:rPr>
                <w:rFonts w:hint="eastAsia" w:ascii="宋体" w:hAnsi="宋体" w:cs="宋体"/>
                <w:kern w:val="0"/>
                <w:sz w:val="24"/>
              </w:rPr>
            </w:pPr>
            <w:r>
              <w:rPr>
                <w:rFonts w:hint="eastAsia" w:ascii="宋体" w:hAnsi="宋体" w:cs="宋体"/>
                <w:b/>
                <w:bCs/>
                <w:kern w:val="0"/>
                <w:sz w:val="24"/>
              </w:rPr>
              <w:t>②商务部分（40分）</w:t>
            </w:r>
          </w:p>
        </w:tc>
      </w:tr>
      <w:tr w14:paraId="52876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vAlign w:val="center"/>
          </w:tcPr>
          <w:p w14:paraId="4F9412E9">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内容</w:t>
            </w:r>
          </w:p>
        </w:tc>
        <w:tc>
          <w:tcPr>
            <w:tcW w:w="790" w:type="dxa"/>
            <w:tcBorders>
              <w:bottom w:val="single" w:color="auto" w:sz="4" w:space="0"/>
            </w:tcBorders>
            <w:vAlign w:val="center"/>
          </w:tcPr>
          <w:p w14:paraId="3D7523F4">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分值</w:t>
            </w:r>
          </w:p>
        </w:tc>
        <w:tc>
          <w:tcPr>
            <w:tcW w:w="7825" w:type="dxa"/>
            <w:tcBorders>
              <w:bottom w:val="single" w:color="auto" w:sz="4" w:space="0"/>
            </w:tcBorders>
            <w:vAlign w:val="center"/>
          </w:tcPr>
          <w:p w14:paraId="1CB9512E">
            <w:pPr>
              <w:spacing w:line="360" w:lineRule="auto"/>
              <w:jc w:val="center"/>
              <w:rPr>
                <w:rFonts w:hint="eastAsia" w:ascii="宋体" w:hAnsi="宋体" w:cs="宋体"/>
                <w:kern w:val="0"/>
                <w:sz w:val="24"/>
              </w:rPr>
            </w:pPr>
            <w:r>
              <w:rPr>
                <w:rFonts w:hint="eastAsia" w:ascii="宋体" w:hAnsi="宋体" w:cs="宋体"/>
                <w:kern w:val="0"/>
                <w:sz w:val="24"/>
              </w:rPr>
              <w:t>评审办法</w:t>
            </w:r>
          </w:p>
        </w:tc>
      </w:tr>
      <w:tr w14:paraId="0B63B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vAlign w:val="center"/>
          </w:tcPr>
          <w:p w14:paraId="4561646A">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类似业绩</w:t>
            </w:r>
          </w:p>
        </w:tc>
        <w:tc>
          <w:tcPr>
            <w:tcW w:w="790" w:type="dxa"/>
            <w:tcBorders>
              <w:bottom w:val="single" w:color="auto" w:sz="4" w:space="0"/>
            </w:tcBorders>
            <w:vAlign w:val="center"/>
          </w:tcPr>
          <w:p w14:paraId="6FFD78FC">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8</w:t>
            </w:r>
          </w:p>
        </w:tc>
        <w:tc>
          <w:tcPr>
            <w:tcW w:w="7825" w:type="dxa"/>
            <w:tcBorders>
              <w:bottom w:val="single" w:color="auto" w:sz="4" w:space="0"/>
            </w:tcBorders>
            <w:vAlign w:val="center"/>
          </w:tcPr>
          <w:p w14:paraId="44291868">
            <w:pPr>
              <w:spacing w:line="360" w:lineRule="auto"/>
              <w:rPr>
                <w:rFonts w:hint="eastAsia" w:ascii="宋体" w:hAnsi="宋体" w:cs="宋体"/>
                <w:kern w:val="0"/>
                <w:sz w:val="24"/>
              </w:rPr>
            </w:pPr>
            <w:r>
              <w:rPr>
                <w:rFonts w:hint="eastAsia" w:ascii="宋体" w:hAnsi="宋体" w:cs="宋体"/>
                <w:kern w:val="0"/>
                <w:sz w:val="24"/>
              </w:rPr>
              <w:t>2021年1月-至今承担过类似国土变更调查项目，每提供1个类似项目业绩的，加2分；本项最多加8分。响应文件中附合同协议书或中标通知书复印件。不提供的不得分。</w:t>
            </w:r>
          </w:p>
        </w:tc>
      </w:tr>
      <w:tr w14:paraId="66BDB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vAlign w:val="center"/>
          </w:tcPr>
          <w:p w14:paraId="0B976B7B">
            <w:pPr>
              <w:spacing w:line="360" w:lineRule="auto"/>
              <w:jc w:val="center"/>
              <w:rPr>
                <w:rFonts w:hint="eastAsia" w:ascii="宋体" w:hAnsi="宋体" w:cs="宋体"/>
                <w:sz w:val="24"/>
              </w:rPr>
            </w:pPr>
            <w:r>
              <w:rPr>
                <w:rFonts w:hint="eastAsia"/>
                <w:sz w:val="24"/>
              </w:rPr>
              <w:t>人员配备</w:t>
            </w:r>
          </w:p>
        </w:tc>
        <w:tc>
          <w:tcPr>
            <w:tcW w:w="790" w:type="dxa"/>
            <w:tcBorders>
              <w:bottom w:val="single" w:color="auto" w:sz="4" w:space="0"/>
            </w:tcBorders>
            <w:vAlign w:val="center"/>
          </w:tcPr>
          <w:p w14:paraId="2E668630">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20</w:t>
            </w:r>
          </w:p>
        </w:tc>
        <w:tc>
          <w:tcPr>
            <w:tcW w:w="7825" w:type="dxa"/>
            <w:tcBorders>
              <w:bottom w:val="single" w:color="auto" w:sz="4" w:space="0"/>
            </w:tcBorders>
            <w:vAlign w:val="center"/>
          </w:tcPr>
          <w:p w14:paraId="30A6F4BA">
            <w:pPr>
              <w:pStyle w:val="50"/>
              <w:spacing w:before="0" w:after="0"/>
              <w:ind w:firstLine="0"/>
              <w:rPr>
                <w:rFonts w:hint="eastAsia" w:ascii="宋体" w:hAnsi="宋体" w:cs="宋体"/>
              </w:rPr>
            </w:pPr>
            <w:r>
              <w:rPr>
                <w:rFonts w:hint="eastAsia" w:ascii="宋体" w:hAnsi="宋体" w:cs="宋体"/>
              </w:rPr>
              <w:t>1、拟派项目负责人同时具有测绘高级工程师职称、注册测绘师资格证书、注册安全工程师资格证书、核心涉密人员保密培训合格证书的得</w:t>
            </w:r>
            <w:r>
              <w:rPr>
                <w:rFonts w:hint="eastAsia" w:ascii="宋体" w:hAnsi="宋体" w:cs="宋体"/>
                <w:lang w:val="en-US" w:eastAsia="zh-CN"/>
              </w:rPr>
              <w:t>5</w:t>
            </w:r>
            <w:r>
              <w:rPr>
                <w:rFonts w:hint="eastAsia" w:ascii="宋体" w:hAnsi="宋体" w:cs="宋体"/>
              </w:rPr>
              <w:t>分，具有测绘中级工程师职称、注册测绘师资格证书、注册安全工程师资格证书、核心涉密人员保密培训合格证书的得</w:t>
            </w:r>
            <w:r>
              <w:rPr>
                <w:rFonts w:hint="eastAsia" w:ascii="宋体" w:hAnsi="宋体" w:cs="宋体"/>
                <w:lang w:val="en-US" w:eastAsia="zh-CN"/>
              </w:rPr>
              <w:t>3</w:t>
            </w:r>
            <w:r>
              <w:rPr>
                <w:rFonts w:hint="eastAsia" w:ascii="宋体" w:hAnsi="宋体" w:cs="宋体"/>
              </w:rPr>
              <w:t>分，缺一项不得分。</w:t>
            </w:r>
          </w:p>
          <w:p w14:paraId="39750201">
            <w:pPr>
              <w:pStyle w:val="50"/>
              <w:spacing w:before="0" w:after="0"/>
              <w:ind w:firstLine="0"/>
              <w:rPr>
                <w:rFonts w:hint="eastAsia" w:ascii="宋体" w:hAnsi="宋体" w:cs="宋体"/>
              </w:rPr>
            </w:pPr>
            <w:r>
              <w:rPr>
                <w:rFonts w:hint="eastAsia" w:ascii="宋体" w:hAnsi="宋体" w:cs="宋体"/>
              </w:rPr>
              <w:t>2、拟派技术负责人同时具有正高（研究员）级高级工程师职称、注册测绘师资格证书、安全生产知识和管理能力考核合格证书的得</w:t>
            </w:r>
            <w:r>
              <w:rPr>
                <w:rFonts w:hint="eastAsia" w:ascii="宋体" w:hAnsi="宋体" w:cs="宋体"/>
                <w:lang w:val="en-US" w:eastAsia="zh-CN"/>
              </w:rPr>
              <w:t>4</w:t>
            </w:r>
            <w:r>
              <w:rPr>
                <w:rFonts w:hint="eastAsia" w:ascii="宋体" w:hAnsi="宋体" w:cs="宋体"/>
              </w:rPr>
              <w:t>分，具有</w:t>
            </w:r>
            <w:r>
              <w:rPr>
                <w:rFonts w:hint="eastAsia" w:ascii="宋体" w:hAnsi="宋体" w:cs="宋体"/>
                <w:lang w:val="en-US" w:eastAsia="zh-CN"/>
              </w:rPr>
              <w:t>高</w:t>
            </w:r>
            <w:r>
              <w:rPr>
                <w:rFonts w:hint="eastAsia" w:ascii="宋体" w:hAnsi="宋体" w:cs="宋体"/>
              </w:rPr>
              <w:t>级工程师职称、注册测绘师资格证书、安全生产知识和管理能力考核合格证书的得</w:t>
            </w:r>
            <w:r>
              <w:rPr>
                <w:rFonts w:hint="eastAsia" w:ascii="宋体" w:hAnsi="宋体" w:cs="宋体"/>
                <w:lang w:val="en-US" w:eastAsia="zh-CN"/>
              </w:rPr>
              <w:t>2</w:t>
            </w:r>
            <w:r>
              <w:rPr>
                <w:rFonts w:hint="eastAsia" w:ascii="宋体" w:hAnsi="宋体" w:cs="宋体"/>
              </w:rPr>
              <w:t>分，缺一项不得分。项目负责人与技术负责人不可为同一人。</w:t>
            </w:r>
          </w:p>
          <w:p w14:paraId="46FEB19E">
            <w:pPr>
              <w:pStyle w:val="50"/>
              <w:spacing w:before="0" w:after="0"/>
              <w:ind w:firstLine="0"/>
              <w:rPr>
                <w:rFonts w:hint="eastAsia" w:ascii="宋体" w:hAnsi="宋体" w:cs="宋体"/>
              </w:rPr>
            </w:pPr>
            <w:r>
              <w:rPr>
                <w:rFonts w:hint="eastAsia" w:ascii="宋体" w:hAnsi="宋体" w:cs="宋体"/>
              </w:rPr>
              <w:t>3、拟投入的其他人员中具有测绘高级工程师及以上职称证书，每两人得1分，中级工程师及以上职称证书的，每两人得0.5分，最高得7分。</w:t>
            </w:r>
          </w:p>
          <w:p w14:paraId="23106A8E">
            <w:pPr>
              <w:pStyle w:val="50"/>
              <w:spacing w:before="0" w:after="0"/>
              <w:ind w:firstLine="0"/>
              <w:rPr>
                <w:rFonts w:hint="eastAsia" w:ascii="宋体" w:hAnsi="宋体" w:cs="宋体"/>
              </w:rPr>
            </w:pPr>
            <w:r>
              <w:rPr>
                <w:rFonts w:hint="eastAsia" w:ascii="宋体" w:hAnsi="宋体" w:cs="宋体"/>
              </w:rPr>
              <w:t>4、拟投入的其他人员（项目负责人除外）中具有注册安全工程师的，有1个得2分，最多得4分。</w:t>
            </w:r>
          </w:p>
          <w:p w14:paraId="4C0B3CC6">
            <w:pPr>
              <w:spacing w:line="360" w:lineRule="auto"/>
              <w:rPr>
                <w:rFonts w:hint="eastAsia" w:ascii="宋体" w:hAnsi="宋体" w:cs="宋体"/>
                <w:sz w:val="24"/>
              </w:rPr>
            </w:pPr>
            <w:r>
              <w:rPr>
                <w:rFonts w:hint="eastAsia" w:ascii="宋体" w:hAnsi="宋体"/>
                <w:sz w:val="24"/>
              </w:rPr>
              <w:t>（提供相关证书</w:t>
            </w:r>
            <w:r>
              <w:rPr>
                <w:rFonts w:hint="eastAsia" w:ascii="宋体" w:hAnsi="宋体"/>
                <w:color w:val="auto"/>
                <w:sz w:val="24"/>
              </w:rPr>
              <w:t>及2024年1月</w:t>
            </w:r>
            <w:r>
              <w:rPr>
                <w:rFonts w:hint="eastAsia" w:ascii="宋体" w:hAnsi="宋体"/>
                <w:color w:val="auto"/>
                <w:sz w:val="24"/>
                <w:lang w:val="en-US" w:eastAsia="zh-CN"/>
              </w:rPr>
              <w:t>以来任意</w:t>
            </w:r>
            <w:r>
              <w:rPr>
                <w:rFonts w:hint="eastAsia" w:ascii="宋体" w:hAnsi="宋体"/>
                <w:color w:val="auto"/>
                <w:sz w:val="24"/>
              </w:rPr>
              <w:t>连续三个月的社保证明复印件加盖投标人单位公章，</w:t>
            </w:r>
            <w:r>
              <w:rPr>
                <w:rFonts w:hint="eastAsia"/>
                <w:color w:val="auto"/>
                <w:sz w:val="24"/>
              </w:rPr>
              <w:t>响应文件中提供的</w:t>
            </w:r>
            <w:r>
              <w:rPr>
                <w:rFonts w:hint="eastAsia"/>
                <w:sz w:val="24"/>
              </w:rPr>
              <w:t>证书须清晰可辨，模糊无法辨识的将不予评分</w:t>
            </w:r>
            <w:r>
              <w:rPr>
                <w:sz w:val="24"/>
              </w:rPr>
              <w:t>。</w:t>
            </w:r>
            <w:r>
              <w:rPr>
                <w:rFonts w:hint="eastAsia" w:ascii="宋体" w:hAnsi="宋体"/>
                <w:sz w:val="24"/>
              </w:rPr>
              <w:t>）</w:t>
            </w:r>
          </w:p>
        </w:tc>
      </w:tr>
      <w:tr w14:paraId="4334E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vAlign w:val="center"/>
          </w:tcPr>
          <w:p w14:paraId="2AE0451E">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售后及服务</w:t>
            </w:r>
          </w:p>
        </w:tc>
        <w:tc>
          <w:tcPr>
            <w:tcW w:w="790" w:type="dxa"/>
            <w:tcBorders>
              <w:bottom w:val="single" w:color="auto" w:sz="4" w:space="0"/>
            </w:tcBorders>
            <w:vAlign w:val="center"/>
          </w:tcPr>
          <w:p w14:paraId="476CAC48">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12</w:t>
            </w:r>
          </w:p>
        </w:tc>
        <w:tc>
          <w:tcPr>
            <w:tcW w:w="7825" w:type="dxa"/>
            <w:tcBorders>
              <w:bottom w:val="single" w:color="auto" w:sz="4" w:space="0"/>
            </w:tcBorders>
            <w:vAlign w:val="center"/>
          </w:tcPr>
          <w:p w14:paraId="7907E0E1">
            <w:pPr>
              <w:pStyle w:val="51"/>
              <w:spacing w:before="0" w:after="0" w:line="360" w:lineRule="auto"/>
              <w:ind w:firstLine="0"/>
              <w:jc w:val="left"/>
              <w:textAlignment w:val="auto"/>
              <w:rPr>
                <w:rFonts w:hint="eastAsia" w:ascii="宋体" w:hAnsi="宋体" w:cs="宋体"/>
                <w:szCs w:val="24"/>
              </w:rPr>
            </w:pPr>
            <w:r>
              <w:rPr>
                <w:rFonts w:hint="eastAsia" w:ascii="宋体" w:hAnsi="宋体" w:cs="宋体"/>
                <w:szCs w:val="24"/>
              </w:rPr>
              <w:t>针对项目的特点：</w:t>
            </w:r>
            <w:r>
              <w:rPr>
                <w:rFonts w:ascii="宋体" w:hAnsi="宋体" w:cs="宋体"/>
                <w:szCs w:val="24"/>
              </w:rPr>
              <w:t>提供可行的售后服务方案，能保障本地化技术服务及售后服务的协调性、及时性。提供售后服务内容、服务响应方式及响应时间，提供故障处理流程、维护保障流程及组织架构、拟投入本项目的维护人员配置等内容详实、完整、准确的得</w:t>
            </w:r>
            <w:r>
              <w:rPr>
                <w:rFonts w:hint="eastAsia" w:ascii="宋体" w:hAnsi="宋体" w:cs="宋体"/>
                <w:szCs w:val="24"/>
              </w:rPr>
              <w:t>12</w:t>
            </w:r>
            <w:r>
              <w:rPr>
                <w:rFonts w:ascii="宋体" w:hAnsi="宋体" w:cs="宋体"/>
                <w:szCs w:val="24"/>
              </w:rPr>
              <w:t>分；</w:t>
            </w:r>
          </w:p>
          <w:p w14:paraId="10EA36CE">
            <w:pPr>
              <w:pStyle w:val="51"/>
              <w:spacing w:before="0" w:after="0" w:line="360" w:lineRule="auto"/>
              <w:ind w:firstLine="0"/>
              <w:jc w:val="left"/>
              <w:textAlignment w:val="auto"/>
              <w:rPr>
                <w:rFonts w:hint="eastAsia" w:ascii="宋体" w:hAnsi="宋体" w:cs="宋体"/>
                <w:szCs w:val="24"/>
              </w:rPr>
            </w:pPr>
            <w:r>
              <w:rPr>
                <w:rFonts w:ascii="宋体" w:hAnsi="宋体" w:cs="宋体"/>
                <w:szCs w:val="24"/>
              </w:rPr>
              <w:t>提供的售后服务方案一般，基本能保障本地化技术服务及售后服务的协调性、及时性。提供售后服务内容、服务响应方式及响应时间，提供故障处理流程、维护保障流程及组织架构、拟投入本项目的维护人员配置等内容</w:t>
            </w:r>
            <w:r>
              <w:rPr>
                <w:rFonts w:hint="eastAsia" w:ascii="宋体" w:hAnsi="宋体" w:cs="宋体"/>
                <w:szCs w:val="24"/>
              </w:rPr>
              <w:t>较完整可行</w:t>
            </w:r>
            <w:r>
              <w:rPr>
                <w:rFonts w:ascii="宋体" w:hAnsi="宋体" w:cs="宋体"/>
                <w:szCs w:val="24"/>
              </w:rPr>
              <w:t>的得</w:t>
            </w:r>
            <w:r>
              <w:rPr>
                <w:rFonts w:hint="eastAsia" w:ascii="宋体" w:hAnsi="宋体" w:cs="宋体"/>
                <w:szCs w:val="24"/>
              </w:rPr>
              <w:t>9</w:t>
            </w:r>
            <w:r>
              <w:rPr>
                <w:rFonts w:ascii="宋体" w:hAnsi="宋体" w:cs="宋体"/>
                <w:szCs w:val="24"/>
              </w:rPr>
              <w:t>分</w:t>
            </w:r>
            <w:r>
              <w:rPr>
                <w:rFonts w:hint="eastAsia" w:ascii="宋体" w:hAnsi="宋体" w:cs="宋体"/>
                <w:szCs w:val="24"/>
              </w:rPr>
              <w:t>；</w:t>
            </w:r>
          </w:p>
          <w:p w14:paraId="2D86C97C">
            <w:pPr>
              <w:pStyle w:val="51"/>
              <w:spacing w:before="0" w:after="0" w:line="360" w:lineRule="auto"/>
              <w:ind w:firstLine="0"/>
              <w:jc w:val="left"/>
              <w:textAlignment w:val="auto"/>
              <w:rPr>
                <w:rFonts w:hint="eastAsia" w:ascii="宋体" w:hAnsi="宋体" w:cs="宋体"/>
                <w:szCs w:val="24"/>
              </w:rPr>
            </w:pPr>
            <w:r>
              <w:rPr>
                <w:rFonts w:ascii="宋体" w:hAnsi="宋体" w:cs="宋体"/>
                <w:szCs w:val="24"/>
              </w:rPr>
              <w:t>提供的售后服务方案</w:t>
            </w:r>
            <w:r>
              <w:rPr>
                <w:rFonts w:hint="eastAsia" w:ascii="宋体" w:hAnsi="宋体" w:cs="宋体"/>
                <w:szCs w:val="24"/>
              </w:rPr>
              <w:t>欠缺</w:t>
            </w:r>
            <w:r>
              <w:rPr>
                <w:rFonts w:ascii="宋体" w:hAnsi="宋体" w:cs="宋体"/>
                <w:szCs w:val="24"/>
              </w:rPr>
              <w:t>，基本能保障本地化技术服务及售后服务的协调性、及时性。提供售后服务内容、服务响应方式及响应时间，提供故障处理流程、维护保障流程及组织架构、拟投入本项目的维护人员配置等</w:t>
            </w:r>
            <w:r>
              <w:rPr>
                <w:rFonts w:hint="eastAsia" w:ascii="宋体" w:hAnsi="宋体" w:cs="宋体"/>
                <w:szCs w:val="24"/>
              </w:rPr>
              <w:t>内容不够详实、不够完整、不够准确的得5分；</w:t>
            </w:r>
          </w:p>
          <w:p w14:paraId="7773470E">
            <w:pPr>
              <w:pStyle w:val="51"/>
              <w:spacing w:before="0" w:after="0" w:line="360" w:lineRule="auto"/>
              <w:ind w:firstLine="0"/>
              <w:jc w:val="left"/>
              <w:textAlignment w:val="auto"/>
              <w:rPr>
                <w:rFonts w:hint="eastAsia" w:ascii="宋体" w:hAnsi="宋体" w:cs="宋体"/>
                <w:kern w:val="0"/>
                <w:szCs w:val="24"/>
              </w:rPr>
            </w:pPr>
            <w:r>
              <w:rPr>
                <w:rFonts w:hint="eastAsia" w:ascii="宋体" w:hAnsi="宋体" w:cs="宋体"/>
                <w:szCs w:val="24"/>
              </w:rPr>
              <w:t>未提供或逻辑不清晰、内容不合理、不符合本项目需求不得分。</w:t>
            </w:r>
          </w:p>
        </w:tc>
      </w:tr>
      <w:tr w14:paraId="5CDB0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926" w:type="dxa"/>
            <w:gridSpan w:val="3"/>
            <w:vAlign w:val="center"/>
          </w:tcPr>
          <w:p w14:paraId="0815D1E3">
            <w:pPr>
              <w:spacing w:line="360" w:lineRule="auto"/>
              <w:rPr>
                <w:rFonts w:hint="eastAsia" w:ascii="宋体" w:hAnsi="宋体" w:cs="宋体"/>
                <w:kern w:val="0"/>
                <w:sz w:val="24"/>
              </w:rPr>
            </w:pPr>
            <w:r>
              <w:rPr>
                <w:rFonts w:hint="eastAsia" w:ascii="宋体" w:hAnsi="宋体" w:cs="宋体"/>
                <w:b/>
                <w:bCs/>
                <w:kern w:val="0"/>
                <w:sz w:val="24"/>
              </w:rPr>
              <w:t>③技术部分（50分）</w:t>
            </w:r>
          </w:p>
        </w:tc>
      </w:tr>
      <w:tr w14:paraId="5BF3F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vAlign w:val="center"/>
          </w:tcPr>
          <w:p w14:paraId="70B3A2F2">
            <w:pPr>
              <w:widowControl/>
              <w:spacing w:line="360" w:lineRule="auto"/>
              <w:jc w:val="center"/>
              <w:rPr>
                <w:rFonts w:hint="eastAsia" w:ascii="宋体" w:hAnsi="宋体" w:cs="宋体"/>
                <w:sz w:val="24"/>
              </w:rPr>
            </w:pPr>
            <w:r>
              <w:rPr>
                <w:rFonts w:hint="eastAsia" w:ascii="宋体" w:hAnsi="宋体" w:cs="宋体"/>
                <w:kern w:val="0"/>
                <w:sz w:val="24"/>
              </w:rPr>
              <w:t>项目实施方案</w:t>
            </w:r>
          </w:p>
        </w:tc>
        <w:tc>
          <w:tcPr>
            <w:tcW w:w="790" w:type="dxa"/>
            <w:tcBorders>
              <w:bottom w:val="single" w:color="auto" w:sz="4" w:space="0"/>
            </w:tcBorders>
            <w:vAlign w:val="center"/>
          </w:tcPr>
          <w:p w14:paraId="40C2B4C5">
            <w:pPr>
              <w:widowControl/>
              <w:spacing w:line="360" w:lineRule="auto"/>
              <w:jc w:val="center"/>
              <w:rPr>
                <w:rFonts w:hint="eastAsia" w:ascii="宋体" w:hAnsi="宋体" w:cs="宋体"/>
                <w:sz w:val="24"/>
              </w:rPr>
            </w:pPr>
            <w:r>
              <w:rPr>
                <w:rFonts w:hint="eastAsia" w:ascii="宋体" w:hAnsi="宋体" w:cs="宋体"/>
                <w:kern w:val="0"/>
                <w:sz w:val="24"/>
              </w:rPr>
              <w:t>12</w:t>
            </w:r>
          </w:p>
        </w:tc>
        <w:tc>
          <w:tcPr>
            <w:tcW w:w="7825" w:type="dxa"/>
            <w:tcBorders>
              <w:bottom w:val="single" w:color="auto" w:sz="4" w:space="0"/>
            </w:tcBorders>
            <w:vAlign w:val="center"/>
          </w:tcPr>
          <w:p w14:paraId="036C81CB">
            <w:pPr>
              <w:spacing w:line="360" w:lineRule="auto"/>
              <w:rPr>
                <w:rFonts w:hint="eastAsia" w:ascii="宋体" w:hAnsi="宋体" w:cs="宋体"/>
                <w:sz w:val="24"/>
              </w:rPr>
            </w:pPr>
            <w:r>
              <w:rPr>
                <w:rFonts w:hint="eastAsia" w:ascii="宋体" w:hAnsi="宋体" w:cs="宋体"/>
                <w:sz w:val="24"/>
              </w:rPr>
              <w:t>根据供应商提供的项目方案整体编制进行评审 ①技术方案编制合理、部署全面、内容具体详实且针对性强，可按照技术方案编制内容高效有序的组织项目实施的，得12分； ②施工技术方案编制内容与实际采购项目相符，技术方案编制内容能够保证项目的正常实施的，得10分 ；③施工技术方案编制内容与实际采购项目较符合，技术方案编制内容能够基本保证项目的正常实施的，得7分；④技术方案编制内容相对简单，存在项目实施进度缓慢的，得3分 ⑤技术方案不合理的或未提供的，得0 分。</w:t>
            </w:r>
          </w:p>
        </w:tc>
      </w:tr>
      <w:tr w14:paraId="7C3A7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vAlign w:val="center"/>
          </w:tcPr>
          <w:p w14:paraId="7C5F97B5">
            <w:pPr>
              <w:tabs>
                <w:tab w:val="left" w:pos="2499"/>
              </w:tabs>
              <w:spacing w:line="360" w:lineRule="auto"/>
              <w:jc w:val="center"/>
              <w:rPr>
                <w:rFonts w:hint="eastAsia" w:ascii="宋体" w:hAnsi="宋体" w:cs="宋体"/>
                <w:sz w:val="24"/>
              </w:rPr>
            </w:pPr>
            <w:r>
              <w:rPr>
                <w:rFonts w:hint="eastAsia" w:ascii="宋体" w:hAnsi="宋体" w:cs="宋体"/>
                <w:kern w:val="0"/>
                <w:sz w:val="24"/>
              </w:rPr>
              <w:t>进度安排及保证措施</w:t>
            </w:r>
          </w:p>
        </w:tc>
        <w:tc>
          <w:tcPr>
            <w:tcW w:w="790" w:type="dxa"/>
            <w:tcBorders>
              <w:bottom w:val="single" w:color="auto" w:sz="4" w:space="0"/>
            </w:tcBorders>
            <w:vAlign w:val="center"/>
          </w:tcPr>
          <w:p w14:paraId="6BEFF230">
            <w:pPr>
              <w:tabs>
                <w:tab w:val="left" w:pos="2499"/>
              </w:tabs>
              <w:spacing w:line="360" w:lineRule="auto"/>
              <w:jc w:val="center"/>
              <w:rPr>
                <w:rFonts w:hint="eastAsia" w:ascii="宋体" w:hAnsi="宋体" w:cs="宋体"/>
                <w:sz w:val="24"/>
              </w:rPr>
            </w:pPr>
            <w:r>
              <w:rPr>
                <w:rFonts w:hint="eastAsia"/>
                <w:sz w:val="24"/>
              </w:rPr>
              <w:t>11</w:t>
            </w:r>
          </w:p>
        </w:tc>
        <w:tc>
          <w:tcPr>
            <w:tcW w:w="7825" w:type="dxa"/>
            <w:tcBorders>
              <w:bottom w:val="single" w:color="auto" w:sz="4" w:space="0"/>
            </w:tcBorders>
            <w:vAlign w:val="center"/>
          </w:tcPr>
          <w:p w14:paraId="02C22A3B">
            <w:pPr>
              <w:spacing w:line="360" w:lineRule="auto"/>
              <w:rPr>
                <w:rFonts w:hint="eastAsia" w:ascii="宋体" w:hAnsi="宋体" w:cs="宋体"/>
                <w:kern w:val="0"/>
                <w:sz w:val="24"/>
              </w:rPr>
            </w:pPr>
            <w:r>
              <w:rPr>
                <w:rFonts w:hint="eastAsia"/>
                <w:sz w:val="24"/>
              </w:rPr>
              <w:t>以本项目服务期为依据，合理安排工作进度及人员任务分工，建立进度保障措施。从计划详细、安排合理、保障措施有力程度等方面综合评估，①施工进度计划按采购需求编制，工序搭配逻辑关系和关键线路清晰、合理，进度内容全面针对性强，能够高效有序引导施工开展的，得11分；②施工进度计划较为可行，能够正常引导施工开展的，得9分； ③施工进度计划基本可行，能够基本引导施工开展的，得6分；④施工进度计划编制简单，工序搭配逻辑关系阐述不够清晰的，得2分；⑤施工进度计划不合理或未提供施工进度计划的，得 0分。</w:t>
            </w:r>
          </w:p>
        </w:tc>
      </w:tr>
      <w:tr w14:paraId="15A19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vAlign w:val="center"/>
          </w:tcPr>
          <w:p w14:paraId="3C49139C">
            <w:pPr>
              <w:tabs>
                <w:tab w:val="left" w:pos="2499"/>
              </w:tabs>
              <w:spacing w:line="360" w:lineRule="auto"/>
              <w:jc w:val="center"/>
              <w:rPr>
                <w:rFonts w:hint="eastAsia" w:ascii="宋体" w:hAnsi="宋体" w:cs="宋体"/>
                <w:sz w:val="24"/>
              </w:rPr>
            </w:pPr>
            <w:r>
              <w:rPr>
                <w:rFonts w:hint="eastAsia" w:ascii="宋体" w:hAnsi="宋体" w:cs="宋体"/>
                <w:kern w:val="0"/>
                <w:sz w:val="24"/>
              </w:rPr>
              <w:t>保密措施</w:t>
            </w:r>
          </w:p>
        </w:tc>
        <w:tc>
          <w:tcPr>
            <w:tcW w:w="790" w:type="dxa"/>
            <w:tcBorders>
              <w:bottom w:val="single" w:color="auto" w:sz="4" w:space="0"/>
            </w:tcBorders>
            <w:vAlign w:val="center"/>
          </w:tcPr>
          <w:p w14:paraId="1535DABF">
            <w:pPr>
              <w:tabs>
                <w:tab w:val="left" w:pos="2499"/>
              </w:tabs>
              <w:spacing w:line="360" w:lineRule="auto"/>
              <w:jc w:val="center"/>
              <w:rPr>
                <w:rFonts w:hint="eastAsia" w:ascii="宋体" w:hAnsi="宋体" w:cs="宋体"/>
                <w:sz w:val="24"/>
              </w:rPr>
            </w:pPr>
            <w:r>
              <w:rPr>
                <w:rFonts w:hint="eastAsia" w:ascii="宋体" w:hAnsi="宋体" w:cs="宋体"/>
                <w:sz w:val="24"/>
              </w:rPr>
              <w:t>10</w:t>
            </w:r>
          </w:p>
        </w:tc>
        <w:tc>
          <w:tcPr>
            <w:tcW w:w="7825" w:type="dxa"/>
            <w:tcBorders>
              <w:bottom w:val="single" w:color="auto" w:sz="4" w:space="0"/>
            </w:tcBorders>
            <w:vAlign w:val="center"/>
          </w:tcPr>
          <w:p w14:paraId="51908086">
            <w:pPr>
              <w:tabs>
                <w:tab w:val="left" w:pos="2499"/>
              </w:tabs>
              <w:spacing w:line="360" w:lineRule="auto"/>
              <w:jc w:val="left"/>
              <w:rPr>
                <w:rFonts w:hint="eastAsia" w:ascii="宋体" w:hAnsi="宋体" w:cs="宋体"/>
                <w:kern w:val="0"/>
                <w:sz w:val="24"/>
              </w:rPr>
            </w:pPr>
            <w:r>
              <w:rPr>
                <w:rFonts w:hint="eastAsia" w:ascii="宋体" w:hAnsi="宋体" w:cs="宋体"/>
                <w:kern w:val="0"/>
                <w:sz w:val="24"/>
              </w:rPr>
              <w:t>根据投标人提供的成果保密制度、保密方案和保密管理方案进行评分。保密措施详细、安全、合理性超强且优于采购人需求保密措施的得10分；保密措施详细、安全、合理性较强且基本满足采购人需求保密措施的得8分;保密措施不完整、合理性一般得4分；未提供不得分</w:t>
            </w:r>
          </w:p>
        </w:tc>
      </w:tr>
      <w:tr w14:paraId="2D45A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vAlign w:val="center"/>
          </w:tcPr>
          <w:p w14:paraId="6C933434">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 xml:space="preserve">质量保障 </w:t>
            </w:r>
          </w:p>
          <w:p w14:paraId="50FDCAF5">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措施</w:t>
            </w:r>
          </w:p>
        </w:tc>
        <w:tc>
          <w:tcPr>
            <w:tcW w:w="790" w:type="dxa"/>
            <w:tcBorders>
              <w:bottom w:val="single" w:color="auto" w:sz="4" w:space="0"/>
            </w:tcBorders>
            <w:vAlign w:val="center"/>
          </w:tcPr>
          <w:p w14:paraId="03EE4E39">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8</w:t>
            </w:r>
          </w:p>
        </w:tc>
        <w:tc>
          <w:tcPr>
            <w:tcW w:w="7825" w:type="dxa"/>
            <w:tcBorders>
              <w:bottom w:val="single" w:color="auto" w:sz="4" w:space="0"/>
            </w:tcBorders>
            <w:vAlign w:val="center"/>
          </w:tcPr>
          <w:p w14:paraId="0C9D2517">
            <w:pPr>
              <w:spacing w:line="360" w:lineRule="auto"/>
              <w:rPr>
                <w:rFonts w:hint="eastAsia" w:ascii="宋体" w:hAnsi="宋体" w:cs="宋体"/>
                <w:sz w:val="24"/>
              </w:rPr>
            </w:pPr>
            <w:r>
              <w:rPr>
                <w:rFonts w:hint="eastAsia" w:ascii="宋体" w:hAnsi="宋体" w:cs="宋体"/>
                <w:color w:val="000000"/>
                <w:kern w:val="0"/>
                <w:sz w:val="24"/>
                <w:lang w:bidi="ar"/>
              </w:rPr>
              <w:t>投标人按照要求有明确的质量保证目标，保证措施具体、目标明确、各项措施易操作落实得8分；有保证措施、目标模糊、各项措施易操作基本落实得6分；有保证措施、目标不明确、各项措施易操作落实不到位得3分；不提供得0分</w:t>
            </w:r>
          </w:p>
        </w:tc>
      </w:tr>
      <w:tr w14:paraId="11AAA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tcPr>
          <w:p w14:paraId="4598D846">
            <w:pPr>
              <w:pStyle w:val="52"/>
              <w:widowControl w:val="0"/>
              <w:spacing w:line="360" w:lineRule="auto"/>
              <w:jc w:val="both"/>
              <w:rPr>
                <w:sz w:val="24"/>
                <w:szCs w:val="24"/>
              </w:rPr>
            </w:pPr>
          </w:p>
          <w:p w14:paraId="1F70AD80">
            <w:pPr>
              <w:pStyle w:val="52"/>
              <w:widowControl w:val="0"/>
              <w:spacing w:line="360" w:lineRule="auto"/>
              <w:jc w:val="center"/>
              <w:rPr>
                <w:sz w:val="24"/>
                <w:szCs w:val="24"/>
              </w:rPr>
            </w:pPr>
            <w:r>
              <w:rPr>
                <w:sz w:val="24"/>
                <w:szCs w:val="24"/>
              </w:rPr>
              <w:t>安全</w:t>
            </w:r>
            <w:r>
              <w:rPr>
                <w:rFonts w:hint="eastAsia"/>
                <w:sz w:val="24"/>
                <w:szCs w:val="24"/>
              </w:rPr>
              <w:t>作业</w:t>
            </w:r>
            <w:r>
              <w:rPr>
                <w:sz w:val="24"/>
                <w:szCs w:val="24"/>
              </w:rPr>
              <w:t>保证措施</w:t>
            </w:r>
          </w:p>
          <w:p w14:paraId="7FE5D21C">
            <w:pPr>
              <w:pStyle w:val="52"/>
              <w:widowControl w:val="0"/>
              <w:spacing w:line="360" w:lineRule="auto"/>
              <w:jc w:val="center"/>
              <w:rPr>
                <w:sz w:val="24"/>
                <w:szCs w:val="24"/>
              </w:rPr>
            </w:pPr>
          </w:p>
        </w:tc>
        <w:tc>
          <w:tcPr>
            <w:tcW w:w="790" w:type="dxa"/>
          </w:tcPr>
          <w:p w14:paraId="7A391234">
            <w:pPr>
              <w:pStyle w:val="50"/>
              <w:spacing w:before="0" w:after="0"/>
              <w:rPr>
                <w:rFonts w:hint="eastAsia" w:ascii="宋体" w:hAnsi="宋体" w:cs="宋体"/>
              </w:rPr>
            </w:pPr>
          </w:p>
          <w:p w14:paraId="4157B76E">
            <w:pPr>
              <w:spacing w:line="360" w:lineRule="auto"/>
              <w:jc w:val="center"/>
              <w:rPr>
                <w:rFonts w:hint="eastAsia" w:ascii="宋体" w:hAnsi="宋体" w:cs="宋体"/>
                <w:sz w:val="24"/>
              </w:rPr>
            </w:pPr>
            <w:r>
              <w:rPr>
                <w:rFonts w:hint="eastAsia" w:ascii="宋体" w:hAnsi="宋体" w:cs="宋体"/>
                <w:sz w:val="24"/>
              </w:rPr>
              <w:t>7</w:t>
            </w:r>
          </w:p>
        </w:tc>
        <w:tc>
          <w:tcPr>
            <w:tcW w:w="7825" w:type="dxa"/>
          </w:tcPr>
          <w:p w14:paraId="6DF8F25D">
            <w:pPr>
              <w:pStyle w:val="50"/>
              <w:spacing w:before="0" w:after="0"/>
              <w:ind w:firstLine="0"/>
              <w:rPr>
                <w:rFonts w:hint="eastAsia" w:ascii="宋体" w:hAnsi="宋体" w:cs="宋体"/>
              </w:rPr>
            </w:pPr>
            <w:r>
              <w:rPr>
                <w:rFonts w:hint="eastAsia" w:ascii="宋体" w:hAnsi="宋体" w:cs="宋体"/>
              </w:rPr>
              <w:t xml:space="preserve">根据供应商提供的安全作业保证措施进行评审 ①安全作业方案科学具体、完整，保证措施完善、先进且针对性强的，得7分； ②安全作业方案可行，保证措施描述合理的，得5分； ③安全作业方案描述简单，保证措施不够详细的，得2分； ④安全作业方案和保证措施不合理或未提供的，得0分。  </w:t>
            </w:r>
          </w:p>
        </w:tc>
      </w:tr>
      <w:tr w14:paraId="5E096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311" w:type="dxa"/>
            <w:vAlign w:val="center"/>
          </w:tcPr>
          <w:p w14:paraId="05198976">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应急措施</w:t>
            </w:r>
          </w:p>
        </w:tc>
        <w:tc>
          <w:tcPr>
            <w:tcW w:w="790" w:type="dxa"/>
            <w:vAlign w:val="center"/>
          </w:tcPr>
          <w:p w14:paraId="77B26BC8">
            <w:pPr>
              <w:pStyle w:val="43"/>
              <w:snapToGrid w:val="0"/>
              <w:spacing w:line="360" w:lineRule="auto"/>
              <w:jc w:val="center"/>
              <w:rPr>
                <w:rFonts w:hint="eastAsia" w:ascii="宋体" w:hAnsi="宋体" w:cs="宋体"/>
                <w:color w:val="auto"/>
                <w:kern w:val="2"/>
              </w:rPr>
            </w:pPr>
            <w:r>
              <w:rPr>
                <w:rFonts w:hint="eastAsia" w:ascii="宋体" w:hAnsi="宋体" w:cs="宋体"/>
                <w:color w:val="auto"/>
                <w:kern w:val="2"/>
              </w:rPr>
              <w:t>2</w:t>
            </w:r>
          </w:p>
        </w:tc>
        <w:tc>
          <w:tcPr>
            <w:tcW w:w="7825" w:type="dxa"/>
            <w:vAlign w:val="center"/>
          </w:tcPr>
          <w:p w14:paraId="3F85F127">
            <w:pPr>
              <w:widowControl/>
              <w:spacing w:line="360" w:lineRule="auto"/>
              <w:jc w:val="left"/>
              <w:rPr>
                <w:sz w:val="24"/>
              </w:rPr>
            </w:pPr>
            <w:r>
              <w:rPr>
                <w:rFonts w:hint="eastAsia" w:ascii="宋体" w:hAnsi="宋体" w:cs="宋体"/>
                <w:sz w:val="24"/>
              </w:rPr>
              <w:t>根据投标人对作业过程中车辆、人员等突发状况的应急处理措施</w:t>
            </w:r>
            <w:r>
              <w:rPr>
                <w:rFonts w:hint="eastAsia" w:ascii="宋体" w:hAnsi="宋体" w:cs="宋体"/>
                <w:color w:val="000000"/>
                <w:kern w:val="0"/>
                <w:sz w:val="24"/>
                <w:lang w:bidi="ar"/>
              </w:rPr>
              <w:t xml:space="preserve">方案①流程②部门设置③服务应急措施④响应程序及时间方案等内容进行评分。应急处理方案内容满足本项目需求、条例阐述清晰、无遗漏、与项目契合度高、逻辑明确且能对本项目特殊或紧急情况做出预判和解决措施，以上内容完善可行得 </w:t>
            </w:r>
            <w:r>
              <w:rPr>
                <w:rFonts w:hint="eastAsia"/>
                <w:color w:val="000000"/>
                <w:kern w:val="0"/>
                <w:sz w:val="24"/>
                <w:lang w:bidi="ar"/>
              </w:rPr>
              <w:t>2</w:t>
            </w:r>
            <w:r>
              <w:rPr>
                <w:color w:val="000000"/>
                <w:kern w:val="0"/>
                <w:sz w:val="24"/>
                <w:lang w:bidi="ar"/>
              </w:rPr>
              <w:t xml:space="preserve"> </w:t>
            </w:r>
            <w:r>
              <w:rPr>
                <w:rFonts w:hint="eastAsia" w:ascii="宋体" w:hAnsi="宋体" w:cs="宋体"/>
                <w:color w:val="000000"/>
                <w:kern w:val="0"/>
                <w:sz w:val="24"/>
                <w:lang w:bidi="ar"/>
              </w:rPr>
              <w:t>分；以上内容稍有欠缺且可行性一般得</w:t>
            </w:r>
            <w:r>
              <w:rPr>
                <w:rFonts w:hint="eastAsia"/>
                <w:color w:val="000000"/>
                <w:kern w:val="0"/>
                <w:sz w:val="24"/>
                <w:lang w:bidi="ar"/>
              </w:rPr>
              <w:t>1</w:t>
            </w:r>
            <w:r>
              <w:rPr>
                <w:color w:val="000000"/>
                <w:kern w:val="0"/>
                <w:sz w:val="24"/>
                <w:lang w:bidi="ar"/>
              </w:rPr>
              <w:t xml:space="preserve"> </w:t>
            </w:r>
            <w:r>
              <w:rPr>
                <w:rFonts w:hint="eastAsia" w:ascii="宋体" w:hAnsi="宋体" w:cs="宋体"/>
                <w:color w:val="000000"/>
                <w:kern w:val="0"/>
                <w:sz w:val="24"/>
                <w:lang w:bidi="ar"/>
              </w:rPr>
              <w:t>分；以上内容不完善，可行性较差得</w:t>
            </w:r>
            <w:r>
              <w:rPr>
                <w:rFonts w:hint="eastAsia"/>
                <w:color w:val="000000"/>
                <w:kern w:val="0"/>
                <w:sz w:val="24"/>
                <w:lang w:bidi="ar"/>
              </w:rPr>
              <w:t>0.5</w:t>
            </w:r>
            <w:r>
              <w:rPr>
                <w:rFonts w:hint="eastAsia" w:ascii="宋体" w:hAnsi="宋体" w:cs="宋体"/>
                <w:color w:val="000000"/>
                <w:kern w:val="0"/>
                <w:sz w:val="24"/>
                <w:lang w:bidi="ar"/>
              </w:rPr>
              <w:t>分；</w:t>
            </w:r>
          </w:p>
        </w:tc>
      </w:tr>
    </w:tbl>
    <w:p w14:paraId="7C77F011"/>
    <w:p w14:paraId="558E00D5">
      <w:pPr>
        <w:autoSpaceDE w:val="0"/>
        <w:autoSpaceDN w:val="0"/>
        <w:adjustRightInd w:val="0"/>
        <w:jc w:val="left"/>
        <w:rPr>
          <w:rFonts w:hint="eastAsia" w:ascii="宋体" w:hAnsi="宋体" w:eastAsia="宋体" w:cs="宋体"/>
          <w:sz w:val="24"/>
          <w:szCs w:val="24"/>
          <w:highlight w:val="none"/>
          <w:u w:val="none"/>
        </w:rPr>
      </w:pPr>
      <w:r>
        <w:rPr>
          <w:rFonts w:hint="eastAsia" w:ascii="宋体" w:hAnsi="宋体" w:eastAsia="宋体" w:cs="宋体"/>
          <w:sz w:val="24"/>
          <w:szCs w:val="24"/>
          <w:highlight w:val="none"/>
        </w:rPr>
        <w:t>说明：</w:t>
      </w:r>
      <w:r>
        <w:rPr>
          <w:rFonts w:hint="eastAsia" w:ascii="宋体" w:hAnsi="宋体" w:eastAsia="宋体" w:cs="宋体"/>
          <w:sz w:val="24"/>
          <w:szCs w:val="24"/>
          <w:highlight w:val="none"/>
          <w:u w:val="none"/>
        </w:rPr>
        <w:t>本</w:t>
      </w:r>
      <w:r>
        <w:rPr>
          <w:rFonts w:hint="eastAsia" w:ascii="宋体" w:hAnsi="宋体" w:cs="宋体"/>
          <w:sz w:val="24"/>
          <w:szCs w:val="24"/>
          <w:highlight w:val="none"/>
          <w:u w:val="none"/>
          <w:lang w:val="en-US" w:eastAsia="zh-CN"/>
        </w:rPr>
        <w:t>项目</w:t>
      </w:r>
      <w:r>
        <w:rPr>
          <w:rFonts w:hint="eastAsia" w:ascii="宋体" w:hAnsi="宋体" w:eastAsia="宋体" w:cs="宋体"/>
          <w:sz w:val="24"/>
          <w:szCs w:val="24"/>
          <w:highlight w:val="none"/>
          <w:u w:val="none"/>
        </w:rPr>
        <w:t>采用综合评分法，其中：</w:t>
      </w:r>
      <w:r>
        <w:rPr>
          <w:rFonts w:hint="eastAsia" w:ascii="宋体" w:hAnsi="宋体" w:cs="宋体"/>
          <w:sz w:val="24"/>
          <w:szCs w:val="24"/>
          <w:highlight w:val="none"/>
          <w:u w:val="none"/>
          <w:lang w:val="en-US" w:eastAsia="zh-CN"/>
        </w:rPr>
        <w:t>价格</w:t>
      </w:r>
      <w:r>
        <w:rPr>
          <w:rFonts w:hint="eastAsia" w:ascii="宋体" w:hAnsi="宋体" w:eastAsia="宋体" w:cs="宋体"/>
          <w:sz w:val="24"/>
          <w:szCs w:val="24"/>
          <w:highlight w:val="none"/>
          <w:u w:val="none"/>
        </w:rPr>
        <w:t>部分占</w:t>
      </w:r>
      <w:r>
        <w:rPr>
          <w:rFonts w:hint="eastAsia" w:ascii="宋体" w:hAnsi="宋体" w:cs="宋体"/>
          <w:sz w:val="24"/>
          <w:szCs w:val="24"/>
          <w:highlight w:val="none"/>
          <w:u w:val="none"/>
          <w:lang w:val="en-US" w:eastAsia="zh-CN"/>
        </w:rPr>
        <w:t>10</w:t>
      </w:r>
      <w:r>
        <w:rPr>
          <w:rFonts w:hint="eastAsia" w:ascii="宋体" w:hAnsi="宋体" w:eastAsia="宋体" w:cs="宋体"/>
          <w:sz w:val="24"/>
          <w:szCs w:val="24"/>
          <w:highlight w:val="none"/>
          <w:u w:val="none"/>
        </w:rPr>
        <w:t>%、</w:t>
      </w:r>
      <w:r>
        <w:rPr>
          <w:rFonts w:hint="eastAsia" w:ascii="宋体" w:hAnsi="宋体" w:cs="宋体"/>
          <w:sz w:val="24"/>
          <w:szCs w:val="24"/>
          <w:highlight w:val="none"/>
          <w:u w:val="none"/>
          <w:lang w:val="en-US" w:eastAsia="zh-CN"/>
        </w:rPr>
        <w:t>商务、</w:t>
      </w:r>
      <w:r>
        <w:rPr>
          <w:rFonts w:hint="eastAsia" w:ascii="宋体" w:hAnsi="宋体" w:eastAsia="宋体" w:cs="宋体"/>
          <w:sz w:val="24"/>
          <w:szCs w:val="24"/>
          <w:highlight w:val="none"/>
          <w:u w:val="none"/>
        </w:rPr>
        <w:t>技术部分占</w:t>
      </w:r>
      <w:r>
        <w:rPr>
          <w:rFonts w:hint="eastAsia" w:ascii="宋体" w:hAnsi="宋体" w:cs="宋体"/>
          <w:sz w:val="24"/>
          <w:szCs w:val="24"/>
          <w:highlight w:val="none"/>
          <w:u w:val="none"/>
          <w:lang w:val="en-US" w:eastAsia="zh-CN"/>
        </w:rPr>
        <w:t>90</w:t>
      </w:r>
      <w:r>
        <w:rPr>
          <w:rFonts w:hint="eastAsia" w:ascii="宋体" w:hAnsi="宋体" w:eastAsia="宋体" w:cs="宋体"/>
          <w:sz w:val="24"/>
          <w:szCs w:val="24"/>
          <w:highlight w:val="none"/>
          <w:u w:val="none"/>
        </w:rPr>
        <w:t>%、以最大限度满足</w:t>
      </w:r>
      <w:r>
        <w:rPr>
          <w:rFonts w:hint="eastAsia" w:ascii="宋体" w:hAnsi="宋体" w:eastAsia="宋体" w:cs="宋体"/>
          <w:sz w:val="24"/>
          <w:szCs w:val="24"/>
          <w:highlight w:val="none"/>
          <w:u w:val="none"/>
          <w:lang w:val="en-US" w:eastAsia="zh-CN"/>
        </w:rPr>
        <w:t>磋商</w:t>
      </w:r>
      <w:r>
        <w:rPr>
          <w:rFonts w:hint="eastAsia" w:ascii="宋体" w:hAnsi="宋体" w:eastAsia="宋体" w:cs="宋体"/>
          <w:sz w:val="24"/>
          <w:szCs w:val="24"/>
          <w:highlight w:val="none"/>
          <w:u w:val="none"/>
        </w:rPr>
        <w:t>文件中规定的各项综合评分标准，按综合打分的方法，确定推荐中标候选人。</w:t>
      </w:r>
    </w:p>
    <w:p w14:paraId="0A3F3037">
      <w:pPr>
        <w:pStyle w:val="11"/>
        <w:rPr>
          <w:rFonts w:hint="eastAsia" w:ascii="宋体" w:hAnsi="宋体" w:cs="宋体"/>
          <w:b/>
          <w:bCs/>
          <w:sz w:val="22"/>
          <w:szCs w:val="22"/>
          <w:highlight w:val="none"/>
          <w:lang w:val="zh-CN"/>
        </w:rPr>
      </w:pPr>
    </w:p>
    <w:p w14:paraId="0D1ECF1F">
      <w:pPr>
        <w:spacing w:before="75" w:line="227" w:lineRule="auto"/>
        <w:ind w:left="200"/>
        <w:rPr>
          <w:rFonts w:ascii="宋体" w:hAnsi="宋体" w:eastAsia="宋体" w:cs="宋体"/>
          <w:sz w:val="23"/>
          <w:szCs w:val="23"/>
        </w:rPr>
      </w:pPr>
      <w:r>
        <w:rPr>
          <w:rFonts w:ascii="宋体" w:hAnsi="宋体" w:eastAsia="宋体" w:cs="宋体"/>
          <w:spacing w:val="9"/>
          <w:sz w:val="23"/>
          <w:szCs w:val="23"/>
          <w14:textOutline w14:w="4358" w14:cap="sq" w14:cmpd="sng">
            <w14:solidFill>
              <w14:srgbClr w14:val="000000"/>
            </w14:solidFill>
            <w14:prstDash w14:val="solid"/>
            <w14:bevel/>
          </w14:textOutline>
        </w:rPr>
        <w:t>相</w:t>
      </w:r>
      <w:r>
        <w:rPr>
          <w:rFonts w:ascii="宋体" w:hAnsi="宋体" w:eastAsia="宋体" w:cs="宋体"/>
          <w:spacing w:val="6"/>
          <w:sz w:val="23"/>
          <w:szCs w:val="23"/>
          <w14:textOutline w14:w="4358" w14:cap="sq" w14:cmpd="sng">
            <w14:solidFill>
              <w14:srgbClr w14:val="000000"/>
            </w14:solidFill>
            <w14:prstDash w14:val="solid"/>
            <w14:bevel/>
          </w14:textOutline>
        </w:rPr>
        <w:t>关说明：</w:t>
      </w:r>
    </w:p>
    <w:p w14:paraId="79D67CDF">
      <w:pPr>
        <w:spacing w:before="28" w:line="310" w:lineRule="exact"/>
        <w:ind w:left="697"/>
        <w:rPr>
          <w:rFonts w:ascii="宋体" w:hAnsi="宋体" w:eastAsia="宋体" w:cs="宋体"/>
          <w:sz w:val="23"/>
          <w:szCs w:val="23"/>
        </w:rPr>
      </w:pPr>
      <w:r>
        <w:rPr>
          <w:rFonts w:ascii="宋体" w:hAnsi="宋体" w:eastAsia="宋体" w:cs="宋体"/>
          <w:spacing w:val="6"/>
          <w:position w:val="1"/>
          <w:sz w:val="23"/>
          <w:szCs w:val="23"/>
          <w14:textOutline w14:w="4358" w14:cap="sq" w14:cmpd="sng">
            <w14:solidFill>
              <w14:srgbClr w14:val="000000"/>
            </w14:solidFill>
            <w14:prstDash w14:val="solid"/>
            <w14:bevel/>
          </w14:textOutline>
        </w:rPr>
        <w:t>1、关于小微企业</w:t>
      </w:r>
      <w:r>
        <w:rPr>
          <w:rFonts w:ascii="宋体" w:hAnsi="宋体" w:eastAsia="宋体" w:cs="宋体"/>
          <w:spacing w:val="4"/>
          <w:position w:val="1"/>
          <w:sz w:val="23"/>
          <w:szCs w:val="23"/>
          <w14:textOutline w14:w="4358" w14:cap="sq" w14:cmpd="sng">
            <w14:solidFill>
              <w14:srgbClr w14:val="000000"/>
            </w14:solidFill>
            <w14:prstDash w14:val="solid"/>
            <w14:bevel/>
          </w14:textOutline>
        </w:rPr>
        <w:t>：</w:t>
      </w:r>
    </w:p>
    <w:p w14:paraId="4766ACFC">
      <w:pPr>
        <w:spacing w:before="5" w:line="249" w:lineRule="auto"/>
        <w:ind w:left="201" w:right="150" w:firstLine="496"/>
        <w:rPr>
          <w:rFonts w:ascii="宋体" w:hAnsi="宋体" w:eastAsia="宋体" w:cs="宋体"/>
          <w:sz w:val="23"/>
          <w:szCs w:val="23"/>
        </w:rPr>
      </w:pPr>
      <w:r>
        <w:rPr>
          <w:rFonts w:ascii="宋体" w:hAnsi="宋体" w:eastAsia="宋体" w:cs="宋体"/>
          <w:spacing w:val="7"/>
          <w:sz w:val="23"/>
          <w:szCs w:val="23"/>
          <w14:textOutline w14:w="4358" w14:cap="sq" w14:cmpd="sng">
            <w14:solidFill>
              <w14:srgbClr w14:val="000000"/>
            </w14:solidFill>
            <w14:prstDash w14:val="solid"/>
            <w14:bevel/>
          </w14:textOutline>
        </w:rPr>
        <w:t>1</w:t>
      </w:r>
      <w:r>
        <w:rPr>
          <w:rFonts w:ascii="宋体" w:hAnsi="宋体" w:eastAsia="宋体" w:cs="宋体"/>
          <w:spacing w:val="6"/>
          <w:sz w:val="23"/>
          <w:szCs w:val="23"/>
          <w14:textOutline w14:w="4358" w14:cap="sq" w14:cmpd="sng">
            <w14:solidFill>
              <w14:srgbClr w14:val="000000"/>
            </w14:solidFill>
            <w14:prstDash w14:val="solid"/>
            <w14:bevel/>
          </w14:textOutline>
        </w:rPr>
        <w:t>.1</w:t>
      </w:r>
      <w:r>
        <w:rPr>
          <w:rFonts w:ascii="宋体" w:hAnsi="宋体" w:eastAsia="宋体" w:cs="宋体"/>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按&lt;关于印发《政府采购促进中小企业发展暂行办法》</w:t>
      </w:r>
      <w:r>
        <w:rPr>
          <w:rFonts w:ascii="宋体" w:hAnsi="宋体" w:eastAsia="宋体" w:cs="宋体"/>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的通知&gt;</w:t>
      </w:r>
      <w:r>
        <w:rPr>
          <w:rFonts w:ascii="宋体" w:hAnsi="宋体" w:eastAsia="宋体" w:cs="宋体"/>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(财库〔2020〕46</w:t>
      </w:r>
      <w:r>
        <w:rPr>
          <w:rFonts w:ascii="宋体" w:hAnsi="宋体" w:eastAsia="宋体" w:cs="宋体"/>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号)</w:t>
      </w:r>
      <w:r>
        <w:rPr>
          <w:rFonts w:ascii="宋体" w:hAnsi="宋体" w:eastAsia="宋体" w:cs="宋体"/>
          <w:sz w:val="23"/>
          <w:szCs w:val="23"/>
        </w:rPr>
        <w:t xml:space="preserve"> </w:t>
      </w:r>
      <w:r>
        <w:rPr>
          <w:rFonts w:ascii="宋体" w:hAnsi="宋体" w:eastAsia="宋体" w:cs="宋体"/>
          <w:spacing w:val="17"/>
          <w:sz w:val="23"/>
          <w:szCs w:val="23"/>
          <w14:textOutline w14:w="4358" w14:cap="sq" w14:cmpd="sng">
            <w14:solidFill>
              <w14:srgbClr w14:val="000000"/>
            </w14:solidFill>
            <w14:prstDash w14:val="solid"/>
            <w14:bevel/>
          </w14:textOutline>
        </w:rPr>
        <w:t>之</w:t>
      </w:r>
      <w:r>
        <w:rPr>
          <w:rFonts w:ascii="宋体" w:hAnsi="宋体" w:eastAsia="宋体" w:cs="宋体"/>
          <w:spacing w:val="14"/>
          <w:sz w:val="23"/>
          <w:szCs w:val="23"/>
          <w14:textOutline w14:w="4358" w14:cap="sq" w14:cmpd="sng">
            <w14:solidFill>
              <w14:srgbClr w14:val="000000"/>
            </w14:solidFill>
            <w14:prstDash w14:val="solid"/>
            <w14:bevel/>
          </w14:textOutline>
        </w:rPr>
        <w:t>规定，本办法所称中小企业，是指在中华人民共和国境内依法设立，依据国务院批准的中小</w:t>
      </w:r>
      <w:r>
        <w:rPr>
          <w:rFonts w:ascii="宋体" w:hAnsi="宋体" w:eastAsia="宋体" w:cs="宋体"/>
          <w:sz w:val="23"/>
          <w:szCs w:val="23"/>
        </w:rPr>
        <w:t xml:space="preserve"> </w:t>
      </w:r>
      <w:r>
        <w:rPr>
          <w:rFonts w:ascii="宋体" w:hAnsi="宋体" w:eastAsia="宋体" w:cs="宋体"/>
          <w:spacing w:val="17"/>
          <w:sz w:val="23"/>
          <w:szCs w:val="23"/>
          <w14:textOutline w14:w="4358" w14:cap="sq" w14:cmpd="sng">
            <w14:solidFill>
              <w14:srgbClr w14:val="000000"/>
            </w14:solidFill>
            <w14:prstDash w14:val="solid"/>
            <w14:bevel/>
          </w14:textOutline>
        </w:rPr>
        <w:t>企</w:t>
      </w:r>
      <w:r>
        <w:rPr>
          <w:rFonts w:ascii="宋体" w:hAnsi="宋体" w:eastAsia="宋体" w:cs="宋体"/>
          <w:spacing w:val="14"/>
          <w:sz w:val="23"/>
          <w:szCs w:val="23"/>
          <w14:textOutline w14:w="4358" w14:cap="sq" w14:cmpd="sng">
            <w14:solidFill>
              <w14:srgbClr w14:val="000000"/>
            </w14:solidFill>
            <w14:prstDash w14:val="solid"/>
            <w14:bevel/>
          </w14:textOutline>
        </w:rPr>
        <w:t>业划分标准确定的中型企业、小型企业和微型企业，但与大企业的负责人为同一人，或者与</w:t>
      </w:r>
      <w:r>
        <w:rPr>
          <w:rFonts w:ascii="宋体" w:hAnsi="宋体" w:eastAsia="宋体" w:cs="宋体"/>
          <w:sz w:val="23"/>
          <w:szCs w:val="23"/>
        </w:rPr>
        <w:t xml:space="preserve"> </w:t>
      </w:r>
      <w:r>
        <w:rPr>
          <w:rFonts w:ascii="宋体" w:hAnsi="宋体" w:eastAsia="宋体" w:cs="宋体"/>
          <w:spacing w:val="17"/>
          <w:sz w:val="23"/>
          <w:szCs w:val="23"/>
          <w14:textOutline w14:w="4358" w14:cap="sq" w14:cmpd="sng">
            <w14:solidFill>
              <w14:srgbClr w14:val="000000"/>
            </w14:solidFill>
            <w14:prstDash w14:val="solid"/>
            <w14:bevel/>
          </w14:textOutline>
        </w:rPr>
        <w:t>大</w:t>
      </w:r>
      <w:r>
        <w:rPr>
          <w:rFonts w:ascii="宋体" w:hAnsi="宋体" w:eastAsia="宋体" w:cs="宋体"/>
          <w:spacing w:val="14"/>
          <w:sz w:val="23"/>
          <w:szCs w:val="23"/>
          <w14:textOutline w14:w="4358" w14:cap="sq" w14:cmpd="sng">
            <w14:solidFill>
              <w14:srgbClr w14:val="000000"/>
            </w14:solidFill>
            <w14:prstDash w14:val="solid"/>
            <w14:bevel/>
          </w14:textOutline>
        </w:rPr>
        <w:t>企业存在直接控股、管理</w:t>
      </w:r>
      <w:bookmarkStart w:id="297" w:name="_GoBack"/>
      <w:bookmarkEnd w:id="297"/>
      <w:r>
        <w:rPr>
          <w:rFonts w:ascii="宋体" w:hAnsi="宋体" w:eastAsia="宋体" w:cs="宋体"/>
          <w:spacing w:val="14"/>
          <w:sz w:val="23"/>
          <w:szCs w:val="23"/>
          <w14:textOutline w14:w="4358" w14:cap="sq" w14:cmpd="sng">
            <w14:solidFill>
              <w14:srgbClr w14:val="000000"/>
            </w14:solidFill>
            <w14:prstDash w14:val="solid"/>
            <w14:bevel/>
          </w14:textOutline>
        </w:rPr>
        <w:t>关系的除外。符合中小企业划分标准的个体工商户，在政府采购活</w:t>
      </w:r>
      <w:r>
        <w:rPr>
          <w:rFonts w:ascii="宋体" w:hAnsi="宋体" w:eastAsia="宋体" w:cs="宋体"/>
          <w:sz w:val="23"/>
          <w:szCs w:val="23"/>
        </w:rPr>
        <w:t xml:space="preserve"> </w:t>
      </w:r>
      <w:r>
        <w:rPr>
          <w:rFonts w:ascii="宋体" w:hAnsi="宋体" w:eastAsia="宋体" w:cs="宋体"/>
          <w:spacing w:val="12"/>
          <w:sz w:val="23"/>
          <w:szCs w:val="23"/>
          <w14:textOutline w14:w="4358" w14:cap="sq" w14:cmpd="sng">
            <w14:solidFill>
              <w14:srgbClr w14:val="000000"/>
            </w14:solidFill>
            <w14:prstDash w14:val="solid"/>
            <w14:bevel/>
          </w14:textOutline>
        </w:rPr>
        <w:t>动</w:t>
      </w:r>
      <w:r>
        <w:rPr>
          <w:rFonts w:ascii="宋体" w:hAnsi="宋体" w:eastAsia="宋体" w:cs="宋体"/>
          <w:spacing w:val="8"/>
          <w:sz w:val="23"/>
          <w:szCs w:val="23"/>
          <w14:textOutline w14:w="4358" w14:cap="sq" w14:cmpd="sng">
            <w14:solidFill>
              <w14:srgbClr w14:val="000000"/>
            </w14:solidFill>
            <w14:prstDash w14:val="solid"/>
            <w14:bevel/>
          </w14:textOutline>
        </w:rPr>
        <w:t>中视同中小企业。</w:t>
      </w:r>
    </w:p>
    <w:p w14:paraId="4F538A0E">
      <w:pPr>
        <w:spacing w:before="1" w:line="250" w:lineRule="auto"/>
        <w:ind w:left="201" w:right="154" w:firstLine="496"/>
        <w:rPr>
          <w:rFonts w:ascii="宋体" w:hAnsi="宋体" w:eastAsia="宋体" w:cs="宋体"/>
          <w:sz w:val="23"/>
          <w:szCs w:val="23"/>
        </w:rPr>
      </w:pPr>
      <w:r>
        <w:rPr>
          <w:rFonts w:ascii="宋体" w:hAnsi="宋体" w:eastAsia="宋体" w:cs="宋体"/>
          <w:spacing w:val="11"/>
          <w:sz w:val="23"/>
          <w:szCs w:val="23"/>
          <w14:textOutline w14:w="4358" w14:cap="sq" w14:cmpd="sng">
            <w14:solidFill>
              <w14:srgbClr w14:val="000000"/>
            </w14:solidFill>
            <w14:prstDash w14:val="solid"/>
            <w14:bevel/>
          </w14:textOutline>
        </w:rPr>
        <w:t>1</w:t>
      </w:r>
      <w:r>
        <w:rPr>
          <w:rFonts w:ascii="宋体" w:hAnsi="宋体" w:eastAsia="宋体" w:cs="宋体"/>
          <w:spacing w:val="7"/>
          <w:sz w:val="23"/>
          <w:szCs w:val="23"/>
          <w14:textOutline w14:w="4358" w14:cap="sq" w14:cmpd="sng">
            <w14:solidFill>
              <w14:srgbClr w14:val="000000"/>
            </w14:solidFill>
            <w14:prstDash w14:val="solid"/>
            <w14:bevel/>
          </w14:textOutline>
        </w:rPr>
        <w:t>.1.1</w:t>
      </w:r>
      <w:r>
        <w:rPr>
          <w:rFonts w:ascii="宋体" w:hAnsi="宋体" w:eastAsia="宋体" w:cs="宋体"/>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在政府采购活动中，供应商提供的货物、工程或者服务符合下列情形的，享受本办法</w:t>
      </w:r>
      <w:r>
        <w:rPr>
          <w:rFonts w:ascii="宋体" w:hAnsi="宋体" w:eastAsia="宋体" w:cs="宋体"/>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规</w:t>
      </w:r>
      <w:r>
        <w:rPr>
          <w:rFonts w:ascii="宋体" w:hAnsi="宋体" w:eastAsia="宋体" w:cs="宋体"/>
          <w:spacing w:val="9"/>
          <w:sz w:val="23"/>
          <w:szCs w:val="23"/>
          <w14:textOutline w14:w="4358" w14:cap="sq" w14:cmpd="sng">
            <w14:solidFill>
              <w14:srgbClr w14:val="000000"/>
            </w14:solidFill>
            <w14:prstDash w14:val="solid"/>
            <w14:bevel/>
          </w14:textOutline>
        </w:rPr>
        <w:t>定的中小企业扶持政策：</w:t>
      </w:r>
    </w:p>
    <w:p w14:paraId="1F5A7C3A">
      <w:pPr>
        <w:spacing w:before="1" w:line="249" w:lineRule="auto"/>
        <w:ind w:left="199" w:right="152" w:firstLine="492"/>
        <w:rPr>
          <w:rFonts w:ascii="宋体" w:hAnsi="宋体" w:eastAsia="宋体" w:cs="宋体"/>
          <w:sz w:val="23"/>
          <w:szCs w:val="23"/>
        </w:rPr>
      </w:pPr>
      <w:r>
        <w:rPr>
          <w:rFonts w:ascii="宋体" w:hAnsi="宋体" w:eastAsia="宋体" w:cs="宋体"/>
          <w:spacing w:val="24"/>
          <w:sz w:val="23"/>
          <w:szCs w:val="23"/>
          <w14:textOutline w14:w="4358" w14:cap="sq" w14:cmpd="sng">
            <w14:solidFill>
              <w14:srgbClr w14:val="000000"/>
            </w14:solidFill>
            <w14:prstDash w14:val="solid"/>
            <w14:bevel/>
          </w14:textOutline>
        </w:rPr>
        <w:t>(</w:t>
      </w:r>
      <w:r>
        <w:rPr>
          <w:rFonts w:ascii="宋体" w:hAnsi="宋体" w:eastAsia="宋体" w:cs="宋体"/>
          <w:spacing w:val="13"/>
          <w:sz w:val="23"/>
          <w:szCs w:val="23"/>
        </w:rPr>
        <w:t xml:space="preserve"> </w:t>
      </w:r>
      <w:r>
        <w:rPr>
          <w:rFonts w:ascii="宋体" w:hAnsi="宋体" w:eastAsia="宋体" w:cs="宋体"/>
          <w:spacing w:val="13"/>
          <w:sz w:val="23"/>
          <w:szCs w:val="23"/>
          <w14:textOutline w14:w="4358" w14:cap="sq" w14:cmpd="sng">
            <w14:solidFill>
              <w14:srgbClr w14:val="000000"/>
            </w14:solidFill>
            <w14:prstDash w14:val="solid"/>
            <w14:bevel/>
          </w14:textOutline>
        </w:rPr>
        <w:t>一)</w:t>
      </w:r>
      <w:r>
        <w:rPr>
          <w:rFonts w:ascii="宋体" w:hAnsi="宋体" w:eastAsia="宋体" w:cs="宋体"/>
          <w:spacing w:val="13"/>
          <w:sz w:val="23"/>
          <w:szCs w:val="23"/>
        </w:rPr>
        <w:t xml:space="preserve"> </w:t>
      </w:r>
      <w:r>
        <w:rPr>
          <w:rFonts w:ascii="宋体" w:hAnsi="宋体" w:eastAsia="宋体" w:cs="宋体"/>
          <w:spacing w:val="13"/>
          <w:sz w:val="23"/>
          <w:szCs w:val="23"/>
          <w14:textOutline w14:w="4358" w14:cap="sq" w14:cmpd="sng">
            <w14:solidFill>
              <w14:srgbClr w14:val="000000"/>
            </w14:solidFill>
            <w14:prstDash w14:val="solid"/>
            <w14:bevel/>
          </w14:textOutline>
        </w:rPr>
        <w:t>在货物采购项目中，货物由中小企业制造，即货物由中小企业生产且使用该中小企</w:t>
      </w:r>
      <w:r>
        <w:rPr>
          <w:rFonts w:ascii="宋体" w:hAnsi="宋体" w:eastAsia="宋体" w:cs="宋体"/>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业商号或者注册商标</w:t>
      </w:r>
      <w:r>
        <w:rPr>
          <w:rFonts w:ascii="宋体" w:hAnsi="宋体" w:eastAsia="宋体" w:cs="宋体"/>
          <w:spacing w:val="7"/>
          <w:sz w:val="23"/>
          <w:szCs w:val="23"/>
          <w14:textOutline w14:w="4358" w14:cap="sq" w14:cmpd="sng">
            <w14:solidFill>
              <w14:srgbClr w14:val="000000"/>
            </w14:solidFill>
            <w14:prstDash w14:val="solid"/>
            <w14:bevel/>
          </w14:textOutline>
        </w:rPr>
        <w:t>；</w:t>
      </w:r>
    </w:p>
    <w:p w14:paraId="227C95DC">
      <w:pPr>
        <w:spacing w:line="226" w:lineRule="auto"/>
        <w:ind w:left="691"/>
        <w:rPr>
          <w:rFonts w:ascii="宋体" w:hAnsi="宋体" w:eastAsia="宋体" w:cs="宋体"/>
          <w:sz w:val="23"/>
          <w:szCs w:val="23"/>
        </w:rPr>
      </w:pPr>
      <w:r>
        <w:rPr>
          <w:rFonts w:ascii="宋体" w:hAnsi="宋体" w:eastAsia="宋体" w:cs="宋体"/>
          <w:spacing w:val="13"/>
          <w:sz w:val="23"/>
          <w:szCs w:val="23"/>
          <w14:textOutline w14:w="4358" w14:cap="sq" w14:cmpd="sng">
            <w14:solidFill>
              <w14:srgbClr w14:val="000000"/>
            </w14:solidFill>
            <w14:prstDash w14:val="solid"/>
            <w14:bevel/>
          </w14:textOutline>
        </w:rPr>
        <w:t>(二)</w:t>
      </w:r>
      <w:r>
        <w:rPr>
          <w:rFonts w:ascii="宋体" w:hAnsi="宋体" w:eastAsia="宋体" w:cs="宋体"/>
          <w:spacing w:val="13"/>
          <w:sz w:val="23"/>
          <w:szCs w:val="23"/>
        </w:rPr>
        <w:t xml:space="preserve"> </w:t>
      </w:r>
      <w:r>
        <w:rPr>
          <w:rFonts w:ascii="宋体" w:hAnsi="宋体" w:eastAsia="宋体" w:cs="宋体"/>
          <w:spacing w:val="13"/>
          <w:sz w:val="23"/>
          <w:szCs w:val="23"/>
          <w14:textOutline w14:w="4358" w14:cap="sq" w14:cmpd="sng">
            <w14:solidFill>
              <w14:srgbClr w14:val="000000"/>
            </w14:solidFill>
            <w14:prstDash w14:val="solid"/>
            <w14:bevel/>
          </w14:textOutline>
        </w:rPr>
        <w:t>在工程采购项目中，工程由中小企业承建，即工程施工单位为中小企业</w:t>
      </w:r>
      <w:r>
        <w:rPr>
          <w:rFonts w:ascii="宋体" w:hAnsi="宋体" w:eastAsia="宋体" w:cs="宋体"/>
          <w:spacing w:val="10"/>
          <w:sz w:val="23"/>
          <w:szCs w:val="23"/>
          <w14:textOutline w14:w="4358" w14:cap="sq" w14:cmpd="sng">
            <w14:solidFill>
              <w14:srgbClr w14:val="000000"/>
            </w14:solidFill>
            <w14:prstDash w14:val="solid"/>
            <w14:bevel/>
          </w14:textOutline>
        </w:rPr>
        <w:t>；</w:t>
      </w:r>
    </w:p>
    <w:p w14:paraId="553D0A59">
      <w:pPr>
        <w:spacing w:before="29" w:line="250" w:lineRule="auto"/>
        <w:ind w:left="201" w:right="152" w:firstLine="490"/>
        <w:rPr>
          <w:rFonts w:ascii="宋体" w:hAnsi="宋体" w:eastAsia="宋体" w:cs="宋体"/>
          <w:sz w:val="23"/>
          <w:szCs w:val="23"/>
        </w:rPr>
      </w:pPr>
      <w:r>
        <w:rPr>
          <w:rFonts w:ascii="宋体" w:hAnsi="宋体" w:eastAsia="宋体" w:cs="宋体"/>
          <w:spacing w:val="32"/>
          <w:sz w:val="23"/>
          <w:szCs w:val="23"/>
          <w14:textOutline w14:w="4358" w14:cap="sq" w14:cmpd="sng">
            <w14:solidFill>
              <w14:srgbClr w14:val="000000"/>
            </w14:solidFill>
            <w14:prstDash w14:val="solid"/>
            <w14:bevel/>
          </w14:textOutline>
        </w:rPr>
        <w:t>(</w:t>
      </w:r>
      <w:r>
        <w:rPr>
          <w:rFonts w:ascii="宋体" w:hAnsi="宋体" w:eastAsia="宋体" w:cs="宋体"/>
          <w:spacing w:val="19"/>
          <w:sz w:val="23"/>
          <w:szCs w:val="23"/>
          <w14:textOutline w14:w="4358" w14:cap="sq" w14:cmpd="sng">
            <w14:solidFill>
              <w14:srgbClr w14:val="000000"/>
            </w14:solidFill>
            <w14:prstDash w14:val="solid"/>
            <w14:bevel/>
          </w14:textOutline>
        </w:rPr>
        <w:t>三</w:t>
      </w:r>
      <w:r>
        <w:rPr>
          <w:rFonts w:ascii="宋体" w:hAnsi="宋体" w:eastAsia="宋体" w:cs="宋体"/>
          <w:spacing w:val="16"/>
          <w:sz w:val="23"/>
          <w:szCs w:val="23"/>
          <w14:textOutline w14:w="4358" w14:cap="sq" w14:cmpd="sng">
            <w14:solidFill>
              <w14:srgbClr w14:val="000000"/>
            </w14:solidFill>
            <w14:prstDash w14:val="solid"/>
            <w14:bevel/>
          </w14:textOutline>
        </w:rPr>
        <w:t>)</w:t>
      </w:r>
      <w:r>
        <w:rPr>
          <w:rFonts w:ascii="宋体" w:hAnsi="宋体" w:eastAsia="宋体" w:cs="宋体"/>
          <w:spacing w:val="16"/>
          <w:sz w:val="23"/>
          <w:szCs w:val="23"/>
        </w:rPr>
        <w:t xml:space="preserve"> </w:t>
      </w:r>
      <w:r>
        <w:rPr>
          <w:rFonts w:ascii="宋体" w:hAnsi="宋体" w:eastAsia="宋体" w:cs="宋体"/>
          <w:spacing w:val="16"/>
          <w:sz w:val="23"/>
          <w:szCs w:val="23"/>
          <w14:textOutline w14:w="4358" w14:cap="sq" w14:cmpd="sng">
            <w14:solidFill>
              <w14:srgbClr w14:val="000000"/>
            </w14:solidFill>
            <w14:prstDash w14:val="solid"/>
            <w14:bevel/>
          </w14:textOutline>
        </w:rPr>
        <w:t>在服务采购项目中，服务由中小企业承接，即提供服务的人员为中小企业依照《中</w:t>
      </w:r>
      <w:r>
        <w:rPr>
          <w:rFonts w:ascii="宋体" w:hAnsi="宋体" w:eastAsia="宋体" w:cs="宋体"/>
          <w:sz w:val="23"/>
          <w:szCs w:val="23"/>
        </w:rPr>
        <w:t xml:space="preserve"> </w:t>
      </w:r>
      <w:r>
        <w:rPr>
          <w:rFonts w:ascii="宋体" w:hAnsi="宋体" w:eastAsia="宋体" w:cs="宋体"/>
          <w:spacing w:val="11"/>
          <w:sz w:val="23"/>
          <w:szCs w:val="23"/>
          <w14:textOutline w14:w="4358" w14:cap="sq" w14:cmpd="sng">
            <w14:solidFill>
              <w14:srgbClr w14:val="000000"/>
            </w14:solidFill>
            <w14:prstDash w14:val="solid"/>
            <w14:bevel/>
          </w14:textOutline>
        </w:rPr>
        <w:t>华</w:t>
      </w:r>
      <w:r>
        <w:rPr>
          <w:rFonts w:ascii="宋体" w:hAnsi="宋体" w:eastAsia="宋体" w:cs="宋体"/>
          <w:spacing w:val="10"/>
          <w:sz w:val="23"/>
          <w:szCs w:val="23"/>
          <w14:textOutline w14:w="4358" w14:cap="sq" w14:cmpd="sng">
            <w14:solidFill>
              <w14:srgbClr w14:val="000000"/>
            </w14:solidFill>
            <w14:prstDash w14:val="solid"/>
            <w14:bevel/>
          </w14:textOutline>
        </w:rPr>
        <w:t>人民共和国劳动合同法》订立劳动合同的从业人员。</w:t>
      </w:r>
    </w:p>
    <w:p w14:paraId="2F23F074">
      <w:pPr>
        <w:spacing w:before="1" w:line="249" w:lineRule="auto"/>
        <w:ind w:left="204" w:right="90" w:firstLine="475"/>
        <w:rPr>
          <w:rFonts w:ascii="宋体" w:hAnsi="宋体" w:eastAsia="宋体" w:cs="宋体"/>
          <w:sz w:val="23"/>
          <w:szCs w:val="23"/>
        </w:rPr>
      </w:pPr>
      <w:r>
        <w:rPr>
          <w:rFonts w:ascii="宋体" w:hAnsi="宋体" w:eastAsia="宋体" w:cs="宋体"/>
          <w:spacing w:val="18"/>
          <w:sz w:val="23"/>
          <w:szCs w:val="23"/>
          <w14:textOutline w14:w="4358" w14:cap="sq" w14:cmpd="sng">
            <w14:solidFill>
              <w14:srgbClr w14:val="000000"/>
            </w14:solidFill>
            <w14:prstDash w14:val="solid"/>
            <w14:bevel/>
          </w14:textOutline>
        </w:rPr>
        <w:t>在货物</w:t>
      </w:r>
      <w:r>
        <w:rPr>
          <w:rFonts w:ascii="宋体" w:hAnsi="宋体" w:eastAsia="宋体" w:cs="宋体"/>
          <w:spacing w:val="10"/>
          <w:sz w:val="23"/>
          <w:szCs w:val="23"/>
          <w14:textOutline w14:w="4358" w14:cap="sq" w14:cmpd="sng">
            <w14:solidFill>
              <w14:srgbClr w14:val="000000"/>
            </w14:solidFill>
            <w14:prstDash w14:val="solid"/>
            <w14:bevel/>
          </w14:textOutline>
        </w:rPr>
        <w:t>采</w:t>
      </w:r>
      <w:r>
        <w:rPr>
          <w:rFonts w:ascii="宋体" w:hAnsi="宋体" w:eastAsia="宋体" w:cs="宋体"/>
          <w:spacing w:val="9"/>
          <w:sz w:val="23"/>
          <w:szCs w:val="23"/>
          <w14:textOutline w14:w="4358" w14:cap="sq" w14:cmpd="sng">
            <w14:solidFill>
              <w14:srgbClr w14:val="000000"/>
            </w14:solidFill>
            <w14:prstDash w14:val="solid"/>
            <w14:bevel/>
          </w14:textOutline>
        </w:rPr>
        <w:t>购项目中，供应商提供的货物既有中小企业制造货物，也有大型企业制造货物的，</w:t>
      </w:r>
      <w:r>
        <w:rPr>
          <w:rFonts w:ascii="宋体" w:hAnsi="宋体" w:eastAsia="宋体" w:cs="宋体"/>
          <w:sz w:val="23"/>
          <w:szCs w:val="23"/>
        </w:rPr>
        <w:t xml:space="preserve"> </w:t>
      </w:r>
      <w:r>
        <w:rPr>
          <w:rFonts w:ascii="宋体" w:hAnsi="宋体" w:eastAsia="宋体" w:cs="宋体"/>
          <w:spacing w:val="18"/>
          <w:sz w:val="23"/>
          <w:szCs w:val="23"/>
          <w14:textOutline w14:w="4358" w14:cap="sq" w14:cmpd="sng">
            <w14:solidFill>
              <w14:srgbClr w14:val="000000"/>
            </w14:solidFill>
            <w14:prstDash w14:val="solid"/>
            <w14:bevel/>
          </w14:textOutline>
        </w:rPr>
        <w:t>不</w:t>
      </w:r>
      <w:r>
        <w:rPr>
          <w:rFonts w:ascii="宋体" w:hAnsi="宋体" w:eastAsia="宋体" w:cs="宋体"/>
          <w:spacing w:val="9"/>
          <w:sz w:val="23"/>
          <w:szCs w:val="23"/>
          <w14:textOutline w14:w="4358" w14:cap="sq" w14:cmpd="sng">
            <w14:solidFill>
              <w14:srgbClr w14:val="000000"/>
            </w14:solidFill>
            <w14:prstDash w14:val="solid"/>
            <w14:bevel/>
          </w14:textOutline>
        </w:rPr>
        <w:t>享受本办法规定的中小企业扶持政策。</w:t>
      </w:r>
    </w:p>
    <w:p w14:paraId="332AF83F">
      <w:pPr>
        <w:spacing w:before="1" w:line="226" w:lineRule="auto"/>
        <w:ind w:left="707"/>
        <w:rPr>
          <w:rFonts w:ascii="宋体" w:hAnsi="宋体" w:eastAsia="宋体" w:cs="宋体"/>
          <w:sz w:val="23"/>
          <w:szCs w:val="23"/>
        </w:rPr>
      </w:pPr>
      <w:r>
        <w:rPr>
          <w:rFonts w:ascii="宋体" w:hAnsi="宋体" w:eastAsia="宋体" w:cs="宋体"/>
          <w:spacing w:val="26"/>
          <w:sz w:val="23"/>
          <w:szCs w:val="23"/>
          <w14:textOutline w14:w="4358" w14:cap="sq" w14:cmpd="sng">
            <w14:solidFill>
              <w14:srgbClr w14:val="000000"/>
            </w14:solidFill>
            <w14:prstDash w14:val="solid"/>
            <w14:bevel/>
          </w14:textOutline>
        </w:rPr>
        <w:t>以</w:t>
      </w:r>
      <w:r>
        <w:rPr>
          <w:rFonts w:ascii="宋体" w:hAnsi="宋体" w:eastAsia="宋体" w:cs="宋体"/>
          <w:spacing w:val="21"/>
          <w:sz w:val="23"/>
          <w:szCs w:val="23"/>
          <w14:textOutline w14:w="4358" w14:cap="sq" w14:cmpd="sng">
            <w14:solidFill>
              <w14:srgbClr w14:val="000000"/>
            </w14:solidFill>
            <w14:prstDash w14:val="solid"/>
            <w14:bevel/>
          </w14:textOutline>
        </w:rPr>
        <w:t>联</w:t>
      </w:r>
      <w:r>
        <w:rPr>
          <w:rFonts w:ascii="宋体" w:hAnsi="宋体" w:eastAsia="宋体" w:cs="宋体"/>
          <w:spacing w:val="13"/>
          <w:sz w:val="23"/>
          <w:szCs w:val="23"/>
          <w14:textOutline w14:w="4358" w14:cap="sq" w14:cmpd="sng">
            <w14:solidFill>
              <w14:srgbClr w14:val="000000"/>
            </w14:solidFill>
            <w14:prstDash w14:val="solid"/>
            <w14:bevel/>
          </w14:textOutline>
        </w:rPr>
        <w:t>合体形式参加政府采购活动，联合体各方均为中小企业的，联合体视同中小企业。其</w:t>
      </w:r>
    </w:p>
    <w:p w14:paraId="69FB3EB7">
      <w:pPr>
        <w:spacing w:before="30" w:line="228" w:lineRule="auto"/>
        <w:ind w:left="222"/>
        <w:rPr>
          <w:rFonts w:ascii="宋体" w:hAnsi="宋体" w:eastAsia="宋体" w:cs="宋体"/>
          <w:sz w:val="23"/>
          <w:szCs w:val="23"/>
        </w:rPr>
      </w:pPr>
      <w:r>
        <w:rPr>
          <w:rFonts w:ascii="宋体" w:hAnsi="宋体" w:eastAsia="宋体" w:cs="宋体"/>
          <w:spacing w:val="13"/>
          <w:sz w:val="23"/>
          <w:szCs w:val="23"/>
          <w14:textOutline w14:w="4358" w14:cap="sq" w14:cmpd="sng">
            <w14:solidFill>
              <w14:srgbClr w14:val="000000"/>
            </w14:solidFill>
            <w14:prstDash w14:val="solid"/>
            <w14:bevel/>
          </w14:textOutline>
        </w:rPr>
        <w:t>中</w:t>
      </w:r>
      <w:r>
        <w:rPr>
          <w:rFonts w:ascii="宋体" w:hAnsi="宋体" w:eastAsia="宋体" w:cs="宋体"/>
          <w:spacing w:val="9"/>
          <w:sz w:val="23"/>
          <w:szCs w:val="23"/>
          <w14:textOutline w14:w="4358" w14:cap="sq" w14:cmpd="sng">
            <w14:solidFill>
              <w14:srgbClr w14:val="000000"/>
            </w14:solidFill>
            <w14:prstDash w14:val="solid"/>
            <w14:bevel/>
          </w14:textOutline>
        </w:rPr>
        <w:t>，联合体各方均为小微企业的，联合体视同小微企业。</w:t>
      </w:r>
    </w:p>
    <w:p w14:paraId="24116D59">
      <w:pPr>
        <w:spacing w:before="29" w:line="249" w:lineRule="auto"/>
        <w:ind w:left="202" w:right="112" w:firstLine="480"/>
        <w:rPr>
          <w:rFonts w:ascii="宋体" w:hAnsi="宋体" w:eastAsia="宋体" w:cs="宋体"/>
          <w:sz w:val="23"/>
          <w:szCs w:val="23"/>
        </w:rPr>
      </w:pPr>
      <w:r>
        <w:rPr>
          <w:rFonts w:ascii="宋体" w:hAnsi="宋体" w:eastAsia="宋体" w:cs="宋体"/>
          <w:spacing w:val="8"/>
          <w:sz w:val="23"/>
          <w:szCs w:val="23"/>
          <w14:textOutline w14:w="4358" w14:cap="sq" w14:cmpd="sng">
            <w14:solidFill>
              <w14:srgbClr w14:val="000000"/>
            </w14:solidFill>
            <w14:prstDash w14:val="solid"/>
            <w14:bevel/>
          </w14:textOutline>
        </w:rPr>
        <w:t>2.2</w:t>
      </w:r>
      <w:r>
        <w:rPr>
          <w:rFonts w:ascii="宋体" w:hAnsi="宋体" w:eastAsia="宋体" w:cs="宋体"/>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依照&lt;财政部、司法部关于政府采购支持监狱企业发展有关问题的通知&gt;</w:t>
      </w:r>
      <w:r>
        <w:rPr>
          <w:rFonts w:ascii="宋体" w:hAnsi="宋体" w:eastAsia="宋体" w:cs="宋体"/>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(财库〔2014</w:t>
      </w:r>
      <w:r>
        <w:rPr>
          <w:rFonts w:ascii="宋体" w:hAnsi="宋体" w:eastAsia="宋体" w:cs="宋体"/>
          <w:spacing w:val="2"/>
          <w:sz w:val="23"/>
          <w:szCs w:val="23"/>
          <w14:textOutline w14:w="4358" w14:cap="sq" w14:cmpd="sng">
            <w14:solidFill>
              <w14:srgbClr w14:val="000000"/>
            </w14:solidFill>
            <w14:prstDash w14:val="solid"/>
            <w14:bevel/>
          </w14:textOutline>
        </w:rPr>
        <w:t>〕</w:t>
      </w:r>
      <w:r>
        <w:rPr>
          <w:rFonts w:ascii="宋体" w:hAnsi="宋体" w:eastAsia="宋体" w:cs="宋体"/>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6</w:t>
      </w:r>
      <w:r>
        <w:rPr>
          <w:rFonts w:ascii="宋体" w:hAnsi="宋体" w:eastAsia="宋体" w:cs="宋体"/>
          <w:spacing w:val="6"/>
          <w:sz w:val="23"/>
          <w:szCs w:val="23"/>
          <w14:textOutline w14:w="4358" w14:cap="sq" w14:cmpd="sng">
            <w14:solidFill>
              <w14:srgbClr w14:val="000000"/>
            </w14:solidFill>
            <w14:prstDash w14:val="solid"/>
            <w14:bevel/>
          </w14:textOutline>
        </w:rPr>
        <w:t>8</w:t>
      </w:r>
      <w:r>
        <w:rPr>
          <w:rFonts w:ascii="宋体" w:hAnsi="宋体" w:eastAsia="宋体" w:cs="宋体"/>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号)</w:t>
      </w:r>
      <w:r>
        <w:rPr>
          <w:rFonts w:ascii="宋体" w:hAnsi="宋体" w:eastAsia="宋体" w:cs="宋体"/>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之规定，监狱企业应当符合以下条件：</w:t>
      </w:r>
    </w:p>
    <w:p w14:paraId="6E90792D">
      <w:pPr>
        <w:spacing w:before="4" w:line="249" w:lineRule="auto"/>
        <w:ind w:left="199" w:right="72" w:firstLine="483"/>
        <w:rPr>
          <w:rFonts w:ascii="宋体" w:hAnsi="宋体" w:eastAsia="宋体" w:cs="宋体"/>
          <w:sz w:val="23"/>
          <w:szCs w:val="23"/>
        </w:rPr>
      </w:pPr>
      <w:r>
        <w:rPr>
          <w:rFonts w:ascii="宋体" w:hAnsi="宋体" w:eastAsia="宋体" w:cs="宋体"/>
          <w:spacing w:val="14"/>
          <w:sz w:val="23"/>
          <w:szCs w:val="23"/>
          <w14:textOutline w14:w="4358" w14:cap="sq" w14:cmpd="sng">
            <w14:solidFill>
              <w14:srgbClr w14:val="000000"/>
            </w14:solidFill>
            <w14:prstDash w14:val="solid"/>
            <w14:bevel/>
          </w14:textOutline>
        </w:rPr>
        <w:t>2.2</w:t>
      </w:r>
      <w:r>
        <w:rPr>
          <w:rFonts w:ascii="宋体" w:hAnsi="宋体" w:eastAsia="宋体" w:cs="宋体"/>
          <w:spacing w:val="7"/>
          <w:sz w:val="23"/>
          <w:szCs w:val="23"/>
          <w14:textOutline w14:w="4358" w14:cap="sq" w14:cmpd="sng">
            <w14:solidFill>
              <w14:srgbClr w14:val="000000"/>
            </w14:solidFill>
            <w14:prstDash w14:val="solid"/>
            <w14:bevel/>
          </w14:textOutline>
        </w:rPr>
        <w:t>.1</w:t>
      </w:r>
      <w:r>
        <w:rPr>
          <w:rFonts w:ascii="宋体" w:hAnsi="宋体" w:eastAsia="宋体" w:cs="宋体"/>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监狱企业是指由司法部认定的为罪犯、戒毒人员提供生产项目和劳动对象，且全部产</w:t>
      </w:r>
      <w:r>
        <w:rPr>
          <w:rFonts w:ascii="宋体" w:hAnsi="宋体" w:eastAsia="宋体" w:cs="宋体"/>
          <w:sz w:val="23"/>
          <w:szCs w:val="23"/>
        </w:rPr>
        <w:t xml:space="preserve"> </w:t>
      </w:r>
      <w:r>
        <w:rPr>
          <w:rFonts w:ascii="宋体" w:hAnsi="宋体" w:eastAsia="宋体" w:cs="宋体"/>
          <w:spacing w:val="14"/>
          <w:sz w:val="23"/>
          <w:szCs w:val="23"/>
          <w14:textOutline w14:w="4358" w14:cap="sq" w14:cmpd="sng">
            <w14:solidFill>
              <w14:srgbClr w14:val="000000"/>
            </w14:solidFill>
            <w14:prstDash w14:val="solid"/>
            <w14:bevel/>
          </w14:textOutline>
        </w:rPr>
        <w:t>权</w:t>
      </w:r>
      <w:r>
        <w:rPr>
          <w:rFonts w:ascii="宋体" w:hAnsi="宋体" w:eastAsia="宋体" w:cs="宋体"/>
          <w:spacing w:val="10"/>
          <w:sz w:val="23"/>
          <w:szCs w:val="23"/>
          <w14:textOutline w14:w="4358" w14:cap="sq" w14:cmpd="sng">
            <w14:solidFill>
              <w14:srgbClr w14:val="000000"/>
            </w14:solidFill>
            <w14:prstDash w14:val="solid"/>
            <w14:bevel/>
          </w14:textOutline>
        </w:rPr>
        <w:t>属</w:t>
      </w:r>
      <w:r>
        <w:rPr>
          <w:rFonts w:ascii="宋体" w:hAnsi="宋体" w:eastAsia="宋体" w:cs="宋体"/>
          <w:spacing w:val="7"/>
          <w:sz w:val="23"/>
          <w:szCs w:val="23"/>
          <w14:textOutline w14:w="4358" w14:cap="sq" w14:cmpd="sng">
            <w14:solidFill>
              <w14:srgbClr w14:val="000000"/>
            </w14:solidFill>
            <w14:prstDash w14:val="solid"/>
            <w14:bevel/>
          </w14:textOutline>
        </w:rPr>
        <w:t>于司法部监狱管理局、戒毒管理局、直属煤矿管理局，各省、</w:t>
      </w:r>
      <w:r>
        <w:rPr>
          <w:rFonts w:ascii="宋体" w:hAnsi="宋体" w:eastAsia="宋体" w:cs="宋体"/>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自治区、直辖市监狱管理局、</w:t>
      </w:r>
      <w:r>
        <w:rPr>
          <w:rFonts w:ascii="宋体" w:hAnsi="宋体" w:eastAsia="宋体" w:cs="宋体"/>
          <w:sz w:val="23"/>
          <w:szCs w:val="23"/>
        </w:rPr>
        <w:t xml:space="preserve"> </w:t>
      </w:r>
      <w:r>
        <w:rPr>
          <w:rFonts w:ascii="宋体" w:hAnsi="宋体" w:eastAsia="宋体" w:cs="宋体"/>
          <w:spacing w:val="20"/>
          <w:sz w:val="23"/>
          <w:szCs w:val="23"/>
          <w14:textOutline w14:w="4358" w14:cap="sq" w14:cmpd="sng">
            <w14:solidFill>
              <w14:srgbClr w14:val="000000"/>
            </w14:solidFill>
            <w14:prstDash w14:val="solid"/>
            <w14:bevel/>
          </w14:textOutline>
        </w:rPr>
        <w:t>戒毒</w:t>
      </w:r>
      <w:r>
        <w:rPr>
          <w:rFonts w:ascii="宋体" w:hAnsi="宋体" w:eastAsia="宋体" w:cs="宋体"/>
          <w:spacing w:val="14"/>
          <w:sz w:val="23"/>
          <w:szCs w:val="23"/>
          <w14:textOutline w14:w="4358" w14:cap="sq" w14:cmpd="sng">
            <w14:solidFill>
              <w14:srgbClr w14:val="000000"/>
            </w14:solidFill>
            <w14:prstDash w14:val="solid"/>
            <w14:bevel/>
          </w14:textOutline>
        </w:rPr>
        <w:t>管</w:t>
      </w:r>
      <w:r>
        <w:rPr>
          <w:rFonts w:ascii="宋体" w:hAnsi="宋体" w:eastAsia="宋体" w:cs="宋体"/>
          <w:spacing w:val="10"/>
          <w:sz w:val="23"/>
          <w:szCs w:val="23"/>
          <w14:textOutline w14:w="4358" w14:cap="sq" w14:cmpd="sng">
            <w14:solidFill>
              <w14:srgbClr w14:val="000000"/>
            </w14:solidFill>
            <w14:prstDash w14:val="solid"/>
            <w14:bevel/>
          </w14:textOutline>
        </w:rPr>
        <w:t>理局，各地</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(设区的市)</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监狱、强制隔离戒毒所、戒毒康复所，</w:t>
      </w:r>
      <w:r>
        <w:rPr>
          <w:rFonts w:ascii="宋体" w:hAnsi="宋体" w:eastAsia="宋体" w:cs="宋体"/>
          <w:spacing w:val="10"/>
          <w:sz w:val="23"/>
          <w:szCs w:val="23"/>
        </w:rPr>
        <w:t xml:space="preserve"> </w:t>
      </w:r>
      <w:r>
        <w:rPr>
          <w:rFonts w:ascii="宋体" w:hAnsi="宋体" w:eastAsia="宋体" w:cs="宋体"/>
          <w:spacing w:val="10"/>
          <w:sz w:val="23"/>
          <w:szCs w:val="23"/>
          <w14:textOutline w14:w="4358" w14:cap="sq" w14:cmpd="sng">
            <w14:solidFill>
              <w14:srgbClr w14:val="000000"/>
            </w14:solidFill>
            <w14:prstDash w14:val="solid"/>
            <w14:bevel/>
          </w14:textOutline>
        </w:rPr>
        <w:t>以及新疆生产建设兵团</w:t>
      </w:r>
      <w:r>
        <w:rPr>
          <w:rFonts w:ascii="宋体" w:hAnsi="宋体" w:eastAsia="宋体" w:cs="宋体"/>
          <w:sz w:val="23"/>
          <w:szCs w:val="23"/>
        </w:rPr>
        <w:t xml:space="preserve"> </w:t>
      </w:r>
      <w:r>
        <w:rPr>
          <w:rFonts w:ascii="宋体" w:hAnsi="宋体" w:eastAsia="宋体" w:cs="宋体"/>
          <w:spacing w:val="17"/>
          <w:sz w:val="23"/>
          <w:szCs w:val="23"/>
          <w14:textOutline w14:w="4358" w14:cap="sq" w14:cmpd="sng">
            <w14:solidFill>
              <w14:srgbClr w14:val="000000"/>
            </w14:solidFill>
            <w14:prstDash w14:val="solid"/>
            <w14:bevel/>
          </w14:textOutline>
        </w:rPr>
        <w:t>监</w:t>
      </w:r>
      <w:r>
        <w:rPr>
          <w:rFonts w:ascii="宋体" w:hAnsi="宋体" w:eastAsia="宋体" w:cs="宋体"/>
          <w:spacing w:val="9"/>
          <w:sz w:val="23"/>
          <w:szCs w:val="23"/>
          <w14:textOutline w14:w="4358" w14:cap="sq" w14:cmpd="sng">
            <w14:solidFill>
              <w14:srgbClr w14:val="000000"/>
            </w14:solidFill>
            <w14:prstDash w14:val="solid"/>
            <w14:bevel/>
          </w14:textOutline>
        </w:rPr>
        <w:t>狱管理局、戒毒管理局的企业。</w:t>
      </w:r>
    </w:p>
    <w:p w14:paraId="79F31059">
      <w:pPr>
        <w:spacing w:before="1" w:line="249" w:lineRule="auto"/>
        <w:ind w:left="203" w:right="152" w:firstLine="480"/>
        <w:rPr>
          <w:rFonts w:ascii="宋体" w:hAnsi="宋体" w:eastAsia="宋体" w:cs="宋体"/>
          <w:sz w:val="23"/>
          <w:szCs w:val="23"/>
        </w:rPr>
      </w:pPr>
      <w:r>
        <w:rPr>
          <w:rFonts w:ascii="宋体" w:hAnsi="宋体" w:eastAsia="宋体" w:cs="宋体"/>
          <w:spacing w:val="14"/>
          <w:sz w:val="23"/>
          <w:szCs w:val="23"/>
          <w14:textOutline w14:w="4358" w14:cap="sq" w14:cmpd="sng">
            <w14:solidFill>
              <w14:srgbClr w14:val="000000"/>
            </w14:solidFill>
            <w14:prstDash w14:val="solid"/>
            <w14:bevel/>
          </w14:textOutline>
        </w:rPr>
        <w:t>2.2</w:t>
      </w:r>
      <w:r>
        <w:rPr>
          <w:rFonts w:ascii="宋体" w:hAnsi="宋体" w:eastAsia="宋体" w:cs="宋体"/>
          <w:spacing w:val="7"/>
          <w:sz w:val="23"/>
          <w:szCs w:val="23"/>
          <w14:textOutline w14:w="4358" w14:cap="sq" w14:cmpd="sng">
            <w14:solidFill>
              <w14:srgbClr w14:val="000000"/>
            </w14:solidFill>
            <w14:prstDash w14:val="solid"/>
            <w14:bevel/>
          </w14:textOutline>
        </w:rPr>
        <w:t>.2</w:t>
      </w:r>
      <w:r>
        <w:rPr>
          <w:rFonts w:ascii="宋体" w:hAnsi="宋体" w:eastAsia="宋体" w:cs="宋体"/>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监狱企业参加政府采购活动时，视同小型、微型企业，应当提供由省级以上监狱管理</w:t>
      </w:r>
      <w:r>
        <w:rPr>
          <w:rFonts w:ascii="宋体" w:hAnsi="宋体" w:eastAsia="宋体" w:cs="宋体"/>
          <w:sz w:val="23"/>
          <w:szCs w:val="23"/>
        </w:rPr>
        <w:t xml:space="preserve"> </w:t>
      </w:r>
      <w:r>
        <w:rPr>
          <w:rFonts w:ascii="宋体" w:hAnsi="宋体" w:eastAsia="宋体" w:cs="宋体"/>
          <w:spacing w:val="18"/>
          <w:sz w:val="23"/>
          <w:szCs w:val="23"/>
          <w14:textOutline w14:w="4358" w14:cap="sq" w14:cmpd="sng">
            <w14:solidFill>
              <w14:srgbClr w14:val="000000"/>
            </w14:solidFill>
            <w14:prstDash w14:val="solid"/>
            <w14:bevel/>
          </w14:textOutline>
        </w:rPr>
        <w:t>局、</w:t>
      </w:r>
      <w:r>
        <w:rPr>
          <w:rFonts w:ascii="宋体" w:hAnsi="宋体" w:eastAsia="宋体" w:cs="宋体"/>
          <w:spacing w:val="12"/>
          <w:sz w:val="23"/>
          <w:szCs w:val="23"/>
          <w14:textOutline w14:w="4358" w14:cap="sq" w14:cmpd="sng">
            <w14:solidFill>
              <w14:srgbClr w14:val="000000"/>
            </w14:solidFill>
            <w14:prstDash w14:val="solid"/>
            <w14:bevel/>
          </w14:textOutline>
        </w:rPr>
        <w:t>戒</w:t>
      </w:r>
      <w:r>
        <w:rPr>
          <w:rFonts w:ascii="宋体" w:hAnsi="宋体" w:eastAsia="宋体" w:cs="宋体"/>
          <w:spacing w:val="9"/>
          <w:sz w:val="23"/>
          <w:szCs w:val="23"/>
          <w14:textOutline w14:w="4358" w14:cap="sq" w14:cmpd="sng">
            <w14:solidFill>
              <w14:srgbClr w14:val="000000"/>
            </w14:solidFill>
            <w14:prstDash w14:val="solid"/>
            <w14:bevel/>
          </w14:textOutline>
        </w:rPr>
        <w:t>毒管理局</w:t>
      </w:r>
      <w:r>
        <w:rPr>
          <w:rFonts w:ascii="宋体" w:hAnsi="宋体" w:eastAsia="宋体" w:cs="宋体"/>
          <w:spacing w:val="9"/>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(含新疆生产建设兵团)</w:t>
      </w:r>
      <w:r>
        <w:rPr>
          <w:rFonts w:ascii="宋体" w:hAnsi="宋体" w:eastAsia="宋体" w:cs="宋体"/>
          <w:spacing w:val="9"/>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出具的属于监狱企业的证明文件。</w:t>
      </w:r>
    </w:p>
    <w:p w14:paraId="205D4B0E">
      <w:pPr>
        <w:spacing w:before="1" w:line="228" w:lineRule="auto"/>
        <w:ind w:left="683"/>
        <w:rPr>
          <w:rFonts w:ascii="宋体" w:hAnsi="宋体" w:eastAsia="宋体" w:cs="宋体"/>
          <w:sz w:val="23"/>
          <w:szCs w:val="23"/>
        </w:rPr>
      </w:pPr>
      <w:r>
        <w:rPr>
          <w:rFonts w:ascii="宋体" w:hAnsi="宋体" w:eastAsia="宋体" w:cs="宋体"/>
          <w:spacing w:val="8"/>
          <w:sz w:val="23"/>
          <w:szCs w:val="23"/>
          <w14:textOutline w14:w="4358" w14:cap="sq" w14:cmpd="sng">
            <w14:solidFill>
              <w14:srgbClr w14:val="000000"/>
            </w14:solidFill>
            <w14:prstDash w14:val="solid"/>
            <w14:bevel/>
          </w14:textOutline>
        </w:rPr>
        <w:t>2</w:t>
      </w:r>
      <w:r>
        <w:rPr>
          <w:rFonts w:ascii="宋体" w:hAnsi="宋体" w:eastAsia="宋体" w:cs="宋体"/>
          <w:spacing w:val="6"/>
          <w:sz w:val="23"/>
          <w:szCs w:val="23"/>
          <w14:textOutline w14:w="4358" w14:cap="sq" w14:cmpd="sng">
            <w14:solidFill>
              <w14:srgbClr w14:val="000000"/>
            </w14:solidFill>
            <w14:prstDash w14:val="solid"/>
            <w14:bevel/>
          </w14:textOutline>
        </w:rPr>
        <w:t>.3</w:t>
      </w:r>
      <w:r>
        <w:rPr>
          <w:rFonts w:ascii="宋体" w:hAnsi="宋体" w:eastAsia="宋体" w:cs="宋体"/>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残疾人福利性单位视同小型、微型企业。</w:t>
      </w:r>
    </w:p>
    <w:p w14:paraId="7F83A535">
      <w:pPr>
        <w:rPr>
          <w:highlight w:val="none"/>
        </w:rPr>
      </w:pPr>
    </w:p>
    <w:p w14:paraId="23A35647">
      <w:pPr>
        <w:rPr>
          <w:highlight w:val="none"/>
        </w:rPr>
      </w:pPr>
    </w:p>
    <w:sectPr>
      <w:headerReference r:id="rId16" w:type="default"/>
      <w:footerReference r:id="rId17" w:type="default"/>
      <w:pgSz w:w="11906" w:h="16838"/>
      <w:pgMar w:top="1440" w:right="1083" w:bottom="1440" w:left="1083" w:header="850" w:footer="992" w:gutter="0"/>
      <w:pgNumType w:fmt="numberInDash"/>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宋?">
    <w:altName w:val="宋体"/>
    <w:panose1 w:val="00000000000000000000"/>
    <w:charset w:val="81"/>
    <w:family w:val="roman"/>
    <w:pitch w:val="default"/>
    <w:sig w:usb0="00000000" w:usb1="00000000" w:usb2="00000000" w:usb3="00000000" w:csb0="0008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75792">
    <w:pPr>
      <w:pStyle w:val="15"/>
      <w:ind w:right="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C1FF3">
    <w:pPr>
      <w:pStyle w:val="15"/>
      <w:framePr w:wrap="around" w:vAnchor="text" w:hAnchor="margin" w:xAlign="center" w:y="1"/>
      <w:rPr>
        <w:rStyle w:val="28"/>
      </w:rPr>
    </w:pPr>
    <w:r>
      <w:fldChar w:fldCharType="begin"/>
    </w:r>
    <w:r>
      <w:rPr>
        <w:rStyle w:val="28"/>
      </w:rPr>
      <w:instrText xml:space="preserve">PAGE  </w:instrText>
    </w:r>
    <w:r>
      <w:fldChar w:fldCharType="end"/>
    </w:r>
  </w:p>
  <w:p w14:paraId="2FAD14BD">
    <w:pPr>
      <w:pStyle w:val="1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29EB35">
    <w:pPr>
      <w:pStyle w:val="15"/>
      <w:jc w:val="right"/>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5510F84">
                          <w:pPr>
                            <w:pStyle w:val="15"/>
                            <w:rPr>
                              <w:rStyle w:val="2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05510F84">
                    <w:pPr>
                      <w:pStyle w:val="15"/>
                      <w:rPr>
                        <w:rStyle w:val="28"/>
                      </w:rPr>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3A731E">
    <w:pPr>
      <w:pStyle w:val="15"/>
      <w:jc w:val="right"/>
      <w:rPr>
        <w:rFonts w:hint="eastAsia"/>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2A38BF">
                          <w:pPr>
                            <w:pStyle w:val="15"/>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4F2A38BF">
                    <w:pPr>
                      <w:pStyle w:val="15"/>
                    </w:pPr>
                    <w:r>
                      <w:fldChar w:fldCharType="begin"/>
                    </w:r>
                    <w:r>
                      <w:instrText xml:space="preserve"> PAGE  \* MERGEFORMAT </w:instrText>
                    </w:r>
                    <w:r>
                      <w:fldChar w:fldCharType="separate"/>
                    </w:r>
                    <w:r>
                      <w:t>30</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F6CFA73">
                          <w:pPr>
                            <w:pStyle w:val="15"/>
                            <w:rPr>
                              <w:rStyle w:val="2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7F6CFA73">
                    <w:pPr>
                      <w:pStyle w:val="15"/>
                      <w:rPr>
                        <w:rStyle w:val="28"/>
                      </w:rPr>
                    </w:pPr>
                  </w:p>
                </w:txbxContent>
              </v:textbox>
            </v:shape>
          </w:pict>
        </mc:Fallback>
      </mc:AlternateContent>
    </w:r>
    <w:r>
      <w:rPr>
        <w:rFonts w:hint="eastAsia"/>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17D002">
    <w:pPr>
      <w:pStyle w:val="15"/>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80250A">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E80250A">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38A6D6">
    <w:pPr>
      <w:pStyle w:val="15"/>
      <w:ind w:right="360" w:firstLine="6840" w:firstLineChars="380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E3757E">
                          <w:pPr>
                            <w:pStyle w:val="15"/>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6DE3757E">
                    <w:pPr>
                      <w:pStyle w:val="15"/>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4DF4E">
    <w:pPr>
      <w:pStyle w:val="15"/>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0A4D47">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7F0A4D47">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7B21C">
    <w:pPr>
      <w:pStyle w:val="15"/>
      <w:rPr>
        <w:rFonts w:hint="eastAsia"/>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DD4780">
                          <w:pPr>
                            <w:pStyle w:val="15"/>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3ADD4780">
                    <w:pPr>
                      <w:pStyle w:val="15"/>
                    </w:pPr>
                    <w:r>
                      <w:fldChar w:fldCharType="begin"/>
                    </w:r>
                    <w:r>
                      <w:instrText xml:space="preserve"> PAGE  \* MERGEFORMAT </w:instrText>
                    </w:r>
                    <w:r>
                      <w:fldChar w:fldCharType="separate"/>
                    </w:r>
                    <w:r>
                      <w:t>51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C252A">
    <w:pPr>
      <w:pStyle w:val="16"/>
      <w:pBdr>
        <w:bottom w:val="none" w:color="auto" w:sz="0" w:space="0"/>
      </w:pBdr>
      <w:jc w:val="both"/>
      <w:rPr>
        <w:rFonts w:hint="eastAsia"/>
      </w:rPr>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D5AAB6">
    <w:pPr>
      <w:pStyle w:val="1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AF194">
    <w:pPr>
      <w:pStyle w:val="16"/>
      <w:pBdr>
        <w:bottom w:val="none" w:color="auto" w:sz="0" w:space="1"/>
      </w:pBdr>
      <w:jc w:val="both"/>
      <w:rPr>
        <w:rFonts w:hint="eastAsia"/>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5ED202">
    <w:pPr>
      <w:pStyle w:val="16"/>
      <w:pBdr>
        <w:bottom w:val="none" w:color="auto" w:sz="0" w:space="1"/>
      </w:pBdr>
      <w:jc w:val="both"/>
      <w:rPr>
        <w:rFonts w:hint="eastAsia"/>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D8012">
    <w:pPr>
      <w:pBdr>
        <w:bottom w:val="none" w:color="auto" w:sz="0" w:space="0"/>
      </w:pBdr>
      <w:overflowPunct w:val="0"/>
      <w:spacing w:line="500" w:lineRule="exact"/>
      <w:jc w:val="right"/>
      <w:rPr>
        <w:rFonts w:hint="eastAsia"/>
      </w:rPr>
    </w:pPr>
    <w:r>
      <w:rPr>
        <w:rFonts w:hint="eastAsia" w:ascii="宋体" w:hAnsi="宋体" w:eastAsia="宋体" w:cs="宋体"/>
        <w:b/>
        <w:szCs w:val="21"/>
      </w:rPr>
      <w:t xml:space="preserve"> </w:t>
    </w:r>
    <w:r>
      <w:rPr>
        <w:rFonts w:hint="eastAsia" w:ascii="仿宋" w:hAnsi="仿宋" w:eastAsia="仿宋" w:cs="仿宋"/>
        <w:b/>
        <w:szCs w:val="21"/>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CEC55">
    <w:pPr>
      <w:pStyle w:val="16"/>
      <w:pBdr>
        <w:bottom w:val="none" w:color="auto" w:sz="0" w:space="1"/>
      </w:pBdr>
      <w:jc w:val="center"/>
      <w:rPr>
        <w:b/>
        <w:bCs/>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C45ED">
    <w:pPr>
      <w:pBdr>
        <w:bottom w:val="none" w:color="auto" w:sz="0" w:space="0"/>
      </w:pBdr>
      <w:overflowPunct w:val="0"/>
      <w:spacing w:line="500" w:lineRule="exact"/>
      <w:jc w:val="right"/>
      <w:rPr>
        <w:rFonts w:hint="eastAsia"/>
      </w:rPr>
    </w:pPr>
    <w:r>
      <w:rPr>
        <w:rFonts w:hint="eastAsia" w:ascii="仿宋" w:hAnsi="仿宋" w:eastAsia="仿宋" w:cs="仿宋"/>
        <w:b/>
        <w:szCs w:val="21"/>
      </w:rPr>
      <w:t xml:space="preserve">                                       </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A18856"/>
    <w:multiLevelType w:val="singleLevel"/>
    <w:tmpl w:val="8CA18856"/>
    <w:lvl w:ilvl="0" w:tentative="0">
      <w:start w:val="1"/>
      <w:numFmt w:val="decimal"/>
      <w:suff w:val="nothing"/>
      <w:lvlText w:val="%1．"/>
      <w:lvlJc w:val="left"/>
      <w:pPr>
        <w:ind w:left="0" w:firstLine="400"/>
      </w:pPr>
      <w:rPr>
        <w:rFonts w:hint="default"/>
      </w:rPr>
    </w:lvl>
  </w:abstractNum>
  <w:abstractNum w:abstractNumId="1">
    <w:nsid w:val="8CF8BE6D"/>
    <w:multiLevelType w:val="singleLevel"/>
    <w:tmpl w:val="8CF8BE6D"/>
    <w:lvl w:ilvl="0" w:tentative="0">
      <w:start w:val="1"/>
      <w:numFmt w:val="decimal"/>
      <w:suff w:val="nothing"/>
      <w:lvlText w:val="%1．"/>
      <w:lvlJc w:val="left"/>
      <w:pPr>
        <w:ind w:left="0" w:firstLine="400"/>
      </w:pPr>
      <w:rPr>
        <w:rFonts w:hint="default"/>
      </w:rPr>
    </w:lvl>
  </w:abstractNum>
  <w:abstractNum w:abstractNumId="2">
    <w:nsid w:val="96D832A4"/>
    <w:multiLevelType w:val="singleLevel"/>
    <w:tmpl w:val="96D832A4"/>
    <w:lvl w:ilvl="0" w:tentative="0">
      <w:start w:val="1"/>
      <w:numFmt w:val="decimal"/>
      <w:suff w:val="nothing"/>
      <w:lvlText w:val="%1．"/>
      <w:lvlJc w:val="left"/>
      <w:pPr>
        <w:ind w:left="0" w:firstLine="400"/>
      </w:pPr>
      <w:rPr>
        <w:rFonts w:hint="default"/>
      </w:rPr>
    </w:lvl>
  </w:abstractNum>
  <w:abstractNum w:abstractNumId="3">
    <w:nsid w:val="CC45AB0E"/>
    <w:multiLevelType w:val="singleLevel"/>
    <w:tmpl w:val="CC45AB0E"/>
    <w:lvl w:ilvl="0" w:tentative="0">
      <w:start w:val="1"/>
      <w:numFmt w:val="decimal"/>
      <w:suff w:val="nothing"/>
      <w:lvlText w:val="%1．"/>
      <w:lvlJc w:val="left"/>
      <w:pPr>
        <w:ind w:left="0" w:firstLine="400"/>
      </w:pPr>
      <w:rPr>
        <w:rFonts w:hint="default"/>
      </w:rPr>
    </w:lvl>
  </w:abstractNum>
  <w:abstractNum w:abstractNumId="4">
    <w:nsid w:val="CF27A270"/>
    <w:multiLevelType w:val="singleLevel"/>
    <w:tmpl w:val="CF27A270"/>
    <w:lvl w:ilvl="0" w:tentative="0">
      <w:start w:val="1"/>
      <w:numFmt w:val="decimal"/>
      <w:suff w:val="nothing"/>
      <w:lvlText w:val="%1．"/>
      <w:lvlJc w:val="left"/>
      <w:pPr>
        <w:ind w:left="0" w:firstLine="400"/>
      </w:pPr>
      <w:rPr>
        <w:rFonts w:hint="default"/>
      </w:rPr>
    </w:lvl>
  </w:abstractNum>
  <w:abstractNum w:abstractNumId="5">
    <w:nsid w:val="E716F5FB"/>
    <w:multiLevelType w:val="singleLevel"/>
    <w:tmpl w:val="E716F5FB"/>
    <w:lvl w:ilvl="0" w:tentative="0">
      <w:start w:val="1"/>
      <w:numFmt w:val="decimal"/>
      <w:suff w:val="nothing"/>
      <w:lvlText w:val="%1．"/>
      <w:lvlJc w:val="left"/>
      <w:pPr>
        <w:ind w:left="0" w:firstLine="400"/>
      </w:pPr>
      <w:rPr>
        <w:rFonts w:hint="default"/>
      </w:rPr>
    </w:lvl>
  </w:abstractNum>
  <w:abstractNum w:abstractNumId="6">
    <w:nsid w:val="E8047F72"/>
    <w:multiLevelType w:val="singleLevel"/>
    <w:tmpl w:val="E8047F72"/>
    <w:lvl w:ilvl="0" w:tentative="0">
      <w:start w:val="1"/>
      <w:numFmt w:val="decimal"/>
      <w:suff w:val="nothing"/>
      <w:lvlText w:val="%1．"/>
      <w:lvlJc w:val="left"/>
      <w:pPr>
        <w:ind w:left="0" w:firstLine="400"/>
      </w:pPr>
      <w:rPr>
        <w:rFonts w:hint="default"/>
      </w:rPr>
    </w:lvl>
  </w:abstractNum>
  <w:abstractNum w:abstractNumId="7">
    <w:nsid w:val="FD57FC6E"/>
    <w:multiLevelType w:val="singleLevel"/>
    <w:tmpl w:val="FD57FC6E"/>
    <w:lvl w:ilvl="0" w:tentative="0">
      <w:start w:val="1"/>
      <w:numFmt w:val="decimal"/>
      <w:suff w:val="nothing"/>
      <w:lvlText w:val="%1．"/>
      <w:lvlJc w:val="left"/>
      <w:pPr>
        <w:ind w:left="0" w:firstLine="400"/>
      </w:pPr>
      <w:rPr>
        <w:rFonts w:hint="default"/>
      </w:rPr>
    </w:lvl>
  </w:abstractNum>
  <w:abstractNum w:abstractNumId="8">
    <w:nsid w:val="FE0DFBA7"/>
    <w:multiLevelType w:val="singleLevel"/>
    <w:tmpl w:val="FE0DFBA7"/>
    <w:lvl w:ilvl="0" w:tentative="0">
      <w:start w:val="1"/>
      <w:numFmt w:val="decimal"/>
      <w:suff w:val="nothing"/>
      <w:lvlText w:val="%1．"/>
      <w:lvlJc w:val="left"/>
      <w:pPr>
        <w:ind w:left="0" w:firstLine="400"/>
      </w:pPr>
      <w:rPr>
        <w:rFonts w:hint="default"/>
      </w:rPr>
    </w:lvl>
  </w:abstractNum>
  <w:abstractNum w:abstractNumId="9">
    <w:nsid w:val="06A99FFD"/>
    <w:multiLevelType w:val="singleLevel"/>
    <w:tmpl w:val="06A99FFD"/>
    <w:lvl w:ilvl="0" w:tentative="0">
      <w:start w:val="1"/>
      <w:numFmt w:val="decimal"/>
      <w:suff w:val="nothing"/>
      <w:lvlText w:val="%1．"/>
      <w:lvlJc w:val="left"/>
      <w:pPr>
        <w:ind w:left="0" w:firstLine="400"/>
      </w:pPr>
      <w:rPr>
        <w:rFonts w:hint="default"/>
      </w:rPr>
    </w:lvl>
  </w:abstractNum>
  <w:abstractNum w:abstractNumId="10">
    <w:nsid w:val="08676812"/>
    <w:multiLevelType w:val="singleLevel"/>
    <w:tmpl w:val="08676812"/>
    <w:lvl w:ilvl="0" w:tentative="0">
      <w:start w:val="3"/>
      <w:numFmt w:val="chineseCounting"/>
      <w:suff w:val="nothing"/>
      <w:lvlText w:val="第%1章、"/>
      <w:lvlJc w:val="left"/>
      <w:rPr>
        <w:rFonts w:hint="eastAsia"/>
      </w:rPr>
    </w:lvl>
  </w:abstractNum>
  <w:abstractNum w:abstractNumId="11">
    <w:nsid w:val="09DD8ABB"/>
    <w:multiLevelType w:val="singleLevel"/>
    <w:tmpl w:val="09DD8ABB"/>
    <w:lvl w:ilvl="0" w:tentative="0">
      <w:start w:val="1"/>
      <w:numFmt w:val="decimal"/>
      <w:suff w:val="nothing"/>
      <w:lvlText w:val="%1．"/>
      <w:lvlJc w:val="left"/>
      <w:pPr>
        <w:ind w:left="0" w:firstLine="400"/>
      </w:pPr>
      <w:rPr>
        <w:rFonts w:hint="default"/>
      </w:rPr>
    </w:lvl>
  </w:abstractNum>
  <w:abstractNum w:abstractNumId="12">
    <w:nsid w:val="225BCB41"/>
    <w:multiLevelType w:val="singleLevel"/>
    <w:tmpl w:val="225BCB41"/>
    <w:lvl w:ilvl="0" w:tentative="0">
      <w:start w:val="1"/>
      <w:numFmt w:val="decimal"/>
      <w:suff w:val="nothing"/>
      <w:lvlText w:val="%1．"/>
      <w:lvlJc w:val="left"/>
      <w:pPr>
        <w:ind w:left="0" w:firstLine="400"/>
      </w:pPr>
      <w:rPr>
        <w:rFonts w:hint="default"/>
      </w:rPr>
    </w:lvl>
  </w:abstractNum>
  <w:abstractNum w:abstractNumId="13">
    <w:nsid w:val="24BBCA26"/>
    <w:multiLevelType w:val="singleLevel"/>
    <w:tmpl w:val="24BBCA26"/>
    <w:lvl w:ilvl="0" w:tentative="0">
      <w:start w:val="1"/>
      <w:numFmt w:val="decimal"/>
      <w:suff w:val="nothing"/>
      <w:lvlText w:val="%1．"/>
      <w:lvlJc w:val="left"/>
      <w:pPr>
        <w:ind w:left="0" w:firstLine="400"/>
      </w:pPr>
      <w:rPr>
        <w:rFonts w:hint="default"/>
      </w:rPr>
    </w:lvl>
  </w:abstractNum>
  <w:abstractNum w:abstractNumId="14">
    <w:nsid w:val="4660D526"/>
    <w:multiLevelType w:val="singleLevel"/>
    <w:tmpl w:val="4660D526"/>
    <w:lvl w:ilvl="0" w:tentative="0">
      <w:start w:val="1"/>
      <w:numFmt w:val="decimal"/>
      <w:suff w:val="nothing"/>
      <w:lvlText w:val="%1．"/>
      <w:lvlJc w:val="left"/>
      <w:pPr>
        <w:ind w:left="0" w:firstLine="400"/>
      </w:pPr>
      <w:rPr>
        <w:rFonts w:hint="default"/>
      </w:rPr>
    </w:lvl>
  </w:abstractNum>
  <w:abstractNum w:abstractNumId="15">
    <w:nsid w:val="48090C85"/>
    <w:multiLevelType w:val="singleLevel"/>
    <w:tmpl w:val="48090C85"/>
    <w:lvl w:ilvl="0" w:tentative="0">
      <w:start w:val="1"/>
      <w:numFmt w:val="decimal"/>
      <w:suff w:val="nothing"/>
      <w:lvlText w:val="%1．"/>
      <w:lvlJc w:val="left"/>
      <w:pPr>
        <w:ind w:left="0" w:firstLine="400"/>
      </w:pPr>
      <w:rPr>
        <w:rFonts w:hint="default"/>
      </w:rPr>
    </w:lvl>
  </w:abstractNum>
  <w:abstractNum w:abstractNumId="16">
    <w:nsid w:val="5009F6A4"/>
    <w:multiLevelType w:val="singleLevel"/>
    <w:tmpl w:val="5009F6A4"/>
    <w:lvl w:ilvl="0" w:tentative="0">
      <w:start w:val="1"/>
      <w:numFmt w:val="decimal"/>
      <w:suff w:val="nothing"/>
      <w:lvlText w:val="%1．"/>
      <w:lvlJc w:val="left"/>
      <w:pPr>
        <w:ind w:left="0" w:firstLine="400"/>
      </w:pPr>
      <w:rPr>
        <w:rFonts w:hint="default"/>
      </w:rPr>
    </w:lvl>
  </w:abstractNum>
  <w:abstractNum w:abstractNumId="17">
    <w:nsid w:val="6D231150"/>
    <w:multiLevelType w:val="singleLevel"/>
    <w:tmpl w:val="6D231150"/>
    <w:lvl w:ilvl="0" w:tentative="0">
      <w:start w:val="1"/>
      <w:numFmt w:val="decimal"/>
      <w:suff w:val="nothing"/>
      <w:lvlText w:val="%1．"/>
      <w:lvlJc w:val="left"/>
      <w:pPr>
        <w:ind w:left="0" w:firstLine="400"/>
      </w:pPr>
      <w:rPr>
        <w:rFonts w:hint="default"/>
      </w:rPr>
    </w:lvl>
  </w:abstractNum>
  <w:abstractNum w:abstractNumId="18">
    <w:nsid w:val="6FF2158E"/>
    <w:multiLevelType w:val="multilevel"/>
    <w:tmpl w:val="6FF2158E"/>
    <w:lvl w:ilvl="0" w:tentative="0">
      <w:start w:val="1"/>
      <w:numFmt w:val="decimal"/>
      <w:lvlText w:val="%1."/>
      <w:lvlJc w:val="left"/>
      <w:pPr>
        <w:ind w:left="845" w:hanging="425"/>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9">
    <w:nsid w:val="739D0441"/>
    <w:multiLevelType w:val="multilevel"/>
    <w:tmpl w:val="739D0441"/>
    <w:lvl w:ilvl="0" w:tentative="0">
      <w:start w:val="1"/>
      <w:numFmt w:val="decimal"/>
      <w:lvlText w:val="%1."/>
      <w:lvlJc w:val="left"/>
      <w:pPr>
        <w:ind w:left="845" w:hanging="425"/>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20">
    <w:nsid w:val="7FA394AC"/>
    <w:multiLevelType w:val="singleLevel"/>
    <w:tmpl w:val="7FA394AC"/>
    <w:lvl w:ilvl="0" w:tentative="0">
      <w:start w:val="1"/>
      <w:numFmt w:val="decimal"/>
      <w:suff w:val="nothing"/>
      <w:lvlText w:val="%1．"/>
      <w:lvlJc w:val="left"/>
      <w:pPr>
        <w:ind w:left="0" w:firstLine="400"/>
      </w:pPr>
      <w:rPr>
        <w:rFonts w:hint="default"/>
      </w:rPr>
    </w:lvl>
  </w:abstractNum>
  <w:num w:numId="1">
    <w:abstractNumId w:val="16"/>
  </w:num>
  <w:num w:numId="2">
    <w:abstractNumId w:val="0"/>
  </w:num>
  <w:num w:numId="3">
    <w:abstractNumId w:val="20"/>
  </w:num>
  <w:num w:numId="4">
    <w:abstractNumId w:val="9"/>
  </w:num>
  <w:num w:numId="5">
    <w:abstractNumId w:val="14"/>
  </w:num>
  <w:num w:numId="6">
    <w:abstractNumId w:val="18"/>
  </w:num>
  <w:num w:numId="7">
    <w:abstractNumId w:val="8"/>
  </w:num>
  <w:num w:numId="8">
    <w:abstractNumId w:val="15"/>
  </w:num>
  <w:num w:numId="9">
    <w:abstractNumId w:val="7"/>
  </w:num>
  <w:num w:numId="10">
    <w:abstractNumId w:val="13"/>
  </w:num>
  <w:num w:numId="11">
    <w:abstractNumId w:val="12"/>
  </w:num>
  <w:num w:numId="12">
    <w:abstractNumId w:val="3"/>
  </w:num>
  <w:num w:numId="13">
    <w:abstractNumId w:val="1"/>
  </w:num>
  <w:num w:numId="14">
    <w:abstractNumId w:val="2"/>
  </w:num>
  <w:num w:numId="15">
    <w:abstractNumId w:val="5"/>
  </w:num>
  <w:num w:numId="16">
    <w:abstractNumId w:val="6"/>
  </w:num>
  <w:num w:numId="17">
    <w:abstractNumId w:val="11"/>
  </w:num>
  <w:num w:numId="18">
    <w:abstractNumId w:val="10"/>
  </w:num>
  <w:num w:numId="19">
    <w:abstractNumId w:val="19"/>
  </w:num>
  <w:num w:numId="20">
    <w:abstractNumId w:val="4"/>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c2YzgyMzBmNmM2Yjg3ZmQzNDZlNTdjNTg2MGYzMDkifQ=="/>
  </w:docVars>
  <w:rsids>
    <w:rsidRoot w:val="57FC7200"/>
    <w:rsid w:val="01166F24"/>
    <w:rsid w:val="01603852"/>
    <w:rsid w:val="01F36FCC"/>
    <w:rsid w:val="0361440A"/>
    <w:rsid w:val="038E05E4"/>
    <w:rsid w:val="05C7639E"/>
    <w:rsid w:val="05F45A09"/>
    <w:rsid w:val="07794418"/>
    <w:rsid w:val="07A21EB4"/>
    <w:rsid w:val="07F35760"/>
    <w:rsid w:val="0A002C7E"/>
    <w:rsid w:val="0A2F7010"/>
    <w:rsid w:val="0A8C6210"/>
    <w:rsid w:val="0AA4273D"/>
    <w:rsid w:val="0B3729BF"/>
    <w:rsid w:val="0B4577BD"/>
    <w:rsid w:val="0C8607AA"/>
    <w:rsid w:val="0CE22365"/>
    <w:rsid w:val="0F9F4054"/>
    <w:rsid w:val="103C5BBC"/>
    <w:rsid w:val="10B02D63"/>
    <w:rsid w:val="114C084A"/>
    <w:rsid w:val="12B338B2"/>
    <w:rsid w:val="153D3CCE"/>
    <w:rsid w:val="15591767"/>
    <w:rsid w:val="168871E3"/>
    <w:rsid w:val="16FC1FCC"/>
    <w:rsid w:val="17BE7C25"/>
    <w:rsid w:val="17BF778E"/>
    <w:rsid w:val="17CE118E"/>
    <w:rsid w:val="1A7154EF"/>
    <w:rsid w:val="1B390568"/>
    <w:rsid w:val="1B5A3D5D"/>
    <w:rsid w:val="1B776A68"/>
    <w:rsid w:val="1C927150"/>
    <w:rsid w:val="1C9550ED"/>
    <w:rsid w:val="1DA433CF"/>
    <w:rsid w:val="1DE245F0"/>
    <w:rsid w:val="1DFC3255"/>
    <w:rsid w:val="1F2C30F3"/>
    <w:rsid w:val="1F3B158A"/>
    <w:rsid w:val="20C27B76"/>
    <w:rsid w:val="215F5F1E"/>
    <w:rsid w:val="22473E0E"/>
    <w:rsid w:val="224F536F"/>
    <w:rsid w:val="2298179E"/>
    <w:rsid w:val="22CA2E8B"/>
    <w:rsid w:val="24D874A3"/>
    <w:rsid w:val="25012775"/>
    <w:rsid w:val="26D251BE"/>
    <w:rsid w:val="27397700"/>
    <w:rsid w:val="283830DC"/>
    <w:rsid w:val="283A128D"/>
    <w:rsid w:val="28F74247"/>
    <w:rsid w:val="2975636C"/>
    <w:rsid w:val="29893184"/>
    <w:rsid w:val="2A3F0751"/>
    <w:rsid w:val="2A7D3AEC"/>
    <w:rsid w:val="2B3F0371"/>
    <w:rsid w:val="2CB13908"/>
    <w:rsid w:val="2EE62640"/>
    <w:rsid w:val="30083A5D"/>
    <w:rsid w:val="30B7758F"/>
    <w:rsid w:val="31595266"/>
    <w:rsid w:val="337D1C2C"/>
    <w:rsid w:val="33FD1324"/>
    <w:rsid w:val="34A838D6"/>
    <w:rsid w:val="352C49E1"/>
    <w:rsid w:val="359C5BCE"/>
    <w:rsid w:val="35E57391"/>
    <w:rsid w:val="36003D7E"/>
    <w:rsid w:val="36341386"/>
    <w:rsid w:val="372F43C3"/>
    <w:rsid w:val="37844784"/>
    <w:rsid w:val="37880213"/>
    <w:rsid w:val="379320DC"/>
    <w:rsid w:val="38AD434C"/>
    <w:rsid w:val="392F0EB2"/>
    <w:rsid w:val="3939219C"/>
    <w:rsid w:val="39743AD8"/>
    <w:rsid w:val="39815C60"/>
    <w:rsid w:val="3AB31E12"/>
    <w:rsid w:val="3B1808F9"/>
    <w:rsid w:val="3BDA2C82"/>
    <w:rsid w:val="3C182BA8"/>
    <w:rsid w:val="3C67733A"/>
    <w:rsid w:val="3D314871"/>
    <w:rsid w:val="3D37175C"/>
    <w:rsid w:val="3D6633E7"/>
    <w:rsid w:val="3DA62A38"/>
    <w:rsid w:val="3DB14D5C"/>
    <w:rsid w:val="3E7762B4"/>
    <w:rsid w:val="3E9B456D"/>
    <w:rsid w:val="3EB70DA6"/>
    <w:rsid w:val="3F087854"/>
    <w:rsid w:val="3F537159"/>
    <w:rsid w:val="3F8D4B70"/>
    <w:rsid w:val="405E1E05"/>
    <w:rsid w:val="40620545"/>
    <w:rsid w:val="408E7D2C"/>
    <w:rsid w:val="40BB2B60"/>
    <w:rsid w:val="40F2256A"/>
    <w:rsid w:val="411A45A9"/>
    <w:rsid w:val="41B60048"/>
    <w:rsid w:val="41FC6DA7"/>
    <w:rsid w:val="42310D2C"/>
    <w:rsid w:val="426674CC"/>
    <w:rsid w:val="42960BF7"/>
    <w:rsid w:val="437529BD"/>
    <w:rsid w:val="459F41C9"/>
    <w:rsid w:val="479F2B4D"/>
    <w:rsid w:val="487E46E3"/>
    <w:rsid w:val="48E56510"/>
    <w:rsid w:val="499D0E07"/>
    <w:rsid w:val="49FE7A5D"/>
    <w:rsid w:val="4A6A3171"/>
    <w:rsid w:val="4B00417F"/>
    <w:rsid w:val="4DC83C20"/>
    <w:rsid w:val="4E0562C4"/>
    <w:rsid w:val="4E1A4F20"/>
    <w:rsid w:val="4E46382E"/>
    <w:rsid w:val="4EBC5E99"/>
    <w:rsid w:val="4F807E20"/>
    <w:rsid w:val="4FFC07A0"/>
    <w:rsid w:val="501716A5"/>
    <w:rsid w:val="50C57645"/>
    <w:rsid w:val="522D29AA"/>
    <w:rsid w:val="54604B65"/>
    <w:rsid w:val="5472334E"/>
    <w:rsid w:val="549F23FA"/>
    <w:rsid w:val="55316E4A"/>
    <w:rsid w:val="568F761F"/>
    <w:rsid w:val="56C34B91"/>
    <w:rsid w:val="57DA74B2"/>
    <w:rsid w:val="57FC7200"/>
    <w:rsid w:val="5838665C"/>
    <w:rsid w:val="591E2664"/>
    <w:rsid w:val="5AA32359"/>
    <w:rsid w:val="5ADB7953"/>
    <w:rsid w:val="5AE05A7D"/>
    <w:rsid w:val="5D107309"/>
    <w:rsid w:val="5DAC6417"/>
    <w:rsid w:val="5E0076AA"/>
    <w:rsid w:val="5FAD16DE"/>
    <w:rsid w:val="60C34A1A"/>
    <w:rsid w:val="6132054D"/>
    <w:rsid w:val="61F90D62"/>
    <w:rsid w:val="62C27B96"/>
    <w:rsid w:val="63441FC8"/>
    <w:rsid w:val="641549C4"/>
    <w:rsid w:val="643822E8"/>
    <w:rsid w:val="64567BF4"/>
    <w:rsid w:val="65DE0E90"/>
    <w:rsid w:val="665E1984"/>
    <w:rsid w:val="66C32BE9"/>
    <w:rsid w:val="679F6E2F"/>
    <w:rsid w:val="67D37CEA"/>
    <w:rsid w:val="67FA3075"/>
    <w:rsid w:val="6B1212A2"/>
    <w:rsid w:val="6C6E0826"/>
    <w:rsid w:val="6C7553FB"/>
    <w:rsid w:val="6CBF3079"/>
    <w:rsid w:val="6EA80AE2"/>
    <w:rsid w:val="6FB228CC"/>
    <w:rsid w:val="708C17E3"/>
    <w:rsid w:val="70A82764"/>
    <w:rsid w:val="717F138E"/>
    <w:rsid w:val="72233A82"/>
    <w:rsid w:val="735A1167"/>
    <w:rsid w:val="744F349C"/>
    <w:rsid w:val="745F6056"/>
    <w:rsid w:val="75297601"/>
    <w:rsid w:val="754829CA"/>
    <w:rsid w:val="75E555C4"/>
    <w:rsid w:val="76334E79"/>
    <w:rsid w:val="7830114B"/>
    <w:rsid w:val="78686692"/>
    <w:rsid w:val="7880578A"/>
    <w:rsid w:val="78AB1048"/>
    <w:rsid w:val="79B51823"/>
    <w:rsid w:val="79BE763A"/>
    <w:rsid w:val="7A385B78"/>
    <w:rsid w:val="7A407312"/>
    <w:rsid w:val="7BBC46E0"/>
    <w:rsid w:val="7D2B3877"/>
    <w:rsid w:val="7DCB7281"/>
    <w:rsid w:val="7E0033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name="index 7"/>
    <w:lsdException w:unhideWhenUsed="0" w:uiPriority="0" w:semiHidden="0" w:name="index 8"/>
    <w:lsdException w:unhideWhenUsed="0" w:uiPriority="0" w:semiHidden="0" w:name="index 9"/>
    <w:lsdException w:qFormat="1"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29"/>
    <w:qFormat/>
    <w:uiPriority w:val="0"/>
    <w:pPr>
      <w:keepNext/>
      <w:keepLines/>
      <w:widowControl/>
      <w:spacing w:before="240" w:after="240" w:line="360" w:lineRule="auto"/>
      <w:jc w:val="center"/>
      <w:outlineLvl w:val="0"/>
    </w:pPr>
    <w:rPr>
      <w:rFonts w:ascii="Times New Roman" w:hAnsi="Times New Roman" w:eastAsia="宋体" w:cs="Times New Roman"/>
      <w:b/>
      <w:bCs/>
      <w:kern w:val="44"/>
      <w:sz w:val="32"/>
      <w:szCs w:val="44"/>
    </w:rPr>
  </w:style>
  <w:style w:type="paragraph" w:styleId="4">
    <w:name w:val="heading 2"/>
    <w:basedOn w:val="1"/>
    <w:next w:val="1"/>
    <w:link w:val="32"/>
    <w:semiHidden/>
    <w:unhideWhenUsed/>
    <w:qFormat/>
    <w:uiPriority w:val="0"/>
    <w:pPr>
      <w:keepNext/>
      <w:keepLines/>
      <w:spacing w:before="240" w:after="240" w:line="360" w:lineRule="auto"/>
      <w:jc w:val="left"/>
      <w:outlineLvl w:val="1"/>
    </w:pPr>
    <w:rPr>
      <w:rFonts w:ascii="Arial" w:hAnsi="Arial" w:eastAsia="宋体" w:cs="Arial"/>
      <w:b/>
      <w:bCs/>
      <w:sz w:val="30"/>
      <w:szCs w:val="32"/>
    </w:rPr>
  </w:style>
  <w:style w:type="paragraph" w:styleId="5">
    <w:name w:val="heading 3"/>
    <w:basedOn w:val="1"/>
    <w:next w:val="1"/>
    <w:link w:val="31"/>
    <w:semiHidden/>
    <w:unhideWhenUsed/>
    <w:qFormat/>
    <w:uiPriority w:val="0"/>
    <w:pPr>
      <w:keepNext/>
      <w:keepLines/>
      <w:spacing w:before="240" w:after="240" w:line="360" w:lineRule="auto"/>
      <w:jc w:val="left"/>
      <w:outlineLvl w:val="2"/>
    </w:pPr>
    <w:rPr>
      <w:rFonts w:ascii="Calibri" w:hAnsi="Calibri" w:eastAsia="宋体" w:cs="Arial"/>
      <w:b/>
      <w:bCs/>
      <w:sz w:val="28"/>
      <w:szCs w:val="32"/>
    </w:rPr>
  </w:style>
  <w:style w:type="paragraph" w:styleId="6">
    <w:name w:val="heading 4"/>
    <w:basedOn w:val="1"/>
    <w:next w:val="1"/>
    <w:semiHidden/>
    <w:unhideWhenUsed/>
    <w:qFormat/>
    <w:uiPriority w:val="0"/>
    <w:pPr>
      <w:keepNext/>
      <w:keepLines/>
      <w:spacing w:before="240" w:beforeLines="0" w:beforeAutospacing="0" w:after="240" w:afterLines="0" w:afterAutospacing="0" w:line="360" w:lineRule="auto"/>
      <w:jc w:val="center"/>
      <w:outlineLvl w:val="3"/>
    </w:pPr>
    <w:rPr>
      <w:rFonts w:ascii="Arial" w:hAnsi="Arial" w:eastAsia="宋体" w:cs="Arial"/>
      <w:b/>
      <w:sz w:val="24"/>
      <w:szCs w:val="24"/>
    </w:rPr>
  </w:style>
  <w:style w:type="character" w:default="1" w:styleId="26">
    <w:name w:val="Default Paragraph Font"/>
    <w:unhideWhenUsed/>
    <w:qFormat/>
    <w:uiPriority w:val="1"/>
  </w:style>
  <w:style w:type="table" w:default="1" w:styleId="24">
    <w:name w:val="Normal Table"/>
    <w:semiHidden/>
    <w:qFormat/>
    <w:uiPriority w:val="0"/>
    <w:tblPr>
      <w:tblCellMar>
        <w:top w:w="0" w:type="dxa"/>
        <w:left w:w="108" w:type="dxa"/>
        <w:bottom w:w="0" w:type="dxa"/>
        <w:right w:w="108" w:type="dxa"/>
      </w:tblCellMar>
    </w:tblPr>
  </w:style>
  <w:style w:type="paragraph" w:styleId="2">
    <w:name w:val="HTML Address"/>
    <w:basedOn w:val="1"/>
    <w:qFormat/>
    <w:uiPriority w:val="0"/>
    <w:rPr>
      <w:i/>
      <w:iCs/>
    </w:rPr>
  </w:style>
  <w:style w:type="paragraph" w:styleId="7">
    <w:name w:val="Normal Indent"/>
    <w:basedOn w:val="1"/>
    <w:qFormat/>
    <w:uiPriority w:val="0"/>
    <w:pPr>
      <w:ind w:firstLine="420" w:firstLineChars="200"/>
    </w:pPr>
  </w:style>
  <w:style w:type="paragraph" w:styleId="8">
    <w:name w:val="toa heading"/>
    <w:basedOn w:val="1"/>
    <w:next w:val="1"/>
    <w:unhideWhenUsed/>
    <w:qFormat/>
    <w:uiPriority w:val="99"/>
    <w:pPr>
      <w:spacing w:before="120"/>
    </w:pPr>
    <w:rPr>
      <w:rFonts w:ascii="Cambria" w:hAnsi="Cambria" w:cs="Times New Roman"/>
      <w:sz w:val="24"/>
      <w:szCs w:val="24"/>
    </w:rPr>
  </w:style>
  <w:style w:type="paragraph" w:styleId="9">
    <w:name w:val="annotation text"/>
    <w:basedOn w:val="1"/>
    <w:semiHidden/>
    <w:unhideWhenUsed/>
    <w:qFormat/>
    <w:uiPriority w:val="99"/>
    <w:pPr>
      <w:jc w:val="left"/>
    </w:pPr>
  </w:style>
  <w:style w:type="paragraph" w:styleId="10">
    <w:name w:val="Body Text"/>
    <w:basedOn w:val="1"/>
    <w:semiHidden/>
    <w:qFormat/>
    <w:uiPriority w:val="0"/>
    <w:pPr>
      <w:autoSpaceDE w:val="0"/>
      <w:autoSpaceDN w:val="0"/>
      <w:adjustRightInd w:val="0"/>
      <w:spacing w:before="40" w:after="40" w:line="320" w:lineRule="atLeast"/>
      <w:ind w:firstLine="357"/>
      <w:textAlignment w:val="baseline"/>
    </w:pPr>
    <w:rPr>
      <w:sz w:val="18"/>
    </w:rPr>
  </w:style>
  <w:style w:type="paragraph" w:styleId="11">
    <w:name w:val="Body Text Indent"/>
    <w:basedOn w:val="1"/>
    <w:qFormat/>
    <w:uiPriority w:val="0"/>
    <w:pPr>
      <w:spacing w:after="120"/>
      <w:ind w:left="420" w:leftChars="200"/>
    </w:pPr>
  </w:style>
  <w:style w:type="paragraph" w:styleId="12">
    <w:name w:val="Plain Text"/>
    <w:basedOn w:val="1"/>
    <w:qFormat/>
    <w:uiPriority w:val="0"/>
    <w:rPr>
      <w:rFonts w:ascii="宋体" w:hAnsi="Courier New"/>
    </w:rPr>
  </w:style>
  <w:style w:type="paragraph" w:styleId="13">
    <w:name w:val="Date"/>
    <w:basedOn w:val="1"/>
    <w:next w:val="1"/>
    <w:qFormat/>
    <w:uiPriority w:val="0"/>
    <w:pPr>
      <w:ind w:left="100"/>
    </w:pPr>
    <w:rPr>
      <w:sz w:val="28"/>
    </w:rPr>
  </w:style>
  <w:style w:type="paragraph" w:styleId="14">
    <w:name w:val="Body Text Indent 2"/>
    <w:basedOn w:val="1"/>
    <w:qFormat/>
    <w:uiPriority w:val="0"/>
    <w:pPr>
      <w:spacing w:line="360" w:lineRule="auto"/>
      <w:ind w:left="839" w:hanging="839" w:hangingChars="355"/>
    </w:pPr>
    <w:rPr>
      <w:b/>
      <w:kern w:val="0"/>
      <w:sz w:val="24"/>
    </w:r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unhideWhenUsed/>
    <w:qFormat/>
    <w:uiPriority w:val="0"/>
    <w:pPr>
      <w:autoSpaceDE w:val="0"/>
      <w:autoSpaceDN w:val="0"/>
      <w:adjustRightInd w:val="0"/>
      <w:spacing w:line="312" w:lineRule="atLeast"/>
      <w:textAlignment w:val="baseline"/>
    </w:pPr>
    <w:rPr>
      <w:kern w:val="0"/>
    </w:rPr>
  </w:style>
  <w:style w:type="paragraph" w:styleId="18">
    <w:name w:val="List"/>
    <w:basedOn w:val="1"/>
    <w:qFormat/>
    <w:uiPriority w:val="0"/>
    <w:pPr>
      <w:ind w:left="200" w:hanging="200" w:hangingChars="200"/>
    </w:pPr>
  </w:style>
  <w:style w:type="paragraph" w:styleId="19">
    <w:name w:val="footnote text"/>
    <w:basedOn w:val="1"/>
    <w:qFormat/>
    <w:uiPriority w:val="0"/>
    <w:pPr>
      <w:snapToGrid w:val="0"/>
      <w:jc w:val="left"/>
    </w:pPr>
    <w:rPr>
      <w:sz w:val="18"/>
    </w:rPr>
  </w:style>
  <w:style w:type="paragraph" w:styleId="20">
    <w:name w:val="index 7"/>
    <w:basedOn w:val="1"/>
    <w:next w:val="1"/>
    <w:link w:val="42"/>
    <w:semiHidden/>
    <w:qFormat/>
    <w:uiPriority w:val="0"/>
    <w:pPr>
      <w:ind w:left="2520"/>
    </w:pPr>
  </w:style>
  <w:style w:type="paragraph" w:styleId="21">
    <w:name w:val="Normal (Web)"/>
    <w:basedOn w:val="1"/>
    <w:qFormat/>
    <w:uiPriority w:val="0"/>
    <w:pPr>
      <w:widowControl/>
      <w:spacing w:before="100" w:beforeLines="0" w:beforeAutospacing="1" w:after="100" w:afterLines="0" w:afterAutospacing="1"/>
      <w:jc w:val="left"/>
    </w:pPr>
    <w:rPr>
      <w:rFonts w:ascii="宋体" w:hAnsi="宋体"/>
      <w:color w:val="000000"/>
      <w:kern w:val="0"/>
      <w:sz w:val="18"/>
      <w:szCs w:val="18"/>
    </w:rPr>
  </w:style>
  <w:style w:type="paragraph" w:styleId="22">
    <w:name w:val="Body Text First Indent"/>
    <w:basedOn w:val="10"/>
    <w:next w:val="1"/>
    <w:qFormat/>
    <w:uiPriority w:val="0"/>
    <w:pPr>
      <w:tabs>
        <w:tab w:val="left" w:pos="630"/>
      </w:tabs>
      <w:spacing w:after="120" w:afterLines="0"/>
      <w:ind w:firstLine="100" w:firstLineChars="100"/>
      <w:jc w:val="both"/>
      <w:textAlignment w:val="auto"/>
    </w:pPr>
    <w:rPr>
      <w:rFonts w:ascii="Times New Roman"/>
      <w:sz w:val="21"/>
      <w:szCs w:val="24"/>
    </w:rPr>
  </w:style>
  <w:style w:type="paragraph" w:styleId="23">
    <w:name w:val="Body Text First Indent 2"/>
    <w:basedOn w:val="11"/>
    <w:semiHidden/>
    <w:qFormat/>
    <w:uiPriority w:val="0"/>
    <w:pPr>
      <w:ind w:firstLine="420" w:firstLineChars="200"/>
    </w:pPr>
  </w:style>
  <w:style w:type="table" w:styleId="25">
    <w:name w:val="Table Grid"/>
    <w:basedOn w:val="24"/>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uiPriority w:val="0"/>
    <w:rPr>
      <w:b/>
    </w:rPr>
  </w:style>
  <w:style w:type="character" w:styleId="28">
    <w:name w:val="page number"/>
    <w:basedOn w:val="26"/>
    <w:qFormat/>
    <w:uiPriority w:val="0"/>
  </w:style>
  <w:style w:type="character" w:customStyle="1" w:styleId="29">
    <w:name w:val="标题 1 Char"/>
    <w:link w:val="3"/>
    <w:qFormat/>
    <w:uiPriority w:val="0"/>
    <w:rPr>
      <w:rFonts w:ascii="Times New Roman" w:hAnsi="Times New Roman" w:eastAsia="宋体" w:cs="Times New Roman"/>
      <w:b/>
      <w:bCs/>
      <w:kern w:val="44"/>
      <w:sz w:val="32"/>
      <w:szCs w:val="44"/>
    </w:rPr>
  </w:style>
  <w:style w:type="paragraph" w:customStyle="1" w:styleId="3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31">
    <w:name w:val="标题 3 Char"/>
    <w:basedOn w:val="26"/>
    <w:link w:val="5"/>
    <w:qFormat/>
    <w:uiPriority w:val="0"/>
    <w:rPr>
      <w:rFonts w:ascii="Calibri" w:hAnsi="Calibri" w:eastAsia="宋体" w:cs="Arial"/>
      <w:b/>
      <w:bCs/>
      <w:sz w:val="28"/>
      <w:szCs w:val="32"/>
    </w:rPr>
  </w:style>
  <w:style w:type="character" w:customStyle="1" w:styleId="32">
    <w:name w:val="标题 2 Char"/>
    <w:basedOn w:val="26"/>
    <w:link w:val="4"/>
    <w:qFormat/>
    <w:uiPriority w:val="99"/>
    <w:rPr>
      <w:rFonts w:ascii="Arial" w:hAnsi="Arial" w:eastAsia="宋体" w:cs="Arial"/>
      <w:b/>
      <w:bCs/>
      <w:sz w:val="30"/>
      <w:szCs w:val="32"/>
    </w:rPr>
  </w:style>
  <w:style w:type="paragraph" w:customStyle="1" w:styleId="33">
    <w:name w:val="表格文字"/>
    <w:basedOn w:val="1"/>
    <w:next w:val="10"/>
    <w:qFormat/>
    <w:uiPriority w:val="0"/>
    <w:pPr>
      <w:jc w:val="left"/>
    </w:pPr>
    <w:rPr>
      <w:bCs/>
      <w:spacing w:val="10"/>
      <w:sz w:val="24"/>
    </w:rPr>
  </w:style>
  <w:style w:type="paragraph" w:customStyle="1" w:styleId="34">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5">
    <w:name w:val="p0"/>
    <w:basedOn w:val="1"/>
    <w:qFormat/>
    <w:uiPriority w:val="0"/>
    <w:pPr>
      <w:widowControl/>
    </w:pPr>
    <w:rPr>
      <w:rFonts w:ascii="Courier New" w:hAnsi="Courier New" w:cs="Courier New"/>
      <w:kern w:val="0"/>
      <w:szCs w:val="21"/>
      <w:lang w:bidi="ar-SA"/>
    </w:rPr>
  </w:style>
  <w:style w:type="paragraph" w:customStyle="1" w:styleId="36">
    <w:name w:val="Body Text First Indent 21"/>
    <w:basedOn w:val="37"/>
    <w:qFormat/>
    <w:uiPriority w:val="0"/>
    <w:pPr>
      <w:ind w:left="420" w:firstLine="420" w:firstLineChars="200"/>
    </w:pPr>
    <w:rPr>
      <w:rFonts w:eastAsia="宋?"/>
    </w:rPr>
  </w:style>
  <w:style w:type="paragraph" w:customStyle="1" w:styleId="37">
    <w:name w:val="Body Text Indent1"/>
    <w:basedOn w:val="1"/>
    <w:next w:val="38"/>
    <w:qFormat/>
    <w:uiPriority w:val="0"/>
    <w:pPr>
      <w:ind w:left="200" w:leftChars="200"/>
    </w:pPr>
  </w:style>
  <w:style w:type="paragraph" w:customStyle="1" w:styleId="38">
    <w:name w:val="envelope return1"/>
    <w:basedOn w:val="1"/>
    <w:qFormat/>
    <w:uiPriority w:val="0"/>
    <w:rPr>
      <w:rFonts w:ascii="Arial" w:hAnsi="Arial"/>
    </w:rPr>
  </w:style>
  <w:style w:type="paragraph" w:customStyle="1" w:styleId="39">
    <w:name w:val="正文_2"/>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customStyle="1" w:styleId="40">
    <w:name w:val="*正文"/>
    <w:basedOn w:val="1"/>
    <w:qFormat/>
    <w:uiPriority w:val="0"/>
    <w:pPr>
      <w:keepNext w:val="0"/>
      <w:keepLines w:val="0"/>
      <w:widowControl w:val="0"/>
      <w:suppressLineNumbers w:val="0"/>
      <w:spacing w:before="0" w:beforeAutospacing="0" w:after="0" w:afterAutospacing="0"/>
      <w:ind w:left="0" w:right="0" w:firstLine="200" w:firstLineChars="200"/>
      <w:jc w:val="both"/>
    </w:pPr>
    <w:rPr>
      <w:rFonts w:hint="eastAsia" w:ascii="宋体" w:hAnsi="宋体" w:eastAsia="宋体" w:cs="仿宋_GB2312"/>
      <w:color w:val="auto"/>
      <w:kern w:val="2"/>
      <w:sz w:val="21"/>
      <w:szCs w:val="22"/>
      <w:lang w:val="en-US" w:eastAsia="zh-CN" w:bidi="ar"/>
    </w:rPr>
  </w:style>
  <w:style w:type="table" w:customStyle="1" w:styleId="41">
    <w:name w:val="Table Normal"/>
    <w:semiHidden/>
    <w:unhideWhenUsed/>
    <w:qFormat/>
    <w:uiPriority w:val="0"/>
    <w:tblPr>
      <w:tblCellMar>
        <w:top w:w="0" w:type="dxa"/>
        <w:left w:w="0" w:type="dxa"/>
        <w:bottom w:w="0" w:type="dxa"/>
        <w:right w:w="0" w:type="dxa"/>
      </w:tblCellMar>
    </w:tblPr>
  </w:style>
  <w:style w:type="character" w:customStyle="1" w:styleId="42">
    <w:name w:val="索引 7 Char"/>
    <w:link w:val="20"/>
    <w:qFormat/>
    <w:uiPriority w:val="0"/>
  </w:style>
  <w:style w:type="paragraph" w:customStyle="1" w:styleId="43">
    <w:name w:val="Default Text"/>
    <w:basedOn w:val="1"/>
    <w:qFormat/>
    <w:uiPriority w:val="0"/>
    <w:pPr>
      <w:autoSpaceDE w:val="0"/>
      <w:autoSpaceDN w:val="0"/>
      <w:adjustRightInd w:val="0"/>
      <w:jc w:val="left"/>
    </w:pPr>
    <w:rPr>
      <w:rFonts w:ascii="Times New Roman" w:hAnsi="Times New Roman" w:eastAsia="宋体" w:cs="Times New Roman"/>
      <w:color w:val="000000"/>
      <w:kern w:val="0"/>
      <w:sz w:val="24"/>
    </w:rPr>
  </w:style>
  <w:style w:type="paragraph" w:customStyle="1" w:styleId="44">
    <w:name w:val="列表段落1"/>
    <w:basedOn w:val="1"/>
    <w:qFormat/>
    <w:uiPriority w:val="34"/>
    <w:pPr>
      <w:ind w:firstLine="420" w:firstLineChars="200"/>
    </w:pPr>
  </w:style>
  <w:style w:type="character" w:customStyle="1" w:styleId="45">
    <w:name w:val="font61"/>
    <w:basedOn w:val="26"/>
    <w:qFormat/>
    <w:uiPriority w:val="0"/>
    <w:rPr>
      <w:rFonts w:hint="eastAsia" w:ascii="宋体" w:hAnsi="宋体" w:eastAsia="宋体" w:cs="宋体"/>
      <w:color w:val="000000"/>
      <w:sz w:val="20"/>
      <w:szCs w:val="20"/>
      <w:u w:val="none"/>
    </w:rPr>
  </w:style>
  <w:style w:type="character" w:customStyle="1" w:styleId="46">
    <w:name w:val="font11"/>
    <w:basedOn w:val="26"/>
    <w:qFormat/>
    <w:uiPriority w:val="0"/>
    <w:rPr>
      <w:rFonts w:hint="eastAsia" w:ascii="宋体" w:hAnsi="宋体" w:eastAsia="宋体" w:cs="宋体"/>
      <w:color w:val="FF0000"/>
      <w:sz w:val="20"/>
      <w:szCs w:val="20"/>
      <w:u w:val="none"/>
    </w:rPr>
  </w:style>
  <w:style w:type="paragraph" w:customStyle="1" w:styleId="47">
    <w:name w:val="采购正文"/>
    <w:qFormat/>
    <w:uiPriority w:val="0"/>
    <w:pPr>
      <w:snapToGrid w:val="0"/>
      <w:spacing w:line="560" w:lineRule="exact"/>
      <w:ind w:firstLine="480" w:firstLineChars="200"/>
    </w:pPr>
    <w:rPr>
      <w:rFonts w:ascii="仿宋" w:hAnsi="仿宋" w:eastAsia="仿宋" w:cs="Times New Roman"/>
      <w:kern w:val="2"/>
      <w:sz w:val="24"/>
      <w:szCs w:val="24"/>
      <w:lang w:val="en-US" w:eastAsia="zh-CN" w:bidi="ar-SA"/>
    </w:rPr>
  </w:style>
  <w:style w:type="paragraph" w:customStyle="1" w:styleId="48">
    <w:name w:val="List Paragraph"/>
    <w:basedOn w:val="1"/>
    <w:qFormat/>
    <w:uiPriority w:val="34"/>
    <w:pPr>
      <w:ind w:firstLine="420" w:firstLineChars="200"/>
    </w:pPr>
  </w:style>
  <w:style w:type="paragraph" w:customStyle="1" w:styleId="49">
    <w:name w:val="无间隔1"/>
    <w:basedOn w:val="1"/>
    <w:qFormat/>
    <w:uiPriority w:val="1"/>
    <w:rPr>
      <w:rFonts w:ascii="Calibri" w:hAnsi="Calibri"/>
      <w:szCs w:val="22"/>
    </w:rPr>
  </w:style>
  <w:style w:type="paragraph" w:customStyle="1" w:styleId="50">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51">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szCs w:val="20"/>
    </w:rPr>
  </w:style>
  <w:style w:type="paragraph" w:customStyle="1" w:styleId="52">
    <w:name w:val="WPS Plain"/>
    <w:qFormat/>
    <w:uiPriority w:val="0"/>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42598</Words>
  <Characters>43893</Characters>
  <Lines>0</Lines>
  <Paragraphs>0</Paragraphs>
  <TotalTime>57</TotalTime>
  <ScaleCrop>false</ScaleCrop>
  <LinksUpToDate>false</LinksUpToDate>
  <CharactersWithSpaces>45529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2023-07-13T06:14:00Z</dcterms:created>
  <dc:creator>奔赴.</dc:creator>
  <cp:lastModifiedBy>奔赴.</cp:lastModifiedBy>
  <cp:lastPrinted>2023-11-20T09:25:00Z</cp:lastPrinted>
  <dcterms:modified xsi:type="dcterms:W3CDTF">2025-04-02T10:26:30Z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5ACDD9252EB444AFA36BD743E2DD9BCF_13</vt:lpwstr>
  </property>
  <property fmtid="{D5CDD505-2E9C-101B-9397-08002B2CF9AE}" pid="4" name="KSOTemplateDocerSaveRecord">
    <vt:lpwstr>eyJoZGlkIjoiNzc2YzgyMzBmNmM2Yjg3ZmQzNDZlNTdjNTg2MGYzMDkiLCJ1c2VySWQiOiIyNjgxNzY5ODcifQ==</vt:lpwstr>
  </property>
</Properties>
</file>