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57D9C3">
      <w:pPr>
        <w:spacing w:line="360" w:lineRule="auto"/>
        <w:jc w:val="both"/>
        <w:rPr>
          <w:rFonts w:ascii="宋体" w:hAnsi="宋体" w:cs="宋体"/>
          <w:b/>
          <w:sz w:val="52"/>
          <w:szCs w:val="52"/>
        </w:rPr>
      </w:pPr>
    </w:p>
    <w:p w14:paraId="226DD09F">
      <w:pPr>
        <w:pStyle w:val="9"/>
        <w:rPr>
          <w:rFonts w:ascii="宋体" w:hAnsi="宋体" w:cs="宋体"/>
        </w:rPr>
      </w:pPr>
    </w:p>
    <w:p w14:paraId="71A48794">
      <w:pPr>
        <w:spacing w:line="720" w:lineRule="auto"/>
        <w:jc w:val="center"/>
        <w:outlineLvl w:val="0"/>
        <w:rPr>
          <w:rFonts w:hint="eastAsia" w:ascii="宋体" w:hAnsi="宋体" w:eastAsia="宋体" w:cs="宋体"/>
          <w:b/>
          <w:bCs/>
          <w:sz w:val="44"/>
          <w:szCs w:val="44"/>
          <w:lang w:eastAsia="zh-CN"/>
        </w:rPr>
      </w:pPr>
      <w:r>
        <w:rPr>
          <w:rFonts w:hint="eastAsia" w:ascii="宋体" w:hAnsi="宋体" w:cs="宋体"/>
          <w:b/>
          <w:sz w:val="44"/>
          <w:szCs w:val="44"/>
          <w:lang w:eastAsia="zh-CN"/>
        </w:rPr>
        <w:t>林草业务专项-城市绿色生态质量提升工程（克拉玛依市人与自然和谐共生生态保护项目）设备采购</w:t>
      </w:r>
    </w:p>
    <w:p w14:paraId="1F63FC69">
      <w:pPr>
        <w:spacing w:line="360" w:lineRule="auto"/>
        <w:rPr>
          <w:rFonts w:ascii="宋体" w:hAnsi="宋体" w:cs="宋体"/>
          <w:b/>
          <w:sz w:val="72"/>
          <w:szCs w:val="72"/>
        </w:rPr>
      </w:pPr>
    </w:p>
    <w:p w14:paraId="2198390C">
      <w:pPr>
        <w:spacing w:line="360" w:lineRule="auto"/>
        <w:jc w:val="center"/>
        <w:rPr>
          <w:rFonts w:ascii="宋体" w:hAnsi="宋体" w:cs="宋体"/>
          <w:b/>
          <w:sz w:val="48"/>
          <w:szCs w:val="48"/>
        </w:rPr>
      </w:pPr>
      <w:r>
        <w:rPr>
          <w:rFonts w:hint="eastAsia" w:ascii="宋体" w:hAnsi="宋体" w:cs="宋体"/>
          <w:b/>
          <w:sz w:val="48"/>
          <w:szCs w:val="48"/>
        </w:rPr>
        <w:t>招 标 文 件</w:t>
      </w:r>
    </w:p>
    <w:p w14:paraId="47EBFDD8">
      <w:pPr>
        <w:overflowPunct w:val="0"/>
        <w:spacing w:line="500" w:lineRule="exact"/>
        <w:jc w:val="center"/>
        <w:rPr>
          <w:rFonts w:ascii="宋体" w:hAnsi="宋体" w:cs="宋体"/>
          <w:b/>
          <w:kern w:val="0"/>
          <w:sz w:val="24"/>
        </w:rPr>
      </w:pPr>
    </w:p>
    <w:p w14:paraId="2A84E875">
      <w:pPr>
        <w:pStyle w:val="9"/>
        <w:rPr>
          <w:rFonts w:ascii="宋体" w:hAnsi="宋体" w:cs="宋体"/>
        </w:rPr>
      </w:pPr>
    </w:p>
    <w:p w14:paraId="504BE5FA">
      <w:pPr>
        <w:spacing w:line="360" w:lineRule="auto"/>
        <w:jc w:val="center"/>
        <w:outlineLvl w:val="0"/>
        <w:rPr>
          <w:rFonts w:ascii="宋体" w:hAnsi="宋体" w:cs="宋体"/>
          <w:b/>
          <w:sz w:val="28"/>
          <w:szCs w:val="28"/>
        </w:rPr>
      </w:pPr>
      <w:bookmarkStart w:id="0" w:name="_Toc30432"/>
      <w:r>
        <w:rPr>
          <w:rFonts w:hint="eastAsia" w:ascii="宋体" w:hAnsi="宋体" w:cs="宋体"/>
          <w:b/>
          <w:sz w:val="28"/>
          <w:szCs w:val="28"/>
        </w:rPr>
        <w:t>（招标文件编号：</w:t>
      </w:r>
      <w:r>
        <w:rPr>
          <w:rFonts w:hint="eastAsia" w:ascii="仿宋" w:hAnsi="仿宋" w:eastAsia="仿宋" w:cs="仿宋"/>
          <w:b/>
          <w:sz w:val="30"/>
          <w:szCs w:val="30"/>
          <w:highlight w:val="none"/>
          <w:lang w:eastAsia="zh-CN"/>
        </w:rPr>
        <w:t>XZZB-FW-202500</w:t>
      </w:r>
      <w:r>
        <w:rPr>
          <w:rFonts w:hint="eastAsia" w:ascii="仿宋" w:hAnsi="仿宋" w:eastAsia="仿宋" w:cs="仿宋"/>
          <w:b/>
          <w:sz w:val="30"/>
          <w:szCs w:val="30"/>
          <w:highlight w:val="none"/>
          <w:lang w:val="en-US" w:eastAsia="zh-CN"/>
        </w:rPr>
        <w:t>2</w:t>
      </w:r>
      <w:r>
        <w:rPr>
          <w:rFonts w:hint="eastAsia" w:ascii="宋体" w:hAnsi="宋体" w:cs="宋体"/>
          <w:b/>
          <w:sz w:val="28"/>
          <w:szCs w:val="28"/>
        </w:rPr>
        <w:t>）</w:t>
      </w:r>
      <w:bookmarkEnd w:id="0"/>
    </w:p>
    <w:p w14:paraId="6DB09DC2">
      <w:pPr>
        <w:overflowPunct w:val="0"/>
        <w:spacing w:line="500" w:lineRule="exact"/>
        <w:jc w:val="center"/>
        <w:rPr>
          <w:rFonts w:ascii="宋体" w:hAnsi="宋体" w:cs="宋体"/>
          <w:b/>
          <w:bCs/>
          <w:sz w:val="32"/>
          <w:szCs w:val="32"/>
        </w:rPr>
      </w:pPr>
    </w:p>
    <w:p w14:paraId="0403EDFB">
      <w:pPr>
        <w:overflowPunct w:val="0"/>
        <w:spacing w:line="500" w:lineRule="exact"/>
        <w:rPr>
          <w:rFonts w:ascii="宋体" w:hAnsi="宋体" w:cs="宋体"/>
          <w:sz w:val="32"/>
          <w:szCs w:val="32"/>
        </w:rPr>
      </w:pPr>
    </w:p>
    <w:p w14:paraId="54A82ED2">
      <w:pPr>
        <w:pStyle w:val="9"/>
        <w:rPr>
          <w:rFonts w:ascii="宋体" w:hAnsi="宋体" w:cs="宋体"/>
        </w:rPr>
      </w:pPr>
    </w:p>
    <w:p w14:paraId="762C14CF">
      <w:pPr>
        <w:overflowPunct w:val="0"/>
        <w:spacing w:line="500" w:lineRule="exact"/>
        <w:rPr>
          <w:rFonts w:ascii="宋体" w:hAnsi="宋体" w:cs="宋体"/>
          <w:sz w:val="32"/>
          <w:szCs w:val="32"/>
        </w:rPr>
      </w:pPr>
    </w:p>
    <w:p w14:paraId="13BDCEE8">
      <w:pPr>
        <w:overflowPunct w:val="0"/>
        <w:spacing w:line="500" w:lineRule="exact"/>
        <w:rPr>
          <w:rFonts w:ascii="宋体" w:hAnsi="宋体" w:cs="宋体"/>
          <w:sz w:val="32"/>
          <w:szCs w:val="32"/>
        </w:rPr>
      </w:pPr>
    </w:p>
    <w:p w14:paraId="43109F5B">
      <w:pPr>
        <w:overflowPunct w:val="0"/>
        <w:spacing w:line="500" w:lineRule="exact"/>
        <w:ind w:firstLine="301" w:firstLineChars="100"/>
        <w:outlineLvl w:val="0"/>
        <w:rPr>
          <w:rFonts w:hint="eastAsia" w:ascii="宋体" w:hAnsi="宋体" w:eastAsia="宋体" w:cs="宋体"/>
          <w:b/>
          <w:sz w:val="30"/>
          <w:szCs w:val="30"/>
          <w:lang w:eastAsia="zh-CN"/>
        </w:rPr>
      </w:pPr>
      <w:bookmarkStart w:id="1" w:name="_Toc9174"/>
      <w:r>
        <w:rPr>
          <w:rFonts w:hint="eastAsia" w:ascii="宋体" w:hAnsi="宋体" w:cs="宋体"/>
          <w:b/>
          <w:sz w:val="30"/>
          <w:szCs w:val="30"/>
        </w:rPr>
        <w:t>采购人：</w:t>
      </w:r>
      <w:r>
        <w:rPr>
          <w:rFonts w:hint="eastAsia" w:ascii="宋体" w:hAnsi="宋体" w:cs="宋体"/>
          <w:b/>
          <w:sz w:val="30"/>
          <w:szCs w:val="30"/>
          <w:lang w:eastAsia="zh-CN"/>
        </w:rPr>
        <w:t>克拉玛依市林业和草原局</w:t>
      </w:r>
      <w:bookmarkEnd w:id="1"/>
    </w:p>
    <w:p w14:paraId="535DA342">
      <w:pPr>
        <w:overflowPunct w:val="0"/>
        <w:spacing w:line="500" w:lineRule="exact"/>
        <w:ind w:firstLine="301" w:firstLineChars="100"/>
        <w:rPr>
          <w:rFonts w:ascii="宋体" w:hAnsi="宋体" w:cs="宋体"/>
          <w:b/>
          <w:sz w:val="30"/>
          <w:szCs w:val="30"/>
        </w:rPr>
      </w:pPr>
    </w:p>
    <w:p w14:paraId="78DC7DCB">
      <w:pPr>
        <w:overflowPunct w:val="0"/>
        <w:spacing w:line="500" w:lineRule="exact"/>
        <w:rPr>
          <w:rFonts w:ascii="宋体" w:hAnsi="宋体" w:cs="宋体"/>
          <w:b/>
          <w:sz w:val="30"/>
          <w:szCs w:val="30"/>
        </w:rPr>
      </w:pPr>
    </w:p>
    <w:p w14:paraId="6352A6A1">
      <w:pPr>
        <w:overflowPunct w:val="0"/>
        <w:spacing w:line="500" w:lineRule="exact"/>
        <w:ind w:firstLine="301" w:firstLineChars="100"/>
        <w:outlineLvl w:val="0"/>
        <w:rPr>
          <w:rFonts w:hint="eastAsia" w:ascii="宋体" w:hAnsi="宋体" w:eastAsia="宋体" w:cs="宋体"/>
          <w:b/>
          <w:sz w:val="30"/>
          <w:szCs w:val="30"/>
          <w:lang w:eastAsia="zh-CN"/>
        </w:rPr>
      </w:pPr>
      <w:bookmarkStart w:id="2" w:name="_Toc371"/>
      <w:r>
        <w:rPr>
          <w:rFonts w:hint="eastAsia" w:ascii="宋体" w:hAnsi="宋体" w:cs="宋体"/>
          <w:b/>
          <w:sz w:val="30"/>
          <w:szCs w:val="30"/>
        </w:rPr>
        <w:t>采购代理机构：</w:t>
      </w:r>
      <w:r>
        <w:rPr>
          <w:rFonts w:hint="eastAsia" w:ascii="宋体" w:hAnsi="宋体" w:cs="宋体"/>
          <w:b/>
          <w:sz w:val="30"/>
          <w:szCs w:val="30"/>
          <w:lang w:eastAsia="zh-CN"/>
        </w:rPr>
        <w:t>新疆新咨工程咨询有限公司</w:t>
      </w:r>
      <w:bookmarkEnd w:id="2"/>
      <w:r>
        <w:rPr>
          <w:rFonts w:hint="eastAsia" w:ascii="宋体" w:hAnsi="宋体" w:cs="宋体"/>
          <w:b/>
          <w:sz w:val="30"/>
          <w:szCs w:val="30"/>
          <w:lang w:eastAsia="zh-CN"/>
        </w:rPr>
        <w:t xml:space="preserve"> </w:t>
      </w:r>
    </w:p>
    <w:p w14:paraId="43FF4A42">
      <w:pPr>
        <w:overflowPunct w:val="0"/>
        <w:spacing w:line="500" w:lineRule="exact"/>
        <w:rPr>
          <w:rFonts w:ascii="宋体" w:hAnsi="宋体" w:cs="宋体"/>
          <w:sz w:val="36"/>
          <w:szCs w:val="36"/>
        </w:rPr>
      </w:pPr>
    </w:p>
    <w:p w14:paraId="73AB4373">
      <w:pPr>
        <w:overflowPunct w:val="0"/>
        <w:spacing w:line="500" w:lineRule="exact"/>
        <w:rPr>
          <w:rFonts w:ascii="宋体" w:hAnsi="宋体" w:cs="宋体"/>
          <w:sz w:val="36"/>
          <w:szCs w:val="36"/>
        </w:rPr>
      </w:pPr>
    </w:p>
    <w:p w14:paraId="54DFFB67">
      <w:pPr>
        <w:overflowPunct w:val="0"/>
        <w:spacing w:line="500" w:lineRule="exact"/>
        <w:jc w:val="center"/>
        <w:rPr>
          <w:rFonts w:ascii="宋体" w:hAnsi="宋体" w:cs="宋体"/>
          <w:b/>
          <w:sz w:val="32"/>
          <w:szCs w:val="32"/>
        </w:rPr>
      </w:pPr>
    </w:p>
    <w:p w14:paraId="25CBC0D2">
      <w:pPr>
        <w:overflowPunct w:val="0"/>
        <w:spacing w:line="500" w:lineRule="exact"/>
        <w:jc w:val="center"/>
        <w:rPr>
          <w:rFonts w:ascii="宋体" w:hAnsi="宋体" w:cs="宋体"/>
          <w:spacing w:val="40"/>
          <w:sz w:val="32"/>
          <w:szCs w:val="32"/>
        </w:rPr>
        <w:sectPr>
          <w:headerReference r:id="rId4" w:type="first"/>
          <w:footerReference r:id="rId7" w:type="first"/>
          <w:headerReference r:id="rId3" w:type="default"/>
          <w:footerReference r:id="rId5" w:type="default"/>
          <w:footerReference r:id="rId6" w:type="even"/>
          <w:pgSz w:w="11906" w:h="16838"/>
          <w:pgMar w:top="1440" w:right="1080" w:bottom="1440" w:left="1080" w:header="1134" w:footer="1134" w:gutter="0"/>
          <w:pgNumType w:fmt="numberInDash" w:start="1"/>
          <w:cols w:space="720" w:num="1"/>
          <w:docGrid w:type="lines" w:linePitch="312" w:charSpace="0"/>
        </w:sectPr>
      </w:pPr>
      <w:r>
        <w:rPr>
          <w:rFonts w:hint="eastAsia" w:ascii="宋体" w:hAnsi="宋体" w:cs="宋体"/>
          <w:b/>
          <w:sz w:val="32"/>
          <w:szCs w:val="32"/>
          <w:lang w:val="en-US" w:eastAsia="zh-CN"/>
        </w:rPr>
        <w:t xml:space="preserve">                                              2025</w:t>
      </w:r>
      <w:r>
        <w:rPr>
          <w:rFonts w:hint="eastAsia" w:ascii="宋体" w:hAnsi="宋体" w:cs="宋体"/>
          <w:b/>
          <w:sz w:val="32"/>
          <w:szCs w:val="32"/>
        </w:rPr>
        <w:t>年</w:t>
      </w:r>
      <w:r>
        <w:rPr>
          <w:rFonts w:hint="eastAsia" w:ascii="宋体" w:hAnsi="宋体" w:cs="宋体"/>
          <w:b/>
          <w:sz w:val="32"/>
          <w:szCs w:val="32"/>
          <w:lang w:val="en-US" w:eastAsia="zh-CN"/>
        </w:rPr>
        <w:t>4</w:t>
      </w:r>
      <w:r>
        <w:rPr>
          <w:rFonts w:hint="eastAsia" w:ascii="宋体" w:hAnsi="宋体" w:cs="宋体"/>
          <w:b/>
          <w:sz w:val="32"/>
          <w:szCs w:val="32"/>
        </w:rPr>
        <w:t>月</w:t>
      </w:r>
    </w:p>
    <w:p w14:paraId="3A5249C8">
      <w:pPr>
        <w:jc w:val="center"/>
        <w:rPr>
          <w:rFonts w:ascii="宋体" w:hAnsi="宋体" w:cs="宋体"/>
          <w:sz w:val="28"/>
          <w:szCs w:val="28"/>
        </w:rPr>
      </w:pPr>
      <w:r>
        <w:rPr>
          <w:rFonts w:hint="eastAsia" w:ascii="宋体" w:hAnsi="宋体" w:cs="宋体"/>
          <w:b/>
          <w:sz w:val="44"/>
          <w:szCs w:val="44"/>
        </w:rPr>
        <w:t>总目录</w:t>
      </w:r>
    </w:p>
    <w:sdt>
      <w:sdtPr>
        <w:rPr>
          <w:rFonts w:ascii="宋体" w:hAnsi="宋体" w:eastAsia="宋体" w:cs="Times New Roman"/>
          <w:kern w:val="2"/>
          <w:sz w:val="21"/>
          <w:szCs w:val="24"/>
          <w:lang w:val="en-US" w:eastAsia="zh-CN" w:bidi="ar-SA"/>
        </w:rPr>
        <w:id w:val="147470726"/>
        <w15:color w:val="DBDBDB"/>
        <w:docPartObj>
          <w:docPartGallery w:val="Table of Contents"/>
          <w:docPartUnique/>
        </w:docPartObj>
      </w:sdtPr>
      <w:sdtEndPr>
        <w:rPr>
          <w:rFonts w:ascii="宋体" w:hAnsi="宋体" w:eastAsia="宋体" w:cs="宋体"/>
          <w:kern w:val="2"/>
          <w:sz w:val="21"/>
          <w:szCs w:val="28"/>
          <w:lang w:val="en-US" w:eastAsia="zh-CN" w:bidi="ar-SA"/>
        </w:rPr>
      </w:sdtEndPr>
      <w:sdtContent>
        <w:p w14:paraId="0CE9CE61">
          <w:pPr>
            <w:spacing w:before="0" w:beforeLines="0" w:after="0" w:afterLines="0" w:line="240" w:lineRule="auto"/>
            <w:ind w:left="0" w:leftChars="0" w:right="0" w:rightChars="0" w:firstLine="0" w:firstLineChars="0"/>
            <w:jc w:val="center"/>
          </w:pPr>
        </w:p>
        <w:p w14:paraId="0B2B0A16">
          <w:pPr>
            <w:pStyle w:val="39"/>
            <w:tabs>
              <w:tab w:val="right" w:leader="dot" w:pos="9746"/>
            </w:tabs>
          </w:pPr>
          <w:r>
            <w:rPr>
              <w:rFonts w:ascii="宋体" w:hAnsi="宋体" w:cs="宋体"/>
              <w:sz w:val="28"/>
              <w:szCs w:val="28"/>
            </w:rPr>
            <w:fldChar w:fldCharType="begin"/>
          </w:r>
          <w:r>
            <w:rPr>
              <w:rFonts w:ascii="宋体" w:hAnsi="宋体" w:cs="宋体"/>
              <w:sz w:val="28"/>
              <w:szCs w:val="28"/>
            </w:rPr>
            <w:instrText xml:space="preserve">TOC \o "1-1" \h \u </w:instrText>
          </w:r>
          <w:r>
            <w:rPr>
              <w:rFonts w:ascii="宋体" w:hAnsi="宋体" w:cs="宋体"/>
              <w:sz w:val="28"/>
              <w:szCs w:val="28"/>
            </w:rPr>
            <w:fldChar w:fldCharType="separate"/>
          </w:r>
        </w:p>
        <w:p w14:paraId="4698B726">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rPr>
              <w:sz w:val="32"/>
              <w:szCs w:val="32"/>
            </w:rPr>
          </w:pPr>
          <w:r>
            <w:rPr>
              <w:rFonts w:ascii="宋体" w:hAnsi="宋体" w:cs="宋体"/>
              <w:sz w:val="32"/>
              <w:szCs w:val="48"/>
            </w:rPr>
            <w:fldChar w:fldCharType="begin"/>
          </w:r>
          <w:r>
            <w:rPr>
              <w:rFonts w:ascii="宋体" w:hAnsi="宋体" w:cs="宋体"/>
              <w:sz w:val="32"/>
              <w:szCs w:val="48"/>
            </w:rPr>
            <w:instrText xml:space="preserve"> HYPERLINK \l _Toc18448 </w:instrText>
          </w:r>
          <w:r>
            <w:rPr>
              <w:rFonts w:ascii="宋体" w:hAnsi="宋体" w:cs="宋体"/>
              <w:sz w:val="32"/>
              <w:szCs w:val="48"/>
            </w:rPr>
            <w:fldChar w:fldCharType="separate"/>
          </w:r>
          <w:r>
            <w:rPr>
              <w:rFonts w:hint="eastAsia"/>
              <w:sz w:val="32"/>
              <w:szCs w:val="32"/>
            </w:rPr>
            <w:t xml:space="preserve">第一章 </w:t>
          </w:r>
          <w:r>
            <w:rPr>
              <w:rFonts w:hint="eastAsia"/>
              <w:sz w:val="32"/>
              <w:szCs w:val="32"/>
              <w:lang w:val="en-US" w:eastAsia="zh-CN"/>
            </w:rPr>
            <w:t xml:space="preserve"> </w:t>
          </w:r>
          <w:r>
            <w:rPr>
              <w:rFonts w:hint="eastAsia"/>
              <w:sz w:val="32"/>
              <w:szCs w:val="32"/>
            </w:rPr>
            <w:t>招标公告</w:t>
          </w:r>
          <w:r>
            <w:rPr>
              <w:sz w:val="32"/>
              <w:szCs w:val="32"/>
            </w:rPr>
            <w:tab/>
          </w:r>
          <w:r>
            <w:rPr>
              <w:sz w:val="32"/>
              <w:szCs w:val="32"/>
            </w:rPr>
            <w:fldChar w:fldCharType="begin"/>
          </w:r>
          <w:r>
            <w:rPr>
              <w:sz w:val="32"/>
              <w:szCs w:val="32"/>
            </w:rPr>
            <w:instrText xml:space="preserve"> PAGEREF _Toc18448 \h </w:instrText>
          </w:r>
          <w:r>
            <w:rPr>
              <w:sz w:val="32"/>
              <w:szCs w:val="32"/>
            </w:rPr>
            <w:fldChar w:fldCharType="separate"/>
          </w:r>
          <w:r>
            <w:rPr>
              <w:sz w:val="32"/>
              <w:szCs w:val="32"/>
            </w:rPr>
            <w:t>- 3 -</w:t>
          </w:r>
          <w:r>
            <w:rPr>
              <w:sz w:val="32"/>
              <w:szCs w:val="32"/>
            </w:rPr>
            <w:fldChar w:fldCharType="end"/>
          </w:r>
          <w:r>
            <w:rPr>
              <w:rFonts w:ascii="宋体" w:hAnsi="宋体" w:cs="宋体"/>
              <w:sz w:val="32"/>
              <w:szCs w:val="48"/>
            </w:rPr>
            <w:fldChar w:fldCharType="end"/>
          </w:r>
        </w:p>
        <w:p w14:paraId="0976C47A">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rPr>
              <w:sz w:val="32"/>
              <w:szCs w:val="32"/>
            </w:rPr>
          </w:pPr>
          <w:r>
            <w:rPr>
              <w:rFonts w:ascii="宋体" w:hAnsi="宋体" w:cs="宋体"/>
              <w:sz w:val="32"/>
              <w:szCs w:val="48"/>
            </w:rPr>
            <w:fldChar w:fldCharType="begin"/>
          </w:r>
          <w:r>
            <w:rPr>
              <w:rFonts w:ascii="宋体" w:hAnsi="宋体" w:cs="宋体"/>
              <w:sz w:val="32"/>
              <w:szCs w:val="48"/>
            </w:rPr>
            <w:instrText xml:space="preserve"> HYPERLINK \l _Toc28429 </w:instrText>
          </w:r>
          <w:r>
            <w:rPr>
              <w:rFonts w:ascii="宋体" w:hAnsi="宋体" w:cs="宋体"/>
              <w:sz w:val="32"/>
              <w:szCs w:val="48"/>
            </w:rPr>
            <w:fldChar w:fldCharType="separate"/>
          </w:r>
          <w:r>
            <w:rPr>
              <w:rFonts w:hint="eastAsia"/>
              <w:sz w:val="32"/>
              <w:szCs w:val="32"/>
            </w:rPr>
            <w:t xml:space="preserve">第二章 </w:t>
          </w:r>
          <w:r>
            <w:rPr>
              <w:rFonts w:hint="eastAsia"/>
              <w:sz w:val="32"/>
              <w:szCs w:val="32"/>
              <w:lang w:val="en-US" w:eastAsia="zh-CN"/>
            </w:rPr>
            <w:t xml:space="preserve"> </w:t>
          </w:r>
          <w:r>
            <w:rPr>
              <w:rFonts w:hint="eastAsia"/>
              <w:sz w:val="32"/>
              <w:szCs w:val="32"/>
            </w:rPr>
            <w:t>投标人须知</w:t>
          </w:r>
          <w:r>
            <w:rPr>
              <w:sz w:val="32"/>
              <w:szCs w:val="32"/>
            </w:rPr>
            <w:tab/>
          </w:r>
          <w:r>
            <w:rPr>
              <w:sz w:val="32"/>
              <w:szCs w:val="32"/>
            </w:rPr>
            <w:fldChar w:fldCharType="begin"/>
          </w:r>
          <w:r>
            <w:rPr>
              <w:sz w:val="32"/>
              <w:szCs w:val="32"/>
            </w:rPr>
            <w:instrText xml:space="preserve"> PAGEREF _Toc28429 \h </w:instrText>
          </w:r>
          <w:r>
            <w:rPr>
              <w:sz w:val="32"/>
              <w:szCs w:val="32"/>
            </w:rPr>
            <w:fldChar w:fldCharType="separate"/>
          </w:r>
          <w:r>
            <w:rPr>
              <w:sz w:val="32"/>
              <w:szCs w:val="32"/>
            </w:rPr>
            <w:t>- 5 -</w:t>
          </w:r>
          <w:r>
            <w:rPr>
              <w:sz w:val="32"/>
              <w:szCs w:val="32"/>
            </w:rPr>
            <w:fldChar w:fldCharType="end"/>
          </w:r>
          <w:r>
            <w:rPr>
              <w:rFonts w:ascii="宋体" w:hAnsi="宋体" w:cs="宋体"/>
              <w:sz w:val="32"/>
              <w:szCs w:val="48"/>
            </w:rPr>
            <w:fldChar w:fldCharType="end"/>
          </w:r>
        </w:p>
        <w:p w14:paraId="6CB6A88B">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rPr>
              <w:sz w:val="32"/>
              <w:szCs w:val="32"/>
            </w:rPr>
          </w:pPr>
          <w:r>
            <w:rPr>
              <w:rFonts w:ascii="宋体" w:hAnsi="宋体" w:cs="宋体"/>
              <w:sz w:val="32"/>
              <w:szCs w:val="48"/>
            </w:rPr>
            <w:fldChar w:fldCharType="begin"/>
          </w:r>
          <w:r>
            <w:rPr>
              <w:rFonts w:ascii="宋体" w:hAnsi="宋体" w:cs="宋体"/>
              <w:sz w:val="32"/>
              <w:szCs w:val="48"/>
            </w:rPr>
            <w:instrText xml:space="preserve"> HYPERLINK \l _Toc32271 </w:instrText>
          </w:r>
          <w:r>
            <w:rPr>
              <w:rFonts w:ascii="宋体" w:hAnsi="宋体" w:cs="宋体"/>
              <w:sz w:val="32"/>
              <w:szCs w:val="48"/>
            </w:rPr>
            <w:fldChar w:fldCharType="separate"/>
          </w:r>
          <w:r>
            <w:rPr>
              <w:rFonts w:hint="eastAsia"/>
              <w:sz w:val="32"/>
              <w:szCs w:val="32"/>
            </w:rPr>
            <w:t>第三章  项目采购需求</w:t>
          </w:r>
          <w:r>
            <w:rPr>
              <w:sz w:val="32"/>
              <w:szCs w:val="32"/>
            </w:rPr>
            <w:tab/>
          </w:r>
          <w:r>
            <w:rPr>
              <w:sz w:val="32"/>
              <w:szCs w:val="32"/>
            </w:rPr>
            <w:fldChar w:fldCharType="begin"/>
          </w:r>
          <w:r>
            <w:rPr>
              <w:sz w:val="32"/>
              <w:szCs w:val="32"/>
            </w:rPr>
            <w:instrText xml:space="preserve"> PAGEREF _Toc32271 \h </w:instrText>
          </w:r>
          <w:r>
            <w:rPr>
              <w:sz w:val="32"/>
              <w:szCs w:val="32"/>
            </w:rPr>
            <w:fldChar w:fldCharType="separate"/>
          </w:r>
          <w:r>
            <w:rPr>
              <w:sz w:val="32"/>
              <w:szCs w:val="32"/>
            </w:rPr>
            <w:t>- 24 -</w:t>
          </w:r>
          <w:r>
            <w:rPr>
              <w:sz w:val="32"/>
              <w:szCs w:val="32"/>
            </w:rPr>
            <w:fldChar w:fldCharType="end"/>
          </w:r>
          <w:r>
            <w:rPr>
              <w:rFonts w:ascii="宋体" w:hAnsi="宋体" w:cs="宋体"/>
              <w:sz w:val="32"/>
              <w:szCs w:val="48"/>
            </w:rPr>
            <w:fldChar w:fldCharType="end"/>
          </w:r>
        </w:p>
        <w:p w14:paraId="0B6A5842">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rPr>
              <w:sz w:val="32"/>
              <w:szCs w:val="32"/>
            </w:rPr>
          </w:pPr>
          <w:r>
            <w:rPr>
              <w:rFonts w:ascii="宋体" w:hAnsi="宋体" w:cs="宋体"/>
              <w:sz w:val="32"/>
              <w:szCs w:val="48"/>
            </w:rPr>
            <w:fldChar w:fldCharType="begin"/>
          </w:r>
          <w:r>
            <w:rPr>
              <w:rFonts w:ascii="宋体" w:hAnsi="宋体" w:cs="宋体"/>
              <w:sz w:val="32"/>
              <w:szCs w:val="48"/>
            </w:rPr>
            <w:instrText xml:space="preserve"> HYPERLINK \l _Toc10190 </w:instrText>
          </w:r>
          <w:r>
            <w:rPr>
              <w:rFonts w:ascii="宋体" w:hAnsi="宋体" w:cs="宋体"/>
              <w:sz w:val="32"/>
              <w:szCs w:val="48"/>
            </w:rPr>
            <w:fldChar w:fldCharType="separate"/>
          </w:r>
          <w:r>
            <w:rPr>
              <w:rFonts w:hint="eastAsia"/>
              <w:sz w:val="32"/>
              <w:szCs w:val="32"/>
            </w:rPr>
            <w:t>第四章  合同条款（主要条款）</w:t>
          </w:r>
          <w:r>
            <w:rPr>
              <w:sz w:val="32"/>
              <w:szCs w:val="32"/>
            </w:rPr>
            <w:tab/>
          </w:r>
          <w:r>
            <w:rPr>
              <w:sz w:val="32"/>
              <w:szCs w:val="32"/>
            </w:rPr>
            <w:fldChar w:fldCharType="begin"/>
          </w:r>
          <w:r>
            <w:rPr>
              <w:sz w:val="32"/>
              <w:szCs w:val="32"/>
            </w:rPr>
            <w:instrText xml:space="preserve"> PAGEREF _Toc10190 \h </w:instrText>
          </w:r>
          <w:r>
            <w:rPr>
              <w:sz w:val="32"/>
              <w:szCs w:val="32"/>
            </w:rPr>
            <w:fldChar w:fldCharType="separate"/>
          </w:r>
          <w:r>
            <w:rPr>
              <w:sz w:val="32"/>
              <w:szCs w:val="32"/>
            </w:rPr>
            <w:t>- 31 -</w:t>
          </w:r>
          <w:r>
            <w:rPr>
              <w:sz w:val="32"/>
              <w:szCs w:val="32"/>
            </w:rPr>
            <w:fldChar w:fldCharType="end"/>
          </w:r>
          <w:r>
            <w:rPr>
              <w:rFonts w:ascii="宋体" w:hAnsi="宋体" w:cs="宋体"/>
              <w:sz w:val="32"/>
              <w:szCs w:val="48"/>
            </w:rPr>
            <w:fldChar w:fldCharType="end"/>
          </w:r>
        </w:p>
        <w:p w14:paraId="0BDFE978">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rPr>
              <w:sz w:val="32"/>
              <w:szCs w:val="32"/>
            </w:rPr>
          </w:pPr>
          <w:r>
            <w:rPr>
              <w:rFonts w:ascii="宋体" w:hAnsi="宋体" w:cs="宋体"/>
              <w:sz w:val="32"/>
              <w:szCs w:val="48"/>
            </w:rPr>
            <w:fldChar w:fldCharType="begin"/>
          </w:r>
          <w:r>
            <w:rPr>
              <w:rFonts w:ascii="宋体" w:hAnsi="宋体" w:cs="宋体"/>
              <w:sz w:val="32"/>
              <w:szCs w:val="48"/>
            </w:rPr>
            <w:instrText xml:space="preserve"> HYPERLINK \l _Toc15921 </w:instrText>
          </w:r>
          <w:r>
            <w:rPr>
              <w:rFonts w:ascii="宋体" w:hAnsi="宋体" w:cs="宋体"/>
              <w:sz w:val="32"/>
              <w:szCs w:val="48"/>
            </w:rPr>
            <w:fldChar w:fldCharType="separate"/>
          </w:r>
          <w:r>
            <w:rPr>
              <w:rFonts w:hint="eastAsia"/>
              <w:sz w:val="32"/>
              <w:szCs w:val="32"/>
            </w:rPr>
            <w:t>第五章  投标文件格式</w:t>
          </w:r>
          <w:r>
            <w:rPr>
              <w:sz w:val="32"/>
              <w:szCs w:val="32"/>
            </w:rPr>
            <w:tab/>
          </w:r>
          <w:r>
            <w:rPr>
              <w:sz w:val="32"/>
              <w:szCs w:val="32"/>
            </w:rPr>
            <w:fldChar w:fldCharType="begin"/>
          </w:r>
          <w:r>
            <w:rPr>
              <w:sz w:val="32"/>
              <w:szCs w:val="32"/>
            </w:rPr>
            <w:instrText xml:space="preserve"> PAGEREF _Toc15921 \h </w:instrText>
          </w:r>
          <w:r>
            <w:rPr>
              <w:sz w:val="32"/>
              <w:szCs w:val="32"/>
            </w:rPr>
            <w:fldChar w:fldCharType="separate"/>
          </w:r>
          <w:r>
            <w:rPr>
              <w:sz w:val="32"/>
              <w:szCs w:val="32"/>
            </w:rPr>
            <w:t>- 32 -</w:t>
          </w:r>
          <w:r>
            <w:rPr>
              <w:sz w:val="32"/>
              <w:szCs w:val="32"/>
            </w:rPr>
            <w:fldChar w:fldCharType="end"/>
          </w:r>
          <w:r>
            <w:rPr>
              <w:rFonts w:ascii="宋体" w:hAnsi="宋体" w:cs="宋体"/>
              <w:sz w:val="32"/>
              <w:szCs w:val="48"/>
            </w:rPr>
            <w:fldChar w:fldCharType="end"/>
          </w:r>
        </w:p>
        <w:p w14:paraId="3F363B0B">
          <w:pPr>
            <w:pStyle w:val="39"/>
            <w:keepNext w:val="0"/>
            <w:keepLines w:val="0"/>
            <w:pageBreakBefore w:val="0"/>
            <w:widowControl/>
            <w:tabs>
              <w:tab w:val="right" w:leader="dot" w:pos="9746"/>
            </w:tabs>
            <w:kinsoku/>
            <w:wordWrap/>
            <w:overflowPunct/>
            <w:topLinePunct w:val="0"/>
            <w:autoSpaceDE/>
            <w:autoSpaceDN/>
            <w:bidi w:val="0"/>
            <w:adjustRightInd/>
            <w:snapToGrid/>
            <w:spacing w:line="1040" w:lineRule="exact"/>
            <w:textAlignment w:val="auto"/>
          </w:pPr>
          <w:r>
            <w:rPr>
              <w:rFonts w:ascii="宋体" w:hAnsi="宋体" w:cs="宋体"/>
              <w:sz w:val="32"/>
              <w:szCs w:val="48"/>
            </w:rPr>
            <w:fldChar w:fldCharType="begin"/>
          </w:r>
          <w:r>
            <w:rPr>
              <w:rFonts w:ascii="宋体" w:hAnsi="宋体" w:cs="宋体"/>
              <w:sz w:val="32"/>
              <w:szCs w:val="48"/>
            </w:rPr>
            <w:instrText xml:space="preserve"> HYPERLINK \l _Toc12629 </w:instrText>
          </w:r>
          <w:r>
            <w:rPr>
              <w:rFonts w:ascii="宋体" w:hAnsi="宋体" w:cs="宋体"/>
              <w:sz w:val="32"/>
              <w:szCs w:val="48"/>
            </w:rPr>
            <w:fldChar w:fldCharType="separate"/>
          </w:r>
          <w:r>
            <w:rPr>
              <w:rFonts w:hint="eastAsia"/>
              <w:sz w:val="32"/>
              <w:szCs w:val="32"/>
            </w:rPr>
            <w:t>第六章  评审标准（综合评分法）</w:t>
          </w:r>
          <w:r>
            <w:rPr>
              <w:sz w:val="32"/>
              <w:szCs w:val="32"/>
            </w:rPr>
            <w:tab/>
          </w:r>
          <w:r>
            <w:rPr>
              <w:sz w:val="32"/>
              <w:szCs w:val="32"/>
            </w:rPr>
            <w:fldChar w:fldCharType="begin"/>
          </w:r>
          <w:r>
            <w:rPr>
              <w:sz w:val="32"/>
              <w:szCs w:val="32"/>
            </w:rPr>
            <w:instrText xml:space="preserve"> PAGEREF _Toc12629 \h </w:instrText>
          </w:r>
          <w:r>
            <w:rPr>
              <w:sz w:val="32"/>
              <w:szCs w:val="32"/>
            </w:rPr>
            <w:fldChar w:fldCharType="separate"/>
          </w:r>
          <w:r>
            <w:rPr>
              <w:sz w:val="32"/>
              <w:szCs w:val="32"/>
            </w:rPr>
            <w:t>- 47 -</w:t>
          </w:r>
          <w:r>
            <w:rPr>
              <w:sz w:val="32"/>
              <w:szCs w:val="32"/>
            </w:rPr>
            <w:fldChar w:fldCharType="end"/>
          </w:r>
          <w:r>
            <w:rPr>
              <w:rFonts w:ascii="宋体" w:hAnsi="宋体" w:cs="宋体"/>
              <w:sz w:val="32"/>
              <w:szCs w:val="48"/>
            </w:rPr>
            <w:fldChar w:fldCharType="end"/>
          </w:r>
        </w:p>
        <w:p w14:paraId="65B880B0">
          <w:pPr>
            <w:spacing w:line="720" w:lineRule="auto"/>
            <w:ind w:firstLine="420" w:firstLineChars="200"/>
            <w:rPr>
              <w:rFonts w:ascii="宋体" w:hAnsi="宋体" w:eastAsia="宋体" w:cs="宋体"/>
              <w:kern w:val="2"/>
              <w:sz w:val="21"/>
              <w:szCs w:val="28"/>
              <w:lang w:val="en-US" w:eastAsia="zh-CN" w:bidi="ar-SA"/>
            </w:rPr>
          </w:pPr>
          <w:r>
            <w:rPr>
              <w:rFonts w:ascii="宋体" w:hAnsi="宋体" w:cs="宋体"/>
              <w:szCs w:val="28"/>
            </w:rPr>
            <w:fldChar w:fldCharType="end"/>
          </w:r>
        </w:p>
      </w:sdtContent>
    </w:sdt>
    <w:p w14:paraId="6A7D1BAC">
      <w:pPr>
        <w:pStyle w:val="9"/>
      </w:pPr>
    </w:p>
    <w:p w14:paraId="1619C477">
      <w:pPr>
        <w:spacing w:line="720" w:lineRule="auto"/>
        <w:rPr>
          <w:rFonts w:ascii="宋体" w:hAnsi="宋体" w:cs="宋体"/>
          <w:sz w:val="28"/>
          <w:szCs w:val="28"/>
        </w:rPr>
      </w:pPr>
    </w:p>
    <w:p w14:paraId="0E0D3CB3">
      <w:pPr>
        <w:spacing w:line="720" w:lineRule="auto"/>
        <w:ind w:firstLine="560" w:firstLineChars="200"/>
        <w:rPr>
          <w:rFonts w:ascii="宋体" w:hAnsi="宋体" w:cs="宋体"/>
          <w:sz w:val="28"/>
          <w:szCs w:val="28"/>
        </w:rPr>
      </w:pPr>
    </w:p>
    <w:p w14:paraId="7E0B677E">
      <w:pPr>
        <w:spacing w:line="360" w:lineRule="auto"/>
        <w:ind w:firstLine="560" w:firstLineChars="200"/>
        <w:rPr>
          <w:rFonts w:ascii="宋体" w:hAnsi="宋体" w:cs="宋体"/>
          <w:sz w:val="28"/>
          <w:szCs w:val="28"/>
        </w:rPr>
      </w:pPr>
    </w:p>
    <w:p w14:paraId="725AE4DC">
      <w:pPr>
        <w:spacing w:line="360" w:lineRule="auto"/>
        <w:ind w:firstLine="560" w:firstLineChars="200"/>
        <w:rPr>
          <w:rFonts w:ascii="宋体" w:hAnsi="宋体" w:cs="宋体"/>
          <w:sz w:val="28"/>
          <w:szCs w:val="28"/>
        </w:rPr>
      </w:pPr>
    </w:p>
    <w:p w14:paraId="445C8F39">
      <w:pPr>
        <w:spacing w:line="360" w:lineRule="auto"/>
        <w:rPr>
          <w:rFonts w:ascii="宋体" w:hAnsi="宋体" w:cs="宋体"/>
          <w:sz w:val="32"/>
          <w:szCs w:val="32"/>
        </w:rPr>
      </w:pPr>
    </w:p>
    <w:p w14:paraId="3609D44D">
      <w:pPr>
        <w:spacing w:line="360" w:lineRule="auto"/>
        <w:rPr>
          <w:rFonts w:ascii="宋体" w:hAnsi="宋体" w:cs="宋体"/>
          <w:sz w:val="32"/>
          <w:szCs w:val="32"/>
        </w:rPr>
      </w:pPr>
    </w:p>
    <w:p w14:paraId="72A77A7C">
      <w:pPr>
        <w:spacing w:line="360" w:lineRule="auto"/>
        <w:rPr>
          <w:rFonts w:ascii="宋体" w:hAnsi="宋体" w:cs="宋体"/>
          <w:b/>
          <w:sz w:val="28"/>
          <w:szCs w:val="28"/>
        </w:rPr>
      </w:pPr>
    </w:p>
    <w:p w14:paraId="30A4FE94">
      <w:pPr>
        <w:pStyle w:val="5"/>
        <w:numPr>
          <w:ilvl w:val="0"/>
          <w:numId w:val="0"/>
        </w:numPr>
        <w:bidi w:val="0"/>
        <w:ind w:leftChars="0"/>
        <w:jc w:val="center"/>
      </w:pPr>
      <w:bookmarkStart w:id="3" w:name="_Toc18448"/>
      <w:r>
        <w:rPr>
          <w:rFonts w:hint="eastAsia"/>
        </w:rPr>
        <w:t>第一章 招标公告</w:t>
      </w:r>
      <w:bookmarkEnd w:id="3"/>
    </w:p>
    <w:p w14:paraId="2581128C">
      <w:pPr>
        <w:pBdr>
          <w:top w:val="single" w:color="auto" w:sz="4" w:space="1"/>
          <w:left w:val="single" w:color="auto" w:sz="4" w:space="4"/>
          <w:bottom w:val="single" w:color="auto" w:sz="4" w:space="1"/>
          <w:right w:val="single" w:color="auto" w:sz="4" w:space="4"/>
        </w:pBdr>
        <w:spacing w:line="288" w:lineRule="auto"/>
        <w:rPr>
          <w:rFonts w:ascii="宋体" w:hAnsi="宋体" w:cs="宋体"/>
          <w:sz w:val="24"/>
        </w:rPr>
      </w:pPr>
      <w:r>
        <w:rPr>
          <w:rFonts w:hint="eastAsia" w:ascii="宋体" w:hAnsi="宋体" w:cs="宋体"/>
          <w:sz w:val="24"/>
        </w:rPr>
        <w:t>项目概况:</w:t>
      </w:r>
    </w:p>
    <w:p w14:paraId="451D4640">
      <w:pPr>
        <w:pBdr>
          <w:top w:val="single" w:color="auto" w:sz="4" w:space="1"/>
          <w:left w:val="single" w:color="auto" w:sz="4" w:space="4"/>
          <w:bottom w:val="single" w:color="auto" w:sz="4" w:space="1"/>
          <w:right w:val="single" w:color="auto" w:sz="4" w:space="4"/>
        </w:pBdr>
        <w:spacing w:line="288" w:lineRule="auto"/>
        <w:ind w:firstLine="480" w:firstLineChars="200"/>
        <w:rPr>
          <w:rFonts w:ascii="宋体" w:hAnsi="宋体" w:cs="宋体"/>
          <w:sz w:val="24"/>
        </w:rPr>
      </w:pPr>
      <w:r>
        <w:rPr>
          <w:rFonts w:hint="eastAsia" w:ascii="宋体" w:hAnsi="宋体" w:cs="宋体"/>
          <w:sz w:val="24"/>
          <w:u w:val="single"/>
          <w:lang w:eastAsia="zh-CN"/>
        </w:rPr>
        <w:t>林草业务专项-城市绿色生态质量提升工程（克拉玛依市人与自然和谐共生生态保护项目）设备采购</w:t>
      </w:r>
      <w:r>
        <w:rPr>
          <w:rFonts w:hint="eastAsia" w:ascii="宋体" w:hAnsi="宋体" w:cs="宋体"/>
          <w:sz w:val="24"/>
        </w:rPr>
        <w:t>招标项目的潜在投标人应在</w:t>
      </w:r>
      <w:r>
        <w:rPr>
          <w:rFonts w:hint="eastAsia" w:ascii="宋体" w:hAnsi="宋体" w:cs="宋体"/>
          <w:sz w:val="24"/>
          <w:u w:val="single"/>
        </w:rPr>
        <w:t>新疆政府采购网</w:t>
      </w:r>
      <w:r>
        <w:rPr>
          <w:rFonts w:hint="eastAsia" w:ascii="宋体" w:hAnsi="宋体" w:cs="宋体"/>
          <w:sz w:val="24"/>
        </w:rPr>
        <w:t>获取招标文件，并于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04月22</w:t>
      </w:r>
      <w:r>
        <w:rPr>
          <w:rFonts w:hint="eastAsia" w:ascii="宋体" w:hAnsi="宋体" w:cs="宋体"/>
          <w:sz w:val="24"/>
          <w:u w:val="single"/>
        </w:rPr>
        <w:t xml:space="preserve"> 日10:</w:t>
      </w:r>
      <w:r>
        <w:rPr>
          <w:rFonts w:hint="eastAsia" w:ascii="宋体" w:hAnsi="宋体" w:cs="宋体"/>
          <w:sz w:val="24"/>
          <w:u w:val="single"/>
          <w:lang w:val="en-US" w:eastAsia="zh-CN"/>
        </w:rPr>
        <w:t>3</w:t>
      </w:r>
      <w:r>
        <w:rPr>
          <w:rFonts w:hint="eastAsia" w:ascii="宋体" w:hAnsi="宋体" w:cs="宋体"/>
          <w:sz w:val="24"/>
          <w:u w:val="single"/>
        </w:rPr>
        <w:t>0分</w:t>
      </w:r>
      <w:r>
        <w:rPr>
          <w:rFonts w:hint="eastAsia" w:ascii="宋体" w:hAnsi="宋体" w:cs="宋体"/>
          <w:bCs/>
          <w:sz w:val="24"/>
        </w:rPr>
        <w:t>前递交投标文件</w:t>
      </w:r>
      <w:r>
        <w:rPr>
          <w:rFonts w:hint="eastAsia" w:ascii="宋体" w:hAnsi="宋体" w:cs="宋体"/>
          <w:sz w:val="24"/>
        </w:rPr>
        <w:t>。</w:t>
      </w:r>
    </w:p>
    <w:p w14:paraId="631718DB">
      <w:pPr>
        <w:spacing w:line="360" w:lineRule="auto"/>
        <w:rPr>
          <w:rFonts w:ascii="宋体" w:hAnsi="宋体" w:cs="宋体"/>
          <w:b/>
          <w:bCs/>
          <w:sz w:val="24"/>
        </w:rPr>
      </w:pPr>
      <w:bookmarkStart w:id="4" w:name="_Toc35393790"/>
      <w:bookmarkStart w:id="5" w:name="_Toc35393621"/>
      <w:bookmarkStart w:id="6" w:name="_Toc28359002"/>
      <w:bookmarkStart w:id="7" w:name="_Toc28359079"/>
      <w:bookmarkStart w:id="8" w:name="_Hlk24379207"/>
      <w:r>
        <w:rPr>
          <w:rFonts w:hint="eastAsia" w:ascii="宋体" w:hAnsi="宋体" w:cs="宋体"/>
          <w:b/>
          <w:bCs/>
          <w:sz w:val="24"/>
        </w:rPr>
        <w:t>一、项目基本情况</w:t>
      </w:r>
      <w:bookmarkEnd w:id="4"/>
      <w:bookmarkEnd w:id="5"/>
      <w:bookmarkEnd w:id="6"/>
      <w:bookmarkEnd w:id="7"/>
    </w:p>
    <w:p w14:paraId="294A815D">
      <w:pPr>
        <w:spacing w:line="288" w:lineRule="auto"/>
        <w:ind w:firstLine="480" w:firstLineChars="200"/>
        <w:rPr>
          <w:rFonts w:hint="default" w:ascii="宋体" w:hAnsi="宋体" w:cs="宋体"/>
          <w:sz w:val="24"/>
          <w:lang w:val="en-US"/>
        </w:rPr>
      </w:pPr>
      <w:r>
        <w:rPr>
          <w:rFonts w:hint="eastAsia" w:ascii="宋体" w:hAnsi="宋体" w:cs="宋体"/>
          <w:sz w:val="24"/>
        </w:rPr>
        <w:t>项目编号：</w:t>
      </w:r>
      <w:r>
        <w:rPr>
          <w:rFonts w:hint="eastAsia" w:ascii="宋体" w:hAnsi="宋体" w:cs="宋体"/>
          <w:sz w:val="24"/>
          <w:lang w:eastAsia="zh-CN"/>
        </w:rPr>
        <w:t>XZZB-FW-202500</w:t>
      </w:r>
      <w:r>
        <w:rPr>
          <w:rFonts w:hint="eastAsia" w:ascii="宋体" w:hAnsi="宋体" w:cs="宋体"/>
          <w:sz w:val="24"/>
          <w:lang w:val="en-US" w:eastAsia="zh-CN"/>
        </w:rPr>
        <w:t>2</w:t>
      </w:r>
    </w:p>
    <w:p w14:paraId="5FB8AF85">
      <w:pPr>
        <w:spacing w:line="288" w:lineRule="auto"/>
        <w:ind w:firstLine="480" w:firstLineChars="200"/>
        <w:rPr>
          <w:rFonts w:hint="eastAsia" w:ascii="宋体" w:hAnsi="宋体" w:eastAsia="宋体" w:cs="宋体"/>
          <w:sz w:val="24"/>
          <w:lang w:eastAsia="zh-CN"/>
        </w:rPr>
      </w:pPr>
      <w:r>
        <w:rPr>
          <w:rFonts w:hint="eastAsia" w:ascii="宋体" w:hAnsi="宋体" w:cs="宋体"/>
          <w:sz w:val="24"/>
        </w:rPr>
        <w:t>项目名称：</w:t>
      </w:r>
      <w:r>
        <w:rPr>
          <w:rFonts w:hint="eastAsia" w:ascii="宋体" w:hAnsi="宋体" w:cs="宋体"/>
          <w:sz w:val="24"/>
          <w:lang w:eastAsia="zh-CN"/>
        </w:rPr>
        <w:t>林草业务专项-城市绿色生态质量提升工程（克拉玛依市人与自然和谐共生生态保护项目）设备采购</w:t>
      </w:r>
    </w:p>
    <w:p w14:paraId="7BA4DEBE">
      <w:pPr>
        <w:pStyle w:val="9"/>
        <w:ind w:firstLine="480" w:firstLineChars="200"/>
      </w:pPr>
      <w:r>
        <w:rPr>
          <w:rFonts w:hint="eastAsia" w:ascii="宋体" w:hAnsi="宋体" w:cs="宋体"/>
          <w:szCs w:val="24"/>
        </w:rPr>
        <w:t>采购方式：公开招标</w:t>
      </w:r>
    </w:p>
    <w:bookmarkEnd w:id="8"/>
    <w:p w14:paraId="31BEB37B">
      <w:pPr>
        <w:spacing w:line="288" w:lineRule="auto"/>
        <w:ind w:firstLine="480" w:firstLineChars="200"/>
        <w:rPr>
          <w:rFonts w:ascii="宋体" w:hAnsi="宋体" w:cs="宋体"/>
          <w:sz w:val="24"/>
        </w:rPr>
      </w:pPr>
      <w:r>
        <w:rPr>
          <w:rFonts w:hint="eastAsia" w:ascii="宋体" w:hAnsi="宋体" w:cs="宋体"/>
          <w:sz w:val="24"/>
        </w:rPr>
        <w:t>预算金额：</w:t>
      </w:r>
      <w:r>
        <w:rPr>
          <w:rFonts w:hint="eastAsia" w:ascii="宋体" w:hAnsi="宋体" w:cs="宋体"/>
          <w:sz w:val="24"/>
          <w:lang w:val="en-US" w:eastAsia="zh-CN"/>
        </w:rPr>
        <w:t>2580000</w:t>
      </w:r>
      <w:r>
        <w:rPr>
          <w:rFonts w:hint="eastAsia" w:ascii="宋体" w:hAnsi="宋体" w:cs="宋体"/>
          <w:sz w:val="24"/>
        </w:rPr>
        <w:t>元</w:t>
      </w:r>
    </w:p>
    <w:p w14:paraId="65BE98E2">
      <w:pPr>
        <w:pStyle w:val="9"/>
        <w:rPr>
          <w:rFonts w:hint="default" w:eastAsia="宋体"/>
          <w:lang w:val="en-US" w:eastAsia="zh-CN"/>
        </w:rPr>
      </w:pPr>
      <w:r>
        <w:rPr>
          <w:rFonts w:hint="eastAsia" w:ascii="宋体" w:hAnsi="宋体" w:cs="宋体"/>
        </w:rPr>
        <w:t>采购需求：</w:t>
      </w:r>
      <w:r>
        <w:rPr>
          <w:rFonts w:hint="eastAsia" w:ascii="宋体" w:hAnsi="宋体" w:cs="宋体"/>
          <w:lang w:val="en-US" w:eastAsia="zh-CN"/>
        </w:rPr>
        <w:t>详见招标文件</w:t>
      </w:r>
    </w:p>
    <w:p w14:paraId="20669485">
      <w:pPr>
        <w:spacing w:line="288" w:lineRule="auto"/>
        <w:ind w:firstLine="480" w:firstLineChars="200"/>
        <w:rPr>
          <w:rFonts w:ascii="宋体" w:hAnsi="宋体" w:cs="宋体"/>
          <w:sz w:val="24"/>
        </w:rPr>
      </w:pPr>
      <w:r>
        <w:rPr>
          <w:rFonts w:hint="eastAsia" w:ascii="宋体" w:hAnsi="宋体" w:cs="宋体"/>
          <w:sz w:val="24"/>
        </w:rPr>
        <w:t>数量：1</w:t>
      </w:r>
    </w:p>
    <w:p w14:paraId="71430EAA">
      <w:pPr>
        <w:spacing w:line="288" w:lineRule="auto"/>
        <w:ind w:firstLine="480" w:firstLineChars="200"/>
        <w:rPr>
          <w:rFonts w:ascii="宋体" w:hAnsi="宋体" w:cs="宋体"/>
          <w:sz w:val="24"/>
        </w:rPr>
      </w:pPr>
      <w:r>
        <w:rPr>
          <w:rFonts w:hint="eastAsia" w:ascii="宋体" w:hAnsi="宋体" w:cs="宋体"/>
          <w:sz w:val="24"/>
          <w:lang w:val="en-US" w:eastAsia="zh-CN"/>
        </w:rPr>
        <w:t>最高限价</w:t>
      </w:r>
      <w:r>
        <w:rPr>
          <w:rFonts w:hint="eastAsia" w:ascii="宋体" w:hAnsi="宋体" w:cs="宋体"/>
          <w:sz w:val="24"/>
        </w:rPr>
        <w:t>（元）：</w:t>
      </w:r>
      <w:r>
        <w:rPr>
          <w:rFonts w:hint="eastAsia" w:ascii="宋体" w:hAnsi="宋体" w:cs="宋体"/>
          <w:sz w:val="24"/>
          <w:lang w:val="en-US" w:eastAsia="zh-CN"/>
        </w:rPr>
        <w:t>2580000</w:t>
      </w:r>
    </w:p>
    <w:p w14:paraId="37B6D136">
      <w:pPr>
        <w:spacing w:line="288" w:lineRule="auto"/>
        <w:ind w:firstLine="480" w:firstLineChars="200"/>
        <w:rPr>
          <w:rFonts w:ascii="宋体" w:hAnsi="宋体" w:cs="宋体"/>
          <w:sz w:val="24"/>
        </w:rPr>
      </w:pPr>
      <w:r>
        <w:rPr>
          <w:rFonts w:hint="eastAsia" w:ascii="宋体" w:hAnsi="宋体" w:cs="宋体"/>
          <w:sz w:val="24"/>
        </w:rPr>
        <w:t>单位：套</w:t>
      </w:r>
    </w:p>
    <w:p w14:paraId="02E66FA3">
      <w:pPr>
        <w:spacing w:line="288" w:lineRule="auto"/>
        <w:ind w:firstLine="480" w:firstLineChars="200"/>
        <w:rPr>
          <w:rFonts w:ascii="宋体" w:hAnsi="宋体" w:cs="宋体"/>
          <w:sz w:val="24"/>
        </w:rPr>
      </w:pPr>
      <w:r>
        <w:rPr>
          <w:rFonts w:hint="eastAsia" w:ascii="宋体" w:hAnsi="宋体" w:cs="宋体"/>
          <w:sz w:val="24"/>
        </w:rPr>
        <w:t>简要规格描述：详细参数见招标文件</w:t>
      </w:r>
    </w:p>
    <w:p w14:paraId="2B79C610">
      <w:pPr>
        <w:spacing w:line="288" w:lineRule="auto"/>
        <w:ind w:firstLine="480" w:firstLineChars="200"/>
        <w:rPr>
          <w:rFonts w:ascii="宋体" w:hAnsi="宋体" w:cs="宋体"/>
          <w:sz w:val="24"/>
        </w:rPr>
      </w:pPr>
      <w:r>
        <w:rPr>
          <w:rFonts w:hint="eastAsia" w:ascii="宋体" w:hAnsi="宋体" w:cs="宋体"/>
          <w:sz w:val="24"/>
        </w:rPr>
        <w:t>备注：无</w:t>
      </w:r>
    </w:p>
    <w:p w14:paraId="2A882139">
      <w:pPr>
        <w:spacing w:line="288" w:lineRule="auto"/>
        <w:ind w:firstLine="480" w:firstLineChars="200"/>
        <w:rPr>
          <w:rFonts w:hint="eastAsia" w:ascii="宋体" w:hAnsi="宋体" w:cs="宋体"/>
          <w:sz w:val="24"/>
          <w:lang w:val="en-US" w:eastAsia="zh-CN"/>
        </w:rPr>
      </w:pPr>
      <w:r>
        <w:rPr>
          <w:rFonts w:hint="eastAsia" w:ascii="宋体" w:hAnsi="宋体" w:cs="宋体"/>
          <w:sz w:val="24"/>
        </w:rPr>
        <w:t>合同履行期限：</w:t>
      </w:r>
      <w:bookmarkStart w:id="9" w:name="_Toc28359080"/>
      <w:bookmarkStart w:id="10" w:name="_Toc35393791"/>
      <w:bookmarkStart w:id="11" w:name="_Toc28359003"/>
      <w:bookmarkStart w:id="12" w:name="_Toc35393622"/>
      <w:r>
        <w:rPr>
          <w:rFonts w:hint="eastAsia" w:ascii="宋体" w:hAnsi="宋体" w:cs="宋体"/>
          <w:sz w:val="24"/>
          <w:lang w:val="en-US" w:eastAsia="zh-CN"/>
        </w:rPr>
        <w:t>自合同签订之日起，乙方必须严格遵循甲方提出的各项具体要求，在规定时间节点内（2025年4月至5月期间），完成货物的供货、安装以及调试等一系列工作任务，并积极配合甲方进行验收。</w:t>
      </w:r>
    </w:p>
    <w:p w14:paraId="0888E1B5">
      <w:pPr>
        <w:spacing w:line="288" w:lineRule="auto"/>
        <w:ind w:firstLine="480" w:firstLineChars="200"/>
        <w:rPr>
          <w:rFonts w:hint="default" w:ascii="宋体" w:hAnsi="宋体" w:eastAsia="宋体" w:cs="宋体"/>
          <w:sz w:val="24"/>
          <w:lang w:val="en-US" w:eastAsia="zh-CN"/>
        </w:rPr>
      </w:pPr>
      <w:r>
        <w:rPr>
          <w:rFonts w:hint="eastAsia" w:ascii="宋体" w:hAnsi="宋体" w:cs="宋体"/>
          <w:sz w:val="24"/>
        </w:rPr>
        <w:t>本项目（ 否 ）接受联合体投标</w:t>
      </w:r>
      <w:r>
        <w:rPr>
          <w:rFonts w:hint="eastAsia" w:ascii="宋体" w:hAnsi="宋体" w:cs="宋体"/>
          <w:sz w:val="24"/>
          <w:lang w:eastAsia="zh-CN"/>
        </w:rPr>
        <w:t>；</w:t>
      </w:r>
      <w:r>
        <w:rPr>
          <w:rFonts w:hint="eastAsia" w:ascii="宋体" w:hAnsi="宋体" w:cs="宋体"/>
          <w:sz w:val="24"/>
          <w:lang w:val="en-US" w:eastAsia="zh-CN"/>
        </w:rPr>
        <w:t>本项目不接受进口产品参与投标。</w:t>
      </w:r>
    </w:p>
    <w:p w14:paraId="3F6C601A">
      <w:pPr>
        <w:spacing w:line="360" w:lineRule="auto"/>
        <w:rPr>
          <w:rFonts w:ascii="宋体" w:hAnsi="宋体" w:cs="宋体"/>
          <w:b/>
          <w:bCs/>
          <w:sz w:val="24"/>
        </w:rPr>
      </w:pPr>
      <w:r>
        <w:rPr>
          <w:rFonts w:hint="eastAsia" w:ascii="宋体" w:hAnsi="宋体" w:cs="宋体"/>
          <w:b/>
          <w:bCs/>
          <w:sz w:val="24"/>
        </w:rPr>
        <w:t>二、申请人的资格要求：</w:t>
      </w:r>
      <w:bookmarkEnd w:id="9"/>
      <w:bookmarkEnd w:id="10"/>
      <w:bookmarkEnd w:id="11"/>
      <w:bookmarkEnd w:id="12"/>
    </w:p>
    <w:p w14:paraId="1FFF5E45">
      <w:pPr>
        <w:numPr>
          <w:ilvl w:val="0"/>
          <w:numId w:val="3"/>
        </w:numPr>
        <w:spacing w:line="288" w:lineRule="auto"/>
        <w:ind w:left="0" w:leftChars="0" w:firstLine="400" w:firstLineChars="0"/>
        <w:rPr>
          <w:rFonts w:hint="eastAsia" w:ascii="宋体" w:hAnsi="宋体" w:cs="宋体"/>
          <w:sz w:val="24"/>
        </w:rPr>
      </w:pPr>
      <w:bookmarkStart w:id="13" w:name="_Toc28359081"/>
      <w:bookmarkStart w:id="14" w:name="_Toc28359004"/>
      <w:bookmarkStart w:id="15" w:name="_Toc35393623"/>
      <w:bookmarkStart w:id="16" w:name="_Toc35393792"/>
      <w:r>
        <w:rPr>
          <w:rFonts w:hint="eastAsia" w:ascii="宋体" w:hAnsi="宋体" w:cs="宋体"/>
          <w:sz w:val="24"/>
        </w:rPr>
        <w:t>满足《中华人民共和国政府采购法》第二十二条规定；</w:t>
      </w:r>
    </w:p>
    <w:p w14:paraId="28EC96CF">
      <w:pPr>
        <w:numPr>
          <w:ilvl w:val="0"/>
          <w:numId w:val="3"/>
        </w:numPr>
        <w:spacing w:line="288" w:lineRule="auto"/>
        <w:ind w:left="0" w:leftChars="0" w:firstLine="400" w:firstLineChars="0"/>
        <w:rPr>
          <w:rFonts w:hint="eastAsia" w:ascii="宋体" w:hAnsi="宋体" w:cs="宋体"/>
          <w:sz w:val="24"/>
          <w:highlight w:val="none"/>
          <w:lang w:val="en-US" w:eastAsia="zh-CN"/>
        </w:rPr>
      </w:pPr>
      <w:r>
        <w:rPr>
          <w:rFonts w:hint="eastAsia" w:ascii="宋体" w:hAnsi="宋体" w:cs="宋体"/>
          <w:sz w:val="24"/>
          <w:highlight w:val="none"/>
        </w:rPr>
        <w:t>落实政府采购政策需满足的资格要求</w:t>
      </w:r>
      <w:r>
        <w:rPr>
          <w:rFonts w:hint="eastAsia" w:ascii="宋体" w:hAnsi="宋体" w:cs="宋体"/>
          <w:sz w:val="24"/>
          <w:highlight w:val="none"/>
          <w:lang w:eastAsia="zh-CN"/>
        </w:rPr>
        <w:t>：</w:t>
      </w:r>
      <w:r>
        <w:rPr>
          <w:rFonts w:hint="eastAsia" w:ascii="宋体" w:hAnsi="宋体" w:cs="宋体"/>
          <w:sz w:val="24"/>
          <w:highlight w:val="none"/>
          <w:lang w:val="en-US" w:eastAsia="zh-CN"/>
        </w:rPr>
        <w:t>面向</w:t>
      </w:r>
      <w:r>
        <w:rPr>
          <w:rFonts w:hint="eastAsia" w:ascii="宋体" w:hAnsi="宋体" w:cs="宋体"/>
          <w:sz w:val="24"/>
          <w:highlight w:val="none"/>
          <w:lang w:eastAsia="zh-CN"/>
        </w:rPr>
        <w:t>小微企业</w:t>
      </w:r>
    </w:p>
    <w:p w14:paraId="20EF396C">
      <w:pPr>
        <w:numPr>
          <w:ilvl w:val="0"/>
          <w:numId w:val="3"/>
        </w:numPr>
        <w:spacing w:line="288" w:lineRule="auto"/>
        <w:ind w:left="0" w:leftChars="0" w:firstLine="400" w:firstLineChars="0"/>
        <w:rPr>
          <w:rFonts w:hint="eastAsia" w:ascii="宋体" w:hAnsi="宋体" w:cs="宋体"/>
          <w:sz w:val="24"/>
          <w:highlight w:val="none"/>
          <w:lang w:val="en-US" w:eastAsia="zh-CN"/>
        </w:rPr>
      </w:pPr>
      <w:r>
        <w:rPr>
          <w:rFonts w:hint="eastAsia" w:ascii="宋体" w:hAnsi="宋体" w:cs="宋体"/>
          <w:sz w:val="24"/>
          <w:highlight w:val="none"/>
        </w:rPr>
        <w:t>本项目的特定资格要求：</w:t>
      </w:r>
      <w:r>
        <w:rPr>
          <w:rFonts w:hint="eastAsia" w:ascii="宋体" w:hAnsi="宋体" w:cs="宋体"/>
          <w:sz w:val="24"/>
          <w:highlight w:val="none"/>
          <w:lang w:val="en-US" w:eastAsia="zh-CN"/>
        </w:rPr>
        <w:t>无</w:t>
      </w:r>
    </w:p>
    <w:bookmarkEnd w:id="13"/>
    <w:bookmarkEnd w:id="14"/>
    <w:bookmarkEnd w:id="15"/>
    <w:bookmarkEnd w:id="16"/>
    <w:p w14:paraId="7517839B">
      <w:pPr>
        <w:spacing w:line="360" w:lineRule="auto"/>
        <w:rPr>
          <w:rFonts w:ascii="宋体" w:hAnsi="宋体" w:cs="宋体"/>
          <w:b/>
          <w:bCs/>
          <w:sz w:val="24"/>
        </w:rPr>
      </w:pPr>
      <w:bookmarkStart w:id="17" w:name="_Toc28359005"/>
      <w:bookmarkStart w:id="18" w:name="_Toc35393793"/>
      <w:bookmarkStart w:id="19" w:name="_Toc28359082"/>
      <w:bookmarkStart w:id="20" w:name="_Toc35393624"/>
      <w:r>
        <w:rPr>
          <w:rFonts w:hint="eastAsia" w:ascii="宋体" w:hAnsi="宋体" w:cs="宋体"/>
          <w:b/>
          <w:bCs/>
          <w:sz w:val="24"/>
        </w:rPr>
        <w:t>三、获取采购文件</w:t>
      </w:r>
    </w:p>
    <w:p w14:paraId="2CC60FC3">
      <w:pPr>
        <w:numPr>
          <w:ilvl w:val="0"/>
          <w:numId w:val="4"/>
        </w:numPr>
        <w:spacing w:line="288" w:lineRule="auto"/>
        <w:ind w:left="0" w:leftChars="0" w:firstLine="400" w:firstLineChars="0"/>
        <w:rPr>
          <w:rFonts w:hint="eastAsia" w:ascii="宋体" w:hAnsi="宋体" w:cs="宋体"/>
          <w:sz w:val="24"/>
        </w:rPr>
      </w:pPr>
      <w:r>
        <w:rPr>
          <w:rFonts w:hint="eastAsia" w:ascii="宋体" w:hAnsi="宋体" w:cs="宋体"/>
          <w:sz w:val="24"/>
        </w:rPr>
        <w:t>时间：202</w:t>
      </w:r>
      <w:r>
        <w:rPr>
          <w:rFonts w:hint="eastAsia" w:ascii="宋体" w:hAnsi="宋体" w:cs="宋体"/>
          <w:sz w:val="24"/>
          <w:lang w:val="en-US" w:eastAsia="zh-CN"/>
        </w:rPr>
        <w:t>5</w:t>
      </w:r>
      <w:r>
        <w:rPr>
          <w:rFonts w:hint="eastAsia" w:ascii="宋体" w:hAnsi="宋体" w:cs="宋体"/>
          <w:sz w:val="24"/>
        </w:rPr>
        <w:t>年</w:t>
      </w:r>
      <w:r>
        <w:rPr>
          <w:rFonts w:hint="eastAsia" w:ascii="宋体" w:hAnsi="宋体" w:cs="宋体"/>
          <w:sz w:val="24"/>
          <w:lang w:val="en-US" w:eastAsia="zh-CN"/>
        </w:rPr>
        <w:t>04</w:t>
      </w:r>
      <w:r>
        <w:rPr>
          <w:rFonts w:hint="eastAsia" w:ascii="宋体" w:hAnsi="宋体" w:cs="宋体"/>
          <w:sz w:val="24"/>
        </w:rPr>
        <w:t>月</w:t>
      </w:r>
      <w:r>
        <w:rPr>
          <w:rFonts w:hint="eastAsia" w:ascii="宋体" w:hAnsi="宋体" w:cs="宋体"/>
          <w:sz w:val="24"/>
          <w:lang w:val="en-US" w:eastAsia="zh-CN"/>
        </w:rPr>
        <w:t>02</w:t>
      </w:r>
      <w:r>
        <w:rPr>
          <w:rFonts w:hint="eastAsia" w:ascii="宋体" w:hAnsi="宋体" w:cs="宋体"/>
          <w:sz w:val="24"/>
        </w:rPr>
        <w:t>日至202</w:t>
      </w:r>
      <w:r>
        <w:rPr>
          <w:rFonts w:hint="eastAsia" w:ascii="宋体" w:hAnsi="宋体" w:cs="宋体"/>
          <w:sz w:val="24"/>
          <w:lang w:val="en-US" w:eastAsia="zh-CN"/>
        </w:rPr>
        <w:t>5</w:t>
      </w:r>
      <w:r>
        <w:rPr>
          <w:rFonts w:hint="eastAsia" w:ascii="宋体" w:hAnsi="宋体" w:cs="宋体"/>
          <w:sz w:val="24"/>
        </w:rPr>
        <w:t>年</w:t>
      </w:r>
      <w:r>
        <w:rPr>
          <w:rFonts w:hint="eastAsia" w:ascii="宋体" w:hAnsi="宋体" w:cs="宋体"/>
          <w:sz w:val="24"/>
          <w:lang w:val="en-US" w:eastAsia="zh-CN"/>
        </w:rPr>
        <w:t>04</w:t>
      </w:r>
      <w:r>
        <w:rPr>
          <w:rFonts w:hint="eastAsia" w:ascii="宋体" w:hAnsi="宋体" w:cs="宋体"/>
          <w:sz w:val="24"/>
        </w:rPr>
        <w:t>月</w:t>
      </w:r>
      <w:r>
        <w:rPr>
          <w:rFonts w:hint="eastAsia" w:ascii="宋体" w:hAnsi="宋体" w:cs="宋体"/>
          <w:sz w:val="24"/>
          <w:lang w:val="en-US" w:eastAsia="zh-CN"/>
        </w:rPr>
        <w:t>21</w:t>
      </w:r>
      <w:r>
        <w:rPr>
          <w:rFonts w:hint="eastAsia" w:ascii="宋体" w:hAnsi="宋体" w:cs="宋体"/>
          <w:sz w:val="24"/>
        </w:rPr>
        <w:t>日，每天上午00:00至12:00，下午12:00至23:59（北京时间，法定节假日除外）</w:t>
      </w:r>
    </w:p>
    <w:p w14:paraId="3E0749EF">
      <w:pPr>
        <w:numPr>
          <w:ilvl w:val="0"/>
          <w:numId w:val="4"/>
        </w:numPr>
        <w:spacing w:line="288" w:lineRule="auto"/>
        <w:ind w:left="0" w:leftChars="0" w:firstLine="400" w:firstLineChars="0"/>
        <w:rPr>
          <w:rFonts w:hint="eastAsia" w:ascii="宋体" w:hAnsi="宋体" w:cs="宋体"/>
          <w:sz w:val="24"/>
        </w:rPr>
      </w:pPr>
      <w:r>
        <w:rPr>
          <w:rFonts w:hint="eastAsia" w:ascii="宋体" w:hAnsi="宋体" w:cs="宋体"/>
          <w:sz w:val="24"/>
        </w:rPr>
        <w:t>地点：新疆政府采购网政采云平台（www.zcygov.cn） </w:t>
      </w:r>
    </w:p>
    <w:p w14:paraId="547E1680">
      <w:pPr>
        <w:numPr>
          <w:ilvl w:val="0"/>
          <w:numId w:val="4"/>
        </w:numPr>
        <w:spacing w:line="288" w:lineRule="auto"/>
        <w:ind w:left="0" w:leftChars="0" w:firstLine="400" w:firstLineChars="0"/>
        <w:rPr>
          <w:rFonts w:hint="eastAsia" w:ascii="宋体" w:hAnsi="宋体" w:cs="宋体"/>
          <w:sz w:val="24"/>
        </w:rPr>
      </w:pPr>
      <w:r>
        <w:rPr>
          <w:rFonts w:hint="eastAsia" w:ascii="宋体" w:hAnsi="宋体" w:cs="宋体"/>
          <w:sz w:val="24"/>
        </w:rPr>
        <w:t>方式：线上获取，</w:t>
      </w:r>
      <w:r>
        <w:rPr>
          <w:rFonts w:hint="eastAsia" w:ascii="宋体" w:hAnsi="宋体" w:cs="宋体"/>
          <w:sz w:val="24"/>
          <w:lang w:eastAsia="zh-CN"/>
        </w:rPr>
        <w:t>投标人</w:t>
      </w:r>
      <w:r>
        <w:rPr>
          <w:rFonts w:hint="eastAsia" w:ascii="宋体" w:hAnsi="宋体" w:cs="宋体"/>
          <w:sz w:val="24"/>
        </w:rPr>
        <w:t>登录政采云账户,在线申请获取采购文件（登录政府采购云平台→采购项目→获取采购文件→申请，审核通过后可下载采购文件，如有操作性问题，可与政采云在线客服进行咨询，咨询电话400-881-7190） </w:t>
      </w:r>
    </w:p>
    <w:p w14:paraId="454EF372">
      <w:pPr>
        <w:spacing w:line="360" w:lineRule="auto"/>
        <w:rPr>
          <w:rFonts w:ascii="宋体" w:hAnsi="宋体" w:cs="宋体"/>
          <w:b/>
          <w:bCs/>
          <w:sz w:val="24"/>
        </w:rPr>
      </w:pPr>
      <w:r>
        <w:rPr>
          <w:rFonts w:hint="eastAsia" w:ascii="宋体" w:hAnsi="宋体" w:cs="宋体"/>
          <w:b/>
          <w:bCs/>
          <w:sz w:val="24"/>
        </w:rPr>
        <w:t>四、</w:t>
      </w:r>
      <w:bookmarkEnd w:id="17"/>
      <w:bookmarkEnd w:id="18"/>
      <w:bookmarkEnd w:id="19"/>
      <w:bookmarkEnd w:id="20"/>
      <w:r>
        <w:rPr>
          <w:rFonts w:hint="eastAsia" w:ascii="宋体" w:hAnsi="宋体" w:cs="宋体"/>
          <w:b/>
          <w:bCs/>
          <w:sz w:val="24"/>
        </w:rPr>
        <w:t>提交投标文件截止时间、开标时间和地点</w:t>
      </w:r>
    </w:p>
    <w:p w14:paraId="29E4F4AD">
      <w:pPr>
        <w:spacing w:line="360" w:lineRule="auto"/>
        <w:ind w:firstLine="480" w:firstLineChars="200"/>
        <w:rPr>
          <w:rFonts w:hint="default" w:ascii="宋体" w:hAnsi="宋体" w:eastAsia="宋体" w:cs="宋体"/>
          <w:bCs/>
          <w:sz w:val="24"/>
          <w:u w:val="none"/>
          <w:lang w:val="en-US" w:eastAsia="zh-CN"/>
        </w:rPr>
      </w:pPr>
      <w:r>
        <w:rPr>
          <w:rFonts w:hint="eastAsia" w:ascii="宋体" w:hAnsi="宋体" w:cs="宋体"/>
          <w:bCs/>
          <w:sz w:val="24"/>
        </w:rPr>
        <w:t>提交投标文件截止时间：</w:t>
      </w:r>
      <w:r>
        <w:rPr>
          <w:rFonts w:hint="eastAsia" w:ascii="宋体" w:hAnsi="宋体" w:cs="宋体"/>
          <w:sz w:val="24"/>
          <w:u w:val="none"/>
        </w:rPr>
        <w:t>202</w:t>
      </w:r>
      <w:r>
        <w:rPr>
          <w:rFonts w:hint="eastAsia" w:ascii="宋体" w:hAnsi="宋体" w:cs="宋体"/>
          <w:sz w:val="24"/>
          <w:u w:val="none"/>
          <w:lang w:val="en-US" w:eastAsia="zh-CN"/>
        </w:rPr>
        <w:t>5</w:t>
      </w:r>
      <w:r>
        <w:rPr>
          <w:rFonts w:hint="eastAsia" w:ascii="宋体" w:hAnsi="宋体" w:cs="宋体"/>
          <w:sz w:val="24"/>
          <w:u w:val="none"/>
        </w:rPr>
        <w:t>年</w:t>
      </w:r>
      <w:r>
        <w:rPr>
          <w:rFonts w:hint="eastAsia" w:ascii="宋体" w:hAnsi="宋体" w:cs="宋体"/>
          <w:sz w:val="24"/>
          <w:u w:val="none"/>
          <w:lang w:val="en-US" w:eastAsia="zh-CN"/>
        </w:rPr>
        <w:t>4</w:t>
      </w:r>
      <w:r>
        <w:rPr>
          <w:rFonts w:hint="eastAsia" w:ascii="宋体" w:hAnsi="宋体" w:cs="宋体"/>
          <w:sz w:val="24"/>
          <w:u w:val="none"/>
        </w:rPr>
        <w:t>月</w:t>
      </w:r>
      <w:r>
        <w:rPr>
          <w:rFonts w:hint="eastAsia" w:ascii="宋体" w:hAnsi="宋体" w:cs="宋体"/>
          <w:sz w:val="24"/>
          <w:u w:val="none"/>
          <w:lang w:val="en-US" w:eastAsia="zh-CN"/>
        </w:rPr>
        <w:t>22</w:t>
      </w:r>
      <w:r>
        <w:rPr>
          <w:rFonts w:hint="eastAsia" w:ascii="宋体" w:hAnsi="宋体" w:cs="宋体"/>
          <w:sz w:val="24"/>
          <w:u w:val="none"/>
        </w:rPr>
        <w:t>日</w:t>
      </w:r>
      <w:r>
        <w:rPr>
          <w:rFonts w:hint="eastAsia" w:ascii="宋体" w:hAnsi="宋体" w:cs="宋体"/>
          <w:sz w:val="24"/>
          <w:u w:val="none"/>
          <w:lang w:val="en-US" w:eastAsia="zh-CN"/>
        </w:rPr>
        <w:t>10</w:t>
      </w:r>
      <w:r>
        <w:rPr>
          <w:rFonts w:hint="eastAsia" w:ascii="宋体" w:hAnsi="宋体" w:cs="宋体"/>
          <w:sz w:val="24"/>
          <w:u w:val="none"/>
        </w:rPr>
        <w:t>:</w:t>
      </w:r>
      <w:r>
        <w:rPr>
          <w:rFonts w:hint="eastAsia" w:ascii="宋体" w:hAnsi="宋体" w:cs="宋体"/>
          <w:sz w:val="24"/>
          <w:u w:val="none"/>
          <w:lang w:val="en-US" w:eastAsia="zh-CN"/>
        </w:rPr>
        <w:t>30</w:t>
      </w:r>
    </w:p>
    <w:p w14:paraId="2B30B34C">
      <w:pPr>
        <w:spacing w:line="360" w:lineRule="auto"/>
        <w:ind w:firstLine="480" w:firstLineChars="200"/>
        <w:rPr>
          <w:rFonts w:ascii="宋体" w:hAnsi="宋体" w:cs="宋体"/>
          <w:sz w:val="24"/>
        </w:rPr>
      </w:pPr>
      <w:r>
        <w:rPr>
          <w:rFonts w:hint="eastAsia" w:ascii="宋体" w:hAnsi="宋体" w:cs="宋体"/>
          <w:sz w:val="24"/>
        </w:rPr>
        <w:t>投标地点：</w:t>
      </w:r>
      <w:bookmarkStart w:id="21" w:name="_Toc35393625"/>
      <w:bookmarkStart w:id="22" w:name="_Toc35393794"/>
      <w:bookmarkStart w:id="23" w:name="_Toc28359007"/>
      <w:bookmarkStart w:id="24" w:name="_Toc28359084"/>
      <w:r>
        <w:rPr>
          <w:rFonts w:hint="eastAsia" w:ascii="宋体" w:hAnsi="宋体" w:cs="宋体"/>
          <w:sz w:val="24"/>
        </w:rPr>
        <w:t>新疆政府采购网政采云平台（www.zcygov.cn） </w:t>
      </w:r>
    </w:p>
    <w:p w14:paraId="5E1B4DD2">
      <w:pPr>
        <w:spacing w:line="360" w:lineRule="auto"/>
        <w:ind w:firstLine="480" w:firstLineChars="200"/>
        <w:rPr>
          <w:rFonts w:hint="default" w:ascii="宋体" w:hAnsi="宋体" w:eastAsia="宋体" w:cs="宋体"/>
          <w:bCs/>
          <w:sz w:val="24"/>
          <w:u w:val="single"/>
          <w:lang w:val="en-US" w:eastAsia="zh-CN"/>
        </w:rPr>
      </w:pPr>
      <w:r>
        <w:rPr>
          <w:rFonts w:hint="eastAsia" w:ascii="宋体" w:hAnsi="宋体" w:cs="宋体"/>
          <w:bCs/>
          <w:sz w:val="24"/>
        </w:rPr>
        <w:t>开标时间：</w:t>
      </w:r>
      <w:r>
        <w:rPr>
          <w:rFonts w:hint="eastAsia" w:ascii="宋体" w:hAnsi="宋体" w:cs="宋体"/>
          <w:sz w:val="24"/>
          <w:u w:val="none"/>
        </w:rPr>
        <w:t>202</w:t>
      </w:r>
      <w:r>
        <w:rPr>
          <w:rFonts w:hint="eastAsia" w:ascii="宋体" w:hAnsi="宋体" w:cs="宋体"/>
          <w:sz w:val="24"/>
          <w:u w:val="none"/>
          <w:lang w:val="en-US" w:eastAsia="zh-CN"/>
        </w:rPr>
        <w:t>5</w:t>
      </w:r>
      <w:r>
        <w:rPr>
          <w:rFonts w:hint="eastAsia" w:ascii="宋体" w:hAnsi="宋体" w:cs="宋体"/>
          <w:sz w:val="24"/>
          <w:u w:val="none"/>
        </w:rPr>
        <w:t>年</w:t>
      </w:r>
      <w:r>
        <w:rPr>
          <w:rFonts w:hint="eastAsia" w:ascii="宋体" w:hAnsi="宋体" w:cs="宋体"/>
          <w:sz w:val="24"/>
          <w:u w:val="none"/>
          <w:lang w:val="en-US" w:eastAsia="zh-CN"/>
        </w:rPr>
        <w:t>04</w:t>
      </w:r>
      <w:r>
        <w:rPr>
          <w:rFonts w:hint="eastAsia" w:ascii="宋体" w:hAnsi="宋体" w:cs="宋体"/>
          <w:sz w:val="24"/>
          <w:u w:val="none"/>
        </w:rPr>
        <w:t>月</w:t>
      </w:r>
      <w:r>
        <w:rPr>
          <w:rFonts w:hint="eastAsia" w:ascii="宋体" w:hAnsi="宋体" w:cs="宋体"/>
          <w:sz w:val="24"/>
          <w:u w:val="none"/>
          <w:lang w:val="en-US" w:eastAsia="zh-CN"/>
        </w:rPr>
        <w:t>22</w:t>
      </w:r>
      <w:r>
        <w:rPr>
          <w:rFonts w:hint="eastAsia" w:ascii="宋体" w:hAnsi="宋体" w:cs="宋体"/>
          <w:sz w:val="24"/>
          <w:u w:val="none"/>
        </w:rPr>
        <w:t>日</w:t>
      </w:r>
      <w:r>
        <w:rPr>
          <w:rFonts w:hint="eastAsia" w:ascii="宋体" w:hAnsi="宋体" w:cs="宋体"/>
          <w:sz w:val="24"/>
          <w:u w:val="none"/>
          <w:lang w:val="en-US" w:eastAsia="zh-CN"/>
        </w:rPr>
        <w:t>10</w:t>
      </w:r>
      <w:r>
        <w:rPr>
          <w:rFonts w:hint="eastAsia" w:ascii="宋体" w:hAnsi="宋体" w:cs="宋体"/>
          <w:sz w:val="24"/>
          <w:u w:val="none"/>
        </w:rPr>
        <w:t>:</w:t>
      </w:r>
      <w:r>
        <w:rPr>
          <w:rFonts w:hint="eastAsia" w:ascii="宋体" w:hAnsi="宋体" w:cs="宋体"/>
          <w:sz w:val="24"/>
          <w:u w:val="none"/>
          <w:lang w:val="en-US" w:eastAsia="zh-CN"/>
        </w:rPr>
        <w:t>30</w:t>
      </w:r>
    </w:p>
    <w:p w14:paraId="7BA1F9B6">
      <w:pPr>
        <w:spacing w:line="360" w:lineRule="auto"/>
        <w:ind w:firstLine="480" w:firstLineChars="200"/>
        <w:rPr>
          <w:rFonts w:ascii="宋体" w:hAnsi="宋体" w:cs="宋体"/>
          <w:sz w:val="24"/>
        </w:rPr>
      </w:pPr>
      <w:r>
        <w:rPr>
          <w:rFonts w:hint="eastAsia" w:ascii="宋体" w:hAnsi="宋体" w:cs="宋体"/>
          <w:sz w:val="24"/>
        </w:rPr>
        <w:t>开标地点：新疆政府采购网政采云平台（www.zcygov.cn）</w:t>
      </w:r>
    </w:p>
    <w:p w14:paraId="685FAA83">
      <w:pPr>
        <w:spacing w:line="360" w:lineRule="auto"/>
        <w:rPr>
          <w:rFonts w:hint="eastAsia" w:ascii="宋体" w:hAnsi="宋体" w:cs="宋体"/>
          <w:b/>
          <w:bCs/>
          <w:sz w:val="24"/>
        </w:rPr>
      </w:pPr>
      <w:r>
        <w:rPr>
          <w:rFonts w:hint="eastAsia" w:ascii="宋体" w:hAnsi="宋体" w:cs="宋体"/>
          <w:b/>
          <w:bCs/>
          <w:sz w:val="24"/>
        </w:rPr>
        <w:t> 五、公告期限</w:t>
      </w:r>
      <w:bookmarkEnd w:id="21"/>
      <w:bookmarkEnd w:id="22"/>
      <w:bookmarkEnd w:id="23"/>
      <w:bookmarkEnd w:id="24"/>
    </w:p>
    <w:p w14:paraId="6727009C">
      <w:pPr>
        <w:spacing w:line="360" w:lineRule="auto"/>
        <w:ind w:firstLine="480" w:firstLineChars="200"/>
        <w:rPr>
          <w:rFonts w:hint="eastAsia" w:ascii="宋体" w:hAnsi="宋体" w:cs="宋体"/>
          <w:bCs/>
          <w:sz w:val="24"/>
        </w:rPr>
      </w:pPr>
      <w:r>
        <w:rPr>
          <w:rFonts w:hint="eastAsia" w:ascii="宋体" w:hAnsi="宋体" w:cs="宋体"/>
          <w:bCs/>
          <w:sz w:val="24"/>
        </w:rPr>
        <w:t>自本公告发布之日起5个工作日。</w:t>
      </w:r>
      <w:bookmarkStart w:id="25" w:name="_Toc35393795"/>
      <w:bookmarkStart w:id="26" w:name="_Toc35393626"/>
    </w:p>
    <w:p w14:paraId="36B5F2C4">
      <w:pPr>
        <w:spacing w:line="360" w:lineRule="auto"/>
        <w:ind w:firstLine="241" w:firstLineChars="100"/>
        <w:rPr>
          <w:rFonts w:hint="eastAsia" w:ascii="宋体" w:hAnsi="宋体" w:cs="宋体"/>
          <w:b/>
          <w:bCs/>
          <w:sz w:val="24"/>
        </w:rPr>
      </w:pPr>
      <w:r>
        <w:rPr>
          <w:rFonts w:hint="eastAsia" w:ascii="宋体" w:hAnsi="宋体" w:cs="宋体"/>
          <w:b/>
          <w:bCs/>
          <w:sz w:val="24"/>
        </w:rPr>
        <w:t>六、其他补充事宜</w:t>
      </w:r>
      <w:bookmarkEnd w:id="25"/>
      <w:bookmarkEnd w:id="26"/>
    </w:p>
    <w:p w14:paraId="77A668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bookmarkStart w:id="27" w:name="_Toc28359008"/>
      <w:bookmarkStart w:id="28" w:name="_Toc28359085"/>
      <w:bookmarkStart w:id="29" w:name="_Toc35393627"/>
      <w:bookmarkStart w:id="30" w:name="_Toc35393796"/>
      <w:r>
        <w:rPr>
          <w:rFonts w:hint="eastAsia" w:ascii="宋体" w:hAnsi="宋体" w:eastAsia="宋体" w:cs="宋体"/>
          <w:sz w:val="24"/>
          <w:szCs w:val="24"/>
          <w:lang w:val="en-US" w:eastAsia="zh-CN"/>
        </w:rPr>
        <w:t>1、请投标人随时关注本项目的澄清、答疑、变更事项。</w:t>
      </w:r>
    </w:p>
    <w:p w14:paraId="1DE8929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2、本项目实行电子招投标，投标人须登录政采云平台申请获取招标文件，并通过政采云电子投标客户端制作投标文件，同时自行承担与投标有关的一切费用。</w:t>
      </w:r>
    </w:p>
    <w:p w14:paraId="22E08B8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3、各投标人应在开标前应确保成为政采云平台投标人，并完成CA数字证书（符合国密标准）申领。因未注册入库、未办理CA数字证书等原因造成无法投标或投标失败等后果由投标人自行承担。</w:t>
      </w:r>
    </w:p>
    <w:p w14:paraId="10C837D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4、投标人可前往新疆政府采购网（http：//www.ccgp-xinjiang.gov.cn/） 下载专区，下载政采云电子投标客户端，安装完成后，可通过账号密码或CA登录客户端进行投标文件制作。在使用政采云电子投标客户端时，建议使用WIN7及以上操作系统。如需咨询，请联系新疆CA服务热线0991-2819290。</w:t>
      </w:r>
    </w:p>
    <w:p w14:paraId="72B32F5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本项目采用不见面开标，投标人须在投标截止时间前通过CA在政采云平台上传加密的电子投标文件。投标人对不见面开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投标人”版面获取操作指南，同时对自助查询无法解决的问题可通过钉钉群及政采云在线客服获取服务支持。</w:t>
      </w:r>
    </w:p>
    <w:p w14:paraId="4F17D14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6、投标人在开标前须提前配置好电脑浏览器，开标时请使用制作加密电子投标文件的CA锁进行解密及报价确认。本项目投标文件解密时间定为30分钟，如因自身原因导致无法正常解密，后果由投标人自行承担。</w:t>
      </w:r>
    </w:p>
    <w:p w14:paraId="109FC8F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特别提示：</w:t>
      </w:r>
    </w:p>
    <w:p w14:paraId="7C4AB94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1、采购限额标准以上，200万元以下的货物和服务采购项目、400万元以下的工程采购项目，适宜由中小企业提供的，采购人应当专门面向中小企业采购。</w:t>
      </w:r>
    </w:p>
    <w:p w14:paraId="61182A7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p>
    <w:p w14:paraId="6FA6AE1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822A1F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  </w:t>
      </w:r>
    </w:p>
    <w:p w14:paraId="63FDF756">
      <w:pPr>
        <w:widowControl/>
        <w:spacing w:line="288" w:lineRule="auto"/>
        <w:jc w:val="left"/>
        <w:rPr>
          <w:rFonts w:ascii="宋体" w:hAnsi="宋体" w:cs="宋体"/>
          <w:b/>
          <w:bCs/>
          <w:sz w:val="24"/>
        </w:rPr>
      </w:pPr>
      <w:r>
        <w:rPr>
          <w:rFonts w:hint="eastAsia" w:ascii="宋体" w:hAnsi="宋体" w:cs="宋体"/>
          <w:b/>
          <w:bCs/>
          <w:sz w:val="24"/>
        </w:rPr>
        <w:t>七、</w:t>
      </w:r>
      <w:bookmarkEnd w:id="27"/>
      <w:bookmarkEnd w:id="28"/>
      <w:bookmarkEnd w:id="29"/>
      <w:bookmarkEnd w:id="30"/>
      <w:r>
        <w:rPr>
          <w:rFonts w:hint="eastAsia" w:ascii="宋体" w:hAnsi="宋体" w:cs="宋体"/>
          <w:b/>
          <w:bCs/>
          <w:sz w:val="24"/>
        </w:rPr>
        <w:t>对本次采购提出询问，请按以下方式联系</w:t>
      </w:r>
    </w:p>
    <w:p w14:paraId="53D3BF1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 w:val="24"/>
        </w:rPr>
      </w:pPr>
      <w:r>
        <w:rPr>
          <w:rFonts w:hint="eastAsia" w:ascii="宋体" w:hAnsi="宋体" w:cs="宋体"/>
          <w:sz w:val="24"/>
        </w:rPr>
        <w:t>　　　1.采购人信息</w:t>
      </w:r>
    </w:p>
    <w:p w14:paraId="1F5C3F34">
      <w:pPr>
        <w:keepNext w:val="0"/>
        <w:keepLines w:val="0"/>
        <w:pageBreakBefore w:val="0"/>
        <w:kinsoku/>
        <w:wordWrap/>
        <w:overflowPunct/>
        <w:topLinePunct w:val="0"/>
        <w:autoSpaceDE/>
        <w:autoSpaceDN/>
        <w:bidi w:val="0"/>
        <w:adjustRightInd/>
        <w:snapToGrid/>
        <w:spacing w:line="360" w:lineRule="auto"/>
        <w:ind w:left="1079" w:leftChars="371" w:hanging="300" w:hangingChars="125"/>
        <w:jc w:val="left"/>
        <w:textAlignment w:val="auto"/>
        <w:rPr>
          <w:rFonts w:hint="eastAsia" w:ascii="宋体" w:hAnsi="宋体" w:eastAsia="宋体" w:cs="宋体"/>
          <w:sz w:val="24"/>
          <w:lang w:eastAsia="zh-CN"/>
        </w:rPr>
      </w:pPr>
      <w:r>
        <w:rPr>
          <w:rFonts w:hint="eastAsia" w:ascii="宋体" w:hAnsi="宋体" w:cs="宋体"/>
          <w:sz w:val="24"/>
        </w:rPr>
        <w:t>名称：</w:t>
      </w:r>
      <w:r>
        <w:rPr>
          <w:rFonts w:hint="eastAsia" w:ascii="宋体" w:hAnsi="宋体" w:cs="宋体"/>
          <w:sz w:val="24"/>
          <w:lang w:eastAsia="zh-CN"/>
        </w:rPr>
        <w:t>克拉玛依市林业和草原局</w:t>
      </w:r>
    </w:p>
    <w:p w14:paraId="39DF6785">
      <w:pPr>
        <w:keepNext w:val="0"/>
        <w:keepLines w:val="0"/>
        <w:pageBreakBefore w:val="0"/>
        <w:kinsoku/>
        <w:wordWrap/>
        <w:overflowPunct/>
        <w:topLinePunct w:val="0"/>
        <w:autoSpaceDE/>
        <w:autoSpaceDN/>
        <w:bidi w:val="0"/>
        <w:adjustRightInd/>
        <w:snapToGrid/>
        <w:spacing w:line="360" w:lineRule="auto"/>
        <w:ind w:left="1079" w:leftChars="371" w:hanging="300" w:hangingChars="125"/>
        <w:jc w:val="left"/>
        <w:textAlignment w:val="auto"/>
        <w:rPr>
          <w:rFonts w:hint="eastAsia" w:ascii="宋体" w:hAnsi="宋体" w:eastAsia="宋体" w:cs="宋体"/>
          <w:sz w:val="24"/>
          <w:lang w:eastAsia="zh-CN"/>
        </w:rPr>
      </w:pPr>
      <w:r>
        <w:rPr>
          <w:rFonts w:hint="eastAsia" w:ascii="宋体" w:hAnsi="宋体" w:cs="宋体"/>
          <w:sz w:val="24"/>
        </w:rPr>
        <w:t>地址：</w:t>
      </w:r>
      <w:bookmarkStart w:id="31" w:name="_Toc28359086"/>
      <w:bookmarkStart w:id="32" w:name="_Toc28359009"/>
      <w:r>
        <w:rPr>
          <w:rFonts w:hint="eastAsia" w:ascii="宋体" w:hAnsi="宋体" w:cs="宋体"/>
          <w:sz w:val="24"/>
          <w:lang w:eastAsia="zh-CN"/>
        </w:rPr>
        <w:t>克拉玛依市天山路街道昆仑路618号</w:t>
      </w:r>
    </w:p>
    <w:p w14:paraId="03B48AC6">
      <w:pPr>
        <w:keepNext w:val="0"/>
        <w:keepLines w:val="0"/>
        <w:pageBreakBefore w:val="0"/>
        <w:kinsoku/>
        <w:wordWrap/>
        <w:overflowPunct/>
        <w:topLinePunct w:val="0"/>
        <w:autoSpaceDE/>
        <w:autoSpaceDN/>
        <w:bidi w:val="0"/>
        <w:adjustRightInd/>
        <w:snapToGrid/>
        <w:spacing w:line="360" w:lineRule="auto"/>
        <w:ind w:left="1079" w:leftChars="371" w:hanging="300" w:hangingChars="125"/>
        <w:jc w:val="left"/>
        <w:textAlignment w:val="auto"/>
        <w:rPr>
          <w:rFonts w:hint="eastAsia" w:ascii="宋体" w:hAnsi="宋体" w:cs="宋体"/>
          <w:sz w:val="24"/>
          <w:lang w:val="en-US" w:eastAsia="zh-CN"/>
        </w:rPr>
      </w:pPr>
      <w:r>
        <w:rPr>
          <w:rFonts w:hint="eastAsia" w:ascii="宋体" w:hAnsi="宋体" w:cs="宋体"/>
          <w:sz w:val="24"/>
        </w:rPr>
        <w:t>联系方式：</w:t>
      </w:r>
      <w:r>
        <w:rPr>
          <w:rFonts w:hint="eastAsia" w:ascii="宋体" w:hAnsi="宋体" w:cs="宋体"/>
          <w:sz w:val="24"/>
          <w:lang w:val="en-US" w:eastAsia="zh-CN"/>
        </w:rPr>
        <w:t>13325682030</w:t>
      </w:r>
    </w:p>
    <w:p w14:paraId="13A46BB1">
      <w:pPr>
        <w:keepNext w:val="0"/>
        <w:keepLines w:val="0"/>
        <w:pageBreakBefore w:val="0"/>
        <w:kinsoku/>
        <w:wordWrap/>
        <w:overflowPunct/>
        <w:topLinePunct w:val="0"/>
        <w:autoSpaceDE/>
        <w:autoSpaceDN/>
        <w:bidi w:val="0"/>
        <w:adjustRightInd/>
        <w:snapToGrid/>
        <w:spacing w:line="360" w:lineRule="auto"/>
        <w:ind w:left="1079" w:leftChars="371" w:hanging="300" w:hangingChars="125"/>
        <w:jc w:val="left"/>
        <w:textAlignment w:val="auto"/>
        <w:rPr>
          <w:rFonts w:ascii="宋体" w:hAnsi="宋体" w:cs="宋体"/>
          <w:sz w:val="24"/>
        </w:rPr>
      </w:pPr>
      <w:r>
        <w:rPr>
          <w:rFonts w:hint="eastAsia" w:ascii="宋体" w:hAnsi="宋体" w:cs="宋体"/>
          <w:sz w:val="24"/>
        </w:rPr>
        <w:t>2.采购代理机构信息</w:t>
      </w:r>
      <w:bookmarkEnd w:id="31"/>
      <w:bookmarkEnd w:id="32"/>
    </w:p>
    <w:p w14:paraId="3D8F2A87">
      <w:pPr>
        <w:keepNext w:val="0"/>
        <w:keepLines w:val="0"/>
        <w:pageBreakBefore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sz w:val="24"/>
          <w:lang w:eastAsia="zh-CN"/>
        </w:rPr>
      </w:pPr>
      <w:r>
        <w:rPr>
          <w:rFonts w:hint="eastAsia" w:ascii="宋体" w:hAnsi="宋体" w:cs="宋体"/>
          <w:sz w:val="24"/>
        </w:rPr>
        <w:t>名称：</w:t>
      </w:r>
      <w:r>
        <w:rPr>
          <w:rFonts w:hint="eastAsia" w:ascii="宋体" w:hAnsi="宋体" w:cs="宋体"/>
          <w:sz w:val="24"/>
          <w:lang w:eastAsia="zh-CN"/>
        </w:rPr>
        <w:t xml:space="preserve">新疆新咨工程咨询有限公司 </w:t>
      </w:r>
    </w:p>
    <w:p w14:paraId="2D50EB68">
      <w:pPr>
        <w:keepNext w:val="0"/>
        <w:keepLines w:val="0"/>
        <w:pageBreakBefore w:val="0"/>
        <w:kinsoku/>
        <w:wordWrap/>
        <w:overflowPunct/>
        <w:topLinePunct w:val="0"/>
        <w:autoSpaceDE/>
        <w:autoSpaceDN/>
        <w:bidi w:val="0"/>
        <w:adjustRightInd/>
        <w:snapToGrid/>
        <w:spacing w:line="360" w:lineRule="auto"/>
        <w:ind w:firstLine="720" w:firstLineChars="300"/>
        <w:textAlignment w:val="auto"/>
        <w:rPr>
          <w:rFonts w:ascii="宋体" w:hAnsi="宋体" w:cs="宋体"/>
          <w:sz w:val="24"/>
        </w:rPr>
      </w:pPr>
      <w:r>
        <w:rPr>
          <w:rFonts w:hint="eastAsia" w:ascii="宋体" w:hAnsi="宋体" w:cs="宋体"/>
          <w:sz w:val="24"/>
        </w:rPr>
        <w:t>地址：</w:t>
      </w:r>
      <w:r>
        <w:rPr>
          <w:rFonts w:hint="eastAsia" w:ascii="宋体" w:hAnsi="宋体" w:cs="宋体"/>
          <w:sz w:val="24"/>
          <w:lang w:val="en-US" w:eastAsia="zh-CN"/>
        </w:rPr>
        <w:t>克拉玛依市新兴路108-202号</w:t>
      </w:r>
    </w:p>
    <w:p w14:paraId="1CC49A8F">
      <w:pPr>
        <w:keepNext w:val="0"/>
        <w:keepLines w:val="0"/>
        <w:pageBreakBefore w:val="0"/>
        <w:kinsoku/>
        <w:wordWrap/>
        <w:overflowPunct/>
        <w:topLinePunct w:val="0"/>
        <w:autoSpaceDE/>
        <w:autoSpaceDN/>
        <w:bidi w:val="0"/>
        <w:adjustRightInd/>
        <w:snapToGrid/>
        <w:spacing w:line="360" w:lineRule="auto"/>
        <w:ind w:firstLine="720" w:firstLineChars="300"/>
        <w:textAlignment w:val="auto"/>
        <w:rPr>
          <w:rFonts w:ascii="宋体" w:hAnsi="宋体" w:cs="宋体"/>
          <w:sz w:val="24"/>
        </w:rPr>
      </w:pPr>
      <w:r>
        <w:rPr>
          <w:rFonts w:hint="eastAsia" w:ascii="宋体" w:hAnsi="宋体" w:cs="宋体"/>
          <w:sz w:val="24"/>
        </w:rPr>
        <w:t xml:space="preserve">项目联系人：陈鑫 </w:t>
      </w:r>
    </w:p>
    <w:p w14:paraId="6E7C65BE">
      <w:pPr>
        <w:keepNext w:val="0"/>
        <w:keepLines w:val="0"/>
        <w:pageBreakBefore w:val="0"/>
        <w:kinsoku/>
        <w:wordWrap/>
        <w:overflowPunct/>
        <w:topLinePunct w:val="0"/>
        <w:autoSpaceDE/>
        <w:autoSpaceDN/>
        <w:bidi w:val="0"/>
        <w:adjustRightInd/>
        <w:snapToGrid/>
        <w:spacing w:line="360" w:lineRule="auto"/>
        <w:ind w:firstLine="720" w:firstLineChars="300"/>
        <w:textAlignment w:val="auto"/>
        <w:rPr>
          <w:rFonts w:ascii="宋体" w:hAnsi="宋体" w:cs="宋体"/>
          <w:sz w:val="24"/>
        </w:rPr>
      </w:pPr>
      <w:r>
        <w:rPr>
          <w:rFonts w:hint="eastAsia" w:ascii="宋体" w:hAnsi="宋体" w:cs="宋体"/>
          <w:sz w:val="24"/>
        </w:rPr>
        <w:t>联系方式：13199900322</w:t>
      </w:r>
    </w:p>
    <w:p w14:paraId="34398932">
      <w:pPr>
        <w:keepNext w:val="0"/>
        <w:keepLines w:val="0"/>
        <w:pageBreakBefore w:val="0"/>
        <w:kinsoku/>
        <w:wordWrap/>
        <w:overflowPunct/>
        <w:topLinePunct w:val="0"/>
        <w:autoSpaceDE/>
        <w:autoSpaceDN/>
        <w:bidi w:val="0"/>
        <w:adjustRightInd/>
        <w:snapToGrid/>
        <w:spacing w:line="360" w:lineRule="auto"/>
        <w:ind w:firstLine="720" w:firstLineChars="300"/>
        <w:textAlignment w:val="auto"/>
        <w:rPr>
          <w:rFonts w:hint="eastAsia"/>
        </w:rPr>
      </w:pPr>
      <w:r>
        <w:rPr>
          <w:rFonts w:hint="eastAsia" w:ascii="宋体" w:hAnsi="宋体" w:cs="宋体"/>
          <w:sz w:val="24"/>
        </w:rPr>
        <w:t>邮箱：862754334@qq.com</w:t>
      </w:r>
      <w:bookmarkStart w:id="33" w:name="_Toc28429"/>
    </w:p>
    <w:p w14:paraId="197AC25E">
      <w:pPr>
        <w:pageBreakBefore w:val="0"/>
        <w:kinsoku/>
        <w:wordWrap/>
        <w:overflowPunct/>
        <w:topLinePunct w:val="0"/>
        <w:autoSpaceDE/>
        <w:autoSpaceDN/>
        <w:bidi w:val="0"/>
        <w:snapToGrid/>
        <w:spacing w:line="360" w:lineRule="auto"/>
        <w:rPr>
          <w:rFonts w:hint="eastAsia"/>
        </w:rPr>
      </w:pPr>
    </w:p>
    <w:p w14:paraId="4BDAF215">
      <w:pPr>
        <w:pageBreakBefore w:val="0"/>
        <w:kinsoku/>
        <w:wordWrap/>
        <w:overflowPunct/>
        <w:topLinePunct w:val="0"/>
        <w:autoSpaceDE/>
        <w:autoSpaceDN/>
        <w:bidi w:val="0"/>
        <w:snapToGrid/>
        <w:spacing w:line="360" w:lineRule="auto"/>
        <w:rPr>
          <w:rFonts w:hint="eastAsia"/>
        </w:rPr>
      </w:pPr>
    </w:p>
    <w:p w14:paraId="6FCCE031">
      <w:pPr>
        <w:pStyle w:val="5"/>
        <w:pageBreakBefore w:val="0"/>
        <w:numPr>
          <w:ilvl w:val="0"/>
          <w:numId w:val="0"/>
        </w:numPr>
        <w:kinsoku/>
        <w:wordWrap/>
        <w:overflowPunct/>
        <w:topLinePunct w:val="0"/>
        <w:autoSpaceDE/>
        <w:autoSpaceDN/>
        <w:bidi w:val="0"/>
        <w:snapToGrid/>
        <w:spacing w:line="360" w:lineRule="auto"/>
        <w:ind w:leftChars="0"/>
        <w:jc w:val="center"/>
        <w:rPr>
          <w:rFonts w:hint="eastAsia"/>
        </w:rPr>
      </w:pPr>
    </w:p>
    <w:p w14:paraId="617EC271">
      <w:pPr>
        <w:rPr>
          <w:rFonts w:hint="eastAsia"/>
        </w:rPr>
      </w:pPr>
    </w:p>
    <w:p w14:paraId="34680C5D">
      <w:pPr>
        <w:pStyle w:val="2"/>
        <w:rPr>
          <w:rFonts w:hint="eastAsia"/>
        </w:rPr>
      </w:pPr>
    </w:p>
    <w:p w14:paraId="709D51C2">
      <w:pPr>
        <w:rPr>
          <w:rFonts w:hint="eastAsia"/>
        </w:rPr>
      </w:pPr>
    </w:p>
    <w:p w14:paraId="27115CCD">
      <w:pPr>
        <w:pStyle w:val="2"/>
        <w:rPr>
          <w:rFonts w:hint="eastAsia"/>
        </w:rPr>
      </w:pPr>
    </w:p>
    <w:p w14:paraId="32E66C33">
      <w:pPr>
        <w:rPr>
          <w:rFonts w:hint="eastAsia"/>
        </w:rPr>
      </w:pPr>
    </w:p>
    <w:p w14:paraId="6C810A48">
      <w:pPr>
        <w:pStyle w:val="2"/>
        <w:rPr>
          <w:rFonts w:hint="eastAsia"/>
        </w:rPr>
      </w:pPr>
    </w:p>
    <w:p w14:paraId="40DFFAE1">
      <w:pPr>
        <w:rPr>
          <w:rFonts w:hint="eastAsia"/>
        </w:rPr>
      </w:pPr>
    </w:p>
    <w:p w14:paraId="4F0CA939">
      <w:pPr>
        <w:pStyle w:val="2"/>
        <w:rPr>
          <w:rFonts w:hint="eastAsia"/>
        </w:rPr>
      </w:pPr>
    </w:p>
    <w:p w14:paraId="76495D3A">
      <w:pPr>
        <w:rPr>
          <w:rFonts w:hint="eastAsia"/>
        </w:rPr>
      </w:pPr>
    </w:p>
    <w:p w14:paraId="64CEFC05">
      <w:pPr>
        <w:pStyle w:val="2"/>
        <w:rPr>
          <w:rFonts w:hint="eastAsia"/>
        </w:rPr>
      </w:pPr>
    </w:p>
    <w:p w14:paraId="739CD802">
      <w:pPr>
        <w:pStyle w:val="5"/>
        <w:numPr>
          <w:ilvl w:val="0"/>
          <w:numId w:val="0"/>
        </w:numPr>
        <w:bidi w:val="0"/>
        <w:ind w:leftChars="0"/>
        <w:jc w:val="center"/>
      </w:pPr>
      <w:r>
        <w:rPr>
          <w:rFonts w:hint="eastAsia"/>
        </w:rPr>
        <w:t xml:space="preserve">第二章 </w:t>
      </w:r>
      <w:bookmarkStart w:id="34" w:name="_Toc154996575"/>
      <w:r>
        <w:rPr>
          <w:rFonts w:hint="eastAsia"/>
        </w:rPr>
        <w:t>投标人须知</w:t>
      </w:r>
      <w:bookmarkEnd w:id="33"/>
    </w:p>
    <w:p w14:paraId="2A2BB714">
      <w:pPr>
        <w:jc w:val="center"/>
        <w:rPr>
          <w:rFonts w:ascii="宋体" w:hAnsi="宋体" w:cs="宋体"/>
          <w:b/>
          <w:sz w:val="28"/>
          <w:szCs w:val="28"/>
        </w:rPr>
      </w:pPr>
      <w:r>
        <w:rPr>
          <w:rFonts w:hint="eastAsia" w:ascii="宋体" w:hAnsi="宋体" w:cs="宋体"/>
          <w:b/>
          <w:sz w:val="28"/>
          <w:szCs w:val="28"/>
        </w:rPr>
        <w:t>前附表</w:t>
      </w:r>
    </w:p>
    <w:tbl>
      <w:tblPr>
        <w:tblStyle w:val="21"/>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8949"/>
      </w:tblGrid>
      <w:tr w14:paraId="616C0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790" w:type="dxa"/>
            <w:vAlign w:val="center"/>
          </w:tcPr>
          <w:p w14:paraId="1CD8FD9A">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8949" w:type="dxa"/>
            <w:vAlign w:val="center"/>
          </w:tcPr>
          <w:p w14:paraId="1FB3E3FA">
            <w:pPr>
              <w:bidi w:val="0"/>
              <w:spacing w:line="360" w:lineRule="auto"/>
              <w:rPr>
                <w:rFonts w:hint="eastAsia" w:ascii="宋体" w:hAnsi="宋体" w:eastAsia="宋体" w:cs="宋体"/>
                <w:sz w:val="24"/>
                <w:szCs w:val="24"/>
              </w:rPr>
            </w:pPr>
            <w:r>
              <w:rPr>
                <w:rFonts w:hint="eastAsia" w:ascii="宋体" w:hAnsi="宋体" w:eastAsia="宋体" w:cs="宋体"/>
                <w:sz w:val="24"/>
                <w:szCs w:val="24"/>
              </w:rPr>
              <w:t>内  容</w:t>
            </w:r>
          </w:p>
        </w:tc>
      </w:tr>
      <w:tr w14:paraId="24806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790" w:type="dxa"/>
            <w:vAlign w:val="center"/>
          </w:tcPr>
          <w:p w14:paraId="56618015">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8949" w:type="dxa"/>
            <w:vAlign w:val="center"/>
          </w:tcPr>
          <w:p w14:paraId="30D7EA29">
            <w:pPr>
              <w:bidi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项目名称：</w:t>
            </w:r>
            <w:r>
              <w:rPr>
                <w:rFonts w:hint="eastAsia" w:ascii="宋体" w:hAnsi="宋体" w:cs="宋体"/>
                <w:sz w:val="24"/>
                <w:szCs w:val="24"/>
                <w:lang w:eastAsia="zh-CN"/>
              </w:rPr>
              <w:t>林草业务专项-城市绿色生态质量提升工程（克拉玛依市人与自然和谐共生生态保护项目）设备采购</w:t>
            </w:r>
          </w:p>
          <w:p w14:paraId="0BC137F0">
            <w:pPr>
              <w:bidi w:val="0"/>
              <w:spacing w:line="360" w:lineRule="auto"/>
              <w:rPr>
                <w:rFonts w:hint="eastAsia" w:ascii="宋体" w:hAnsi="宋体" w:eastAsia="宋体" w:cs="宋体"/>
                <w:sz w:val="24"/>
                <w:szCs w:val="24"/>
                <w:lang w:val="en-US"/>
              </w:rPr>
            </w:pPr>
            <w:r>
              <w:rPr>
                <w:rFonts w:hint="eastAsia" w:ascii="宋体" w:hAnsi="宋体" w:eastAsia="宋体" w:cs="宋体"/>
                <w:sz w:val="24"/>
                <w:szCs w:val="24"/>
              </w:rPr>
              <w:t>招标文件编号：</w:t>
            </w:r>
            <w:r>
              <w:rPr>
                <w:rFonts w:hint="eastAsia" w:ascii="宋体" w:hAnsi="宋体" w:eastAsia="宋体" w:cs="宋体"/>
                <w:sz w:val="24"/>
                <w:szCs w:val="24"/>
                <w:lang w:eastAsia="zh-CN"/>
              </w:rPr>
              <w:t>XZZB-FW-202500</w:t>
            </w:r>
            <w:r>
              <w:rPr>
                <w:rFonts w:hint="eastAsia" w:ascii="宋体" w:hAnsi="宋体" w:cs="宋体"/>
                <w:sz w:val="24"/>
                <w:szCs w:val="24"/>
                <w:lang w:val="en-US" w:eastAsia="zh-CN"/>
              </w:rPr>
              <w:t>2</w:t>
            </w:r>
          </w:p>
        </w:tc>
      </w:tr>
      <w:tr w14:paraId="4D22D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90" w:type="dxa"/>
            <w:vAlign w:val="center"/>
          </w:tcPr>
          <w:p w14:paraId="0767837D">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8949" w:type="dxa"/>
            <w:vAlign w:val="center"/>
          </w:tcPr>
          <w:p w14:paraId="3E5AC655">
            <w:pPr>
              <w:bidi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采购人：</w:t>
            </w:r>
            <w:r>
              <w:rPr>
                <w:rFonts w:hint="eastAsia" w:ascii="宋体" w:hAnsi="宋体" w:eastAsia="宋体" w:cs="宋体"/>
                <w:sz w:val="24"/>
                <w:szCs w:val="24"/>
                <w:lang w:eastAsia="zh-CN"/>
              </w:rPr>
              <w:t>克拉玛依市林业和草原局</w:t>
            </w:r>
          </w:p>
          <w:p w14:paraId="7054F505">
            <w:pPr>
              <w:bidi w:val="0"/>
              <w:spacing w:line="360" w:lineRule="auto"/>
              <w:rPr>
                <w:rFonts w:hint="eastAsia"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lang w:eastAsia="zh-CN"/>
              </w:rPr>
              <w:t>克拉玛依市天山路街道昆仑路618号</w:t>
            </w:r>
            <w:r>
              <w:rPr>
                <w:rFonts w:hint="eastAsia" w:ascii="宋体" w:hAnsi="宋体" w:eastAsia="宋体" w:cs="宋体"/>
                <w:sz w:val="24"/>
                <w:szCs w:val="24"/>
              </w:rPr>
              <w:t xml:space="preserve">  </w:t>
            </w:r>
          </w:p>
          <w:p w14:paraId="5DE44AAD">
            <w:pPr>
              <w:bidi w:val="0"/>
              <w:spacing w:line="360" w:lineRule="auto"/>
              <w:rPr>
                <w:rFonts w:hint="eastAsia"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涂锦娜</w:t>
            </w:r>
            <w:r>
              <w:rPr>
                <w:rFonts w:hint="eastAsia" w:ascii="宋体" w:hAnsi="宋体" w:eastAsia="宋体" w:cs="宋体"/>
                <w:sz w:val="24"/>
                <w:szCs w:val="24"/>
              </w:rPr>
              <w:t xml:space="preserve">      联系电话：</w:t>
            </w:r>
            <w:r>
              <w:rPr>
                <w:rFonts w:hint="eastAsia" w:ascii="宋体" w:hAnsi="宋体" w:eastAsia="宋体" w:cs="宋体"/>
                <w:sz w:val="24"/>
                <w:szCs w:val="24"/>
                <w:lang w:val="en-US" w:eastAsia="zh-CN"/>
              </w:rPr>
              <w:t>13325682030</w:t>
            </w:r>
          </w:p>
        </w:tc>
      </w:tr>
      <w:tr w14:paraId="10FC6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790" w:type="dxa"/>
            <w:vAlign w:val="center"/>
          </w:tcPr>
          <w:p w14:paraId="77F28D52">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8949" w:type="dxa"/>
            <w:vAlign w:val="center"/>
          </w:tcPr>
          <w:p w14:paraId="71B57232">
            <w:pPr>
              <w:bidi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采购代理机构：</w:t>
            </w:r>
            <w:r>
              <w:rPr>
                <w:rFonts w:hint="eastAsia" w:ascii="宋体" w:hAnsi="宋体" w:eastAsia="宋体" w:cs="宋体"/>
                <w:sz w:val="24"/>
                <w:szCs w:val="24"/>
                <w:lang w:eastAsia="zh-CN"/>
              </w:rPr>
              <w:t xml:space="preserve">新疆新咨工程咨询有限公司 </w:t>
            </w:r>
          </w:p>
          <w:p w14:paraId="6130E2BE">
            <w:pPr>
              <w:bidi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地    址：</w:t>
            </w:r>
            <w:r>
              <w:rPr>
                <w:rFonts w:hint="eastAsia" w:ascii="宋体" w:hAnsi="宋体" w:eastAsia="宋体" w:cs="宋体"/>
                <w:sz w:val="24"/>
                <w:szCs w:val="24"/>
                <w:highlight w:val="none"/>
                <w:lang w:val="en-US" w:eastAsia="zh-CN"/>
              </w:rPr>
              <w:t>克拉玛依市新兴路108-202号</w:t>
            </w:r>
          </w:p>
          <w:p w14:paraId="068F4815">
            <w:pPr>
              <w:bidi w:val="0"/>
              <w:spacing w:line="360" w:lineRule="auto"/>
              <w:rPr>
                <w:rFonts w:hint="eastAsia" w:ascii="宋体" w:hAnsi="宋体" w:eastAsia="宋体" w:cs="宋体"/>
                <w:sz w:val="24"/>
                <w:szCs w:val="24"/>
                <w:lang w:eastAsia="zh-CN"/>
              </w:rPr>
            </w:pPr>
            <w:r>
              <w:rPr>
                <w:rFonts w:hint="eastAsia" w:ascii="宋体" w:hAnsi="宋体" w:eastAsia="宋体" w:cs="宋体"/>
                <w:sz w:val="24"/>
                <w:szCs w:val="24"/>
              </w:rPr>
              <w:t>联 系 人：</w:t>
            </w:r>
            <w:r>
              <w:rPr>
                <w:rFonts w:hint="eastAsia" w:ascii="宋体" w:hAnsi="宋体" w:eastAsia="宋体" w:cs="宋体"/>
                <w:sz w:val="24"/>
                <w:szCs w:val="24"/>
                <w:lang w:eastAsia="zh-CN"/>
              </w:rPr>
              <w:t>陈鑫</w:t>
            </w:r>
          </w:p>
          <w:p w14:paraId="40550583">
            <w:pPr>
              <w:bidi w:val="0"/>
              <w:spacing w:line="360" w:lineRule="auto"/>
              <w:rPr>
                <w:rFonts w:hint="eastAsia" w:ascii="宋体" w:hAnsi="宋体" w:eastAsia="宋体" w:cs="宋体"/>
                <w:sz w:val="24"/>
                <w:szCs w:val="24"/>
              </w:rPr>
            </w:pPr>
            <w:r>
              <w:rPr>
                <w:rFonts w:hint="eastAsia" w:ascii="宋体" w:hAnsi="宋体" w:eastAsia="宋体" w:cs="宋体"/>
                <w:sz w:val="24"/>
                <w:szCs w:val="24"/>
              </w:rPr>
              <w:t>联系电话：</w:t>
            </w:r>
            <w:r>
              <w:rPr>
                <w:rFonts w:hint="eastAsia" w:ascii="宋体" w:hAnsi="宋体" w:eastAsia="宋体" w:cs="宋体"/>
                <w:sz w:val="24"/>
                <w:szCs w:val="24"/>
                <w:lang w:eastAsia="zh-CN"/>
              </w:rPr>
              <w:t>1319</w:t>
            </w:r>
            <w:r>
              <w:rPr>
                <w:rFonts w:hint="eastAsia" w:ascii="宋体" w:hAnsi="宋体" w:eastAsia="宋体" w:cs="宋体"/>
                <w:sz w:val="24"/>
                <w:szCs w:val="24"/>
                <w:lang w:val="en-US" w:eastAsia="zh-CN"/>
              </w:rPr>
              <w:t>9</w:t>
            </w:r>
            <w:r>
              <w:rPr>
                <w:rFonts w:hint="eastAsia" w:ascii="宋体" w:hAnsi="宋体" w:eastAsia="宋体" w:cs="宋体"/>
                <w:sz w:val="24"/>
                <w:szCs w:val="24"/>
                <w:lang w:eastAsia="zh-CN"/>
              </w:rPr>
              <w:t>900322</w:t>
            </w:r>
          </w:p>
        </w:tc>
      </w:tr>
      <w:tr w14:paraId="1394F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790" w:type="dxa"/>
            <w:vAlign w:val="center"/>
          </w:tcPr>
          <w:p w14:paraId="31C92E5D">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8949" w:type="dxa"/>
            <w:vAlign w:val="center"/>
          </w:tcPr>
          <w:p w14:paraId="37007978">
            <w:pPr>
              <w:bidi w:val="0"/>
              <w:spacing w:line="360" w:lineRule="auto"/>
              <w:rPr>
                <w:rFonts w:hint="eastAsia" w:ascii="宋体" w:hAnsi="宋体" w:eastAsia="宋体" w:cs="宋体"/>
                <w:sz w:val="24"/>
                <w:szCs w:val="24"/>
              </w:rPr>
            </w:pPr>
            <w:r>
              <w:rPr>
                <w:rFonts w:hint="eastAsia" w:ascii="宋体" w:hAnsi="宋体" w:eastAsia="宋体" w:cs="宋体"/>
                <w:sz w:val="24"/>
                <w:szCs w:val="24"/>
              </w:rPr>
              <w:t>投标文件有效期：递交投标文件截止之日起90天（日历日）</w:t>
            </w:r>
          </w:p>
        </w:tc>
      </w:tr>
      <w:tr w14:paraId="7FE86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790" w:type="dxa"/>
            <w:vAlign w:val="center"/>
          </w:tcPr>
          <w:p w14:paraId="4DC5B8C5">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8949" w:type="dxa"/>
            <w:vAlign w:val="center"/>
          </w:tcPr>
          <w:p w14:paraId="57E630CD">
            <w:pPr>
              <w:bidi w:val="0"/>
              <w:spacing w:line="360" w:lineRule="auto"/>
              <w:rPr>
                <w:rFonts w:hint="eastAsia" w:ascii="宋体" w:hAnsi="宋体" w:eastAsia="宋体" w:cs="宋体"/>
                <w:sz w:val="24"/>
                <w:szCs w:val="24"/>
              </w:rPr>
            </w:pPr>
            <w:r>
              <w:rPr>
                <w:rFonts w:hint="eastAsia" w:ascii="宋体" w:hAnsi="宋体" w:eastAsia="宋体" w:cs="宋体"/>
                <w:sz w:val="24"/>
                <w:szCs w:val="24"/>
              </w:rPr>
              <w:t>采购人不统一组织考察，各投标人自行对招标项目进行考察。</w:t>
            </w:r>
          </w:p>
          <w:p w14:paraId="28EA177F">
            <w:pPr>
              <w:bidi w:val="0"/>
              <w:spacing w:line="360" w:lineRule="auto"/>
              <w:rPr>
                <w:rFonts w:hint="eastAsia" w:ascii="宋体" w:hAnsi="宋体" w:eastAsia="宋体" w:cs="宋体"/>
                <w:sz w:val="24"/>
                <w:szCs w:val="24"/>
              </w:rPr>
            </w:pPr>
            <w:r>
              <w:rPr>
                <w:rFonts w:hint="eastAsia" w:ascii="宋体" w:hAnsi="宋体" w:eastAsia="宋体" w:cs="宋体"/>
                <w:sz w:val="24"/>
                <w:szCs w:val="24"/>
              </w:rPr>
              <w:t>各投标人如有疑问，于202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rPr>
              <w:t>月</w:t>
            </w:r>
            <w:r>
              <w:rPr>
                <w:rFonts w:hint="eastAsia" w:ascii="宋体" w:hAnsi="宋体" w:cs="宋体"/>
                <w:sz w:val="24"/>
                <w:szCs w:val="24"/>
                <w:lang w:val="en-US" w:eastAsia="zh-CN"/>
              </w:rPr>
              <w:t>07</w:t>
            </w:r>
            <w:r>
              <w:rPr>
                <w:rFonts w:hint="eastAsia" w:ascii="宋体" w:hAnsi="宋体" w:eastAsia="宋体" w:cs="宋体"/>
                <w:sz w:val="24"/>
                <w:szCs w:val="24"/>
              </w:rPr>
              <w:t>日19：00前将有关疑问以扫描件形式（必须加盖投标人公章）发送到邮箱：862754334@qq.com ，采购人将对所提疑问以书面形式通知至领取招标文件的每位投标人，超过此时间所提疑问采购人或招标代理机构均不予答复。</w:t>
            </w:r>
          </w:p>
          <w:p w14:paraId="0C7171A0">
            <w:pPr>
              <w:bidi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联系人：陈鑫   联系电话：</w:t>
            </w:r>
            <w:r>
              <w:rPr>
                <w:rFonts w:hint="eastAsia" w:ascii="宋体" w:hAnsi="宋体" w:eastAsia="宋体" w:cs="宋体"/>
                <w:sz w:val="24"/>
                <w:szCs w:val="24"/>
                <w:lang w:val="en-US" w:eastAsia="zh-CN"/>
              </w:rPr>
              <w:t>13199900322</w:t>
            </w:r>
          </w:p>
        </w:tc>
      </w:tr>
      <w:tr w14:paraId="39626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90" w:type="dxa"/>
            <w:vAlign w:val="center"/>
          </w:tcPr>
          <w:p w14:paraId="79DE48C9">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8949" w:type="dxa"/>
            <w:vAlign w:val="center"/>
          </w:tcPr>
          <w:p w14:paraId="7BAFD673">
            <w:pPr>
              <w:bidi w:val="0"/>
              <w:spacing w:line="360" w:lineRule="auto"/>
              <w:rPr>
                <w:rFonts w:hint="eastAsia" w:ascii="宋体" w:hAnsi="宋体" w:eastAsia="宋体" w:cs="宋体"/>
                <w:sz w:val="24"/>
                <w:szCs w:val="24"/>
              </w:rPr>
            </w:pPr>
            <w:r>
              <w:rPr>
                <w:rFonts w:hint="eastAsia" w:ascii="宋体" w:hAnsi="宋体" w:eastAsia="宋体" w:cs="宋体"/>
                <w:sz w:val="24"/>
                <w:szCs w:val="24"/>
              </w:rPr>
              <w:t>本项目为电子招投标项目投标人的法人代表人或其委托代理人无需到开标现场递交投标文件。</w:t>
            </w:r>
          </w:p>
        </w:tc>
      </w:tr>
      <w:tr w14:paraId="143BB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790" w:type="dxa"/>
            <w:vAlign w:val="center"/>
          </w:tcPr>
          <w:p w14:paraId="28F6993D">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8949" w:type="dxa"/>
            <w:vAlign w:val="center"/>
          </w:tcPr>
          <w:p w14:paraId="104A3604">
            <w:pPr>
              <w:bidi w:val="0"/>
              <w:spacing w:line="360" w:lineRule="auto"/>
              <w:rPr>
                <w:rFonts w:hint="eastAsia" w:ascii="宋体" w:hAnsi="宋体" w:eastAsia="宋体" w:cs="宋体"/>
                <w:sz w:val="24"/>
                <w:szCs w:val="24"/>
              </w:rPr>
            </w:pPr>
            <w:r>
              <w:rPr>
                <w:rFonts w:hint="eastAsia" w:ascii="宋体" w:hAnsi="宋体" w:eastAsia="宋体" w:cs="宋体"/>
                <w:sz w:val="24"/>
                <w:szCs w:val="24"/>
              </w:rPr>
              <w:t>递交响应文件截止时间</w:t>
            </w:r>
            <w:r>
              <w:rPr>
                <w:rFonts w:hint="eastAsia" w:ascii="宋体" w:hAnsi="宋体" w:cs="宋体"/>
                <w:sz w:val="24"/>
                <w:szCs w:val="24"/>
                <w:lang w:eastAsia="zh-CN"/>
              </w:rPr>
              <w:t>：</w:t>
            </w: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rPr>
              <w:t>月</w:t>
            </w:r>
            <w:r>
              <w:rPr>
                <w:rFonts w:hint="eastAsia" w:ascii="宋体" w:hAnsi="宋体" w:cs="宋体"/>
                <w:sz w:val="24"/>
                <w:szCs w:val="24"/>
                <w:lang w:val="en-US" w:eastAsia="zh-CN"/>
              </w:rPr>
              <w:t>22</w:t>
            </w:r>
            <w:r>
              <w:rPr>
                <w:rFonts w:hint="eastAsia" w:ascii="宋体" w:hAnsi="宋体" w:eastAsia="宋体" w:cs="宋体"/>
                <w:sz w:val="24"/>
                <w:szCs w:val="24"/>
              </w:rPr>
              <w:t>日10:</w:t>
            </w:r>
            <w:r>
              <w:rPr>
                <w:rFonts w:hint="eastAsia" w:ascii="宋体" w:hAnsi="宋体" w:eastAsia="宋体" w:cs="宋体"/>
                <w:sz w:val="24"/>
                <w:szCs w:val="24"/>
                <w:lang w:val="en-US" w:eastAsia="zh-CN"/>
              </w:rPr>
              <w:t>30</w:t>
            </w:r>
          </w:p>
          <w:p w14:paraId="3CDAD3C1">
            <w:pPr>
              <w:bidi w:val="0"/>
              <w:spacing w:line="360" w:lineRule="auto"/>
              <w:rPr>
                <w:rFonts w:hint="eastAsia" w:ascii="宋体" w:hAnsi="宋体" w:eastAsia="宋体" w:cs="宋体"/>
                <w:sz w:val="24"/>
                <w:szCs w:val="24"/>
              </w:rPr>
            </w:pPr>
            <w:r>
              <w:rPr>
                <w:rFonts w:hint="eastAsia" w:ascii="宋体" w:hAnsi="宋体" w:eastAsia="宋体" w:cs="宋体"/>
                <w:sz w:val="24"/>
                <w:szCs w:val="24"/>
              </w:rPr>
              <w:t>递交响应文件地点：新疆政府采购网政采云平台（www.zcygov.cn）</w:t>
            </w:r>
          </w:p>
        </w:tc>
      </w:tr>
      <w:tr w14:paraId="4E5B2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0" w:type="dxa"/>
            <w:vAlign w:val="center"/>
          </w:tcPr>
          <w:p w14:paraId="0F050CFD">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8</w:t>
            </w:r>
          </w:p>
        </w:tc>
        <w:tc>
          <w:tcPr>
            <w:tcW w:w="8949" w:type="dxa"/>
            <w:vAlign w:val="center"/>
          </w:tcPr>
          <w:p w14:paraId="5F1610BE">
            <w:pPr>
              <w:bidi w:val="0"/>
              <w:spacing w:line="360" w:lineRule="auto"/>
              <w:rPr>
                <w:rFonts w:hint="eastAsia" w:ascii="宋体" w:hAnsi="宋体" w:eastAsia="宋体" w:cs="宋体"/>
                <w:sz w:val="24"/>
                <w:szCs w:val="24"/>
              </w:rPr>
            </w:pPr>
            <w:r>
              <w:rPr>
                <w:rFonts w:hint="eastAsia" w:ascii="宋体" w:hAnsi="宋体" w:eastAsia="宋体" w:cs="宋体"/>
                <w:sz w:val="24"/>
                <w:szCs w:val="24"/>
              </w:rPr>
              <w:t>投标人应当在投标截止时间前，将生成的“电子加密投标文件”上传递交至“政府采购云平台”，投标截止时间以后上传递交的投标文件将被“政府采购云平台”拒收。</w:t>
            </w:r>
          </w:p>
        </w:tc>
      </w:tr>
      <w:tr w14:paraId="0DBD5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790" w:type="dxa"/>
            <w:vAlign w:val="center"/>
          </w:tcPr>
          <w:p w14:paraId="122569C6">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9</w:t>
            </w:r>
          </w:p>
        </w:tc>
        <w:tc>
          <w:tcPr>
            <w:tcW w:w="8949" w:type="dxa"/>
            <w:vAlign w:val="center"/>
          </w:tcPr>
          <w:p w14:paraId="40EF2AE6">
            <w:pPr>
              <w:bidi w:val="0"/>
              <w:spacing w:line="360" w:lineRule="auto"/>
              <w:rPr>
                <w:rFonts w:hint="eastAsia" w:ascii="宋体" w:hAnsi="宋体" w:eastAsia="宋体" w:cs="宋体"/>
                <w:sz w:val="24"/>
                <w:szCs w:val="24"/>
              </w:rPr>
            </w:pPr>
            <w:r>
              <w:rPr>
                <w:rFonts w:hint="eastAsia" w:ascii="宋体" w:hAnsi="宋体" w:eastAsia="宋体" w:cs="宋体"/>
                <w:sz w:val="24"/>
                <w:szCs w:val="24"/>
              </w:rPr>
              <w:t>投标人登录政采云平台，在开标时间后30分钟内（202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rPr>
              <w:t>月</w:t>
            </w:r>
            <w:r>
              <w:rPr>
                <w:rFonts w:hint="eastAsia" w:ascii="宋体" w:hAnsi="宋体" w:cs="宋体"/>
                <w:sz w:val="24"/>
                <w:szCs w:val="24"/>
                <w:lang w:val="en-US" w:eastAsia="zh-CN"/>
              </w:rPr>
              <w:t>22</w:t>
            </w:r>
            <w:r>
              <w:rPr>
                <w:rFonts w:hint="eastAsia" w:ascii="宋体" w:hAnsi="宋体" w:eastAsia="宋体" w:cs="宋体"/>
                <w:sz w:val="24"/>
                <w:szCs w:val="24"/>
              </w:rPr>
              <w:t>日10:30-11：00）用“项目采购-开标评标”功能进行解密投标文件。若投标人在规定时间内（202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cs="宋体"/>
                <w:sz w:val="24"/>
                <w:szCs w:val="24"/>
                <w:lang w:val="en-US" w:eastAsia="zh-CN"/>
              </w:rPr>
              <w:t>04</w:t>
            </w:r>
            <w:r>
              <w:rPr>
                <w:rFonts w:hint="eastAsia" w:ascii="宋体" w:hAnsi="宋体" w:eastAsia="宋体" w:cs="宋体"/>
                <w:sz w:val="24"/>
                <w:szCs w:val="24"/>
              </w:rPr>
              <w:t>月</w:t>
            </w:r>
            <w:r>
              <w:rPr>
                <w:rFonts w:hint="eastAsia" w:ascii="宋体" w:hAnsi="宋体" w:cs="宋体"/>
                <w:sz w:val="24"/>
                <w:szCs w:val="24"/>
                <w:lang w:val="en-US" w:eastAsia="zh-CN"/>
              </w:rPr>
              <w:t>22</w:t>
            </w:r>
            <w:r>
              <w:rPr>
                <w:rFonts w:hint="eastAsia" w:ascii="宋体" w:hAnsi="宋体" w:eastAsia="宋体" w:cs="宋体"/>
                <w:sz w:val="24"/>
                <w:szCs w:val="24"/>
              </w:rPr>
              <w:t>日10:30-11：00）未按时解密的，视为无效投标。解密与加密投标文件须使用同一个CA。     </w:t>
            </w:r>
          </w:p>
        </w:tc>
      </w:tr>
      <w:tr w14:paraId="2B638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90" w:type="dxa"/>
            <w:vAlign w:val="center"/>
          </w:tcPr>
          <w:p w14:paraId="15DD846A">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10</w:t>
            </w:r>
          </w:p>
        </w:tc>
        <w:tc>
          <w:tcPr>
            <w:tcW w:w="8949" w:type="dxa"/>
            <w:vAlign w:val="center"/>
          </w:tcPr>
          <w:p w14:paraId="13610E0D">
            <w:pPr>
              <w:bidi w:val="0"/>
              <w:spacing w:line="360" w:lineRule="auto"/>
              <w:rPr>
                <w:rFonts w:hint="eastAsia" w:ascii="宋体" w:hAnsi="宋体" w:eastAsia="宋体" w:cs="宋体"/>
                <w:sz w:val="24"/>
                <w:szCs w:val="24"/>
              </w:rPr>
            </w:pPr>
            <w:r>
              <w:rPr>
                <w:rFonts w:hint="eastAsia" w:ascii="宋体" w:hAnsi="宋体" w:eastAsia="宋体" w:cs="宋体"/>
                <w:sz w:val="24"/>
                <w:szCs w:val="24"/>
              </w:rPr>
              <w:t>本项目预算金额</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258</w:t>
            </w:r>
            <w:r>
              <w:rPr>
                <w:rFonts w:hint="eastAsia" w:ascii="宋体" w:hAnsi="宋体" w:eastAsia="宋体" w:cs="宋体"/>
                <w:sz w:val="24"/>
                <w:szCs w:val="24"/>
              </w:rPr>
              <w:t>万元（最高限价）</w:t>
            </w:r>
            <w:r>
              <w:rPr>
                <w:rFonts w:hint="eastAsia" w:ascii="宋体" w:hAnsi="宋体" w:eastAsia="宋体" w:cs="宋体"/>
                <w:sz w:val="24"/>
                <w:szCs w:val="24"/>
                <w:lang w:eastAsia="zh-CN"/>
              </w:rPr>
              <w:t>，</w:t>
            </w:r>
            <w:r>
              <w:rPr>
                <w:rFonts w:hint="eastAsia" w:ascii="宋体" w:hAnsi="宋体" w:eastAsia="宋体" w:cs="宋体"/>
                <w:sz w:val="24"/>
                <w:szCs w:val="24"/>
              </w:rPr>
              <w:t>各投标人的投标报价超出此范围将作废标处理。</w:t>
            </w:r>
          </w:p>
        </w:tc>
      </w:tr>
      <w:tr w14:paraId="26525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790" w:type="dxa"/>
            <w:vAlign w:val="center"/>
          </w:tcPr>
          <w:p w14:paraId="2596BF51">
            <w:pPr>
              <w:bidi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11</w:t>
            </w:r>
          </w:p>
        </w:tc>
        <w:tc>
          <w:tcPr>
            <w:tcW w:w="8949" w:type="dxa"/>
            <w:vAlign w:val="center"/>
          </w:tcPr>
          <w:p w14:paraId="68DB3723">
            <w:pPr>
              <w:numPr>
                <w:ilvl w:val="0"/>
                <w:numId w:val="5"/>
              </w:numPr>
              <w:bidi w:val="0"/>
              <w:spacing w:line="360" w:lineRule="auto"/>
              <w:ind w:left="0" w:leftChars="0" w:firstLine="400" w:firstLineChars="0"/>
              <w:rPr>
                <w:rFonts w:hint="eastAsia" w:ascii="宋体" w:hAnsi="宋体" w:eastAsia="宋体" w:cs="宋体"/>
                <w:sz w:val="24"/>
                <w:szCs w:val="24"/>
              </w:rPr>
            </w:pPr>
            <w:r>
              <w:rPr>
                <w:rFonts w:hint="eastAsia" w:ascii="宋体" w:hAnsi="宋体" w:eastAsia="宋体" w:cs="宋体"/>
                <w:sz w:val="24"/>
                <w:szCs w:val="24"/>
              </w:rPr>
              <w:t>采购代理费：经与采购人协商，本项目采购代理服务费由中标</w:t>
            </w:r>
            <w:r>
              <w:rPr>
                <w:rFonts w:hint="eastAsia" w:ascii="宋体" w:hAnsi="宋体" w:eastAsia="宋体" w:cs="宋体"/>
                <w:sz w:val="24"/>
                <w:szCs w:val="24"/>
                <w:lang w:eastAsia="zh-CN"/>
              </w:rPr>
              <w:t>投标人</w:t>
            </w:r>
            <w:r>
              <w:rPr>
                <w:rFonts w:hint="eastAsia" w:ascii="宋体" w:hAnsi="宋体" w:eastAsia="宋体" w:cs="宋体"/>
                <w:sz w:val="24"/>
                <w:szCs w:val="24"/>
              </w:rPr>
              <w:t>在领取中标通知书同时向采购代理机构支付，代理服务费为：</w:t>
            </w:r>
            <w:r>
              <w:rPr>
                <w:rFonts w:hint="eastAsia" w:ascii="宋体" w:hAnsi="宋体" w:cs="宋体"/>
                <w:sz w:val="24"/>
                <w:highlight w:val="none"/>
                <w:lang w:val="en-US" w:eastAsia="zh-CN"/>
              </w:rPr>
              <w:t>29142</w:t>
            </w:r>
            <w:r>
              <w:rPr>
                <w:rFonts w:hint="eastAsia" w:ascii="宋体" w:hAnsi="宋体" w:eastAsia="宋体" w:cs="宋体"/>
                <w:sz w:val="24"/>
                <w:szCs w:val="24"/>
              </w:rPr>
              <w:t>元，大写</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人民币</w:t>
            </w:r>
            <w:r>
              <w:rPr>
                <w:rFonts w:hint="eastAsia" w:ascii="宋体" w:hAnsi="宋体" w:cs="宋体"/>
                <w:sz w:val="24"/>
                <w:szCs w:val="24"/>
                <w:lang w:val="en-US" w:eastAsia="zh-CN"/>
              </w:rPr>
              <w:t>贰万玖仟壹佰肆拾贰</w:t>
            </w:r>
            <w:r>
              <w:rPr>
                <w:rFonts w:hint="eastAsia" w:ascii="宋体" w:hAnsi="宋体" w:eastAsia="宋体" w:cs="宋体"/>
                <w:sz w:val="24"/>
                <w:szCs w:val="24"/>
                <w:lang w:val="en-US" w:eastAsia="zh-CN"/>
              </w:rPr>
              <w:t>元</w:t>
            </w:r>
            <w:r>
              <w:rPr>
                <w:rFonts w:hint="eastAsia" w:ascii="宋体" w:hAnsi="宋体" w:eastAsia="宋体" w:cs="宋体"/>
                <w:sz w:val="24"/>
                <w:szCs w:val="24"/>
              </w:rPr>
              <w:t>整。</w:t>
            </w:r>
          </w:p>
          <w:p w14:paraId="461CD62B">
            <w:pPr>
              <w:numPr>
                <w:ilvl w:val="0"/>
                <w:numId w:val="5"/>
              </w:numPr>
              <w:bidi w:val="0"/>
              <w:spacing w:line="360" w:lineRule="auto"/>
              <w:ind w:left="0" w:leftChars="0" w:firstLine="400" w:firstLineChars="0"/>
              <w:rPr>
                <w:rFonts w:hint="eastAsia" w:ascii="宋体" w:hAnsi="宋体" w:eastAsia="宋体" w:cs="宋体"/>
                <w:sz w:val="24"/>
                <w:szCs w:val="24"/>
              </w:rPr>
            </w:pPr>
            <w:r>
              <w:rPr>
                <w:rFonts w:hint="eastAsia" w:ascii="宋体" w:hAnsi="宋体" w:eastAsia="宋体" w:cs="宋体"/>
                <w:sz w:val="24"/>
                <w:szCs w:val="24"/>
              </w:rPr>
              <w:t>中标</w:t>
            </w:r>
            <w:r>
              <w:rPr>
                <w:rFonts w:hint="eastAsia" w:ascii="宋体" w:hAnsi="宋体" w:eastAsia="宋体" w:cs="宋体"/>
                <w:sz w:val="24"/>
                <w:szCs w:val="24"/>
                <w:lang w:val="en-US" w:eastAsia="zh-CN"/>
              </w:rPr>
              <w:t>单位</w:t>
            </w:r>
            <w:r>
              <w:rPr>
                <w:rFonts w:hint="eastAsia" w:ascii="宋体" w:hAnsi="宋体" w:eastAsia="宋体" w:cs="宋体"/>
                <w:sz w:val="24"/>
                <w:szCs w:val="24"/>
              </w:rPr>
              <w:t>领取中标通知书时支付</w:t>
            </w:r>
            <w:r>
              <w:rPr>
                <w:rFonts w:hint="eastAsia" w:ascii="宋体" w:hAnsi="宋体" w:eastAsia="宋体" w:cs="宋体"/>
                <w:sz w:val="24"/>
                <w:szCs w:val="24"/>
                <w:lang w:val="en-US" w:eastAsia="zh-CN"/>
              </w:rPr>
              <w:t>招标</w:t>
            </w:r>
            <w:r>
              <w:rPr>
                <w:rFonts w:hint="eastAsia" w:ascii="宋体" w:hAnsi="宋体" w:eastAsia="宋体" w:cs="宋体"/>
                <w:sz w:val="24"/>
                <w:szCs w:val="24"/>
              </w:rPr>
              <w:t>代理费。此部分费用</w:t>
            </w:r>
            <w:r>
              <w:rPr>
                <w:rFonts w:hint="eastAsia" w:ascii="宋体" w:hAnsi="宋体" w:eastAsia="宋体" w:cs="宋体"/>
                <w:sz w:val="24"/>
                <w:szCs w:val="24"/>
                <w:lang w:eastAsia="zh-CN"/>
              </w:rPr>
              <w:t>投标人</w:t>
            </w:r>
            <w:r>
              <w:rPr>
                <w:rFonts w:hint="eastAsia" w:ascii="宋体" w:hAnsi="宋体" w:eastAsia="宋体" w:cs="宋体"/>
                <w:sz w:val="24"/>
                <w:szCs w:val="24"/>
              </w:rPr>
              <w:t>自行考虑计入本次投标报价中，不因</w:t>
            </w:r>
            <w:r>
              <w:rPr>
                <w:rFonts w:hint="eastAsia" w:ascii="宋体" w:hAnsi="宋体" w:eastAsia="宋体" w:cs="宋体"/>
                <w:sz w:val="24"/>
                <w:szCs w:val="24"/>
                <w:lang w:eastAsia="zh-CN"/>
              </w:rPr>
              <w:t>投标人</w:t>
            </w:r>
            <w:r>
              <w:rPr>
                <w:rFonts w:hint="eastAsia" w:ascii="宋体" w:hAnsi="宋体" w:eastAsia="宋体" w:cs="宋体"/>
                <w:sz w:val="24"/>
                <w:szCs w:val="24"/>
              </w:rPr>
              <w:t>漏报或忽略而后期追加费用。</w:t>
            </w:r>
          </w:p>
          <w:p w14:paraId="4C951C90">
            <w:pPr>
              <w:numPr>
                <w:ilvl w:val="0"/>
                <w:numId w:val="5"/>
              </w:numPr>
              <w:bidi w:val="0"/>
              <w:spacing w:line="360" w:lineRule="auto"/>
              <w:ind w:left="0" w:leftChars="0" w:firstLine="40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缴纳账户信息：</w:t>
            </w:r>
          </w:p>
          <w:p w14:paraId="59234F4F">
            <w:pPr>
              <w:bidi w:val="0"/>
              <w:spacing w:line="360" w:lineRule="auto"/>
              <w:rPr>
                <w:rFonts w:hint="eastAsia" w:ascii="宋体" w:hAnsi="宋体" w:eastAsia="宋体" w:cs="宋体"/>
                <w:sz w:val="24"/>
                <w:szCs w:val="24"/>
              </w:rPr>
            </w:pPr>
            <w:r>
              <w:rPr>
                <w:rFonts w:hint="eastAsia" w:ascii="宋体" w:hAnsi="宋体" w:eastAsia="宋体" w:cs="宋体"/>
                <w:sz w:val="24"/>
                <w:szCs w:val="24"/>
              </w:rPr>
              <w:t>账户名称：</w:t>
            </w:r>
            <w:r>
              <w:rPr>
                <w:rFonts w:hint="eastAsia" w:ascii="宋体" w:hAnsi="宋体" w:eastAsia="宋体" w:cs="宋体"/>
                <w:sz w:val="24"/>
                <w:szCs w:val="24"/>
                <w:lang w:eastAsia="zh-CN"/>
              </w:rPr>
              <w:t>新疆新咨工程咨询有限公司</w:t>
            </w:r>
            <w:r>
              <w:rPr>
                <w:rFonts w:hint="eastAsia" w:ascii="宋体" w:hAnsi="宋体" w:eastAsia="宋体" w:cs="宋体"/>
                <w:sz w:val="24"/>
                <w:szCs w:val="24"/>
              </w:rPr>
              <w:t>克拉玛依</w:t>
            </w:r>
            <w:r>
              <w:rPr>
                <w:rFonts w:hint="eastAsia" w:ascii="宋体" w:hAnsi="宋体" w:eastAsia="宋体" w:cs="宋体"/>
                <w:sz w:val="24"/>
                <w:szCs w:val="24"/>
                <w:lang w:val="en-US" w:eastAsia="zh-CN"/>
              </w:rPr>
              <w:t>市</w:t>
            </w:r>
            <w:r>
              <w:rPr>
                <w:rFonts w:hint="eastAsia" w:ascii="宋体" w:hAnsi="宋体" w:eastAsia="宋体" w:cs="宋体"/>
                <w:sz w:val="24"/>
                <w:szCs w:val="24"/>
              </w:rPr>
              <w:t>分公司</w:t>
            </w:r>
          </w:p>
          <w:p w14:paraId="0FB3CD2F">
            <w:pPr>
              <w:bidi w:val="0"/>
              <w:spacing w:line="360" w:lineRule="auto"/>
              <w:rPr>
                <w:rFonts w:hint="eastAsia" w:ascii="宋体" w:hAnsi="宋体" w:eastAsia="宋体" w:cs="宋体"/>
                <w:sz w:val="24"/>
                <w:szCs w:val="24"/>
              </w:rPr>
            </w:pPr>
            <w:r>
              <w:rPr>
                <w:rFonts w:hint="eastAsia" w:ascii="宋体" w:hAnsi="宋体" w:eastAsia="宋体" w:cs="宋体"/>
                <w:sz w:val="24"/>
                <w:szCs w:val="24"/>
              </w:rPr>
              <w:t>开 户 行：</w:t>
            </w:r>
            <w:r>
              <w:rPr>
                <w:rFonts w:hint="eastAsia" w:ascii="宋体" w:hAnsi="宋体" w:eastAsia="宋体" w:cs="宋体"/>
                <w:sz w:val="24"/>
                <w:szCs w:val="24"/>
                <w:lang w:val="en-US" w:eastAsia="zh-CN"/>
              </w:rPr>
              <w:t>中国工商银行股份有限公司克拉玛依迎宾支行</w:t>
            </w:r>
            <w:r>
              <w:rPr>
                <w:rFonts w:hint="eastAsia" w:ascii="宋体" w:hAnsi="宋体" w:eastAsia="宋体" w:cs="宋体"/>
                <w:sz w:val="24"/>
                <w:szCs w:val="24"/>
              </w:rPr>
              <w:t xml:space="preserve">   </w:t>
            </w:r>
          </w:p>
          <w:p w14:paraId="06490053">
            <w:pPr>
              <w:bidi w:val="0"/>
              <w:spacing w:line="360" w:lineRule="auto"/>
              <w:rPr>
                <w:rFonts w:hint="eastAsia" w:ascii="宋体" w:hAnsi="宋体" w:eastAsia="宋体" w:cs="宋体"/>
                <w:sz w:val="24"/>
                <w:szCs w:val="24"/>
              </w:rPr>
            </w:pPr>
            <w:r>
              <w:rPr>
                <w:rFonts w:hint="eastAsia" w:ascii="宋体" w:hAnsi="宋体" w:eastAsia="宋体" w:cs="宋体"/>
                <w:sz w:val="24"/>
                <w:szCs w:val="24"/>
              </w:rPr>
              <w:t>账    号：</w:t>
            </w:r>
            <w:r>
              <w:rPr>
                <w:rFonts w:hint="eastAsia" w:ascii="宋体" w:hAnsi="宋体" w:eastAsia="宋体" w:cs="宋体"/>
                <w:sz w:val="24"/>
                <w:szCs w:val="24"/>
                <w:lang w:val="en-US" w:eastAsia="zh-CN"/>
              </w:rPr>
              <w:t>3003 0203 0920 0153 009</w:t>
            </w:r>
          </w:p>
        </w:tc>
      </w:tr>
      <w:tr w14:paraId="0CC4C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790" w:type="dxa"/>
            <w:vAlign w:val="center"/>
          </w:tcPr>
          <w:p w14:paraId="6874F6B4">
            <w:pPr>
              <w:bidi w:val="0"/>
              <w:spacing w:line="360" w:lineRule="auto"/>
              <w:jc w:val="center"/>
              <w:rPr>
                <w:rFonts w:hint="eastAsia" w:ascii="宋体" w:hAnsi="宋体" w:eastAsia="宋体" w:cs="宋体"/>
                <w:sz w:val="24"/>
                <w:szCs w:val="24"/>
                <w:lang w:val="en-US" w:eastAsia="zh-CN"/>
              </w:rPr>
            </w:pPr>
            <w:bookmarkStart w:id="35" w:name="_Toc154996576"/>
            <w:r>
              <w:rPr>
                <w:rFonts w:hint="eastAsia" w:ascii="宋体" w:hAnsi="宋体" w:eastAsia="宋体" w:cs="宋体"/>
                <w:sz w:val="24"/>
                <w:szCs w:val="24"/>
                <w:lang w:val="en-US" w:eastAsia="zh-CN"/>
              </w:rPr>
              <w:t>12</w:t>
            </w:r>
          </w:p>
        </w:tc>
        <w:tc>
          <w:tcPr>
            <w:tcW w:w="8949" w:type="dxa"/>
            <w:vAlign w:val="center"/>
          </w:tcPr>
          <w:p w14:paraId="7547F165">
            <w:pPr>
              <w:bidi w:val="0"/>
              <w:spacing w:line="360" w:lineRule="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 xml:space="preserve">项目采购标的对应的中小企业划分标准所属行业：根据工信部联企业〔2011〕300 号 </w:t>
            </w:r>
          </w:p>
          <w:p w14:paraId="5DA35A37">
            <w:pPr>
              <w:bidi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中小企业划型标准规定：</w:t>
            </w:r>
            <w:r>
              <w:rPr>
                <w:rFonts w:hint="eastAsia" w:ascii="宋体" w:hAnsi="宋体" w:eastAsia="宋体" w:cs="宋体"/>
                <w:sz w:val="24"/>
                <w:szCs w:val="24"/>
                <w:lang w:val="en-US" w:eastAsia="zh-CN"/>
              </w:rPr>
              <w:t>工</w:t>
            </w:r>
            <w:r>
              <w:rPr>
                <w:rFonts w:hint="eastAsia" w:ascii="宋体" w:hAnsi="宋体" w:eastAsia="宋体" w:cs="宋体"/>
                <w:sz w:val="24"/>
                <w:szCs w:val="24"/>
                <w:lang w:val="zh-CN" w:eastAsia="zh-CN"/>
              </w:rPr>
              <w:t>业。</w:t>
            </w:r>
          </w:p>
        </w:tc>
      </w:tr>
      <w:bookmarkEnd w:id="34"/>
    </w:tbl>
    <w:p w14:paraId="294457B2">
      <w:pPr>
        <w:spacing w:line="360" w:lineRule="auto"/>
        <w:jc w:val="both"/>
        <w:rPr>
          <w:rFonts w:hint="eastAsia" w:ascii="宋体" w:hAnsi="宋体" w:cs="宋体"/>
          <w:sz w:val="28"/>
          <w:szCs w:val="28"/>
        </w:rPr>
      </w:pPr>
    </w:p>
    <w:p w14:paraId="6E76CF5F">
      <w:pPr>
        <w:spacing w:line="360" w:lineRule="auto"/>
        <w:ind w:firstLine="4200" w:firstLineChars="1500"/>
        <w:jc w:val="both"/>
        <w:rPr>
          <w:rFonts w:ascii="宋体" w:hAnsi="宋体" w:cs="宋体"/>
          <w:b/>
          <w:sz w:val="28"/>
          <w:szCs w:val="28"/>
        </w:rPr>
      </w:pPr>
      <w:r>
        <w:rPr>
          <w:rFonts w:hint="eastAsia" w:ascii="宋体" w:hAnsi="宋体" w:cs="宋体"/>
          <w:sz w:val="28"/>
          <w:szCs w:val="28"/>
        </w:rPr>
        <w:t>一、说明</w:t>
      </w:r>
    </w:p>
    <w:p w14:paraId="6CCBEDAF">
      <w:pPr>
        <w:pStyle w:val="12"/>
        <w:spacing w:line="360" w:lineRule="auto"/>
        <w:ind w:firstLine="480" w:firstLineChars="200"/>
        <w:outlineLvl w:val="1"/>
        <w:rPr>
          <w:rFonts w:hAnsi="宋体" w:cs="宋体"/>
          <w:sz w:val="24"/>
        </w:rPr>
      </w:pPr>
      <w:bookmarkStart w:id="36" w:name="_Toc243906311"/>
      <w:bookmarkStart w:id="37" w:name="_Toc243907571"/>
      <w:bookmarkStart w:id="38" w:name="_Toc233274811"/>
      <w:bookmarkStart w:id="39" w:name="_Toc246216180"/>
      <w:r>
        <w:rPr>
          <w:rFonts w:hint="eastAsia" w:hAnsi="宋体" w:cs="宋体"/>
          <w:sz w:val="24"/>
        </w:rPr>
        <w:t>1、适用范围</w:t>
      </w:r>
      <w:bookmarkEnd w:id="36"/>
      <w:bookmarkEnd w:id="37"/>
      <w:bookmarkEnd w:id="38"/>
      <w:bookmarkEnd w:id="39"/>
      <w:r>
        <w:rPr>
          <w:rFonts w:hint="eastAsia" w:hAnsi="宋体" w:cs="宋体"/>
          <w:sz w:val="24"/>
        </w:rPr>
        <w:t>及招标依据</w:t>
      </w:r>
    </w:p>
    <w:p w14:paraId="1823BC1D">
      <w:pPr>
        <w:pStyle w:val="12"/>
        <w:spacing w:line="360" w:lineRule="auto"/>
        <w:ind w:firstLine="480" w:firstLineChars="200"/>
        <w:rPr>
          <w:rFonts w:hAnsi="宋体" w:cs="宋体"/>
          <w:sz w:val="24"/>
        </w:rPr>
      </w:pPr>
      <w:r>
        <w:rPr>
          <w:rFonts w:hint="eastAsia" w:hAnsi="宋体" w:cs="宋体"/>
          <w:sz w:val="24"/>
        </w:rPr>
        <w:t>1.1 适用范围</w:t>
      </w:r>
    </w:p>
    <w:p w14:paraId="6848EC00">
      <w:pPr>
        <w:pStyle w:val="12"/>
        <w:spacing w:line="360" w:lineRule="auto"/>
        <w:ind w:firstLine="480" w:firstLineChars="200"/>
        <w:rPr>
          <w:rFonts w:hAnsi="宋体" w:cs="宋体"/>
          <w:sz w:val="24"/>
        </w:rPr>
      </w:pPr>
      <w:r>
        <w:rPr>
          <w:rFonts w:hint="eastAsia" w:hAnsi="宋体" w:cs="宋体"/>
          <w:sz w:val="24"/>
        </w:rPr>
        <w:t>本招标文件仅适用</w:t>
      </w:r>
      <w:r>
        <w:rPr>
          <w:rFonts w:hint="eastAsia" w:hAnsi="宋体" w:cs="宋体"/>
          <w:sz w:val="24"/>
          <w:lang w:eastAsia="zh-CN"/>
        </w:rPr>
        <w:t>林草业务专项-城市绿色生态质量提升工程（克拉玛依市人与自然和谐共生生态保护项目）设备采购</w:t>
      </w:r>
      <w:r>
        <w:rPr>
          <w:rFonts w:hint="eastAsia" w:hAnsi="宋体" w:cs="宋体"/>
          <w:sz w:val="24"/>
        </w:rPr>
        <w:t>的招标。</w:t>
      </w:r>
    </w:p>
    <w:p w14:paraId="1AA2AD22">
      <w:pPr>
        <w:pStyle w:val="12"/>
        <w:spacing w:line="360" w:lineRule="auto"/>
        <w:ind w:firstLine="480" w:firstLineChars="200"/>
        <w:rPr>
          <w:rFonts w:hAnsi="宋体" w:cs="宋体"/>
          <w:sz w:val="24"/>
        </w:rPr>
      </w:pPr>
      <w:r>
        <w:rPr>
          <w:rFonts w:hint="eastAsia" w:hAnsi="宋体" w:cs="宋体"/>
          <w:sz w:val="24"/>
        </w:rPr>
        <w:t>1.2招标依据</w:t>
      </w:r>
    </w:p>
    <w:p w14:paraId="5812230D">
      <w:pPr>
        <w:pStyle w:val="12"/>
        <w:spacing w:line="360" w:lineRule="auto"/>
        <w:ind w:firstLine="480" w:firstLineChars="200"/>
        <w:outlineLvl w:val="1"/>
        <w:rPr>
          <w:rFonts w:hAnsi="宋体" w:cs="宋体"/>
          <w:sz w:val="24"/>
        </w:rPr>
      </w:pPr>
      <w:r>
        <w:rPr>
          <w:rFonts w:hint="eastAsia" w:hAnsi="宋体" w:cs="宋体"/>
          <w:sz w:val="24"/>
        </w:rPr>
        <w:t>根据《中华人民共和国政府采购法》、《中华人民共和国政府采购实施条例》、</w:t>
      </w:r>
      <w:bookmarkStart w:id="40" w:name="_Toc243907572"/>
      <w:bookmarkStart w:id="41" w:name="_Toc243906312"/>
      <w:bookmarkStart w:id="42" w:name="_Toc246216181"/>
      <w:bookmarkStart w:id="43" w:name="_Toc233274812"/>
      <w:r>
        <w:rPr>
          <w:rFonts w:hint="eastAsia" w:hAnsi="宋体" w:cs="宋体"/>
          <w:sz w:val="24"/>
        </w:rPr>
        <w:t>《政府采购货物和服务招标投标管理办法》（中华人民共和国财政部令第87号）及有关法律、法规。</w:t>
      </w:r>
    </w:p>
    <w:p w14:paraId="672286FA">
      <w:pPr>
        <w:pStyle w:val="12"/>
        <w:spacing w:line="360" w:lineRule="auto"/>
        <w:ind w:firstLine="480" w:firstLineChars="200"/>
        <w:outlineLvl w:val="1"/>
        <w:rPr>
          <w:rFonts w:hAnsi="宋体" w:cs="宋体"/>
          <w:sz w:val="24"/>
        </w:rPr>
      </w:pPr>
      <w:r>
        <w:rPr>
          <w:rFonts w:hint="eastAsia" w:hAnsi="宋体" w:cs="宋体"/>
          <w:sz w:val="24"/>
        </w:rPr>
        <w:t>2、定义</w:t>
      </w:r>
      <w:bookmarkEnd w:id="40"/>
      <w:bookmarkEnd w:id="41"/>
      <w:bookmarkEnd w:id="42"/>
      <w:bookmarkEnd w:id="43"/>
    </w:p>
    <w:p w14:paraId="28F8FD95">
      <w:pPr>
        <w:pStyle w:val="12"/>
        <w:spacing w:line="360" w:lineRule="auto"/>
        <w:ind w:firstLine="480" w:firstLineChars="200"/>
        <w:rPr>
          <w:rFonts w:hAnsi="宋体" w:cs="宋体"/>
          <w:sz w:val="24"/>
        </w:rPr>
      </w:pPr>
      <w:r>
        <w:rPr>
          <w:rFonts w:hint="eastAsia" w:hAnsi="宋体" w:cs="宋体"/>
          <w:sz w:val="24"/>
        </w:rPr>
        <w:t>2.1 “采购人”系指</w:t>
      </w:r>
      <w:r>
        <w:rPr>
          <w:rFonts w:hint="eastAsia" w:hAnsi="宋体" w:cs="宋体"/>
          <w:sz w:val="24"/>
          <w:lang w:eastAsia="zh-CN"/>
        </w:rPr>
        <w:t>克拉玛依市林业和草原局</w:t>
      </w:r>
      <w:r>
        <w:rPr>
          <w:rFonts w:hint="eastAsia" w:hAnsi="宋体" w:cs="宋体"/>
          <w:sz w:val="24"/>
        </w:rPr>
        <w:t>，在签订和执行合同阶段称“甲方”。</w:t>
      </w:r>
    </w:p>
    <w:p w14:paraId="4FDF8D98">
      <w:pPr>
        <w:pStyle w:val="12"/>
        <w:spacing w:line="360" w:lineRule="auto"/>
        <w:ind w:firstLine="480" w:firstLineChars="200"/>
        <w:rPr>
          <w:rFonts w:hAnsi="宋体" w:cs="宋体"/>
          <w:sz w:val="24"/>
        </w:rPr>
      </w:pPr>
      <w:r>
        <w:rPr>
          <w:rFonts w:hint="eastAsia" w:hAnsi="宋体" w:cs="宋体"/>
          <w:sz w:val="24"/>
        </w:rPr>
        <w:t xml:space="preserve">2.2 </w:t>
      </w:r>
      <w:r>
        <w:rPr>
          <w:rFonts w:hint="eastAsia" w:hAnsi="宋体" w:cs="宋体"/>
          <w:sz w:val="24"/>
          <w:szCs w:val="24"/>
        </w:rPr>
        <w:t>“采购代理机构”</w:t>
      </w:r>
      <w:r>
        <w:rPr>
          <w:rFonts w:hint="eastAsia" w:hAnsi="宋体" w:cs="宋体"/>
          <w:sz w:val="24"/>
        </w:rPr>
        <w:t>系指</w:t>
      </w:r>
      <w:r>
        <w:rPr>
          <w:rFonts w:hint="eastAsia" w:hAnsi="宋体" w:cs="宋体"/>
          <w:sz w:val="24"/>
          <w:lang w:eastAsia="zh-CN"/>
        </w:rPr>
        <w:t xml:space="preserve">新疆新咨工程咨询有限公司 </w:t>
      </w:r>
      <w:r>
        <w:rPr>
          <w:rFonts w:hint="eastAsia" w:hAnsi="宋体" w:cs="宋体"/>
          <w:sz w:val="24"/>
        </w:rPr>
        <w:t>。</w:t>
      </w:r>
    </w:p>
    <w:p w14:paraId="5C56F012">
      <w:pPr>
        <w:pStyle w:val="12"/>
        <w:spacing w:line="360" w:lineRule="auto"/>
        <w:ind w:firstLine="480" w:firstLineChars="200"/>
        <w:rPr>
          <w:rFonts w:hAnsi="宋体" w:cs="宋体"/>
          <w:sz w:val="24"/>
        </w:rPr>
      </w:pPr>
      <w:r>
        <w:rPr>
          <w:rFonts w:hint="eastAsia" w:hAnsi="宋体" w:cs="宋体"/>
          <w:sz w:val="24"/>
        </w:rPr>
        <w:t>2.3 “投标人”系指具备资格并响应招标文件要求提交投标文件的法人，投标人若中标，在签订和执行合同阶段称“乙方”。</w:t>
      </w:r>
    </w:p>
    <w:p w14:paraId="753E9475">
      <w:pPr>
        <w:pStyle w:val="12"/>
        <w:spacing w:line="360" w:lineRule="auto"/>
        <w:ind w:firstLine="480" w:firstLineChars="200"/>
        <w:rPr>
          <w:rFonts w:hAnsi="宋体" w:cs="宋体"/>
          <w:sz w:val="24"/>
        </w:rPr>
      </w:pPr>
      <w:r>
        <w:rPr>
          <w:rFonts w:hint="eastAsia" w:hAnsi="宋体" w:cs="宋体"/>
          <w:sz w:val="24"/>
        </w:rPr>
        <w:t>2.4 “招标文件”系指由采购人向投标人发出的本招标项目的全部文件（包括项目采购需求、修改文件、补充文件、答疑纪要、各种通知和附件等）。</w:t>
      </w:r>
    </w:p>
    <w:p w14:paraId="6C12AD60">
      <w:pPr>
        <w:pStyle w:val="12"/>
        <w:spacing w:line="360" w:lineRule="auto"/>
        <w:ind w:firstLine="480" w:firstLineChars="200"/>
        <w:rPr>
          <w:rFonts w:hAnsi="宋体" w:cs="宋体"/>
          <w:sz w:val="24"/>
          <w:szCs w:val="24"/>
        </w:rPr>
      </w:pPr>
      <w:r>
        <w:rPr>
          <w:rFonts w:hint="eastAsia" w:hAnsi="宋体" w:cs="宋体"/>
          <w:sz w:val="24"/>
          <w:szCs w:val="24"/>
        </w:rPr>
        <w:t>2.5 “投标文件”系指投标人根据招标文件提交的所有文件。</w:t>
      </w:r>
    </w:p>
    <w:p w14:paraId="793F497F">
      <w:pPr>
        <w:pStyle w:val="9"/>
        <w:spacing w:line="360" w:lineRule="auto"/>
        <w:ind w:firstLine="480" w:firstLineChars="200"/>
        <w:rPr>
          <w:rFonts w:ascii="宋体" w:hAnsi="宋体" w:cs="宋体"/>
          <w:b/>
          <w:bCs/>
          <w:kern w:val="2"/>
          <w:szCs w:val="24"/>
        </w:rPr>
      </w:pPr>
      <w:r>
        <w:rPr>
          <w:rFonts w:hint="eastAsia" w:ascii="宋体" w:hAnsi="宋体" w:cs="宋体"/>
        </w:rPr>
        <w:t>2.6 “服务”系指技术规范及标准、项目采购需求及合同条款、本招标文件规定，中标</w:t>
      </w:r>
      <w:r>
        <w:rPr>
          <w:rFonts w:hint="eastAsia" w:ascii="宋体" w:hAnsi="宋体" w:cs="宋体"/>
          <w:lang w:eastAsia="zh-CN"/>
        </w:rPr>
        <w:t>投标人</w:t>
      </w:r>
      <w:r>
        <w:rPr>
          <w:rFonts w:hint="eastAsia" w:ascii="宋体" w:hAnsi="宋体" w:cs="宋体"/>
        </w:rPr>
        <w:t>在服务期内须向</w:t>
      </w:r>
      <w:r>
        <w:rPr>
          <w:rFonts w:hint="eastAsia" w:ascii="宋体" w:hAnsi="宋体" w:cs="宋体"/>
          <w:b w:val="0"/>
          <w:bCs w:val="0"/>
        </w:rPr>
        <w:t>采购人提供所需设备</w:t>
      </w:r>
      <w:r>
        <w:rPr>
          <w:rFonts w:hint="eastAsia" w:ascii="宋体" w:hAnsi="宋体" w:cs="宋体"/>
          <w:b w:val="0"/>
          <w:bCs w:val="0"/>
          <w:kern w:val="2"/>
          <w:szCs w:val="24"/>
        </w:rPr>
        <w:t>的供应、保险、税费、仓储运输、现场保管及装卸（卸至需方指定地点）、现场搬运（含二次搬运），安装调试、运行、检验及验收、移交、原有设备拆除并运至指定地点等工作，向采购人提交技术参数、技术资料（包括操作手册、维修手册及其他相关资料等）、技术咨询、用户人员培训、缺陷修补、质量保修期内的维保、售后服务等保证项目验收合格并能正常交付使用以及合同条款、项目采购需求、本招标文件约定的全部内容及保修责任和义务。</w:t>
      </w:r>
    </w:p>
    <w:p w14:paraId="5C8F458D">
      <w:pPr>
        <w:spacing w:line="360" w:lineRule="auto"/>
        <w:ind w:firstLine="482"/>
        <w:jc w:val="left"/>
        <w:rPr>
          <w:rFonts w:ascii="宋体" w:hAnsi="宋体" w:cs="宋体"/>
          <w:sz w:val="24"/>
        </w:rPr>
      </w:pPr>
      <w:r>
        <w:rPr>
          <w:rFonts w:hint="eastAsia" w:ascii="宋体" w:hAnsi="宋体" w:cs="宋体"/>
          <w:sz w:val="24"/>
        </w:rPr>
        <w:t xml:space="preserve">2.7凡提及的“天、日期、星期、月份和年份”系指公历日历的日历天、日期、星期、月份和年份。 </w:t>
      </w:r>
    </w:p>
    <w:p w14:paraId="54CAE877">
      <w:pPr>
        <w:pStyle w:val="12"/>
        <w:spacing w:line="360" w:lineRule="auto"/>
        <w:ind w:firstLine="482" w:firstLineChars="200"/>
        <w:outlineLvl w:val="1"/>
        <w:rPr>
          <w:rFonts w:hAnsi="宋体" w:cs="宋体"/>
          <w:b/>
          <w:sz w:val="24"/>
        </w:rPr>
      </w:pPr>
      <w:bookmarkStart w:id="44" w:name="_Toc243907573"/>
      <w:bookmarkStart w:id="45" w:name="_Toc233274813"/>
      <w:bookmarkStart w:id="46" w:name="_Toc246216182"/>
      <w:bookmarkStart w:id="47" w:name="_Toc243906313"/>
      <w:r>
        <w:rPr>
          <w:rFonts w:hint="eastAsia" w:hAnsi="宋体" w:cs="宋体"/>
          <w:b/>
          <w:sz w:val="24"/>
        </w:rPr>
        <w:t>3、</w:t>
      </w:r>
      <w:bookmarkEnd w:id="44"/>
      <w:bookmarkEnd w:id="45"/>
      <w:bookmarkEnd w:id="46"/>
      <w:bookmarkEnd w:id="47"/>
      <w:r>
        <w:rPr>
          <w:rFonts w:hint="eastAsia" w:hAnsi="宋体" w:cs="宋体"/>
          <w:b/>
          <w:sz w:val="24"/>
        </w:rPr>
        <w:t>招标范围及供货期</w:t>
      </w:r>
    </w:p>
    <w:p w14:paraId="71356EC5">
      <w:pPr>
        <w:spacing w:line="360" w:lineRule="auto"/>
        <w:ind w:firstLine="482" w:firstLineChars="200"/>
        <w:rPr>
          <w:rFonts w:ascii="宋体" w:hAnsi="宋体" w:cs="宋体"/>
          <w:b/>
          <w:bCs/>
          <w:sz w:val="24"/>
        </w:rPr>
      </w:pPr>
      <w:r>
        <w:rPr>
          <w:rFonts w:hint="eastAsia" w:ascii="宋体" w:hAnsi="宋体" w:cs="宋体"/>
          <w:b/>
          <w:bCs/>
          <w:sz w:val="24"/>
        </w:rPr>
        <w:t>3.1招标范围：</w:t>
      </w:r>
      <w:r>
        <w:rPr>
          <w:rFonts w:hint="eastAsia" w:ascii="宋体" w:hAnsi="宋体" w:cs="宋体"/>
          <w:b/>
          <w:bCs/>
          <w:sz w:val="24"/>
          <w:lang w:eastAsia="zh-CN"/>
        </w:rPr>
        <w:t>林草业务专项-城市绿色生态质量提升工程（克拉玛依市人与自然和谐共生生态保护项目）设备采购</w:t>
      </w:r>
      <w:r>
        <w:rPr>
          <w:rFonts w:hint="eastAsia" w:ascii="宋体" w:hAnsi="宋体" w:cs="宋体"/>
          <w:b/>
          <w:bCs/>
          <w:sz w:val="24"/>
        </w:rPr>
        <w:t>的供应、保险、税费、仓储运输、现场保管及装卸（卸至需方指定地点）、现场搬运（含二次搬运），安装调试、运行、检验及验收、移交、原有设备拆除并运至指定地点等工作，向采购人提交技术参数、技术资料（包括操作手册、维修手册及其他相关资料等）、技术咨询、用户人员培训、缺陷修补、质量保修期内的维保、售后服务等保证项目验收合格并能正常交付使用以及合同条款、项目采购需求、本招标文件约定的全部内容及保修责任和义务。</w:t>
      </w:r>
    </w:p>
    <w:p w14:paraId="4376E134">
      <w:pPr>
        <w:spacing w:line="360" w:lineRule="auto"/>
        <w:ind w:firstLine="482" w:firstLineChars="200"/>
        <w:rPr>
          <w:rFonts w:hint="eastAsia" w:asciiTheme="minorEastAsia" w:hAnsiTheme="minorEastAsia" w:eastAsiaTheme="minorEastAsia" w:cstheme="minorEastAsia"/>
          <w:b/>
          <w:bCs/>
          <w:sz w:val="24"/>
          <w:highlight w:val="none"/>
          <w:lang w:val="en-US" w:eastAsia="zh-CN"/>
        </w:rPr>
      </w:pPr>
      <w:bookmarkStart w:id="48" w:name="_Toc233274814"/>
      <w:bookmarkStart w:id="49" w:name="_Toc243907574"/>
      <w:bookmarkStart w:id="50" w:name="_Toc243906314"/>
      <w:bookmarkStart w:id="51" w:name="_Toc246216183"/>
      <w:r>
        <w:rPr>
          <w:rFonts w:hint="eastAsia" w:asciiTheme="minorEastAsia" w:hAnsiTheme="minorEastAsia" w:eastAsiaTheme="minorEastAsia" w:cstheme="minorEastAsia"/>
          <w:b/>
          <w:bCs/>
          <w:sz w:val="24"/>
          <w:highlight w:val="none"/>
        </w:rPr>
        <w:t>3.2供货期：</w:t>
      </w:r>
      <w:r>
        <w:rPr>
          <w:rFonts w:hint="eastAsia" w:asciiTheme="minorEastAsia" w:hAnsiTheme="minorEastAsia" w:eastAsiaTheme="minorEastAsia" w:cstheme="minorEastAsia"/>
          <w:b/>
          <w:bCs/>
          <w:sz w:val="24"/>
          <w:highlight w:val="none"/>
          <w:lang w:val="en-US" w:eastAsia="zh-CN"/>
        </w:rPr>
        <w:t>自合同签订之日起，乙方必须严格遵循甲方提出的各项具体要求，在规定时间节点内（2025年4月至5月期间），完成货物的供货、安装以及调试等一系列工作任务，并积极配合甲方进行验收。</w:t>
      </w:r>
    </w:p>
    <w:p w14:paraId="1FD81708">
      <w:pPr>
        <w:spacing w:line="360" w:lineRule="auto"/>
        <w:ind w:firstLine="482" w:firstLineChars="200"/>
        <w:rPr>
          <w:rFonts w:ascii="宋体" w:hAnsi="宋体" w:cs="宋体"/>
          <w:b/>
          <w:bCs/>
          <w:sz w:val="24"/>
        </w:rPr>
      </w:pPr>
      <w:r>
        <w:rPr>
          <w:rFonts w:hint="eastAsia" w:ascii="宋体" w:hAnsi="宋体" w:cs="宋体"/>
          <w:b/>
          <w:bCs/>
          <w:sz w:val="24"/>
        </w:rPr>
        <w:t>4、</w:t>
      </w:r>
      <w:bookmarkEnd w:id="48"/>
      <w:bookmarkEnd w:id="49"/>
      <w:bookmarkEnd w:id="50"/>
      <w:bookmarkEnd w:id="51"/>
      <w:r>
        <w:rPr>
          <w:rFonts w:hint="eastAsia" w:ascii="宋体" w:hAnsi="宋体" w:cs="宋体"/>
          <w:b/>
          <w:bCs/>
          <w:sz w:val="24"/>
        </w:rPr>
        <w:t>合格投标人资格要求</w:t>
      </w:r>
    </w:p>
    <w:p w14:paraId="5608072E">
      <w:pPr>
        <w:spacing w:line="360" w:lineRule="auto"/>
        <w:ind w:firstLine="480" w:firstLineChars="200"/>
        <w:rPr>
          <w:rFonts w:ascii="宋体" w:hAnsi="宋体" w:cs="宋体"/>
          <w:sz w:val="24"/>
        </w:rPr>
      </w:pPr>
      <w:r>
        <w:rPr>
          <w:rFonts w:hint="eastAsia" w:ascii="宋体" w:hAnsi="宋体" w:cs="宋体"/>
          <w:sz w:val="24"/>
        </w:rPr>
        <w:t>4.1详见第一章“招标公告”中的投标人资格要求。</w:t>
      </w:r>
    </w:p>
    <w:p w14:paraId="57262BF2">
      <w:pPr>
        <w:snapToGrid w:val="0"/>
        <w:spacing w:line="360" w:lineRule="auto"/>
        <w:ind w:firstLine="470" w:firstLineChars="196"/>
        <w:rPr>
          <w:rFonts w:ascii="宋体" w:hAnsi="宋体" w:cs="宋体"/>
          <w:b w:val="0"/>
          <w:bCs/>
          <w:sz w:val="24"/>
        </w:rPr>
      </w:pPr>
      <w:r>
        <w:rPr>
          <w:rFonts w:hint="eastAsia" w:ascii="宋体" w:hAnsi="宋体" w:cs="宋体"/>
          <w:b w:val="0"/>
          <w:bCs/>
          <w:sz w:val="24"/>
        </w:rPr>
        <w:t>4.2单位法定代表为同一人或者存在直接控股、管理关系的不同投标人，不得参加同一合同项下的政府采购活动。</w:t>
      </w:r>
    </w:p>
    <w:p w14:paraId="3821915D">
      <w:pPr>
        <w:snapToGrid w:val="0"/>
        <w:spacing w:line="360" w:lineRule="auto"/>
        <w:ind w:firstLine="477" w:firstLineChars="199"/>
        <w:rPr>
          <w:rFonts w:ascii="宋体" w:hAnsi="宋体" w:cs="宋体"/>
          <w:b w:val="0"/>
          <w:bCs/>
          <w:sz w:val="24"/>
        </w:rPr>
      </w:pPr>
      <w:r>
        <w:rPr>
          <w:rFonts w:hint="eastAsia" w:ascii="宋体" w:hAnsi="宋体" w:cs="宋体"/>
          <w:b w:val="0"/>
          <w:bCs/>
          <w:sz w:val="24"/>
        </w:rPr>
        <w:t>4.3为招标项目提供整体设计、规范编制或者项目管理、监理、检测等服务的投标人，不得再参加该招标项目的其他采购活动。</w:t>
      </w:r>
    </w:p>
    <w:p w14:paraId="3F268B50">
      <w:pPr>
        <w:snapToGrid w:val="0"/>
        <w:spacing w:line="360" w:lineRule="auto"/>
        <w:ind w:firstLine="477" w:firstLineChars="199"/>
        <w:rPr>
          <w:rFonts w:ascii="宋体" w:hAnsi="宋体" w:cs="宋体"/>
          <w:b w:val="0"/>
          <w:bCs/>
          <w:sz w:val="24"/>
        </w:rPr>
      </w:pPr>
      <w:r>
        <w:rPr>
          <w:rFonts w:hint="eastAsia" w:ascii="宋体" w:hAnsi="宋体" w:cs="宋体"/>
          <w:b w:val="0"/>
          <w:bCs/>
          <w:sz w:val="24"/>
        </w:rPr>
        <w:t>4.4在单一品目的货物采购招标中，同一品牌同一型号的产品有多家投标人参加采购，只能按照一家投标人计算。</w:t>
      </w:r>
    </w:p>
    <w:p w14:paraId="0F324393">
      <w:pPr>
        <w:spacing w:line="360" w:lineRule="auto"/>
        <w:ind w:firstLine="480" w:firstLineChars="200"/>
        <w:rPr>
          <w:rFonts w:ascii="宋体" w:hAnsi="宋体" w:cs="宋体"/>
          <w:b w:val="0"/>
          <w:bCs/>
          <w:sz w:val="24"/>
        </w:rPr>
      </w:pPr>
      <w:r>
        <w:rPr>
          <w:rFonts w:hint="eastAsia" w:ascii="宋体" w:hAnsi="宋体" w:cs="宋体"/>
          <w:b w:val="0"/>
          <w:bCs/>
          <w:sz w:val="24"/>
        </w:rPr>
        <w:t>4.5同一分包的货物，制造商参与采购的，不得再委托代理商参与采购。</w:t>
      </w:r>
    </w:p>
    <w:p w14:paraId="6A50D167">
      <w:pPr>
        <w:pStyle w:val="28"/>
        <w:spacing w:line="360" w:lineRule="auto"/>
        <w:ind w:left="1" w:firstLine="482" w:firstLineChars="200"/>
        <w:rPr>
          <w:rFonts w:hAnsi="宋体" w:cs="宋体"/>
          <w:b/>
          <w:kern w:val="2"/>
          <w:sz w:val="24"/>
          <w:szCs w:val="24"/>
        </w:rPr>
      </w:pPr>
      <w:r>
        <w:rPr>
          <w:rFonts w:hint="eastAsia" w:hAnsi="宋体" w:cs="宋体"/>
          <w:b/>
          <w:sz w:val="24"/>
        </w:rPr>
        <w:t>5、</w:t>
      </w:r>
      <w:r>
        <w:rPr>
          <w:rFonts w:hint="eastAsia" w:hAnsi="宋体" w:cs="宋体"/>
          <w:b/>
          <w:kern w:val="2"/>
          <w:sz w:val="24"/>
          <w:szCs w:val="24"/>
        </w:rPr>
        <w:t>回避。政府采购活动中，采购人员及相关人员与投标人有下列利害关系之一的，应当回避：</w:t>
      </w:r>
    </w:p>
    <w:p w14:paraId="1A64735F">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5.1参加采购活动前3年内与投标人存在劳动关系；</w:t>
      </w:r>
    </w:p>
    <w:p w14:paraId="0E054BC9">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5.2参加采购活动前3年内担任投标人的董事、监事；</w:t>
      </w:r>
    </w:p>
    <w:p w14:paraId="6FFBFEA5">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5.3参加采购活动前3年内是投标人的控股股东或者实际控制人；</w:t>
      </w:r>
    </w:p>
    <w:p w14:paraId="46476A0C">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5.4与投标人的法定代表人或者负责人有夫妻、直系血亲、三代以内旁系血亲或者近姻亲关系；</w:t>
      </w:r>
    </w:p>
    <w:p w14:paraId="304857C1">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5.5与投标人有其他可能影响政府采购活动公平、公正进行的关系。</w:t>
      </w:r>
    </w:p>
    <w:p w14:paraId="437460AF">
      <w:pPr>
        <w:pStyle w:val="28"/>
        <w:spacing w:line="360" w:lineRule="auto"/>
        <w:ind w:left="1" w:firstLine="480" w:firstLineChars="200"/>
        <w:rPr>
          <w:rFonts w:hAnsi="宋体" w:cs="宋体"/>
          <w:b w:val="0"/>
          <w:bCs/>
          <w:kern w:val="2"/>
          <w:sz w:val="24"/>
          <w:szCs w:val="24"/>
        </w:rPr>
      </w:pPr>
      <w:r>
        <w:rPr>
          <w:rFonts w:hint="eastAsia" w:hAnsi="宋体" w:cs="宋体"/>
          <w:b w:val="0"/>
          <w:bCs/>
          <w:kern w:val="2"/>
          <w:sz w:val="24"/>
          <w:szCs w:val="24"/>
        </w:rPr>
        <w:t>本项目政府采购活动中需要依法回避的采购人员是指采购人内部负责招标项目的具体经办工作人员和直接分管招标项目的负责人，以及采购代理机构负责招标项目的具体经办工作人员和直接分管采购活动的负责人。本项目政府采购活动中需要依法回避的相关人员是指评标委员会成员。</w:t>
      </w:r>
    </w:p>
    <w:p w14:paraId="4238AA37">
      <w:pPr>
        <w:pStyle w:val="28"/>
        <w:spacing w:line="360" w:lineRule="auto"/>
        <w:ind w:left="1" w:firstLine="480" w:firstLineChars="200"/>
        <w:rPr>
          <w:rFonts w:hAnsi="宋体" w:cs="宋体"/>
          <w:b w:val="0"/>
          <w:bCs/>
          <w:sz w:val="24"/>
        </w:rPr>
      </w:pPr>
      <w:r>
        <w:rPr>
          <w:rFonts w:hint="eastAsia" w:hAnsi="宋体" w:cs="宋体"/>
          <w:b w:val="0"/>
          <w:bCs/>
          <w:kern w:val="2"/>
          <w:sz w:val="24"/>
          <w:szCs w:val="24"/>
        </w:rPr>
        <w:t>投标人认为采购人员及相关人员与其他投标人有利害关系的，可以向采购代理机构书面提出回避申请，并说明理由。采购代理机构将及时询问被申请回避人员，有利害关系的被申请回避人员应当回避。</w:t>
      </w:r>
    </w:p>
    <w:p w14:paraId="6C19F059">
      <w:pPr>
        <w:pStyle w:val="12"/>
        <w:spacing w:line="360" w:lineRule="auto"/>
        <w:ind w:firstLine="482" w:firstLineChars="200"/>
        <w:rPr>
          <w:rFonts w:hAnsi="宋体" w:cs="宋体"/>
          <w:b/>
          <w:bCs/>
          <w:sz w:val="24"/>
        </w:rPr>
      </w:pPr>
      <w:bookmarkStart w:id="52" w:name="_Toc243906316"/>
      <w:bookmarkStart w:id="53" w:name="_Toc245897276"/>
      <w:bookmarkStart w:id="54" w:name="_Toc233274816"/>
      <w:bookmarkStart w:id="55" w:name="_Toc243907576"/>
      <w:r>
        <w:rPr>
          <w:rFonts w:hint="eastAsia" w:hAnsi="宋体" w:cs="宋体"/>
          <w:b/>
          <w:bCs/>
          <w:sz w:val="24"/>
        </w:rPr>
        <w:t>6、实地考察和费用</w:t>
      </w:r>
    </w:p>
    <w:p w14:paraId="56A8ABFA">
      <w:pPr>
        <w:pStyle w:val="12"/>
        <w:spacing w:line="360" w:lineRule="auto"/>
        <w:ind w:firstLine="480" w:firstLineChars="200"/>
        <w:rPr>
          <w:rFonts w:hAnsi="宋体" w:cs="宋体"/>
          <w:sz w:val="24"/>
        </w:rPr>
      </w:pPr>
      <w:r>
        <w:rPr>
          <w:rFonts w:hint="eastAsia" w:hAnsi="宋体" w:cs="宋体"/>
          <w:sz w:val="24"/>
        </w:rPr>
        <w:t>6.1实地考察</w:t>
      </w:r>
    </w:p>
    <w:p w14:paraId="1AD31AD9">
      <w:pPr>
        <w:pStyle w:val="12"/>
        <w:spacing w:line="360" w:lineRule="auto"/>
        <w:ind w:firstLine="480" w:firstLineChars="200"/>
        <w:rPr>
          <w:rFonts w:hAnsi="宋体" w:cs="宋体"/>
          <w:sz w:val="24"/>
        </w:rPr>
      </w:pPr>
      <w:r>
        <w:rPr>
          <w:rFonts w:hint="eastAsia" w:hAnsi="宋体" w:cs="宋体"/>
          <w:sz w:val="24"/>
        </w:rPr>
        <w:t>采购人不统一组织投标人的实地考察。投标人须自行对招标项目的现场及招标项目所涉及的国家、自治区、克拉玛依地区、相关部门等与此相关的政策进行充分的调查、研究，参观并勘察现场及其周围环境（包括当地气候条件及自然环境等）以取得所有与准备公开招标和实施公开招标有关的必要资料及信息。实地考察所发生的任何费用均由投标人自理。</w:t>
      </w:r>
    </w:p>
    <w:p w14:paraId="215FE347">
      <w:pPr>
        <w:pStyle w:val="12"/>
        <w:spacing w:line="360" w:lineRule="auto"/>
        <w:ind w:firstLine="480" w:firstLineChars="200"/>
        <w:rPr>
          <w:rFonts w:hAnsi="宋体" w:cs="宋体"/>
          <w:sz w:val="24"/>
        </w:rPr>
      </w:pPr>
      <w:r>
        <w:rPr>
          <w:rFonts w:hint="eastAsia" w:hAnsi="宋体" w:cs="宋体"/>
          <w:sz w:val="24"/>
        </w:rPr>
        <w:t>6.2参与公开招标费用</w:t>
      </w:r>
    </w:p>
    <w:p w14:paraId="423F3863">
      <w:pPr>
        <w:pStyle w:val="12"/>
        <w:spacing w:line="360" w:lineRule="auto"/>
        <w:ind w:firstLine="480" w:firstLineChars="200"/>
        <w:rPr>
          <w:rFonts w:hAnsi="宋体" w:cs="宋体"/>
          <w:sz w:val="24"/>
        </w:rPr>
      </w:pPr>
      <w:r>
        <w:rPr>
          <w:rFonts w:hint="eastAsia" w:hAnsi="宋体" w:cs="宋体"/>
          <w:sz w:val="24"/>
        </w:rPr>
        <w:t>6.2.1投标人应承担所有与公开招标准备和公开招标有关的全部费用，不论公开招标结果如何，采购人和招标代理机构无义务和责任承担投标人所发生的一切费用。</w:t>
      </w:r>
    </w:p>
    <w:p w14:paraId="3E16BACB">
      <w:pPr>
        <w:pStyle w:val="12"/>
        <w:spacing w:line="360" w:lineRule="auto"/>
        <w:ind w:firstLine="480" w:firstLineChars="200"/>
        <w:rPr>
          <w:rFonts w:hAnsi="宋体" w:cs="宋体"/>
          <w:sz w:val="24"/>
        </w:rPr>
      </w:pPr>
      <w:r>
        <w:rPr>
          <w:rFonts w:hint="eastAsia" w:hAnsi="宋体" w:cs="宋体"/>
          <w:sz w:val="24"/>
        </w:rPr>
        <w:t>6.2.2投标人在公开招标准备、实地考察和公开招标的全过程中，如果发生人身伤亡、财物或其它任何损失，不论何种原因所造成，均由投标人自行承担全部责任和损失。</w:t>
      </w:r>
    </w:p>
    <w:p w14:paraId="19E1A6A4">
      <w:pPr>
        <w:pStyle w:val="12"/>
        <w:spacing w:line="360" w:lineRule="auto"/>
        <w:ind w:firstLine="482" w:firstLineChars="200"/>
        <w:rPr>
          <w:rFonts w:hAnsi="宋体" w:cs="宋体"/>
          <w:b/>
          <w:bCs/>
          <w:sz w:val="24"/>
        </w:rPr>
      </w:pPr>
      <w:r>
        <w:rPr>
          <w:rFonts w:hint="eastAsia" w:hAnsi="宋体" w:cs="宋体"/>
          <w:b/>
          <w:bCs/>
          <w:sz w:val="24"/>
        </w:rPr>
        <w:t>7、法律适用</w:t>
      </w:r>
      <w:bookmarkEnd w:id="52"/>
      <w:bookmarkEnd w:id="53"/>
      <w:bookmarkEnd w:id="54"/>
      <w:bookmarkEnd w:id="55"/>
    </w:p>
    <w:p w14:paraId="6C987CC0">
      <w:pPr>
        <w:pStyle w:val="12"/>
        <w:spacing w:line="360" w:lineRule="auto"/>
        <w:ind w:firstLine="480" w:firstLineChars="200"/>
        <w:rPr>
          <w:rFonts w:hAnsi="宋体" w:cs="宋体"/>
          <w:sz w:val="24"/>
        </w:rPr>
      </w:pPr>
      <w:r>
        <w:rPr>
          <w:rFonts w:hint="eastAsia" w:hAnsi="宋体" w:cs="宋体"/>
          <w:sz w:val="24"/>
        </w:rPr>
        <w:t>7.1本次招标活动及由本次招标产生的合同受中国法律制约和保护。</w:t>
      </w:r>
    </w:p>
    <w:p w14:paraId="77C79480">
      <w:pPr>
        <w:pStyle w:val="12"/>
        <w:spacing w:line="360" w:lineRule="auto"/>
        <w:ind w:firstLine="482" w:firstLineChars="200"/>
        <w:outlineLvl w:val="1"/>
        <w:rPr>
          <w:rFonts w:hAnsi="宋体" w:cs="宋体"/>
          <w:b/>
          <w:bCs/>
          <w:sz w:val="24"/>
        </w:rPr>
      </w:pPr>
      <w:bookmarkStart w:id="56" w:name="_Toc245897277"/>
      <w:bookmarkStart w:id="57" w:name="_Toc243907577"/>
      <w:bookmarkStart w:id="58" w:name="_Toc243906317"/>
      <w:bookmarkStart w:id="59" w:name="_Toc233274817"/>
      <w:r>
        <w:rPr>
          <w:rFonts w:hint="eastAsia" w:hAnsi="宋体" w:cs="宋体"/>
          <w:b/>
          <w:bCs/>
          <w:sz w:val="24"/>
        </w:rPr>
        <w:t>8、招标文件的约束力</w:t>
      </w:r>
      <w:bookmarkEnd w:id="56"/>
      <w:bookmarkEnd w:id="57"/>
      <w:bookmarkEnd w:id="58"/>
      <w:bookmarkEnd w:id="59"/>
    </w:p>
    <w:p w14:paraId="41C49FF6">
      <w:pPr>
        <w:pStyle w:val="12"/>
        <w:spacing w:line="360" w:lineRule="auto"/>
        <w:ind w:firstLine="480" w:firstLineChars="200"/>
        <w:rPr>
          <w:rFonts w:hAnsi="宋体" w:cs="宋体"/>
        </w:rPr>
      </w:pPr>
      <w:r>
        <w:rPr>
          <w:rFonts w:hint="eastAsia" w:hAnsi="宋体" w:cs="宋体"/>
          <w:sz w:val="24"/>
          <w:szCs w:val="24"/>
        </w:rPr>
        <w:t>8.1投标人若中标，即被认为接受了本招标文件中的所有条件和规定。是采购人与中标</w:t>
      </w:r>
      <w:r>
        <w:rPr>
          <w:rFonts w:hint="eastAsia" w:hAnsi="宋体" w:cs="宋体"/>
          <w:sz w:val="24"/>
          <w:szCs w:val="24"/>
          <w:lang w:eastAsia="zh-CN"/>
        </w:rPr>
        <w:t>投标人</w:t>
      </w:r>
      <w:r>
        <w:rPr>
          <w:rFonts w:hint="eastAsia" w:hAnsi="宋体" w:cs="宋体"/>
          <w:sz w:val="24"/>
          <w:szCs w:val="24"/>
        </w:rPr>
        <w:t>签订合同的依据且是合同的组成部分。</w:t>
      </w:r>
      <w:bookmarkEnd w:id="35"/>
    </w:p>
    <w:p w14:paraId="569C628A">
      <w:pPr>
        <w:pStyle w:val="12"/>
        <w:spacing w:line="360" w:lineRule="auto"/>
        <w:jc w:val="center"/>
        <w:outlineLvl w:val="1"/>
        <w:rPr>
          <w:rFonts w:hAnsi="宋体" w:cs="宋体"/>
          <w:b/>
          <w:bCs/>
          <w:sz w:val="28"/>
          <w:szCs w:val="28"/>
        </w:rPr>
      </w:pPr>
      <w:r>
        <w:rPr>
          <w:rFonts w:hint="eastAsia" w:hAnsi="宋体" w:cs="宋体"/>
          <w:b/>
          <w:bCs/>
          <w:sz w:val="28"/>
          <w:szCs w:val="28"/>
        </w:rPr>
        <w:t>二、招标文件</w:t>
      </w:r>
    </w:p>
    <w:p w14:paraId="46B78506">
      <w:pPr>
        <w:pStyle w:val="12"/>
        <w:spacing w:line="360" w:lineRule="auto"/>
        <w:ind w:firstLine="482" w:firstLineChars="200"/>
        <w:outlineLvl w:val="1"/>
        <w:rPr>
          <w:rFonts w:hAnsi="宋体" w:cs="宋体"/>
          <w:b/>
          <w:bCs/>
          <w:sz w:val="24"/>
        </w:rPr>
      </w:pPr>
      <w:bookmarkStart w:id="60" w:name="_Toc246216188"/>
      <w:bookmarkStart w:id="61" w:name="_Toc233274819"/>
      <w:bookmarkStart w:id="62" w:name="_Toc243906319"/>
      <w:bookmarkStart w:id="63" w:name="_Toc243907579"/>
      <w:r>
        <w:rPr>
          <w:rFonts w:hint="eastAsia" w:hAnsi="宋体" w:cs="宋体"/>
          <w:b/>
          <w:bCs/>
          <w:sz w:val="24"/>
        </w:rPr>
        <w:t>9、招标文件的组成</w:t>
      </w:r>
      <w:bookmarkEnd w:id="60"/>
      <w:bookmarkEnd w:id="61"/>
      <w:bookmarkEnd w:id="62"/>
      <w:bookmarkEnd w:id="63"/>
    </w:p>
    <w:p w14:paraId="6409218F">
      <w:pPr>
        <w:spacing w:line="360" w:lineRule="auto"/>
        <w:ind w:firstLine="481"/>
        <w:rPr>
          <w:rFonts w:ascii="宋体" w:hAnsi="宋体" w:cs="宋体"/>
        </w:rPr>
      </w:pPr>
      <w:r>
        <w:rPr>
          <w:rFonts w:hint="eastAsia" w:ascii="宋体" w:hAnsi="宋体" w:cs="宋体"/>
          <w:sz w:val="24"/>
        </w:rPr>
        <w:t>9.1 本招标文件是对</w:t>
      </w:r>
      <w:r>
        <w:rPr>
          <w:rFonts w:hint="eastAsia" w:ascii="宋体" w:hAnsi="宋体" w:cs="宋体"/>
          <w:sz w:val="24"/>
          <w:lang w:eastAsia="zh-CN"/>
        </w:rPr>
        <w:t>林草业务专项-城市绿色生态质量提升工程（克拉玛依市人与自然和谐共生生态保护项目）设备采购</w:t>
      </w:r>
      <w:r>
        <w:rPr>
          <w:rFonts w:hint="eastAsia" w:ascii="宋体" w:hAnsi="宋体" w:cs="宋体"/>
          <w:sz w:val="24"/>
        </w:rPr>
        <w:t>招标程序、合同条款进行说明。招标文件包括下列内容：</w:t>
      </w:r>
    </w:p>
    <w:p w14:paraId="58117167">
      <w:pPr>
        <w:pStyle w:val="12"/>
        <w:spacing w:line="360" w:lineRule="auto"/>
        <w:ind w:firstLine="440"/>
        <w:rPr>
          <w:rFonts w:hAnsi="宋体" w:cs="宋体"/>
          <w:sz w:val="24"/>
        </w:rPr>
      </w:pPr>
      <w:r>
        <w:rPr>
          <w:rFonts w:hint="eastAsia" w:hAnsi="宋体" w:cs="宋体"/>
          <w:sz w:val="24"/>
        </w:rPr>
        <w:t>第一章  招标公告</w:t>
      </w:r>
    </w:p>
    <w:p w14:paraId="572B3CBC">
      <w:pPr>
        <w:pStyle w:val="12"/>
        <w:spacing w:line="360" w:lineRule="auto"/>
        <w:ind w:firstLine="440"/>
        <w:rPr>
          <w:rFonts w:hAnsi="宋体" w:cs="宋体"/>
          <w:sz w:val="24"/>
        </w:rPr>
      </w:pPr>
      <w:r>
        <w:rPr>
          <w:rFonts w:hint="eastAsia" w:hAnsi="宋体" w:cs="宋体"/>
          <w:sz w:val="24"/>
        </w:rPr>
        <w:t>第二章  投标人须知</w:t>
      </w:r>
    </w:p>
    <w:p w14:paraId="0A954118">
      <w:pPr>
        <w:pStyle w:val="12"/>
        <w:spacing w:line="360" w:lineRule="auto"/>
        <w:ind w:firstLine="440"/>
        <w:rPr>
          <w:rFonts w:hAnsi="宋体" w:cs="宋体"/>
          <w:sz w:val="24"/>
        </w:rPr>
      </w:pPr>
      <w:r>
        <w:rPr>
          <w:rFonts w:hint="eastAsia" w:hAnsi="宋体" w:cs="宋体"/>
          <w:sz w:val="24"/>
        </w:rPr>
        <w:t>第三章  项目采购需求</w:t>
      </w:r>
    </w:p>
    <w:p w14:paraId="3EC4FE8B">
      <w:pPr>
        <w:pStyle w:val="12"/>
        <w:spacing w:line="360" w:lineRule="auto"/>
        <w:ind w:firstLine="440"/>
        <w:rPr>
          <w:rFonts w:hAnsi="宋体" w:cs="宋体"/>
          <w:sz w:val="24"/>
        </w:rPr>
      </w:pPr>
      <w:r>
        <w:rPr>
          <w:rFonts w:hint="eastAsia" w:hAnsi="宋体" w:cs="宋体"/>
          <w:sz w:val="24"/>
        </w:rPr>
        <w:t>第四章  合同条款（主要条款）</w:t>
      </w:r>
    </w:p>
    <w:p w14:paraId="6D02F693">
      <w:pPr>
        <w:pStyle w:val="12"/>
        <w:spacing w:line="360" w:lineRule="auto"/>
        <w:ind w:firstLine="440"/>
        <w:rPr>
          <w:rFonts w:hAnsi="宋体" w:cs="宋体"/>
          <w:sz w:val="24"/>
        </w:rPr>
      </w:pPr>
      <w:r>
        <w:rPr>
          <w:rFonts w:hint="eastAsia" w:hAnsi="宋体" w:cs="宋体"/>
          <w:sz w:val="24"/>
        </w:rPr>
        <w:t>第五章  投标文件格式</w:t>
      </w:r>
    </w:p>
    <w:p w14:paraId="569B52E5">
      <w:pPr>
        <w:pStyle w:val="12"/>
        <w:spacing w:line="360" w:lineRule="auto"/>
        <w:ind w:firstLine="440"/>
        <w:rPr>
          <w:rFonts w:hAnsi="宋体" w:cs="宋体"/>
          <w:sz w:val="24"/>
        </w:rPr>
      </w:pPr>
      <w:r>
        <w:rPr>
          <w:rFonts w:hint="eastAsia" w:hAnsi="宋体" w:cs="宋体"/>
          <w:sz w:val="24"/>
        </w:rPr>
        <w:t>第六章  评审标准（综合评分法）</w:t>
      </w:r>
    </w:p>
    <w:p w14:paraId="124004FB">
      <w:pPr>
        <w:pStyle w:val="12"/>
        <w:spacing w:line="360" w:lineRule="auto"/>
        <w:ind w:firstLine="480" w:firstLineChars="200"/>
        <w:rPr>
          <w:rFonts w:hAnsi="宋体" w:cs="宋体"/>
          <w:sz w:val="24"/>
          <w:lang w:val="zh-CN"/>
        </w:rPr>
      </w:pPr>
      <w:r>
        <w:rPr>
          <w:rFonts w:hint="eastAsia" w:hAnsi="宋体" w:cs="宋体"/>
          <w:sz w:val="24"/>
        </w:rPr>
        <w:t xml:space="preserve">9.2 </w:t>
      </w:r>
      <w:r>
        <w:rPr>
          <w:rFonts w:hint="eastAsia" w:hAnsi="宋体" w:cs="宋体"/>
          <w:sz w:val="24"/>
          <w:lang w:val="zh-CN"/>
        </w:rPr>
        <w:t>招标的最小单位是标项。招标文件未分标项的，投标人须对全部招标内容投标，不得部分投标；</w:t>
      </w:r>
    </w:p>
    <w:p w14:paraId="607B799E">
      <w:pPr>
        <w:pStyle w:val="12"/>
        <w:spacing w:line="360" w:lineRule="auto"/>
        <w:ind w:firstLine="480" w:firstLineChars="200"/>
        <w:rPr>
          <w:rFonts w:hAnsi="宋体" w:cs="宋体"/>
          <w:sz w:val="24"/>
        </w:rPr>
      </w:pPr>
      <w:r>
        <w:rPr>
          <w:rFonts w:hint="eastAsia" w:hAnsi="宋体" w:cs="宋体"/>
          <w:sz w:val="24"/>
        </w:rPr>
        <w:t>9.3招标文件如果要求投标人提交备选投标方案的，投标人可以提交备选方案；否则，备选方案将被拒绝。</w:t>
      </w:r>
      <w:r>
        <w:rPr>
          <w:rFonts w:hint="eastAsia" w:hAnsi="宋体" w:cs="宋体"/>
          <w:b w:val="0"/>
          <w:bCs w:val="0"/>
          <w:sz w:val="24"/>
        </w:rPr>
        <w:t>本项目不允许提交备选方案。</w:t>
      </w:r>
    </w:p>
    <w:p w14:paraId="05D590B1">
      <w:pPr>
        <w:pStyle w:val="12"/>
        <w:spacing w:line="360" w:lineRule="auto"/>
        <w:ind w:firstLine="480" w:firstLineChars="200"/>
        <w:rPr>
          <w:rFonts w:hAnsi="宋体" w:cs="宋体"/>
          <w:sz w:val="24"/>
        </w:rPr>
      </w:pPr>
      <w:r>
        <w:rPr>
          <w:rFonts w:hint="eastAsia" w:hAnsi="宋体" w:cs="宋体"/>
          <w:sz w:val="24"/>
        </w:rPr>
        <w:t>9.4 招标文件由本文件及由采购人按招标文件有关规定发出的招标文件补充构成。招标文件的澄清、修改、招标答疑会纪要等书面材料在本招标项目中均称招标文件补充。</w:t>
      </w:r>
    </w:p>
    <w:p w14:paraId="677058ED">
      <w:pPr>
        <w:pStyle w:val="12"/>
        <w:spacing w:line="360" w:lineRule="auto"/>
        <w:ind w:firstLine="480" w:firstLineChars="200"/>
        <w:rPr>
          <w:rFonts w:hAnsi="宋体" w:cs="宋体"/>
          <w:sz w:val="24"/>
        </w:rPr>
      </w:pPr>
      <w:r>
        <w:rPr>
          <w:rFonts w:hint="eastAsia" w:hAnsi="宋体" w:cs="宋体"/>
          <w:sz w:val="24"/>
        </w:rPr>
        <w:t>9.5招标文件补充作为招标文件的组成部分，对投标人起同等约束作用。如果招标文件补充内容与在此招标文件补充发出之前的招标文件等书面材料中相关内容相冲突，以最后发出的文件（或通知）为准，先前发出的招标文件等书面材料中相关内容自动废止。</w:t>
      </w:r>
    </w:p>
    <w:p w14:paraId="66A81BA1">
      <w:pPr>
        <w:pStyle w:val="12"/>
        <w:spacing w:line="360" w:lineRule="auto"/>
        <w:ind w:firstLine="480" w:firstLineChars="200"/>
        <w:rPr>
          <w:rFonts w:hAnsi="宋体" w:cs="宋体"/>
          <w:sz w:val="24"/>
        </w:rPr>
      </w:pPr>
      <w:r>
        <w:rPr>
          <w:rFonts w:hint="eastAsia" w:hAnsi="宋体" w:cs="宋体"/>
          <w:sz w:val="24"/>
        </w:rPr>
        <w:t>9.6 除非有特殊要求，招标文件不单独提供招标项目使用地的自然环境、气候条件、劳动力及公用设施等情况，投标人被视为熟悉上述条件或若中标履行合同有关的一切情况。</w:t>
      </w:r>
    </w:p>
    <w:p w14:paraId="6C5C42B2">
      <w:pPr>
        <w:pStyle w:val="12"/>
        <w:spacing w:line="360" w:lineRule="auto"/>
        <w:ind w:firstLine="480" w:firstLineChars="200"/>
        <w:rPr>
          <w:rFonts w:hAnsi="宋体" w:cs="宋体"/>
          <w:sz w:val="24"/>
        </w:rPr>
      </w:pPr>
      <w:r>
        <w:rPr>
          <w:rFonts w:hint="eastAsia" w:hAnsi="宋体" w:cs="宋体"/>
          <w:sz w:val="24"/>
        </w:rPr>
        <w:t>9.7采购人向投标人提供的有关数据和资料，是采购人现有的能被投标人利用的资料，投标人对此做出的推论、理解和结论自行负责。</w:t>
      </w:r>
    </w:p>
    <w:p w14:paraId="3E65B9D0">
      <w:pPr>
        <w:pStyle w:val="12"/>
        <w:spacing w:line="360" w:lineRule="auto"/>
        <w:ind w:firstLine="480" w:firstLineChars="200"/>
        <w:rPr>
          <w:rFonts w:hAnsi="宋体" w:cs="宋体"/>
          <w:b w:val="0"/>
          <w:bCs w:val="0"/>
          <w:sz w:val="24"/>
        </w:rPr>
      </w:pPr>
      <w:r>
        <w:rPr>
          <w:rFonts w:hint="eastAsia" w:hAnsi="宋体" w:cs="宋体"/>
          <w:b w:val="0"/>
          <w:bCs w:val="0"/>
          <w:sz w:val="24"/>
        </w:rPr>
        <w:t>9.8投标人应认真审阅和理解招标文件所有内容，尤其注意可能引起“否决投标”、“拒绝评审”、“无效投标”、“评审不予通过”等的条款，按照招标文件要求编制投标文件。任何对招标文件的忽略或误解不能作为投标文件存在缺陷或瑕疵的理由，其风险由投标人承担。</w:t>
      </w:r>
    </w:p>
    <w:p w14:paraId="2D3B48B7">
      <w:pPr>
        <w:pStyle w:val="12"/>
        <w:spacing w:line="360" w:lineRule="auto"/>
        <w:ind w:firstLine="482" w:firstLineChars="200"/>
        <w:outlineLvl w:val="1"/>
        <w:rPr>
          <w:rFonts w:hAnsi="宋体" w:cs="宋体"/>
          <w:b/>
          <w:bCs/>
          <w:sz w:val="24"/>
        </w:rPr>
      </w:pPr>
      <w:bookmarkStart w:id="64" w:name="_Toc243906320"/>
      <w:bookmarkStart w:id="65" w:name="_Toc233274820"/>
      <w:bookmarkStart w:id="66" w:name="_Toc243907580"/>
      <w:bookmarkStart w:id="67" w:name="_Toc245897280"/>
      <w:r>
        <w:rPr>
          <w:rFonts w:hint="eastAsia" w:hAnsi="宋体" w:cs="宋体"/>
          <w:b/>
          <w:bCs/>
          <w:sz w:val="24"/>
        </w:rPr>
        <w:t>10、招标文件的澄清</w:t>
      </w:r>
      <w:bookmarkEnd w:id="64"/>
      <w:bookmarkEnd w:id="65"/>
      <w:bookmarkEnd w:id="66"/>
      <w:bookmarkEnd w:id="67"/>
    </w:p>
    <w:p w14:paraId="3C4260CA">
      <w:pPr>
        <w:pStyle w:val="12"/>
        <w:spacing w:line="360" w:lineRule="auto"/>
        <w:ind w:firstLine="480" w:firstLineChars="200"/>
        <w:rPr>
          <w:rFonts w:hAnsi="宋体" w:cs="宋体"/>
          <w:sz w:val="24"/>
        </w:rPr>
      </w:pPr>
      <w:r>
        <w:rPr>
          <w:rFonts w:hint="eastAsia" w:hAnsi="宋体" w:cs="宋体"/>
          <w:sz w:val="24"/>
        </w:rPr>
        <w:t>10.1 投标人对招标文件如有疑问，可要求澄清，应按招标文件“投标人须知前附表</w:t>
      </w:r>
      <w:r>
        <w:rPr>
          <w:rFonts w:hint="eastAsia" w:hAnsi="宋体" w:cs="宋体"/>
          <w:sz w:val="24"/>
          <w:lang w:val="en-US" w:eastAsia="zh-CN"/>
        </w:rPr>
        <w:t>中规定的时间</w:t>
      </w:r>
      <w:r>
        <w:rPr>
          <w:rFonts w:hint="eastAsia" w:hAnsi="宋体" w:cs="宋体"/>
          <w:sz w:val="24"/>
        </w:rPr>
        <w:t>”以扫描件形式（必须加盖投标人公章）发送至邮箱：862754334@qq.com。采购人和采购代理机构将视情况以书面形式予以答复，并发至领取招标文件的每位投标人。答复中包括所提问题，但不包括问题的来源。</w:t>
      </w:r>
    </w:p>
    <w:p w14:paraId="2504E9D1">
      <w:pPr>
        <w:pStyle w:val="12"/>
        <w:spacing w:line="360" w:lineRule="auto"/>
        <w:ind w:firstLine="480" w:firstLineChars="200"/>
        <w:rPr>
          <w:rFonts w:hAnsi="宋体" w:cs="宋体"/>
          <w:sz w:val="24"/>
        </w:rPr>
      </w:pPr>
      <w:r>
        <w:rPr>
          <w:rFonts w:hint="eastAsia" w:hAnsi="宋体" w:cs="宋体"/>
          <w:sz w:val="24"/>
        </w:rPr>
        <w:t>10.2 如果上述答复涉及对招标文件的修改或补充，则它将被视为招标文件的组成部分。凡原先所发招标文件中的内容与答复中的内容不一致之处，以最后书面答复为准。任何电话或口头咨询和答复的意思解释均不具有法律约束力。</w:t>
      </w:r>
    </w:p>
    <w:p w14:paraId="7A81F20D">
      <w:pPr>
        <w:pStyle w:val="12"/>
        <w:spacing w:line="360" w:lineRule="auto"/>
        <w:ind w:firstLine="482" w:firstLineChars="200"/>
        <w:outlineLvl w:val="1"/>
        <w:rPr>
          <w:rFonts w:hAnsi="宋体" w:cs="宋体"/>
          <w:b/>
          <w:bCs/>
          <w:sz w:val="24"/>
        </w:rPr>
      </w:pPr>
      <w:bookmarkStart w:id="68" w:name="_Toc233274821"/>
      <w:bookmarkStart w:id="69" w:name="_Toc243906321"/>
      <w:bookmarkStart w:id="70" w:name="_Toc245897281"/>
      <w:bookmarkStart w:id="71" w:name="_Toc243907581"/>
      <w:r>
        <w:rPr>
          <w:rFonts w:hint="eastAsia" w:hAnsi="宋体" w:cs="宋体"/>
          <w:b/>
          <w:bCs/>
          <w:sz w:val="24"/>
        </w:rPr>
        <w:t>11、招标文件的修改和补充</w:t>
      </w:r>
      <w:bookmarkEnd w:id="68"/>
      <w:bookmarkEnd w:id="69"/>
      <w:bookmarkEnd w:id="70"/>
      <w:bookmarkEnd w:id="71"/>
    </w:p>
    <w:p w14:paraId="67A3FEC8">
      <w:pPr>
        <w:pStyle w:val="12"/>
        <w:spacing w:line="360" w:lineRule="auto"/>
        <w:ind w:firstLine="480" w:firstLineChars="200"/>
        <w:rPr>
          <w:rFonts w:hAnsi="宋体" w:cs="宋体"/>
          <w:sz w:val="24"/>
        </w:rPr>
      </w:pPr>
      <w:r>
        <w:rPr>
          <w:rFonts w:hint="eastAsia" w:hAnsi="宋体" w:cs="宋体"/>
          <w:sz w:val="24"/>
        </w:rPr>
        <w:t>11.1澄清或者修改的内容可能影响投标文件编制的，采购人或者招标代理机构应当在投标截止时间至少15日前，以书面形式通知所有获取招标文件的潜在投标人；不足15日的，采购人或者招标代理机构应当顺延提交投标文件的截止时间。修改或补充文件将作为招标文件的组成部分，对所有投标人具有约束力。</w:t>
      </w:r>
    </w:p>
    <w:p w14:paraId="2697664F">
      <w:pPr>
        <w:pStyle w:val="12"/>
        <w:spacing w:line="360" w:lineRule="auto"/>
        <w:ind w:firstLine="480" w:firstLineChars="200"/>
        <w:rPr>
          <w:rFonts w:hAnsi="宋体" w:cs="宋体"/>
          <w:b/>
          <w:bCs/>
          <w:sz w:val="28"/>
          <w:szCs w:val="28"/>
        </w:rPr>
      </w:pPr>
      <w:r>
        <w:rPr>
          <w:rFonts w:hint="eastAsia" w:hAnsi="宋体" w:cs="宋体"/>
          <w:sz w:val="24"/>
        </w:rPr>
        <w:t>11.2投标人在每次收到采购代理机构发至的书面文件后，应在收到后24小时内以书面形式并加盖投标人公章予以确认。</w:t>
      </w:r>
      <w:bookmarkStart w:id="72" w:name="_Toc243906322"/>
      <w:bookmarkStart w:id="73" w:name="_Toc243907582"/>
      <w:bookmarkStart w:id="74" w:name="_Toc246216191"/>
      <w:bookmarkStart w:id="75" w:name="_Toc233274822"/>
      <w:bookmarkStart w:id="76" w:name="_Toc154996580"/>
    </w:p>
    <w:p w14:paraId="61C7D00F">
      <w:pPr>
        <w:pStyle w:val="12"/>
        <w:spacing w:line="360" w:lineRule="auto"/>
        <w:jc w:val="center"/>
        <w:outlineLvl w:val="1"/>
        <w:rPr>
          <w:rFonts w:hAnsi="宋体" w:cs="宋体"/>
          <w:b/>
          <w:bCs/>
          <w:sz w:val="28"/>
          <w:szCs w:val="28"/>
        </w:rPr>
      </w:pPr>
      <w:r>
        <w:rPr>
          <w:rFonts w:hint="eastAsia" w:hAnsi="宋体" w:cs="宋体"/>
          <w:b/>
          <w:bCs/>
          <w:sz w:val="28"/>
          <w:szCs w:val="28"/>
        </w:rPr>
        <w:t>三、投标文件的编写</w:t>
      </w:r>
      <w:bookmarkEnd w:id="72"/>
      <w:bookmarkEnd w:id="73"/>
      <w:bookmarkEnd w:id="74"/>
      <w:bookmarkEnd w:id="75"/>
    </w:p>
    <w:p w14:paraId="69946A8A">
      <w:pPr>
        <w:pStyle w:val="12"/>
        <w:spacing w:line="360" w:lineRule="auto"/>
        <w:ind w:firstLine="482" w:firstLineChars="200"/>
        <w:outlineLvl w:val="1"/>
        <w:rPr>
          <w:rFonts w:hAnsi="宋体" w:cs="宋体"/>
          <w:b/>
          <w:bCs/>
          <w:sz w:val="24"/>
        </w:rPr>
      </w:pPr>
      <w:bookmarkStart w:id="77" w:name="_Toc233274823"/>
      <w:bookmarkStart w:id="78" w:name="_Toc243907583"/>
      <w:bookmarkStart w:id="79" w:name="_Toc245897283"/>
      <w:bookmarkStart w:id="80" w:name="_Toc243906323"/>
      <w:r>
        <w:rPr>
          <w:rFonts w:hint="eastAsia" w:hAnsi="宋体" w:cs="宋体"/>
          <w:b/>
          <w:bCs/>
          <w:sz w:val="24"/>
        </w:rPr>
        <w:t>1</w:t>
      </w:r>
      <w:bookmarkEnd w:id="77"/>
      <w:r>
        <w:rPr>
          <w:rFonts w:hint="eastAsia" w:hAnsi="宋体" w:cs="宋体"/>
          <w:b/>
          <w:bCs/>
          <w:sz w:val="24"/>
        </w:rPr>
        <w:t>2、投标文件的编写</w:t>
      </w:r>
      <w:bookmarkEnd w:id="78"/>
      <w:bookmarkEnd w:id="79"/>
      <w:bookmarkEnd w:id="80"/>
    </w:p>
    <w:p w14:paraId="3B600C5B">
      <w:pPr>
        <w:spacing w:line="360" w:lineRule="auto"/>
        <w:ind w:firstLine="481"/>
        <w:rPr>
          <w:rFonts w:ascii="宋体" w:hAnsi="宋体" w:cs="宋体"/>
        </w:rPr>
      </w:pPr>
      <w:r>
        <w:rPr>
          <w:rFonts w:hint="eastAsia" w:ascii="宋体" w:hAnsi="宋体" w:cs="宋体"/>
          <w:sz w:val="24"/>
        </w:rPr>
        <w:t>12.1投标人必须详细阅读招标文件的章、节、条款、格式等所有内容，按招标文件的要求提交投标文件，并保证所提供的全部文件及相关资料的真实性，以使其对招标文件做出实质性响应。投标人应仔细阅读并充分理解招标文件、技术规范及标准、项目采购需求及合同条款后编制投标文件。</w:t>
      </w:r>
    </w:p>
    <w:p w14:paraId="56A5E3B1">
      <w:pPr>
        <w:pStyle w:val="12"/>
        <w:spacing w:line="360" w:lineRule="auto"/>
        <w:ind w:firstLine="482" w:firstLineChars="200"/>
        <w:outlineLvl w:val="1"/>
        <w:rPr>
          <w:rFonts w:hAnsi="宋体" w:cs="宋体"/>
          <w:b/>
          <w:bCs/>
          <w:sz w:val="24"/>
        </w:rPr>
      </w:pPr>
      <w:bookmarkStart w:id="81" w:name="_Toc245897284"/>
      <w:bookmarkStart w:id="82" w:name="_Toc243906324"/>
      <w:bookmarkStart w:id="83" w:name="_Toc233274824"/>
      <w:bookmarkStart w:id="84" w:name="_Toc243907584"/>
      <w:r>
        <w:rPr>
          <w:rFonts w:hint="eastAsia" w:hAnsi="宋体" w:cs="宋体"/>
          <w:b/>
          <w:bCs/>
          <w:sz w:val="24"/>
        </w:rPr>
        <w:t>13、投标文件的语言及计量单位</w:t>
      </w:r>
      <w:bookmarkEnd w:id="81"/>
      <w:bookmarkEnd w:id="82"/>
      <w:bookmarkEnd w:id="83"/>
      <w:bookmarkEnd w:id="84"/>
    </w:p>
    <w:p w14:paraId="669C6A74">
      <w:pPr>
        <w:pStyle w:val="12"/>
        <w:spacing w:line="360" w:lineRule="auto"/>
        <w:ind w:firstLine="480" w:firstLineChars="200"/>
        <w:rPr>
          <w:rFonts w:hAnsi="宋体" w:cs="宋体"/>
          <w:sz w:val="24"/>
        </w:rPr>
      </w:pPr>
      <w:r>
        <w:rPr>
          <w:rFonts w:hint="eastAsia" w:hAnsi="宋体" w:cs="宋体"/>
          <w:sz w:val="24"/>
        </w:rPr>
        <w:t>13.1 投标文件及投标人和采购人及采购代理机构就有关招标的所有文件和来往函件，应以中文书写。投标人可以提交用其他语言（原文）打印的资料，但必须翻译成中文，当原文和译文（中文）之间存有差异和/或矛盾时，以中文为准。</w:t>
      </w:r>
    </w:p>
    <w:p w14:paraId="2EFCE2DE">
      <w:pPr>
        <w:pStyle w:val="12"/>
        <w:spacing w:line="360" w:lineRule="auto"/>
        <w:ind w:firstLine="480" w:firstLineChars="200"/>
        <w:rPr>
          <w:rFonts w:hAnsi="宋体" w:cs="宋体"/>
          <w:sz w:val="24"/>
        </w:rPr>
      </w:pPr>
      <w:r>
        <w:rPr>
          <w:rFonts w:hint="eastAsia" w:hAnsi="宋体" w:cs="宋体"/>
          <w:sz w:val="24"/>
        </w:rPr>
        <w:t>13.2 除在招标文件的项目采购需求中另有规定外，计量单位应使用中华人民共和国法定计量单位（国际单位制和国家选定的其它计量单位）。如投标人采用其它计量单位，需事先得到采购人的同意。</w:t>
      </w:r>
    </w:p>
    <w:p w14:paraId="1D58F34C">
      <w:pPr>
        <w:pStyle w:val="12"/>
        <w:spacing w:line="360" w:lineRule="auto"/>
        <w:ind w:firstLine="482" w:firstLineChars="200"/>
        <w:rPr>
          <w:rFonts w:hAnsi="宋体" w:cs="宋体"/>
          <w:b/>
          <w:bCs/>
          <w:sz w:val="24"/>
        </w:rPr>
      </w:pPr>
      <w:r>
        <w:rPr>
          <w:rFonts w:hint="eastAsia" w:hAnsi="宋体" w:cs="宋体"/>
          <w:b/>
          <w:bCs/>
          <w:sz w:val="24"/>
        </w:rPr>
        <w:t>14、知识产权</w:t>
      </w:r>
    </w:p>
    <w:p w14:paraId="6C48B913">
      <w:pPr>
        <w:pStyle w:val="12"/>
        <w:spacing w:line="360" w:lineRule="auto"/>
        <w:ind w:firstLine="480" w:firstLineChars="200"/>
        <w:rPr>
          <w:rFonts w:hAnsi="宋体" w:cs="宋体"/>
          <w:sz w:val="24"/>
          <w:szCs w:val="24"/>
        </w:rPr>
      </w:pPr>
      <w:r>
        <w:rPr>
          <w:rFonts w:hint="eastAsia" w:hAnsi="宋体" w:cs="宋体"/>
          <w:sz w:val="24"/>
          <w:szCs w:val="24"/>
        </w:rPr>
        <w:t>14.1投标人应保证在本项目使用的任何产品和服务时，不会产生因第三方提出侵犯其专利权、商标权或其它知识产权而引起的法律和经济纠纷，如因专利权、商标权或其它知识产权而引起法律和经济纠纷，由投标人承担所有相关责任。</w:t>
      </w:r>
    </w:p>
    <w:p w14:paraId="154D43FA">
      <w:pPr>
        <w:pStyle w:val="12"/>
        <w:spacing w:line="360" w:lineRule="auto"/>
        <w:ind w:firstLine="480" w:firstLineChars="200"/>
        <w:rPr>
          <w:rFonts w:hAnsi="宋体" w:cs="宋体"/>
          <w:sz w:val="24"/>
        </w:rPr>
      </w:pPr>
      <w:r>
        <w:rPr>
          <w:rFonts w:hint="eastAsia" w:hAnsi="宋体" w:cs="宋体"/>
          <w:sz w:val="24"/>
          <w:szCs w:val="24"/>
        </w:rPr>
        <w:t>14.2 采购人享有本项目实施过程中产生的知识成果及知识产权。</w:t>
      </w:r>
    </w:p>
    <w:p w14:paraId="085272E1">
      <w:pPr>
        <w:spacing w:line="360" w:lineRule="auto"/>
        <w:ind w:firstLine="480" w:firstLineChars="200"/>
        <w:rPr>
          <w:rFonts w:ascii="宋体" w:hAnsi="宋体" w:cs="宋体"/>
          <w:sz w:val="24"/>
        </w:rPr>
      </w:pPr>
      <w:r>
        <w:rPr>
          <w:rFonts w:hint="eastAsia" w:ascii="宋体" w:hAnsi="宋体" w:cs="宋体"/>
          <w:sz w:val="24"/>
        </w:rPr>
        <w:t>14.3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5B3B4BE6">
      <w:pPr>
        <w:spacing w:line="360" w:lineRule="auto"/>
        <w:ind w:firstLine="460" w:firstLineChars="192"/>
        <w:rPr>
          <w:rFonts w:ascii="宋体" w:hAnsi="宋体" w:cs="宋体"/>
          <w:sz w:val="24"/>
        </w:rPr>
      </w:pPr>
      <w:r>
        <w:rPr>
          <w:rFonts w:hint="eastAsia" w:ascii="宋体" w:hAnsi="宋体" w:cs="宋体"/>
          <w:sz w:val="24"/>
        </w:rPr>
        <w:t xml:space="preserve">14.4 投标人如采用其所不拥有的知识产权，则在其商务报价中必须包括合法获取该知识产权的相关费用。 </w:t>
      </w:r>
    </w:p>
    <w:p w14:paraId="4CA6EC60">
      <w:pPr>
        <w:spacing w:line="450" w:lineRule="exact"/>
        <w:ind w:firstLine="482" w:firstLineChars="200"/>
        <w:rPr>
          <w:rFonts w:hint="eastAsia" w:ascii="宋体" w:hAnsi="宋体" w:eastAsia="宋体" w:cs="宋体"/>
          <w:b/>
          <w:sz w:val="24"/>
          <w:szCs w:val="24"/>
        </w:rPr>
      </w:pPr>
      <w:r>
        <w:rPr>
          <w:rFonts w:hint="eastAsia" w:ascii="宋体" w:hAnsi="宋体" w:eastAsia="宋体" w:cs="宋体"/>
          <w:b/>
          <w:bCs/>
          <w:sz w:val="24"/>
          <w:szCs w:val="24"/>
          <w:lang w:val="en-US" w:eastAsia="zh-CN"/>
        </w:rPr>
        <w:t>15</w:t>
      </w:r>
      <w:r>
        <w:rPr>
          <w:rFonts w:hint="eastAsia" w:ascii="宋体" w:hAnsi="宋体" w:eastAsia="宋体" w:cs="宋体"/>
          <w:b/>
          <w:bCs/>
          <w:sz w:val="24"/>
          <w:szCs w:val="24"/>
        </w:rPr>
        <w:t>、</w:t>
      </w:r>
      <w:r>
        <w:rPr>
          <w:rFonts w:hint="eastAsia" w:ascii="宋体" w:hAnsi="宋体" w:eastAsia="宋体" w:cs="宋体"/>
          <w:b/>
          <w:bCs/>
          <w:sz w:val="24"/>
          <w:szCs w:val="24"/>
          <w:lang w:eastAsia="zh-CN"/>
        </w:rPr>
        <w:t>投标文件</w:t>
      </w:r>
      <w:r>
        <w:rPr>
          <w:rFonts w:hint="eastAsia" w:ascii="宋体" w:hAnsi="宋体" w:eastAsia="宋体" w:cs="宋体"/>
          <w:b/>
          <w:sz w:val="24"/>
          <w:szCs w:val="24"/>
        </w:rPr>
        <w:t>的组成：（以下</w:t>
      </w:r>
      <w:r>
        <w:rPr>
          <w:rFonts w:hint="eastAsia" w:ascii="宋体" w:hAnsi="宋体" w:eastAsia="宋体" w:cs="宋体"/>
          <w:b/>
          <w:sz w:val="24"/>
          <w:szCs w:val="24"/>
          <w:lang w:eastAsia="zh-CN"/>
        </w:rPr>
        <w:t>投标文件</w:t>
      </w:r>
      <w:r>
        <w:rPr>
          <w:rFonts w:hint="eastAsia" w:ascii="宋体" w:hAnsi="宋体" w:eastAsia="宋体" w:cs="宋体"/>
          <w:b/>
          <w:sz w:val="24"/>
          <w:szCs w:val="24"/>
        </w:rPr>
        <w:t>格式详见第五章“</w:t>
      </w:r>
      <w:r>
        <w:rPr>
          <w:rFonts w:hint="eastAsia" w:ascii="宋体" w:hAnsi="宋体" w:eastAsia="宋体" w:cs="宋体"/>
          <w:b/>
          <w:sz w:val="24"/>
          <w:szCs w:val="24"/>
          <w:lang w:eastAsia="zh-CN"/>
        </w:rPr>
        <w:t>投标文件</w:t>
      </w:r>
      <w:r>
        <w:rPr>
          <w:rFonts w:hint="eastAsia" w:ascii="宋体" w:hAnsi="宋体" w:eastAsia="宋体" w:cs="宋体"/>
          <w:b/>
          <w:sz w:val="24"/>
          <w:szCs w:val="24"/>
        </w:rPr>
        <w:t>格式”）</w:t>
      </w:r>
    </w:p>
    <w:p w14:paraId="1633B767">
      <w:pPr>
        <w:spacing w:line="450" w:lineRule="exact"/>
        <w:ind w:firstLine="482" w:firstLineChars="200"/>
        <w:rPr>
          <w:rFonts w:hint="eastAsia" w:ascii="宋体" w:hAnsi="宋体" w:eastAsia="宋体" w:cs="宋体"/>
          <w:b w:val="0"/>
          <w:bCs/>
          <w:sz w:val="24"/>
          <w:szCs w:val="24"/>
        </w:rPr>
      </w:pPr>
      <w:r>
        <w:rPr>
          <w:rFonts w:hint="eastAsia" w:ascii="宋体" w:hAnsi="宋体" w:eastAsia="宋体" w:cs="宋体"/>
          <w:b/>
          <w:bCs/>
          <w:color w:val="auto"/>
          <w:sz w:val="24"/>
          <w:lang w:val="en-US" w:eastAsia="zh-CN"/>
        </w:rPr>
        <w:t>15</w:t>
      </w:r>
      <w:r>
        <w:rPr>
          <w:rFonts w:hint="eastAsia" w:ascii="宋体" w:hAnsi="宋体" w:eastAsia="宋体" w:cs="宋体"/>
          <w:b/>
          <w:bCs/>
          <w:color w:val="auto"/>
          <w:sz w:val="24"/>
        </w:rPr>
        <w:t>.1资格证明文件（后续供应商在线制作</w:t>
      </w:r>
      <w:r>
        <w:rPr>
          <w:rFonts w:hint="eastAsia" w:ascii="宋体" w:hAnsi="宋体" w:eastAsia="宋体" w:cs="宋体"/>
          <w:b/>
          <w:bCs/>
          <w:color w:val="auto"/>
          <w:sz w:val="24"/>
          <w:lang w:eastAsia="zh-CN"/>
        </w:rPr>
        <w:t>投标文件</w:t>
      </w:r>
      <w:r>
        <w:rPr>
          <w:rFonts w:hint="eastAsia" w:ascii="宋体" w:hAnsi="宋体" w:eastAsia="宋体" w:cs="宋体"/>
          <w:b/>
          <w:bCs/>
          <w:color w:val="auto"/>
          <w:sz w:val="24"/>
        </w:rPr>
        <w:t>时需对资格审查项进行逐一关联响应）</w:t>
      </w:r>
    </w:p>
    <w:p w14:paraId="26160CF6">
      <w:pPr>
        <w:spacing w:line="450" w:lineRule="exact"/>
        <w:ind w:firstLine="720" w:firstLineChars="300"/>
        <w:rPr>
          <w:rFonts w:hint="eastAsia" w:ascii="宋体" w:hAnsi="宋体" w:eastAsia="宋体" w:cs="宋体"/>
          <w:sz w:val="24"/>
          <w:szCs w:val="24"/>
        </w:rPr>
      </w:pPr>
      <w:r>
        <w:rPr>
          <w:rFonts w:hint="eastAsia" w:ascii="宋体" w:hAnsi="宋体" w:eastAsia="宋体" w:cs="宋体"/>
          <w:sz w:val="24"/>
          <w:szCs w:val="24"/>
        </w:rPr>
        <w:t>资格证明文件应简要客观反映企业面貌，使采购人对其有感性了解，必须如实提供，如发现失实之处将影响其成交。资格证明文件包括但不仅限于以下内容，供应商对照第六章“1、资格性审查”提供必要的证明材料：</w:t>
      </w:r>
    </w:p>
    <w:p w14:paraId="3B4FF74C">
      <w:pPr>
        <w:numPr>
          <w:ilvl w:val="0"/>
          <w:numId w:val="0"/>
        </w:numPr>
        <w:spacing w:line="450" w:lineRule="exact"/>
        <w:ind w:left="400" w:leftChars="0"/>
        <w:rPr>
          <w:rFonts w:hint="eastAsia"/>
        </w:rPr>
      </w:pPr>
      <w:r>
        <w:rPr>
          <w:rFonts w:hint="eastAsia" w:ascii="宋体" w:hAnsi="宋体" w:eastAsia="宋体" w:cs="宋体"/>
          <w:sz w:val="24"/>
          <w:szCs w:val="24"/>
        </w:rPr>
        <w:t>封面</w:t>
      </w:r>
    </w:p>
    <w:p w14:paraId="12131CD5">
      <w:pPr>
        <w:numPr>
          <w:ilvl w:val="0"/>
          <w:numId w:val="6"/>
        </w:numPr>
        <w:spacing w:line="360" w:lineRule="auto"/>
        <w:ind w:left="230" w:leftChars="0" w:firstLine="400" w:firstLineChars="0"/>
        <w:jc w:val="left"/>
        <w:rPr>
          <w:rFonts w:asciiTheme="minorEastAsia" w:hAnsiTheme="minorEastAsia" w:eastAsiaTheme="minorEastAsia" w:cstheme="minorEastAsia"/>
        </w:rPr>
      </w:pPr>
      <w:r>
        <w:rPr>
          <w:rFonts w:hint="eastAsia" w:asciiTheme="minorEastAsia" w:hAnsiTheme="minorEastAsia" w:eastAsiaTheme="minorEastAsia" w:cstheme="minorEastAsia"/>
          <w:bCs/>
          <w:sz w:val="24"/>
        </w:rPr>
        <w:t>资格性/符合性自查表</w:t>
      </w:r>
      <w:r>
        <w:rPr>
          <w:rFonts w:hint="eastAsia" w:asciiTheme="minorEastAsia" w:hAnsiTheme="minorEastAsia" w:eastAsiaTheme="minorEastAsia" w:cstheme="minorEastAsia"/>
          <w:sz w:val="24"/>
        </w:rPr>
        <w:t>（详见文件格式1）；</w:t>
      </w:r>
    </w:p>
    <w:p w14:paraId="3B3F4B73">
      <w:pPr>
        <w:numPr>
          <w:ilvl w:val="0"/>
          <w:numId w:val="6"/>
        </w:numPr>
        <w:tabs>
          <w:tab w:val="left" w:pos="0"/>
        </w:tabs>
        <w:spacing w:line="360" w:lineRule="auto"/>
        <w:ind w:left="230" w:leftChars="0" w:firstLine="400" w:firstLineChars="0"/>
        <w:jc w:val="left"/>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法定代表人资格证明书</w:t>
      </w:r>
      <w:r>
        <w:rPr>
          <w:rFonts w:hint="eastAsia" w:asciiTheme="minorEastAsia" w:hAnsiTheme="minorEastAsia" w:eastAsiaTheme="minorEastAsia" w:cstheme="minorEastAsia"/>
          <w:sz w:val="24"/>
        </w:rPr>
        <w:t>（详见格式2）；</w:t>
      </w:r>
    </w:p>
    <w:p w14:paraId="3AF45392">
      <w:pPr>
        <w:numPr>
          <w:ilvl w:val="0"/>
          <w:numId w:val="6"/>
        </w:numPr>
        <w:spacing w:line="360" w:lineRule="auto"/>
        <w:ind w:left="23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法定代表人授权委托书</w:t>
      </w:r>
      <w:r>
        <w:rPr>
          <w:rFonts w:hint="eastAsia" w:asciiTheme="minorEastAsia" w:hAnsiTheme="minorEastAsia" w:eastAsiaTheme="minorEastAsia" w:cstheme="minorEastAsia"/>
          <w:sz w:val="24"/>
        </w:rPr>
        <w:t>（详见格式3）；</w:t>
      </w:r>
    </w:p>
    <w:p w14:paraId="2B155B1C">
      <w:pPr>
        <w:numPr>
          <w:ilvl w:val="0"/>
          <w:numId w:val="6"/>
        </w:numPr>
        <w:spacing w:line="360" w:lineRule="auto"/>
        <w:ind w:left="23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有效期内的三证合一企业营业执照（复印件）；</w:t>
      </w:r>
    </w:p>
    <w:p w14:paraId="1FBC05E2">
      <w:pPr>
        <w:numPr>
          <w:ilvl w:val="0"/>
          <w:numId w:val="6"/>
        </w:numPr>
        <w:spacing w:line="360" w:lineRule="auto"/>
        <w:ind w:left="23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投标人基本情况表（详见格式4）；</w:t>
      </w:r>
    </w:p>
    <w:p w14:paraId="47168850">
      <w:pPr>
        <w:numPr>
          <w:ilvl w:val="0"/>
          <w:numId w:val="6"/>
        </w:numPr>
        <w:spacing w:line="360" w:lineRule="auto"/>
        <w:ind w:left="230" w:leftChars="0" w:firstLine="40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诚信声明（详见格式5）；</w:t>
      </w:r>
    </w:p>
    <w:p w14:paraId="77C50319">
      <w:pPr>
        <w:numPr>
          <w:ilvl w:val="0"/>
          <w:numId w:val="6"/>
        </w:numPr>
        <w:spacing w:line="360" w:lineRule="auto"/>
        <w:ind w:left="230" w:leftChars="0" w:firstLine="40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无重大违法记录承诺书（详见格式6）</w:t>
      </w:r>
      <w:r>
        <w:rPr>
          <w:rFonts w:hint="eastAsia" w:asciiTheme="minorEastAsia" w:hAnsiTheme="minorEastAsia" w:eastAsiaTheme="minorEastAsia" w:cstheme="minorEastAsia"/>
          <w:color w:val="auto"/>
          <w:sz w:val="24"/>
          <w:lang w:eastAsia="zh-CN"/>
        </w:rPr>
        <w:t>；</w:t>
      </w:r>
    </w:p>
    <w:p w14:paraId="142875D3">
      <w:pPr>
        <w:numPr>
          <w:ilvl w:val="0"/>
          <w:numId w:val="6"/>
        </w:numPr>
        <w:spacing w:line="360" w:lineRule="auto"/>
        <w:ind w:left="230" w:leftChars="0" w:firstLine="40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具有履行合同所必需的设备和专业技术能力的承诺书（详见格式</w:t>
      </w:r>
      <w:r>
        <w:rPr>
          <w:rFonts w:hint="eastAsia" w:asciiTheme="minorEastAsia" w:hAnsiTheme="minorEastAsia" w:eastAsiaTheme="minorEastAsia" w:cstheme="minorEastAsia"/>
          <w:color w:val="auto"/>
          <w:sz w:val="24"/>
          <w:lang w:val="en-US" w:eastAsia="zh-CN"/>
        </w:rPr>
        <w:t>7</w:t>
      </w:r>
      <w:r>
        <w:rPr>
          <w:rFonts w:hint="eastAsia" w:asciiTheme="minorEastAsia" w:hAnsiTheme="minorEastAsia" w:eastAsiaTheme="minorEastAsia" w:cstheme="minorEastAsia"/>
          <w:color w:val="auto"/>
          <w:sz w:val="24"/>
        </w:rPr>
        <w:t>）</w:t>
      </w:r>
      <w:r>
        <w:rPr>
          <w:rFonts w:hint="eastAsia" w:asciiTheme="minorEastAsia" w:hAnsiTheme="minorEastAsia" w:eastAsiaTheme="minorEastAsia" w:cstheme="minorEastAsia"/>
          <w:color w:val="auto"/>
          <w:sz w:val="24"/>
          <w:lang w:eastAsia="zh-CN"/>
        </w:rPr>
        <w:t>；</w:t>
      </w:r>
    </w:p>
    <w:p w14:paraId="067D6C73">
      <w:pPr>
        <w:numPr>
          <w:ilvl w:val="0"/>
          <w:numId w:val="6"/>
        </w:numPr>
        <w:spacing w:line="360" w:lineRule="auto"/>
        <w:ind w:left="230" w:leftChars="0" w:firstLine="400" w:firstLineChars="0"/>
        <w:rPr>
          <w:rStyle w:val="24"/>
          <w:rFonts w:hint="eastAsia" w:ascii="宋体" w:hAnsi="宋体" w:eastAsia="宋体" w:cs="宋体"/>
          <w:b w:val="0"/>
          <w:bCs/>
          <w:color w:val="auto"/>
          <w:sz w:val="24"/>
        </w:rPr>
      </w:pPr>
      <w:r>
        <w:rPr>
          <w:rFonts w:hint="eastAsia" w:asciiTheme="minorEastAsia" w:hAnsiTheme="minorEastAsia" w:eastAsiaTheme="minorEastAsia" w:cstheme="minorEastAsia"/>
          <w:color w:val="auto"/>
          <w:sz w:val="24"/>
        </w:rPr>
        <w:t>上一年度</w:t>
      </w:r>
      <w:r>
        <w:rPr>
          <w:rFonts w:hint="eastAsia" w:asciiTheme="minorEastAsia" w:hAnsiTheme="minorEastAsia" w:eastAsiaTheme="minorEastAsia" w:cstheme="minorEastAsia"/>
          <w:color w:val="auto"/>
          <w:sz w:val="24"/>
          <w:lang w:eastAsia="zh-CN"/>
        </w:rPr>
        <w:t>（</w:t>
      </w:r>
      <w:r>
        <w:rPr>
          <w:rFonts w:hint="eastAsia" w:asciiTheme="minorEastAsia" w:hAnsiTheme="minorEastAsia" w:eastAsiaTheme="minorEastAsia" w:cstheme="minorEastAsia"/>
          <w:color w:val="auto"/>
          <w:sz w:val="24"/>
          <w:lang w:val="en-US" w:eastAsia="zh-CN"/>
        </w:rPr>
        <w:t>2024年或2023</w:t>
      </w:r>
      <w:r>
        <w:rPr>
          <w:rFonts w:hint="eastAsia" w:asciiTheme="minorEastAsia" w:hAnsiTheme="minorEastAsia" w:eastAsiaTheme="minorEastAsia" w:cstheme="minorEastAsia"/>
          <w:color w:val="auto"/>
          <w:sz w:val="24"/>
          <w:lang w:eastAsia="zh-CN"/>
        </w:rPr>
        <w:t>）</w:t>
      </w:r>
      <w:r>
        <w:rPr>
          <w:rFonts w:hint="eastAsia" w:asciiTheme="minorEastAsia" w:hAnsiTheme="minorEastAsia" w:eastAsiaTheme="minorEastAsia" w:cstheme="minorEastAsia"/>
          <w:color w:val="auto"/>
          <w:sz w:val="24"/>
        </w:rPr>
        <w:t>的财务报告/报表（包括资产负债表、损益表、利润表、现金流量表及财务状况说明书，新成立的公司提供情况说明）</w:t>
      </w:r>
      <w:r>
        <w:rPr>
          <w:rFonts w:hint="eastAsia" w:asciiTheme="minorEastAsia" w:hAnsiTheme="minorEastAsia" w:eastAsiaTheme="minorEastAsia" w:cstheme="minorEastAsia"/>
          <w:color w:val="auto"/>
          <w:sz w:val="24"/>
          <w:lang w:eastAsia="zh-CN"/>
        </w:rPr>
        <w:t>；</w:t>
      </w:r>
    </w:p>
    <w:p w14:paraId="56A818E8">
      <w:pPr>
        <w:numPr>
          <w:ilvl w:val="0"/>
          <w:numId w:val="6"/>
        </w:numPr>
        <w:spacing w:line="360" w:lineRule="auto"/>
        <w:ind w:left="230" w:leftChars="0" w:firstLine="400" w:firstLineChars="0"/>
        <w:rPr>
          <w:rStyle w:val="24"/>
          <w:rFonts w:hint="eastAsia" w:ascii="宋体" w:hAnsi="宋体" w:eastAsia="宋体" w:cs="宋体"/>
          <w:b w:val="0"/>
          <w:bCs/>
          <w:color w:val="auto"/>
          <w:sz w:val="24"/>
        </w:rPr>
      </w:pPr>
      <w:r>
        <w:rPr>
          <w:rStyle w:val="24"/>
          <w:rFonts w:hint="eastAsia" w:ascii="宋体" w:hAnsi="宋体" w:eastAsia="宋体" w:cs="宋体"/>
          <w:b w:val="0"/>
          <w:bCs/>
          <w:color w:val="auto"/>
          <w:sz w:val="24"/>
        </w:rPr>
        <w:t>202</w:t>
      </w:r>
      <w:r>
        <w:rPr>
          <w:rStyle w:val="24"/>
          <w:rFonts w:hint="eastAsia" w:ascii="宋体" w:hAnsi="宋体" w:eastAsia="宋体" w:cs="宋体"/>
          <w:b w:val="0"/>
          <w:bCs/>
          <w:color w:val="auto"/>
          <w:sz w:val="24"/>
          <w:lang w:val="en-US" w:eastAsia="zh-CN"/>
        </w:rPr>
        <w:t>4</w:t>
      </w:r>
      <w:r>
        <w:rPr>
          <w:rStyle w:val="24"/>
          <w:rFonts w:hint="eastAsia" w:ascii="宋体" w:hAnsi="宋体" w:eastAsia="宋体" w:cs="宋体"/>
          <w:b w:val="0"/>
          <w:bCs/>
          <w:color w:val="auto"/>
          <w:sz w:val="24"/>
        </w:rPr>
        <w:t>年以来（</w:t>
      </w:r>
      <w:r>
        <w:rPr>
          <w:rStyle w:val="24"/>
          <w:rFonts w:hint="eastAsia" w:ascii="宋体" w:hAnsi="宋体" w:eastAsia="宋体" w:cs="宋体"/>
          <w:b w:val="0"/>
          <w:bCs/>
          <w:color w:val="auto"/>
          <w:sz w:val="24"/>
          <w:lang w:val="en-US" w:eastAsia="zh-CN"/>
        </w:rPr>
        <w:t>任意</w:t>
      </w:r>
      <w:r>
        <w:rPr>
          <w:rStyle w:val="24"/>
          <w:rFonts w:hint="eastAsia" w:ascii="宋体" w:hAnsi="宋体" w:eastAsia="宋体" w:cs="宋体"/>
          <w:b w:val="0"/>
          <w:bCs/>
          <w:color w:val="auto"/>
          <w:sz w:val="24"/>
        </w:rPr>
        <w:t>三个月）依法缴纳税收和社会保障资金的良好记录的证明材料（附复印件）</w:t>
      </w:r>
    </w:p>
    <w:p w14:paraId="24B7AF3A">
      <w:pPr>
        <w:numPr>
          <w:ilvl w:val="0"/>
          <w:numId w:val="6"/>
        </w:numPr>
        <w:spacing w:line="360" w:lineRule="auto"/>
        <w:ind w:left="230" w:leftChars="0" w:firstLine="400" w:firstLineChars="0"/>
        <w:rPr>
          <w:rFonts w:ascii="宋体" w:hAnsi="宋体" w:cs="宋体"/>
          <w:bCs/>
          <w:color w:val="auto"/>
          <w:sz w:val="24"/>
        </w:rPr>
      </w:pPr>
      <w:r>
        <w:rPr>
          <w:rStyle w:val="24"/>
          <w:rFonts w:hint="eastAsia" w:ascii="宋体" w:hAnsi="宋体" w:eastAsia="宋体" w:cs="宋体"/>
          <w:b w:val="0"/>
          <w:bCs/>
          <w:color w:val="auto"/>
          <w:sz w:val="24"/>
        </w:rPr>
        <w:t>供应商未被列入“信用中国”网站（www.creditchina.gov.cn）失信被执行人、重大税收违法案件当事人名单及中国政府采购网（www.ccgp.gov.cn）“政府采购严重违法失信行为信息记录”</w:t>
      </w:r>
      <w:r>
        <w:rPr>
          <w:rStyle w:val="24"/>
          <w:rFonts w:hint="eastAsia" w:ascii="宋体" w:hAnsi="宋体" w:eastAsia="宋体" w:cs="宋体"/>
          <w:b w:val="0"/>
          <w:bCs/>
          <w:color w:val="auto"/>
          <w:sz w:val="24"/>
          <w:lang w:val="en-US" w:eastAsia="zh-CN"/>
        </w:rPr>
        <w:t>相关截图</w:t>
      </w:r>
    </w:p>
    <w:p w14:paraId="5044B513">
      <w:pPr>
        <w:spacing w:line="360" w:lineRule="auto"/>
        <w:ind w:firstLine="482" w:firstLineChars="200"/>
        <w:rPr>
          <w:rFonts w:hint="eastAsia" w:ascii="宋体" w:hAnsi="宋体" w:cs="宋体"/>
          <w:b/>
          <w:bCs/>
          <w:sz w:val="24"/>
        </w:rPr>
      </w:pPr>
      <w:r>
        <w:rPr>
          <w:rFonts w:hint="eastAsia" w:ascii="宋体" w:hAnsi="宋体" w:cs="宋体"/>
          <w:b/>
          <w:bCs/>
          <w:sz w:val="24"/>
        </w:rPr>
        <w:t>15.2 商务部分主要包括但不限于以下内容：</w:t>
      </w:r>
    </w:p>
    <w:p w14:paraId="51FA4558">
      <w:pPr>
        <w:numPr>
          <w:ilvl w:val="0"/>
          <w:numId w:val="7"/>
        </w:numPr>
        <w:spacing w:line="360" w:lineRule="auto"/>
        <w:ind w:left="0" w:leftChars="0" w:firstLine="400" w:firstLineChars="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投标函（详见格式</w:t>
      </w:r>
      <w:r>
        <w:rPr>
          <w:rFonts w:hint="eastAsia" w:asciiTheme="minorEastAsia" w:hAnsiTheme="minorEastAsia" w:eastAsiaTheme="minorEastAsia" w:cstheme="minorEastAsia"/>
          <w:sz w:val="24"/>
          <w:szCs w:val="24"/>
          <w:lang w:val="en-US" w:eastAsia="zh-CN"/>
        </w:rPr>
        <w:t>8</w:t>
      </w:r>
      <w:r>
        <w:rPr>
          <w:rFonts w:hint="eastAsia" w:asciiTheme="minorEastAsia" w:hAnsiTheme="minorEastAsia" w:eastAsiaTheme="minorEastAsia" w:cstheme="minorEastAsia"/>
          <w:sz w:val="24"/>
          <w:szCs w:val="24"/>
        </w:rPr>
        <w:t>）；</w:t>
      </w:r>
    </w:p>
    <w:p w14:paraId="09431536">
      <w:pPr>
        <w:pStyle w:val="7"/>
        <w:numPr>
          <w:ilvl w:val="0"/>
          <w:numId w:val="7"/>
        </w:numPr>
        <w:tabs>
          <w:tab w:val="left" w:pos="0"/>
        </w:tabs>
        <w:overflowPunct w:val="0"/>
        <w:spacing w:line="360" w:lineRule="auto"/>
        <w:ind w:left="0" w:leftChars="0" w:firstLine="400" w:firstLineChars="0"/>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开标一览表（详见格式</w:t>
      </w:r>
      <w:r>
        <w:rPr>
          <w:rFonts w:hint="eastAsia" w:asciiTheme="minorEastAsia" w:hAnsiTheme="minorEastAsia" w:eastAsiaTheme="minorEastAsia" w:cstheme="minorEastAsia"/>
          <w:sz w:val="24"/>
          <w:szCs w:val="24"/>
          <w:lang w:val="en-US" w:eastAsia="zh-CN"/>
        </w:rPr>
        <w:t>9</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后附各单项清单报价明细表格式自拟</w:t>
      </w:r>
      <w:r>
        <w:rPr>
          <w:rFonts w:hint="eastAsia" w:asciiTheme="minorEastAsia" w:hAnsiTheme="minorEastAsia" w:eastAsiaTheme="minorEastAsia" w:cstheme="minorEastAsia"/>
          <w:sz w:val="24"/>
          <w:szCs w:val="24"/>
        </w:rPr>
        <w:t>；</w:t>
      </w:r>
    </w:p>
    <w:p w14:paraId="48593570">
      <w:pPr>
        <w:pStyle w:val="7"/>
        <w:numPr>
          <w:ilvl w:val="0"/>
          <w:numId w:val="7"/>
        </w:numPr>
        <w:tabs>
          <w:tab w:val="left" w:pos="0"/>
        </w:tabs>
        <w:overflowPunct w:val="0"/>
        <w:spacing w:line="360" w:lineRule="auto"/>
        <w:ind w:left="0" w:leftChars="0" w:firstLine="400" w:firstLineChars="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商务条款偏离表（详见格式</w:t>
      </w:r>
      <w:r>
        <w:rPr>
          <w:rFonts w:hint="eastAsia" w:asciiTheme="minorEastAsia" w:hAnsiTheme="minorEastAsia" w:eastAsiaTheme="minorEastAsia" w:cstheme="minorEastAsia"/>
          <w:sz w:val="24"/>
          <w:szCs w:val="24"/>
          <w:lang w:val="en-US" w:eastAsia="zh-CN"/>
        </w:rPr>
        <w:t>10</w:t>
      </w:r>
      <w:r>
        <w:rPr>
          <w:rFonts w:hint="eastAsia" w:asciiTheme="minorEastAsia" w:hAnsiTheme="minorEastAsia" w:eastAsiaTheme="minorEastAsia" w:cstheme="minorEastAsia"/>
          <w:sz w:val="24"/>
          <w:szCs w:val="24"/>
        </w:rPr>
        <w:t>）；</w:t>
      </w:r>
    </w:p>
    <w:p w14:paraId="329DA068">
      <w:pPr>
        <w:numPr>
          <w:ilvl w:val="0"/>
          <w:numId w:val="7"/>
        </w:numPr>
        <w:spacing w:line="360" w:lineRule="auto"/>
        <w:ind w:left="0" w:leftChars="0" w:firstLine="400" w:firstLineChars="0"/>
        <w:jc w:val="left"/>
        <w:rPr>
          <w:rFonts w:hint="eastAsia" w:asciiTheme="minorEastAsia" w:hAnsiTheme="minorEastAsia" w:eastAsiaTheme="minorEastAsia" w:cstheme="minorEastAsia"/>
          <w:sz w:val="24"/>
          <w:szCs w:val="24"/>
          <w:lang w:val="en-US" w:eastAsia="zh-CN"/>
        </w:rPr>
      </w:pPr>
      <w:r>
        <w:rPr>
          <w:rFonts w:hint="eastAsia" w:ascii="宋体" w:hAnsi="宋体" w:cs="宋体"/>
          <w:bCs/>
          <w:sz w:val="24"/>
        </w:rPr>
        <w:t>中小企业声明函（</w:t>
      </w:r>
      <w:r>
        <w:rPr>
          <w:rFonts w:hint="eastAsia" w:asciiTheme="minorEastAsia" w:hAnsiTheme="minorEastAsia" w:eastAsiaTheme="minorEastAsia" w:cstheme="minorEastAsia"/>
          <w:sz w:val="24"/>
          <w:szCs w:val="24"/>
        </w:rPr>
        <w:t>详见格式</w:t>
      </w:r>
      <w:r>
        <w:rPr>
          <w:rFonts w:hint="eastAsia" w:asciiTheme="minorEastAsia" w:hAnsiTheme="minorEastAsia" w:eastAsiaTheme="minorEastAsia" w:cstheme="minorEastAsia"/>
          <w:sz w:val="24"/>
          <w:szCs w:val="24"/>
          <w:lang w:val="en-US" w:eastAsia="zh-CN"/>
        </w:rPr>
        <w:t>13）；</w:t>
      </w:r>
    </w:p>
    <w:p w14:paraId="60D96547">
      <w:pPr>
        <w:numPr>
          <w:ilvl w:val="0"/>
          <w:numId w:val="7"/>
        </w:numPr>
        <w:spacing w:line="360" w:lineRule="auto"/>
        <w:ind w:left="0" w:leftChars="0" w:firstLine="400" w:firstLineChars="0"/>
        <w:jc w:val="left"/>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sz w:val="24"/>
        </w:rPr>
        <w:t>近三年（20</w:t>
      </w:r>
      <w:r>
        <w:rPr>
          <w:rFonts w:hint="eastAsia" w:asciiTheme="minorEastAsia" w:hAnsiTheme="minorEastAsia" w:eastAsiaTheme="minorEastAsia" w:cstheme="minorEastAsia"/>
          <w:sz w:val="24"/>
          <w:lang w:val="en-US" w:eastAsia="zh-CN"/>
        </w:rPr>
        <w:t>22</w:t>
      </w:r>
      <w:r>
        <w:rPr>
          <w:rFonts w:hint="eastAsia" w:asciiTheme="minorEastAsia" w:hAnsiTheme="minorEastAsia" w:eastAsiaTheme="minorEastAsia" w:cstheme="minorEastAsia"/>
          <w:sz w:val="24"/>
        </w:rPr>
        <w:t>年1月1日至今）同类项目业绩表（详见格式1</w:t>
      </w:r>
      <w:r>
        <w:rPr>
          <w:rFonts w:hint="eastAsia" w:asciiTheme="minorEastAsia" w:hAnsiTheme="minorEastAsia" w:eastAsiaTheme="minorEastAsia" w:cstheme="minorEastAsia"/>
          <w:sz w:val="24"/>
          <w:lang w:val="en-US" w:eastAsia="zh-CN"/>
        </w:rPr>
        <w:t>1</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lang w:eastAsia="zh-CN"/>
        </w:rPr>
        <w:t>；</w:t>
      </w:r>
    </w:p>
    <w:p w14:paraId="6B8C2E33">
      <w:pPr>
        <w:numPr>
          <w:ilvl w:val="0"/>
          <w:numId w:val="7"/>
        </w:numPr>
        <w:spacing w:line="360" w:lineRule="auto"/>
        <w:ind w:left="0" w:leftChars="0" w:firstLine="400" w:firstLineChars="0"/>
        <w:jc w:val="lef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售后服务承诺书及培训计划</w:t>
      </w:r>
      <w:r>
        <w:rPr>
          <w:rFonts w:hint="eastAsia" w:asciiTheme="minorEastAsia" w:hAnsiTheme="minorEastAsia" w:eastAsiaTheme="minorEastAsia" w:cstheme="minorEastAsia"/>
          <w:sz w:val="24"/>
          <w:szCs w:val="24"/>
          <w:lang w:eastAsia="zh-CN"/>
        </w:rPr>
        <w:t>；</w:t>
      </w:r>
    </w:p>
    <w:p w14:paraId="5463F17B">
      <w:pPr>
        <w:numPr>
          <w:ilvl w:val="0"/>
          <w:numId w:val="7"/>
        </w:numPr>
        <w:spacing w:line="360" w:lineRule="auto"/>
        <w:ind w:left="0" w:leftChars="0" w:firstLine="40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投标人</w:t>
      </w:r>
      <w:r>
        <w:rPr>
          <w:rFonts w:hint="eastAsia" w:asciiTheme="minorEastAsia" w:hAnsiTheme="minorEastAsia" w:eastAsiaTheme="minorEastAsia" w:cstheme="minorEastAsia"/>
          <w:sz w:val="24"/>
        </w:rPr>
        <w:t>认为有必要提供的声明及文件资料</w:t>
      </w:r>
    </w:p>
    <w:p w14:paraId="5BC2FD18">
      <w:pPr>
        <w:spacing w:line="360" w:lineRule="auto"/>
        <w:ind w:firstLine="482" w:firstLineChars="200"/>
        <w:rPr>
          <w:rFonts w:ascii="宋体" w:hAnsi="宋体"/>
          <w:b/>
          <w:bCs/>
          <w:kern w:val="0"/>
          <w:sz w:val="24"/>
        </w:rPr>
      </w:pPr>
      <w:r>
        <w:rPr>
          <w:rFonts w:hint="eastAsia" w:ascii="宋体" w:hAnsi="宋体" w:cs="宋体"/>
          <w:b/>
          <w:sz w:val="24"/>
        </w:rPr>
        <w:t>15.3</w:t>
      </w:r>
      <w:r>
        <w:rPr>
          <w:rFonts w:ascii="宋体" w:hAnsi="宋体"/>
          <w:b/>
          <w:bCs/>
          <w:kern w:val="0"/>
          <w:sz w:val="24"/>
        </w:rPr>
        <w:t>技术部分主要包括但不限于以下内容：</w:t>
      </w:r>
    </w:p>
    <w:p w14:paraId="27B2EA4C">
      <w:pPr>
        <w:numPr>
          <w:ilvl w:val="0"/>
          <w:numId w:val="8"/>
        </w:numPr>
        <w:spacing w:line="360" w:lineRule="auto"/>
        <w:ind w:left="0" w:leftChars="0" w:firstLine="400" w:firstLineChars="0"/>
        <w:rPr>
          <w:rFonts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产品的详细技术参数说明</w:t>
      </w:r>
    </w:p>
    <w:p w14:paraId="2C0AD88E">
      <w:pPr>
        <w:numPr>
          <w:ilvl w:val="0"/>
          <w:numId w:val="8"/>
        </w:numPr>
        <w:spacing w:line="360" w:lineRule="auto"/>
        <w:ind w:left="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售后服务能力情况；</w:t>
      </w:r>
    </w:p>
    <w:p w14:paraId="57C101E5">
      <w:pPr>
        <w:numPr>
          <w:ilvl w:val="0"/>
          <w:numId w:val="8"/>
        </w:numPr>
        <w:spacing w:line="360" w:lineRule="auto"/>
        <w:ind w:left="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技术规格响应偏离表（详见格式1</w:t>
      </w:r>
      <w:r>
        <w:rPr>
          <w:rFonts w:hint="eastAsia" w:asciiTheme="minorEastAsia" w:hAnsiTheme="minorEastAsia" w:eastAsiaTheme="minorEastAsia" w:cstheme="minorEastAsia"/>
          <w:sz w:val="24"/>
          <w:lang w:val="en-US" w:eastAsia="zh-CN"/>
        </w:rPr>
        <w:t>2</w:t>
      </w:r>
      <w:r>
        <w:rPr>
          <w:rFonts w:hint="eastAsia" w:asciiTheme="minorEastAsia" w:hAnsiTheme="minorEastAsia" w:eastAsiaTheme="minorEastAsia" w:cstheme="minorEastAsia"/>
          <w:sz w:val="24"/>
        </w:rPr>
        <w:t>）；</w:t>
      </w:r>
    </w:p>
    <w:p w14:paraId="65553C84">
      <w:pPr>
        <w:numPr>
          <w:ilvl w:val="0"/>
          <w:numId w:val="8"/>
        </w:numPr>
        <w:spacing w:line="360" w:lineRule="auto"/>
        <w:ind w:left="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备品备件及专用工具清单</w:t>
      </w:r>
    </w:p>
    <w:p w14:paraId="2A79CCF6">
      <w:pPr>
        <w:numPr>
          <w:ilvl w:val="0"/>
          <w:numId w:val="8"/>
        </w:numPr>
        <w:spacing w:line="360" w:lineRule="auto"/>
        <w:ind w:left="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产品样册、说明书、图纸技术资料、投标货物的试(检)验报告、鉴定证书（复印件）、执行的制造、验收标准等内容</w:t>
      </w:r>
    </w:p>
    <w:p w14:paraId="0CF7B301">
      <w:pPr>
        <w:numPr>
          <w:ilvl w:val="0"/>
          <w:numId w:val="8"/>
        </w:numPr>
        <w:spacing w:line="360" w:lineRule="auto"/>
        <w:ind w:left="0" w:leftChars="0" w:firstLine="40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投标人</w:t>
      </w:r>
      <w:r>
        <w:rPr>
          <w:rFonts w:hint="eastAsia" w:asciiTheme="minorEastAsia" w:hAnsiTheme="minorEastAsia" w:eastAsiaTheme="minorEastAsia" w:cstheme="minorEastAsia"/>
          <w:sz w:val="24"/>
        </w:rPr>
        <w:t>认为有必要提供的声明及文件资料</w:t>
      </w:r>
    </w:p>
    <w:p w14:paraId="34057156">
      <w:pPr>
        <w:pStyle w:val="12"/>
        <w:spacing w:line="360" w:lineRule="auto"/>
        <w:ind w:left="479" w:leftChars="228"/>
        <w:rPr>
          <w:rFonts w:hAnsi="宋体" w:cs="宋体"/>
          <w:b/>
          <w:sz w:val="24"/>
        </w:rPr>
      </w:pPr>
      <w:r>
        <w:rPr>
          <w:rFonts w:hint="eastAsia" w:hAnsi="宋体" w:cs="宋体"/>
          <w:b/>
          <w:sz w:val="24"/>
        </w:rPr>
        <w:t>特别说明：①上述各种证件、证书复印件须加盖投标人公章。如未按要求加盖投标人公</w:t>
      </w:r>
    </w:p>
    <w:p w14:paraId="7FE88386">
      <w:pPr>
        <w:pStyle w:val="12"/>
        <w:spacing w:line="360" w:lineRule="auto"/>
        <w:rPr>
          <w:rFonts w:hAnsi="宋体" w:cs="宋体"/>
          <w:b/>
          <w:sz w:val="24"/>
        </w:rPr>
      </w:pPr>
      <w:r>
        <w:rPr>
          <w:rFonts w:hint="eastAsia" w:hAnsi="宋体" w:cs="宋体"/>
          <w:b/>
          <w:sz w:val="24"/>
        </w:rPr>
        <w:t>章者，可能导致其投标文件无效。</w:t>
      </w:r>
    </w:p>
    <w:p w14:paraId="05F3AC3F">
      <w:pPr>
        <w:pStyle w:val="12"/>
        <w:spacing w:line="360" w:lineRule="auto"/>
        <w:ind w:firstLine="482" w:firstLineChars="200"/>
        <w:rPr>
          <w:rFonts w:hAnsi="宋体" w:cs="宋体"/>
          <w:sz w:val="24"/>
        </w:rPr>
      </w:pPr>
      <w:r>
        <w:rPr>
          <w:rFonts w:hint="eastAsia" w:hAnsi="宋体" w:cs="宋体"/>
          <w:b/>
          <w:sz w:val="24"/>
        </w:rPr>
        <w:t>② 投标人应如实提供投标资料，并保证真实可靠，不得弄虚作假。如投标人隐瞒事实真相、弄虚作假，一经查实，取消该投标人的投标资格，若中标的，取消其中标资格。</w:t>
      </w:r>
    </w:p>
    <w:p w14:paraId="33C6120D">
      <w:pPr>
        <w:pStyle w:val="12"/>
        <w:spacing w:line="360" w:lineRule="auto"/>
        <w:ind w:firstLine="480"/>
        <w:outlineLvl w:val="1"/>
        <w:rPr>
          <w:rFonts w:hAnsi="宋体" w:cs="宋体"/>
          <w:b/>
          <w:bCs/>
          <w:sz w:val="24"/>
        </w:rPr>
      </w:pPr>
      <w:bookmarkStart w:id="85" w:name="_Toc245897286"/>
      <w:bookmarkStart w:id="86" w:name="_Toc243906326"/>
      <w:bookmarkStart w:id="87" w:name="_Toc243907587"/>
      <w:bookmarkStart w:id="88" w:name="_Toc233274827"/>
      <w:bookmarkStart w:id="89" w:name="_Toc246216196"/>
      <w:r>
        <w:rPr>
          <w:rFonts w:hint="eastAsia" w:hAnsi="宋体" w:cs="宋体"/>
          <w:b/>
          <w:bCs/>
          <w:sz w:val="24"/>
        </w:rPr>
        <w:t>16、投标文件格式</w:t>
      </w:r>
      <w:bookmarkEnd w:id="85"/>
    </w:p>
    <w:p w14:paraId="2B1D6E27">
      <w:pPr>
        <w:pStyle w:val="12"/>
        <w:spacing w:line="360" w:lineRule="auto"/>
        <w:ind w:firstLine="480" w:firstLineChars="200"/>
        <w:rPr>
          <w:rFonts w:hAnsi="宋体" w:cs="宋体"/>
          <w:sz w:val="24"/>
        </w:rPr>
      </w:pPr>
      <w:r>
        <w:rPr>
          <w:rFonts w:hint="eastAsia" w:hAnsi="宋体" w:cs="宋体"/>
          <w:sz w:val="24"/>
        </w:rPr>
        <w:t>16.1 投标人应按招标文件提供的格式及商务报价说明完整地填写所提供的合同项目、服务以及单价等内容。</w:t>
      </w:r>
    </w:p>
    <w:p w14:paraId="79C8653B">
      <w:pPr>
        <w:pStyle w:val="12"/>
        <w:spacing w:line="360" w:lineRule="auto"/>
        <w:ind w:firstLine="480" w:firstLineChars="200"/>
        <w:rPr>
          <w:rFonts w:hAnsi="宋体" w:cs="宋体"/>
          <w:sz w:val="24"/>
        </w:rPr>
      </w:pPr>
      <w:r>
        <w:rPr>
          <w:rFonts w:hint="eastAsia" w:hAnsi="宋体" w:cs="宋体"/>
          <w:sz w:val="24"/>
        </w:rPr>
        <w:t>16.2 投标人提供的投标文件应当使用招标文件所提供投标文件格式（表格可按照同样格式扩展），并保证所提供的资料的真实性。未提供格式的，投标人可自行编制。</w:t>
      </w:r>
    </w:p>
    <w:p w14:paraId="3F02048F">
      <w:pPr>
        <w:pStyle w:val="12"/>
        <w:spacing w:line="360" w:lineRule="auto"/>
        <w:ind w:firstLine="480" w:firstLineChars="200"/>
        <w:outlineLvl w:val="1"/>
        <w:rPr>
          <w:rFonts w:hAnsi="宋体" w:cs="宋体"/>
          <w:sz w:val="24"/>
        </w:rPr>
      </w:pPr>
      <w:r>
        <w:rPr>
          <w:rFonts w:hint="eastAsia" w:hAnsi="宋体"/>
          <w:sz w:val="24"/>
        </w:rPr>
        <w:t xml:space="preserve">16.3 </w:t>
      </w:r>
      <w:r>
        <w:rPr>
          <w:rFonts w:hAnsi="宋体"/>
          <w:sz w:val="24"/>
        </w:rPr>
        <w:t>招标文件中分</w:t>
      </w:r>
      <w:r>
        <w:rPr>
          <w:rFonts w:hint="eastAsia" w:hAnsi="宋体"/>
          <w:sz w:val="24"/>
        </w:rPr>
        <w:t>标项</w:t>
      </w:r>
      <w:r>
        <w:rPr>
          <w:rFonts w:hAnsi="宋体"/>
          <w:sz w:val="24"/>
        </w:rPr>
        <w:t>的，</w:t>
      </w:r>
      <w:r>
        <w:rPr>
          <w:rFonts w:hint="eastAsia" w:hAnsi="宋体"/>
          <w:bCs/>
          <w:sz w:val="24"/>
          <w:lang w:val="zh-CN"/>
        </w:rPr>
        <w:t>投标人</w:t>
      </w:r>
      <w:r>
        <w:rPr>
          <w:rFonts w:hAnsi="宋体"/>
          <w:bCs/>
          <w:sz w:val="24"/>
          <w:lang w:val="zh-CN"/>
        </w:rPr>
        <w:t>须针对本单位所投</w:t>
      </w:r>
      <w:r>
        <w:rPr>
          <w:rFonts w:hint="eastAsia" w:hAnsi="宋体"/>
          <w:bCs/>
          <w:sz w:val="24"/>
          <w:lang w:val="zh-CN"/>
        </w:rPr>
        <w:t>标项</w:t>
      </w:r>
      <w:r>
        <w:rPr>
          <w:rFonts w:hAnsi="宋体"/>
          <w:bCs/>
          <w:sz w:val="24"/>
          <w:lang w:val="zh-CN"/>
        </w:rPr>
        <w:t>分别编制投标文件并单独提交。</w:t>
      </w:r>
      <w:r>
        <w:rPr>
          <w:rFonts w:hint="eastAsia" w:hAnsi="宋体"/>
          <w:bCs/>
          <w:sz w:val="24"/>
        </w:rPr>
        <w:t>投标人</w:t>
      </w:r>
      <w:r>
        <w:rPr>
          <w:rFonts w:hAnsi="宋体"/>
          <w:bCs/>
          <w:sz w:val="24"/>
        </w:rPr>
        <w:t>应当按照招标文件的要求编制投标文件。投标文件应当对招标文件提出的要求和条件作出明确响应。</w:t>
      </w:r>
    </w:p>
    <w:p w14:paraId="254ED688">
      <w:pPr>
        <w:pStyle w:val="12"/>
        <w:spacing w:line="360" w:lineRule="auto"/>
        <w:ind w:firstLine="482" w:firstLineChars="200"/>
        <w:outlineLvl w:val="1"/>
        <w:rPr>
          <w:rFonts w:hAnsi="宋体" w:cs="宋体"/>
          <w:b/>
          <w:bCs/>
          <w:sz w:val="24"/>
        </w:rPr>
      </w:pPr>
      <w:r>
        <w:rPr>
          <w:rFonts w:hint="eastAsia" w:hAnsi="宋体" w:cs="宋体"/>
          <w:b/>
          <w:bCs/>
          <w:sz w:val="24"/>
        </w:rPr>
        <w:t>17、商务报价</w:t>
      </w:r>
      <w:bookmarkEnd w:id="86"/>
      <w:bookmarkEnd w:id="87"/>
      <w:bookmarkEnd w:id="88"/>
      <w:bookmarkEnd w:id="89"/>
    </w:p>
    <w:p w14:paraId="0E557E31">
      <w:pPr>
        <w:spacing w:line="360" w:lineRule="auto"/>
        <w:ind w:firstLine="480" w:firstLineChars="200"/>
        <w:rPr>
          <w:rFonts w:ascii="宋体" w:hAnsi="宋体" w:cs="宋体"/>
          <w:sz w:val="24"/>
        </w:rPr>
      </w:pPr>
      <w:r>
        <w:rPr>
          <w:rFonts w:hint="eastAsia" w:ascii="宋体" w:hAnsi="宋体" w:cs="宋体"/>
          <w:sz w:val="24"/>
        </w:rPr>
        <w:t>17.1投标人的商务报价应是为采购人提供全部服务，以及技术规范及标准、项目采购需求及合同条款、本招标文件约定的所有费用的总和。</w:t>
      </w:r>
      <w:r>
        <w:rPr>
          <w:rFonts w:hint="eastAsia" w:ascii="宋体" w:hAnsi="宋体" w:cs="宋体"/>
          <w:sz w:val="24"/>
          <w:lang w:eastAsia="zh-CN"/>
        </w:rPr>
        <w:t>投标人</w:t>
      </w:r>
      <w:r>
        <w:rPr>
          <w:rFonts w:hint="eastAsia" w:ascii="宋体" w:hAnsi="宋体" w:cs="宋体"/>
          <w:sz w:val="24"/>
        </w:rPr>
        <w:t>应按招标文件所附的《开标一览表》</w:t>
      </w:r>
      <w:r>
        <w:rPr>
          <w:rFonts w:hint="eastAsia" w:ascii="宋体" w:hAnsi="宋体" w:cs="宋体"/>
          <w:sz w:val="24"/>
          <w:lang w:val="en-US" w:eastAsia="zh-CN"/>
        </w:rPr>
        <w:t>进行报价</w:t>
      </w:r>
      <w:r>
        <w:rPr>
          <w:rFonts w:hint="eastAsia" w:ascii="宋体" w:hAnsi="宋体" w:cs="宋体"/>
          <w:sz w:val="24"/>
        </w:rPr>
        <w:t>，标明拟提供货物的单价和总价。如单价和总价不符，以单价累计为准。</w:t>
      </w:r>
    </w:p>
    <w:p w14:paraId="4422426A">
      <w:pPr>
        <w:spacing w:line="360" w:lineRule="auto"/>
        <w:ind w:firstLine="480" w:firstLineChars="200"/>
        <w:rPr>
          <w:rFonts w:ascii="宋体" w:hAnsi="宋体" w:cs="宋体"/>
          <w:sz w:val="24"/>
        </w:rPr>
      </w:pPr>
      <w:r>
        <w:rPr>
          <w:rFonts w:hint="eastAsia" w:ascii="宋体" w:hAnsi="宋体" w:cs="宋体"/>
          <w:sz w:val="24"/>
        </w:rPr>
        <w:t>任何因投标人忽视或误解招标范围、技术规范及标准、项目采购需求及合同条款和项目现场情况，若中标，采购人将不予批准由此而产生的索赔或合同履行期限延长申请。</w:t>
      </w:r>
    </w:p>
    <w:p w14:paraId="52324799">
      <w:pPr>
        <w:spacing w:line="360" w:lineRule="auto"/>
        <w:ind w:firstLine="480" w:firstLineChars="200"/>
        <w:rPr>
          <w:rFonts w:ascii="宋体" w:hAnsi="宋体" w:cs="宋体"/>
          <w:b w:val="0"/>
          <w:bCs/>
          <w:sz w:val="24"/>
        </w:rPr>
      </w:pPr>
      <w:r>
        <w:rPr>
          <w:rFonts w:hint="eastAsia" w:ascii="宋体" w:hAnsi="宋体" w:cs="宋体"/>
          <w:b w:val="0"/>
          <w:bCs/>
          <w:sz w:val="24"/>
        </w:rPr>
        <w:t>商务报价中不得包含技术规范及标准、项目采购需求及合同条款、本招标文件要求以外的其他内容。否则，在评审时报价不予核减，若中标，在授予合同或结算时，采购人有权将此部分费用从中标价或合同主要条款中扣减。</w:t>
      </w:r>
    </w:p>
    <w:p w14:paraId="2619A540">
      <w:pPr>
        <w:spacing w:line="360" w:lineRule="auto"/>
        <w:ind w:firstLine="480" w:firstLineChars="200"/>
        <w:rPr>
          <w:rFonts w:ascii="宋体" w:hAnsi="宋体" w:cs="宋体"/>
          <w:b w:val="0"/>
          <w:bCs/>
          <w:sz w:val="24"/>
        </w:rPr>
      </w:pPr>
      <w:r>
        <w:rPr>
          <w:rFonts w:hint="eastAsia" w:ascii="宋体" w:hAnsi="宋体" w:cs="宋体"/>
          <w:b w:val="0"/>
          <w:bCs/>
          <w:sz w:val="24"/>
        </w:rPr>
        <w:t>17.2商务报价总价应包括的内容和计价因素</w:t>
      </w:r>
    </w:p>
    <w:p w14:paraId="504CAD83">
      <w:pPr>
        <w:pStyle w:val="9"/>
        <w:spacing w:line="360" w:lineRule="auto"/>
        <w:ind w:firstLine="480" w:firstLineChars="200"/>
        <w:rPr>
          <w:rFonts w:ascii="宋体" w:hAnsi="宋体" w:cs="宋体"/>
          <w:b w:val="0"/>
          <w:bCs/>
          <w:kern w:val="2"/>
          <w:szCs w:val="24"/>
        </w:rPr>
      </w:pPr>
      <w:r>
        <w:rPr>
          <w:rFonts w:hint="eastAsia" w:ascii="宋体" w:hAnsi="宋体" w:cs="宋体"/>
          <w:b w:val="0"/>
          <w:bCs/>
        </w:rPr>
        <w:t>（1）完成</w:t>
      </w:r>
      <w:r>
        <w:rPr>
          <w:rFonts w:hint="eastAsia" w:ascii="宋体" w:hAnsi="宋体" w:cs="宋体"/>
          <w:b w:val="0"/>
          <w:bCs/>
          <w:lang w:eastAsia="zh-CN"/>
        </w:rPr>
        <w:t>林草业务专项-城市绿色生态质量提升工程（克拉玛依市人与自然和谐共生生态保护项目）设备采购</w:t>
      </w:r>
      <w:r>
        <w:rPr>
          <w:rFonts w:hint="eastAsia" w:ascii="宋体" w:hAnsi="宋体" w:cs="宋体"/>
          <w:b w:val="0"/>
          <w:bCs/>
        </w:rPr>
        <w:t>所需设备</w:t>
      </w:r>
      <w:r>
        <w:rPr>
          <w:rFonts w:hint="eastAsia" w:ascii="宋体" w:hAnsi="宋体" w:cs="宋体"/>
          <w:b w:val="0"/>
          <w:bCs/>
          <w:kern w:val="2"/>
          <w:szCs w:val="24"/>
        </w:rPr>
        <w:t>的供应、保险、税费、仓储运输、现场保管及装卸（卸至需方指定地点）、现场搬运（含二次搬运），安装调试、运行、检验及验收、移交、原有设备拆除并运至指定地点等工作，向采购人提交技术参数、技术资料（包括操作手册、维修手册及其他相关资料等）、技术咨询、用户人员培训、缺陷修补、质量保修期内的维保、售后服务等保证项目验收合格并能正常交付使用以及合同条款、项目采购需求、本招标文件约定的全部内容及保修责任和义务。</w:t>
      </w:r>
    </w:p>
    <w:p w14:paraId="303AFFD6">
      <w:pPr>
        <w:spacing w:line="360" w:lineRule="auto"/>
        <w:ind w:firstLine="480" w:firstLineChars="200"/>
        <w:rPr>
          <w:rFonts w:ascii="宋体" w:hAnsi="宋体" w:cs="宋体"/>
          <w:sz w:val="24"/>
        </w:rPr>
      </w:pPr>
      <w:r>
        <w:rPr>
          <w:rFonts w:hint="eastAsia" w:ascii="宋体" w:hAnsi="宋体" w:cs="宋体"/>
          <w:sz w:val="24"/>
        </w:rPr>
        <w:t>（2）投标人根据对本招标文件、技术规范和标准、项目采购需求、合同条款的理解，应达到的技术指标、检验及验收标准等要求，结合市场情况进行商务报价。投标人应充分考虑合同执行期内的市场风险和国家政策性调整风险等因素对商务报价的影响。</w:t>
      </w:r>
    </w:p>
    <w:p w14:paraId="38F4221E">
      <w:pPr>
        <w:pStyle w:val="9"/>
        <w:spacing w:line="360" w:lineRule="auto"/>
        <w:ind w:firstLine="480" w:firstLineChars="200"/>
      </w:pPr>
      <w:r>
        <w:rPr>
          <w:rFonts w:hint="eastAsia" w:ascii="宋体" w:hAnsi="宋体" w:cs="宋体"/>
          <w:kern w:val="2"/>
          <w:szCs w:val="24"/>
        </w:rPr>
        <w:t>备品备件及专用工具：</w:t>
      </w:r>
      <w:r>
        <w:rPr>
          <w:rFonts w:hint="eastAsia" w:ascii="宋体" w:hAnsi="宋体" w:cs="宋体"/>
          <w:kern w:val="2"/>
          <w:szCs w:val="24"/>
          <w:lang w:eastAsia="zh-CN"/>
        </w:rPr>
        <w:t>投标人</w:t>
      </w:r>
      <w:r>
        <w:rPr>
          <w:rFonts w:hint="eastAsia" w:ascii="宋体" w:hAnsi="宋体" w:cs="宋体"/>
          <w:kern w:val="2"/>
          <w:szCs w:val="24"/>
        </w:rPr>
        <w:t xml:space="preserve">应免费提供质量保修期内必备的备品备件及专用工具，并列出随机必备的备品备件及专用工具清单，无论中标人在投标报价中列明的数量多少，在质量保修期内招标人均无需另行支付费用。 </w:t>
      </w:r>
    </w:p>
    <w:p w14:paraId="4FF13AB8">
      <w:pPr>
        <w:spacing w:line="360" w:lineRule="auto"/>
        <w:ind w:firstLine="480" w:firstLineChars="200"/>
        <w:rPr>
          <w:rFonts w:ascii="宋体" w:hAnsi="宋体" w:cs="宋体"/>
          <w:sz w:val="24"/>
        </w:rPr>
      </w:pPr>
      <w:bookmarkStart w:id="90" w:name="_Toc246216197"/>
      <w:bookmarkStart w:id="91" w:name="_Toc233274828"/>
      <w:bookmarkStart w:id="92" w:name="_Toc243906327"/>
      <w:bookmarkStart w:id="93" w:name="_Toc243907588"/>
      <w:r>
        <w:rPr>
          <w:rFonts w:hint="eastAsia" w:ascii="宋体" w:hAnsi="宋体" w:cs="宋体"/>
          <w:sz w:val="24"/>
        </w:rPr>
        <w:t>17.3投标人应按照招标文件所附的格式完整地填写商务报价一览表，投标人应对招标范围内的全部内容进行报价。</w:t>
      </w:r>
    </w:p>
    <w:p w14:paraId="751B0148">
      <w:pPr>
        <w:spacing w:line="360" w:lineRule="auto"/>
        <w:ind w:firstLine="480" w:firstLineChars="200"/>
        <w:rPr>
          <w:rFonts w:ascii="宋体" w:hAnsi="宋体" w:cs="宋体"/>
          <w:sz w:val="24"/>
        </w:rPr>
      </w:pPr>
      <w:r>
        <w:rPr>
          <w:rFonts w:hint="eastAsia" w:ascii="宋体" w:hAnsi="宋体" w:cs="宋体"/>
          <w:sz w:val="24"/>
        </w:rPr>
        <w:t>17.4投标人若中标，不得以任何理由在合同执行期间予以价格调整。任何包含价格调整的要求将被认为是非响应而予以拒绝。</w:t>
      </w:r>
    </w:p>
    <w:bookmarkEnd w:id="90"/>
    <w:bookmarkEnd w:id="91"/>
    <w:bookmarkEnd w:id="92"/>
    <w:bookmarkEnd w:id="93"/>
    <w:p w14:paraId="79B816C8">
      <w:pPr>
        <w:pStyle w:val="12"/>
        <w:spacing w:line="360" w:lineRule="auto"/>
        <w:ind w:firstLine="482" w:firstLineChars="200"/>
        <w:outlineLvl w:val="1"/>
        <w:rPr>
          <w:rFonts w:hAnsi="宋体" w:cs="宋体"/>
          <w:b/>
          <w:bCs/>
          <w:sz w:val="24"/>
        </w:rPr>
      </w:pPr>
      <w:bookmarkStart w:id="94" w:name="_Toc245897288"/>
      <w:r>
        <w:rPr>
          <w:rFonts w:hint="eastAsia" w:hAnsi="宋体" w:cs="宋体"/>
          <w:b/>
          <w:bCs/>
          <w:sz w:val="24"/>
        </w:rPr>
        <w:t>18、商务报价货币</w:t>
      </w:r>
      <w:bookmarkEnd w:id="94"/>
    </w:p>
    <w:p w14:paraId="3F9C6D6B">
      <w:pPr>
        <w:pStyle w:val="12"/>
        <w:spacing w:line="360" w:lineRule="auto"/>
        <w:ind w:firstLine="480" w:firstLineChars="200"/>
        <w:rPr>
          <w:rFonts w:hAnsi="宋体" w:cs="宋体"/>
          <w:sz w:val="24"/>
          <w:szCs w:val="24"/>
        </w:rPr>
      </w:pPr>
      <w:r>
        <w:rPr>
          <w:rFonts w:hint="eastAsia" w:hAnsi="宋体" w:cs="宋体"/>
          <w:sz w:val="24"/>
          <w:szCs w:val="24"/>
        </w:rPr>
        <w:t>18.1商务报价一览表和投标文件中的所有报价一律使用人民币（RMB）填报。</w:t>
      </w:r>
    </w:p>
    <w:p w14:paraId="3A01D845">
      <w:pPr>
        <w:pStyle w:val="12"/>
        <w:spacing w:line="360" w:lineRule="auto"/>
        <w:ind w:firstLine="482" w:firstLineChars="200"/>
        <w:outlineLvl w:val="1"/>
        <w:rPr>
          <w:rFonts w:hAnsi="宋体" w:cs="宋体"/>
          <w:b/>
          <w:bCs/>
          <w:sz w:val="24"/>
        </w:rPr>
      </w:pPr>
      <w:bookmarkStart w:id="95" w:name="_Toc245897289"/>
      <w:bookmarkStart w:id="96" w:name="_Toc243907589"/>
      <w:bookmarkStart w:id="97" w:name="_Toc243906328"/>
      <w:bookmarkStart w:id="98" w:name="_Toc233274829"/>
      <w:r>
        <w:rPr>
          <w:rFonts w:hint="eastAsia" w:hAnsi="宋体" w:cs="宋体"/>
          <w:b/>
          <w:bCs/>
          <w:sz w:val="24"/>
        </w:rPr>
        <w:t>19、投标人资格证明文件</w:t>
      </w:r>
      <w:bookmarkEnd w:id="95"/>
      <w:bookmarkEnd w:id="96"/>
      <w:bookmarkEnd w:id="97"/>
      <w:bookmarkEnd w:id="98"/>
    </w:p>
    <w:p w14:paraId="68BB7AB1">
      <w:pPr>
        <w:pStyle w:val="12"/>
        <w:spacing w:line="360" w:lineRule="auto"/>
        <w:ind w:firstLine="480" w:firstLineChars="200"/>
        <w:rPr>
          <w:rFonts w:hAnsi="宋体" w:cs="宋体"/>
          <w:sz w:val="24"/>
        </w:rPr>
      </w:pPr>
      <w:r>
        <w:rPr>
          <w:rFonts w:hint="eastAsia" w:hAnsi="宋体" w:cs="宋体"/>
          <w:sz w:val="24"/>
        </w:rPr>
        <w:t>19.1 投标人必须提交证明其有资格参加招标和中标后有能力履行合同的文件。</w:t>
      </w:r>
    </w:p>
    <w:p w14:paraId="3ED31DBE">
      <w:pPr>
        <w:pStyle w:val="12"/>
        <w:spacing w:line="360" w:lineRule="auto"/>
        <w:ind w:firstLine="482" w:firstLineChars="200"/>
        <w:outlineLvl w:val="1"/>
        <w:rPr>
          <w:rFonts w:hAnsi="宋体" w:cs="宋体"/>
          <w:b/>
          <w:bCs/>
          <w:sz w:val="24"/>
        </w:rPr>
      </w:pPr>
      <w:bookmarkStart w:id="99" w:name="_Toc245897290"/>
      <w:bookmarkStart w:id="100" w:name="_Toc233274830"/>
      <w:bookmarkStart w:id="101" w:name="_Toc243906329"/>
      <w:bookmarkStart w:id="102" w:name="_Toc243907590"/>
      <w:r>
        <w:rPr>
          <w:rFonts w:hint="eastAsia" w:hAnsi="宋体" w:cs="宋体"/>
          <w:b/>
          <w:bCs/>
          <w:sz w:val="24"/>
        </w:rPr>
        <w:t>20、提供的货物符合招标文件规定的技术</w:t>
      </w:r>
      <w:bookmarkEnd w:id="99"/>
      <w:bookmarkEnd w:id="100"/>
      <w:bookmarkEnd w:id="101"/>
      <w:bookmarkEnd w:id="102"/>
      <w:r>
        <w:rPr>
          <w:rFonts w:hint="eastAsia" w:hAnsi="宋体" w:cs="宋体"/>
          <w:b/>
          <w:bCs/>
          <w:sz w:val="24"/>
        </w:rPr>
        <w:t>投标文件</w:t>
      </w:r>
    </w:p>
    <w:p w14:paraId="418164EE">
      <w:pPr>
        <w:pStyle w:val="12"/>
        <w:spacing w:line="360" w:lineRule="auto"/>
        <w:ind w:firstLine="480" w:firstLineChars="200"/>
        <w:rPr>
          <w:rFonts w:hAnsi="宋体" w:cs="宋体"/>
          <w:sz w:val="24"/>
        </w:rPr>
      </w:pPr>
      <w:r>
        <w:rPr>
          <w:rFonts w:hint="eastAsia" w:hAnsi="宋体" w:cs="宋体"/>
          <w:sz w:val="24"/>
        </w:rPr>
        <w:t>20.1 投标人须提交证明其拟供货物和服务符合招标文件、技术规范及标准、项目采购需求规定的技术投标文件，作为投标文件的一部分；</w:t>
      </w:r>
    </w:p>
    <w:p w14:paraId="3AE8BF33">
      <w:pPr>
        <w:pStyle w:val="12"/>
        <w:spacing w:line="360" w:lineRule="auto"/>
        <w:ind w:firstLine="480" w:firstLineChars="200"/>
        <w:rPr>
          <w:rFonts w:hAnsi="宋体" w:cs="宋体"/>
          <w:sz w:val="24"/>
        </w:rPr>
      </w:pPr>
      <w:r>
        <w:rPr>
          <w:rFonts w:hint="eastAsia" w:hAnsi="宋体" w:cs="宋体"/>
          <w:sz w:val="24"/>
        </w:rPr>
        <w:t>20.2上述文件可以是文字资料、图纸和数据，并须提供货物主要技术性能的详细描述及设备清单和所提供服务的详细说明；</w:t>
      </w:r>
    </w:p>
    <w:p w14:paraId="5483C578">
      <w:pPr>
        <w:spacing w:line="360" w:lineRule="auto"/>
        <w:ind w:firstLine="481"/>
        <w:rPr>
          <w:rFonts w:ascii="宋体" w:hAnsi="宋体" w:cs="宋体"/>
          <w:sz w:val="24"/>
        </w:rPr>
      </w:pPr>
      <w:r>
        <w:rPr>
          <w:rFonts w:hint="eastAsia" w:ascii="宋体" w:hAnsi="宋体" w:cs="宋体"/>
          <w:sz w:val="24"/>
        </w:rPr>
        <w:t>20.3投标人应逐条对招标文件、项目采购需求及合同条款等进行仔细阅读，提出自己提供的货物和服务是否对其做出了实质性的响应。</w:t>
      </w:r>
    </w:p>
    <w:p w14:paraId="4912667B">
      <w:pPr>
        <w:pStyle w:val="12"/>
        <w:spacing w:line="360" w:lineRule="auto"/>
        <w:ind w:firstLine="482" w:firstLineChars="200"/>
        <w:outlineLvl w:val="1"/>
        <w:rPr>
          <w:rFonts w:hAnsi="宋体" w:cs="宋体"/>
          <w:b/>
          <w:bCs/>
          <w:sz w:val="24"/>
        </w:rPr>
      </w:pPr>
      <w:bookmarkStart w:id="103" w:name="_Toc245897291"/>
      <w:bookmarkStart w:id="104" w:name="_Toc233274831"/>
      <w:bookmarkStart w:id="105" w:name="_Toc243907591"/>
      <w:bookmarkStart w:id="106" w:name="_Toc243906330"/>
      <w:r>
        <w:rPr>
          <w:rFonts w:hint="eastAsia" w:hAnsi="宋体" w:cs="宋体"/>
          <w:b/>
          <w:bCs/>
          <w:sz w:val="24"/>
        </w:rPr>
        <w:t>21、投标文件有效期</w:t>
      </w:r>
      <w:bookmarkEnd w:id="103"/>
      <w:bookmarkEnd w:id="104"/>
      <w:bookmarkEnd w:id="105"/>
      <w:bookmarkEnd w:id="106"/>
    </w:p>
    <w:p w14:paraId="37EE5620">
      <w:pPr>
        <w:pStyle w:val="12"/>
        <w:spacing w:line="360" w:lineRule="auto"/>
        <w:ind w:firstLine="480" w:firstLineChars="200"/>
        <w:rPr>
          <w:rFonts w:hAnsi="宋体" w:cs="宋体"/>
          <w:sz w:val="24"/>
        </w:rPr>
      </w:pPr>
      <w:r>
        <w:rPr>
          <w:rFonts w:hint="eastAsia" w:hAnsi="宋体" w:cs="宋体"/>
          <w:sz w:val="24"/>
        </w:rPr>
        <w:t>21.1投标文件有效期为递交投标文件截止之日起90天（日历日）。投标人的投标文件有效期比规定的有效期短的，将被视为非响应而予以拒绝。</w:t>
      </w:r>
    </w:p>
    <w:p w14:paraId="111F5EAB">
      <w:pPr>
        <w:pStyle w:val="12"/>
        <w:spacing w:line="360" w:lineRule="auto"/>
        <w:ind w:firstLine="480" w:firstLineChars="200"/>
        <w:rPr>
          <w:rFonts w:hAnsi="宋体" w:cs="宋体"/>
          <w:sz w:val="24"/>
        </w:rPr>
      </w:pPr>
      <w:r>
        <w:rPr>
          <w:rFonts w:hint="eastAsia" w:hAnsi="宋体" w:cs="宋体"/>
          <w:sz w:val="24"/>
        </w:rPr>
        <w:t>21.2 特殊情况下，在原有效期届满之前，采购人可征得投标人的同意延长其有效期，这种要求与答复均应以书面形式。投标人拒绝延长的，其投标文件失效。同意延长有效期的投标人，既不要求也不允许其修改投标文件。</w:t>
      </w:r>
    </w:p>
    <w:p w14:paraId="7581E74B">
      <w:pPr>
        <w:pStyle w:val="12"/>
        <w:spacing w:line="360" w:lineRule="auto"/>
        <w:ind w:firstLine="482" w:firstLineChars="200"/>
        <w:outlineLvl w:val="1"/>
        <w:rPr>
          <w:rFonts w:hAnsi="宋体" w:cs="宋体"/>
          <w:b/>
          <w:bCs/>
          <w:sz w:val="24"/>
        </w:rPr>
      </w:pPr>
      <w:bookmarkStart w:id="107" w:name="_Toc245897292"/>
      <w:bookmarkStart w:id="108" w:name="_Toc243907592"/>
      <w:bookmarkStart w:id="109" w:name="_Toc233274832"/>
      <w:bookmarkStart w:id="110" w:name="_Toc243906331"/>
      <w:r>
        <w:rPr>
          <w:rFonts w:hint="eastAsia" w:hAnsi="宋体" w:cs="宋体"/>
          <w:b/>
          <w:bCs/>
          <w:sz w:val="24"/>
        </w:rPr>
        <w:t>22、投标文件的签署及规定</w:t>
      </w:r>
      <w:bookmarkEnd w:id="107"/>
      <w:bookmarkEnd w:id="108"/>
      <w:bookmarkEnd w:id="109"/>
      <w:bookmarkEnd w:id="110"/>
    </w:p>
    <w:p w14:paraId="6F426988">
      <w:pPr>
        <w:spacing w:line="288" w:lineRule="auto"/>
        <w:ind w:firstLine="480" w:firstLineChars="200"/>
        <w:jc w:val="left"/>
        <w:rPr>
          <w:rFonts w:ascii="宋体" w:hAnsi="宋体" w:cs="宋体"/>
          <w:sz w:val="24"/>
        </w:rPr>
      </w:pPr>
      <w:r>
        <w:rPr>
          <w:rFonts w:hint="eastAsia" w:ascii="宋体" w:hAnsi="宋体" w:cs="宋体"/>
          <w:sz w:val="24"/>
        </w:rPr>
        <w:t>22.</w:t>
      </w:r>
      <w:r>
        <w:rPr>
          <w:rFonts w:hint="eastAsia" w:hAnsi="宋体" w:cs="宋体"/>
          <w:sz w:val="24"/>
        </w:rPr>
        <w:t>1</w:t>
      </w:r>
      <w:r>
        <w:rPr>
          <w:rFonts w:hint="eastAsia" w:hAnsi="宋体" w:cs="宋体"/>
          <w:kern w:val="0"/>
          <w:sz w:val="24"/>
          <w:lang w:eastAsia="zh-CN"/>
        </w:rPr>
        <w:t>投标人</w:t>
      </w:r>
      <w:r>
        <w:rPr>
          <w:rFonts w:hint="eastAsia" w:ascii="宋体" w:hAnsi="宋体" w:cs="宋体"/>
          <w:kern w:val="0"/>
          <w:sz w:val="24"/>
        </w:rPr>
        <w:t>提交的响应文件必须唯一有效，</w:t>
      </w:r>
      <w:r>
        <w:rPr>
          <w:rFonts w:hint="eastAsia" w:ascii="宋体" w:hAnsi="宋体" w:cs="宋体"/>
          <w:sz w:val="24"/>
        </w:rPr>
        <w:t>投标人均应使用CA数字证书加盖投标人的单位电子印章和（或）法定代表人的个人电子印章或电子签名。</w:t>
      </w:r>
    </w:p>
    <w:p w14:paraId="496BDD82">
      <w:pPr>
        <w:pStyle w:val="12"/>
        <w:spacing w:line="450" w:lineRule="exact"/>
        <w:ind w:firstLine="480" w:firstLineChars="200"/>
        <w:rPr>
          <w:rFonts w:hAnsi="宋体" w:cs="宋体"/>
          <w:sz w:val="24"/>
          <w:szCs w:val="24"/>
        </w:rPr>
      </w:pPr>
      <w:r>
        <w:rPr>
          <w:rFonts w:hint="eastAsia" w:hAnsi="宋体" w:cs="宋体"/>
          <w:sz w:val="24"/>
          <w:szCs w:val="24"/>
        </w:rPr>
        <w:t>22.2 除</w:t>
      </w:r>
      <w:r>
        <w:rPr>
          <w:rFonts w:hint="eastAsia" w:hAnsi="宋体" w:cs="宋体"/>
          <w:sz w:val="24"/>
          <w:szCs w:val="24"/>
          <w:lang w:eastAsia="zh-CN"/>
        </w:rPr>
        <w:t>投标人</w:t>
      </w:r>
      <w:r>
        <w:rPr>
          <w:rFonts w:hint="eastAsia" w:hAnsi="宋体" w:cs="宋体"/>
          <w:sz w:val="24"/>
          <w:szCs w:val="24"/>
        </w:rPr>
        <w:t>对错误做必要修改外，响应文件中不许有增删、涂改或改写。若确有修改必须由签署响应文件的委托代理人签字或盖章。</w:t>
      </w:r>
    </w:p>
    <w:p w14:paraId="17D4DD35">
      <w:pPr>
        <w:pStyle w:val="12"/>
        <w:spacing w:line="450" w:lineRule="exact"/>
        <w:jc w:val="center"/>
        <w:outlineLvl w:val="9"/>
        <w:rPr>
          <w:rFonts w:hAnsi="宋体" w:cs="宋体"/>
          <w:b/>
          <w:bCs/>
          <w:sz w:val="28"/>
          <w:szCs w:val="28"/>
        </w:rPr>
      </w:pPr>
    </w:p>
    <w:bookmarkEnd w:id="76"/>
    <w:p w14:paraId="24DF919D">
      <w:pPr>
        <w:pStyle w:val="12"/>
        <w:spacing w:line="360" w:lineRule="auto"/>
        <w:jc w:val="center"/>
        <w:outlineLvl w:val="1"/>
        <w:rPr>
          <w:rFonts w:hAnsi="宋体" w:cs="宋体"/>
          <w:b/>
          <w:bCs/>
          <w:sz w:val="28"/>
          <w:szCs w:val="28"/>
        </w:rPr>
      </w:pPr>
      <w:bookmarkStart w:id="111" w:name="_Toc243906333"/>
      <w:bookmarkStart w:id="112" w:name="_Toc246216203"/>
      <w:bookmarkStart w:id="113" w:name="_Toc233274834"/>
      <w:bookmarkStart w:id="114" w:name="_Toc243907594"/>
      <w:r>
        <w:rPr>
          <w:rFonts w:hint="eastAsia" w:hAnsi="宋体" w:cs="宋体"/>
          <w:b/>
          <w:bCs/>
          <w:sz w:val="28"/>
          <w:szCs w:val="28"/>
        </w:rPr>
        <w:t>四、投标文件的递交、修改和撤回</w:t>
      </w:r>
      <w:bookmarkEnd w:id="111"/>
      <w:bookmarkEnd w:id="112"/>
      <w:bookmarkEnd w:id="113"/>
      <w:bookmarkEnd w:id="114"/>
    </w:p>
    <w:p w14:paraId="64084B01">
      <w:pPr>
        <w:widowControl/>
        <w:spacing w:line="450" w:lineRule="exact"/>
        <w:ind w:firstLine="482" w:firstLineChars="200"/>
        <w:jc w:val="left"/>
        <w:rPr>
          <w:rFonts w:ascii="宋体" w:hAnsi="宋体" w:cs="宋体"/>
          <w:b/>
          <w:sz w:val="24"/>
        </w:rPr>
      </w:pPr>
      <w:bookmarkStart w:id="115" w:name="_Toc245897295"/>
      <w:bookmarkStart w:id="116" w:name="_Toc233274835"/>
      <w:bookmarkStart w:id="117" w:name="_Toc243907595"/>
      <w:bookmarkStart w:id="118" w:name="_Toc243906334"/>
      <w:bookmarkStart w:id="119" w:name="_Toc243906335"/>
      <w:bookmarkStart w:id="120" w:name="_Toc245897296"/>
      <w:bookmarkStart w:id="121" w:name="_Toc233274836"/>
      <w:bookmarkStart w:id="122" w:name="_Toc243907596"/>
      <w:r>
        <w:rPr>
          <w:rFonts w:hint="eastAsia" w:ascii="宋体" w:hAnsi="宋体" w:cs="宋体"/>
          <w:b/>
          <w:sz w:val="24"/>
        </w:rPr>
        <w:t>23、</w:t>
      </w:r>
      <w:bookmarkEnd w:id="115"/>
      <w:bookmarkEnd w:id="116"/>
      <w:bookmarkEnd w:id="117"/>
      <w:bookmarkEnd w:id="118"/>
      <w:r>
        <w:rPr>
          <w:rFonts w:hint="eastAsia" w:ascii="宋体" w:hAnsi="宋体" w:cs="宋体"/>
          <w:b/>
          <w:sz w:val="24"/>
        </w:rPr>
        <w:t>递交响应文件截止时间</w:t>
      </w:r>
    </w:p>
    <w:p w14:paraId="2A3D48EE">
      <w:pPr>
        <w:widowControl/>
        <w:spacing w:line="450" w:lineRule="exact"/>
        <w:ind w:firstLine="480" w:firstLineChars="200"/>
        <w:jc w:val="left"/>
        <w:rPr>
          <w:rFonts w:ascii="宋体" w:hAnsi="宋体" w:cs="宋体"/>
          <w:b w:val="0"/>
          <w:bCs/>
          <w:sz w:val="24"/>
        </w:rPr>
      </w:pPr>
      <w:r>
        <w:rPr>
          <w:rFonts w:hint="eastAsia" w:ascii="宋体" w:hAnsi="宋体" w:cs="宋体"/>
          <w:b w:val="0"/>
          <w:bCs/>
          <w:sz w:val="24"/>
        </w:rPr>
        <w:t>23.1所有响应文件都必须按招标人在</w:t>
      </w:r>
      <w:r>
        <w:rPr>
          <w:rFonts w:hint="eastAsia" w:ascii="宋体" w:hAnsi="宋体" w:cs="宋体"/>
          <w:b w:val="0"/>
          <w:bCs/>
          <w:sz w:val="24"/>
          <w:lang w:eastAsia="zh-CN"/>
        </w:rPr>
        <w:t>投标人</w:t>
      </w:r>
      <w:r>
        <w:rPr>
          <w:rFonts w:hint="eastAsia" w:ascii="宋体" w:hAnsi="宋体" w:cs="宋体"/>
          <w:b w:val="0"/>
          <w:bCs/>
          <w:sz w:val="24"/>
        </w:rPr>
        <w:t>须知前附表中规定的时间将生成的“电子加密投标文件”上传递交至“政府采购云平台（www.zcygov.cn）”。</w:t>
      </w:r>
    </w:p>
    <w:p w14:paraId="11AD93DC">
      <w:pPr>
        <w:spacing w:line="450" w:lineRule="exact"/>
        <w:ind w:firstLine="480" w:firstLineChars="200"/>
        <w:rPr>
          <w:rFonts w:ascii="宋体" w:hAnsi="宋体" w:cs="宋体"/>
          <w:b w:val="0"/>
          <w:bCs/>
          <w:sz w:val="24"/>
        </w:rPr>
      </w:pPr>
      <w:r>
        <w:rPr>
          <w:rFonts w:hint="eastAsia" w:ascii="宋体" w:hAnsi="宋体" w:cs="宋体"/>
          <w:b w:val="0"/>
          <w:bCs/>
          <w:sz w:val="24"/>
        </w:rPr>
        <w:t>23.2投标截止时间以后上传递交的投标文件将被“政府采购云平台”拒收，采购人（或采购代理机构）不对后果负责。</w:t>
      </w:r>
    </w:p>
    <w:p w14:paraId="511BDF40">
      <w:pPr>
        <w:pStyle w:val="12"/>
        <w:spacing w:line="360" w:lineRule="auto"/>
        <w:ind w:firstLine="482" w:firstLineChars="200"/>
        <w:outlineLvl w:val="1"/>
        <w:rPr>
          <w:rFonts w:hAnsi="宋体" w:cs="宋体"/>
          <w:b/>
          <w:bCs/>
          <w:sz w:val="24"/>
          <w:szCs w:val="24"/>
        </w:rPr>
      </w:pPr>
      <w:r>
        <w:rPr>
          <w:rFonts w:hint="eastAsia" w:hAnsi="宋体" w:cs="宋体"/>
          <w:b/>
          <w:bCs/>
          <w:sz w:val="24"/>
          <w:szCs w:val="24"/>
        </w:rPr>
        <w:t>24、递交投标文件截止时间</w:t>
      </w:r>
      <w:bookmarkEnd w:id="119"/>
      <w:bookmarkEnd w:id="120"/>
      <w:bookmarkEnd w:id="121"/>
      <w:bookmarkEnd w:id="122"/>
    </w:p>
    <w:p w14:paraId="638066F2">
      <w:pPr>
        <w:pStyle w:val="12"/>
        <w:spacing w:line="360" w:lineRule="auto"/>
        <w:ind w:firstLine="480" w:firstLineChars="200"/>
        <w:rPr>
          <w:rFonts w:hAnsi="宋体" w:cs="宋体"/>
          <w:sz w:val="24"/>
        </w:rPr>
      </w:pPr>
      <w:r>
        <w:rPr>
          <w:rFonts w:hint="eastAsia" w:hAnsi="宋体" w:cs="宋体"/>
          <w:sz w:val="24"/>
          <w:szCs w:val="24"/>
        </w:rPr>
        <w:t>24.1 所有投标文件都必须按采购人</w:t>
      </w:r>
      <w:r>
        <w:rPr>
          <w:rFonts w:hint="eastAsia" w:hAnsi="宋体" w:cs="宋体"/>
          <w:sz w:val="24"/>
        </w:rPr>
        <w:t>在投标人须知前附表中规定的截止时间之前上传。</w:t>
      </w:r>
    </w:p>
    <w:p w14:paraId="4B0ECC9A">
      <w:pPr>
        <w:pStyle w:val="12"/>
        <w:spacing w:line="360" w:lineRule="auto"/>
        <w:ind w:firstLine="480" w:firstLineChars="200"/>
        <w:rPr>
          <w:rFonts w:hAnsi="宋体" w:cs="宋体"/>
          <w:sz w:val="24"/>
        </w:rPr>
      </w:pPr>
      <w:r>
        <w:rPr>
          <w:rFonts w:hint="eastAsia" w:hAnsi="宋体" w:cs="宋体"/>
          <w:sz w:val="24"/>
        </w:rPr>
        <w:t>24.2出现因招标文件的修改推迟截止日期时，则按采购代理机构修改通知规定的时间递交投标文件。在此情况下，采购人和采购代理机构与投标人之间受截止期制约的所有权利和义务应延长至新的截止期。</w:t>
      </w:r>
    </w:p>
    <w:p w14:paraId="4C45AC04">
      <w:pPr>
        <w:pStyle w:val="12"/>
        <w:spacing w:line="360" w:lineRule="auto"/>
        <w:ind w:firstLine="482" w:firstLineChars="200"/>
        <w:outlineLvl w:val="1"/>
        <w:rPr>
          <w:rFonts w:hAnsi="宋体" w:cs="宋体"/>
          <w:b/>
          <w:bCs/>
          <w:sz w:val="24"/>
        </w:rPr>
      </w:pPr>
      <w:bookmarkStart w:id="123" w:name="_Toc233274837"/>
      <w:bookmarkStart w:id="124" w:name="_Toc245897297"/>
      <w:bookmarkStart w:id="125" w:name="_Toc243907597"/>
      <w:bookmarkStart w:id="126" w:name="_Toc243906336"/>
      <w:r>
        <w:rPr>
          <w:rFonts w:hint="eastAsia" w:hAnsi="宋体" w:cs="宋体"/>
          <w:b/>
          <w:bCs/>
          <w:sz w:val="24"/>
        </w:rPr>
        <w:t>25、迟交的</w:t>
      </w:r>
      <w:bookmarkEnd w:id="123"/>
      <w:bookmarkEnd w:id="124"/>
      <w:bookmarkEnd w:id="125"/>
      <w:bookmarkEnd w:id="126"/>
      <w:r>
        <w:rPr>
          <w:rFonts w:hint="eastAsia" w:hAnsi="宋体" w:cs="宋体"/>
          <w:b/>
          <w:bCs/>
          <w:sz w:val="24"/>
        </w:rPr>
        <w:t>投标文件</w:t>
      </w:r>
    </w:p>
    <w:p w14:paraId="05157D89">
      <w:pPr>
        <w:pStyle w:val="12"/>
        <w:spacing w:line="360" w:lineRule="auto"/>
        <w:ind w:firstLine="480" w:firstLineChars="200"/>
        <w:rPr>
          <w:rFonts w:hAnsi="宋体" w:cs="宋体"/>
          <w:sz w:val="24"/>
        </w:rPr>
      </w:pPr>
      <w:r>
        <w:rPr>
          <w:rFonts w:hint="eastAsia" w:hAnsi="宋体" w:cs="宋体"/>
          <w:sz w:val="24"/>
        </w:rPr>
        <w:t>25.1 采购人将拒绝并原封退回在其规定的截止时间后送达的投标文件。</w:t>
      </w:r>
    </w:p>
    <w:p w14:paraId="29362554">
      <w:pPr>
        <w:pStyle w:val="12"/>
        <w:spacing w:line="360" w:lineRule="auto"/>
        <w:ind w:firstLine="482" w:firstLineChars="200"/>
        <w:outlineLvl w:val="1"/>
        <w:rPr>
          <w:rFonts w:hAnsi="宋体" w:cs="宋体"/>
          <w:b/>
          <w:bCs/>
          <w:sz w:val="24"/>
        </w:rPr>
      </w:pPr>
      <w:bookmarkStart w:id="127" w:name="_Toc233274838"/>
      <w:bookmarkStart w:id="128" w:name="_Toc243907598"/>
      <w:bookmarkStart w:id="129" w:name="_Toc243906337"/>
      <w:bookmarkStart w:id="130" w:name="_Toc245897298"/>
      <w:r>
        <w:rPr>
          <w:rFonts w:hint="eastAsia" w:hAnsi="宋体" w:cs="宋体"/>
          <w:b/>
          <w:bCs/>
          <w:sz w:val="24"/>
        </w:rPr>
        <w:t>26、投标文件的修改和撤回</w:t>
      </w:r>
      <w:bookmarkEnd w:id="127"/>
      <w:bookmarkEnd w:id="128"/>
      <w:bookmarkEnd w:id="129"/>
      <w:bookmarkEnd w:id="130"/>
    </w:p>
    <w:p w14:paraId="67572F31">
      <w:pPr>
        <w:pStyle w:val="12"/>
        <w:spacing w:line="360" w:lineRule="auto"/>
        <w:ind w:firstLine="480" w:firstLineChars="200"/>
        <w:rPr>
          <w:rFonts w:hAnsi="宋体" w:cs="宋体"/>
          <w:sz w:val="24"/>
        </w:rPr>
      </w:pPr>
      <w:r>
        <w:rPr>
          <w:rFonts w:hint="eastAsia" w:hAnsi="宋体" w:cs="宋体"/>
          <w:sz w:val="24"/>
        </w:rPr>
        <w:t>26.1 投标人在提交投标文件后可在截止时间前对其投标文件进行修改或撤回，但采购人须在截止时间之前收到该修改或撤回的书面通知，该通知须有法定代表人或经有效授权的委托代理人签字或盖章。</w:t>
      </w:r>
    </w:p>
    <w:p w14:paraId="79450A21">
      <w:pPr>
        <w:pStyle w:val="12"/>
        <w:spacing w:line="360" w:lineRule="auto"/>
        <w:ind w:firstLine="480" w:firstLineChars="200"/>
        <w:rPr>
          <w:rFonts w:hAnsi="宋体" w:cs="宋体"/>
          <w:sz w:val="24"/>
        </w:rPr>
      </w:pPr>
      <w:r>
        <w:rPr>
          <w:rFonts w:hint="eastAsia" w:hAnsi="宋体" w:cs="宋体"/>
          <w:sz w:val="24"/>
        </w:rPr>
        <w:t>26.2 投标人对投标文件修改的书面材料或撤回的通知应按第22条和第23条规定进行编写、密封、标记和递交，并注明“修改投标文件”或“撤回投标文件”字样。</w:t>
      </w:r>
    </w:p>
    <w:p w14:paraId="5239196E">
      <w:pPr>
        <w:pStyle w:val="12"/>
        <w:spacing w:line="360" w:lineRule="auto"/>
        <w:ind w:firstLine="480" w:firstLineChars="200"/>
        <w:rPr>
          <w:rFonts w:hAnsi="宋体" w:cs="宋体"/>
          <w:sz w:val="24"/>
        </w:rPr>
      </w:pPr>
      <w:r>
        <w:rPr>
          <w:rFonts w:hint="eastAsia" w:hAnsi="宋体" w:cs="宋体"/>
          <w:sz w:val="24"/>
        </w:rPr>
        <w:t>26.3截止时间之后，投标人不得对投标文件做任何修改。</w:t>
      </w:r>
    </w:p>
    <w:p w14:paraId="7ECC5BBE">
      <w:pPr>
        <w:pStyle w:val="12"/>
        <w:spacing w:line="360" w:lineRule="auto"/>
        <w:ind w:firstLine="480" w:firstLineChars="200"/>
        <w:rPr>
          <w:rFonts w:hAnsi="宋体" w:cs="宋体"/>
          <w:sz w:val="24"/>
        </w:rPr>
      </w:pPr>
      <w:r>
        <w:rPr>
          <w:rFonts w:hint="eastAsia" w:hAnsi="宋体" w:cs="宋体"/>
          <w:sz w:val="24"/>
        </w:rPr>
        <w:t>26.4 投标人不得在截止时间起至投标文件有效期期满前撤回投标文件。</w:t>
      </w:r>
    </w:p>
    <w:p w14:paraId="2F01A1C5">
      <w:pPr>
        <w:spacing w:line="360" w:lineRule="auto"/>
        <w:ind w:firstLine="482" w:firstLineChars="200"/>
        <w:outlineLvl w:val="1"/>
        <w:rPr>
          <w:rFonts w:ascii="宋体" w:hAnsi="宋体" w:cs="宋体"/>
          <w:b/>
          <w:bCs/>
          <w:sz w:val="24"/>
        </w:rPr>
      </w:pPr>
      <w:bookmarkStart w:id="131" w:name="_Toc243906338"/>
      <w:bookmarkStart w:id="132" w:name="_Toc243907599"/>
      <w:bookmarkStart w:id="133" w:name="_Toc245897299"/>
      <w:bookmarkStart w:id="134" w:name="_Toc233274839"/>
      <w:r>
        <w:rPr>
          <w:rFonts w:hint="eastAsia" w:ascii="宋体" w:hAnsi="宋体" w:cs="宋体"/>
          <w:b/>
          <w:bCs/>
          <w:sz w:val="24"/>
        </w:rPr>
        <w:t>27、递交</w:t>
      </w:r>
      <w:bookmarkEnd w:id="131"/>
      <w:bookmarkEnd w:id="132"/>
      <w:bookmarkEnd w:id="133"/>
      <w:bookmarkEnd w:id="134"/>
      <w:r>
        <w:rPr>
          <w:rFonts w:hint="eastAsia" w:ascii="宋体" w:hAnsi="宋体" w:cs="宋体"/>
          <w:b/>
          <w:bCs/>
          <w:sz w:val="24"/>
        </w:rPr>
        <w:t>投标文件</w:t>
      </w:r>
    </w:p>
    <w:p w14:paraId="0A5458E3">
      <w:pPr>
        <w:spacing w:line="360" w:lineRule="auto"/>
        <w:ind w:firstLine="480" w:firstLineChars="200"/>
        <w:rPr>
          <w:rFonts w:ascii="宋体" w:hAnsi="宋体" w:cs="宋体"/>
          <w:sz w:val="24"/>
        </w:rPr>
      </w:pPr>
      <w:r>
        <w:rPr>
          <w:rFonts w:hint="eastAsia" w:ascii="宋体" w:hAnsi="宋体" w:cs="宋体"/>
          <w:sz w:val="24"/>
        </w:rPr>
        <w:t>27.1投标人应按本投标人须知前附表</w:t>
      </w:r>
      <w:r>
        <w:rPr>
          <w:rFonts w:hint="eastAsia" w:ascii="宋体" w:hAnsi="宋体" w:cs="宋体"/>
          <w:sz w:val="24"/>
          <w:lang w:val="en-US" w:eastAsia="zh-CN"/>
        </w:rPr>
        <w:t>中</w:t>
      </w:r>
      <w:r>
        <w:rPr>
          <w:rFonts w:hint="eastAsia" w:ascii="宋体" w:hAnsi="宋体" w:cs="宋体"/>
          <w:sz w:val="24"/>
        </w:rPr>
        <w:t>规定的时间及地点递交投标文件。</w:t>
      </w:r>
    </w:p>
    <w:p w14:paraId="32772FD9">
      <w:pPr>
        <w:spacing w:line="360" w:lineRule="auto"/>
        <w:ind w:firstLine="480" w:firstLineChars="200"/>
        <w:rPr>
          <w:rFonts w:ascii="宋体" w:hAnsi="宋体" w:cs="宋体"/>
          <w:b w:val="0"/>
          <w:bCs/>
          <w:sz w:val="24"/>
        </w:rPr>
      </w:pPr>
      <w:r>
        <w:rPr>
          <w:rFonts w:hint="eastAsia" w:ascii="宋体" w:hAnsi="宋体" w:cs="宋体"/>
          <w:b w:val="0"/>
          <w:bCs/>
          <w:sz w:val="24"/>
        </w:rPr>
        <w:t>27.2有下列情形之一的，采购人不予接收其投标文件：</w:t>
      </w:r>
    </w:p>
    <w:p w14:paraId="72549902">
      <w:pPr>
        <w:spacing w:line="360" w:lineRule="auto"/>
        <w:ind w:firstLine="480" w:firstLineChars="200"/>
        <w:rPr>
          <w:rFonts w:ascii="宋体" w:hAnsi="宋体" w:cs="宋体"/>
          <w:sz w:val="24"/>
        </w:rPr>
      </w:pPr>
      <w:r>
        <w:rPr>
          <w:rFonts w:hint="eastAsia" w:ascii="宋体" w:hAnsi="宋体" w:cs="宋体"/>
          <w:sz w:val="24"/>
        </w:rPr>
        <w:t>27.2.1</w:t>
      </w:r>
      <w:r>
        <w:rPr>
          <w:rFonts w:hint="eastAsia" w:ascii="宋体" w:hAnsi="宋体" w:cs="宋体"/>
          <w:sz w:val="24"/>
          <w:lang w:eastAsia="zh-CN"/>
        </w:rPr>
        <w:t>投标人</w:t>
      </w:r>
      <w:r>
        <w:rPr>
          <w:rFonts w:hint="eastAsia" w:ascii="宋体" w:hAnsi="宋体" w:cs="宋体"/>
          <w:sz w:val="24"/>
        </w:rPr>
        <w:t>在递交响应文件截止时间后上传或未上传到指定地点的响应文件；</w:t>
      </w:r>
    </w:p>
    <w:p w14:paraId="39BDBFB2">
      <w:pPr>
        <w:spacing w:line="360" w:lineRule="auto"/>
        <w:jc w:val="center"/>
        <w:outlineLvl w:val="1"/>
        <w:rPr>
          <w:rFonts w:hint="eastAsia" w:ascii="宋体" w:hAnsi="宋体" w:eastAsia="宋体" w:cs="宋体"/>
          <w:b/>
          <w:bCs/>
          <w:sz w:val="28"/>
          <w:szCs w:val="28"/>
          <w:lang w:eastAsia="zh-CN"/>
        </w:rPr>
      </w:pPr>
      <w:bookmarkStart w:id="135" w:name="_Toc233274840"/>
      <w:bookmarkStart w:id="136" w:name="_Toc243906339"/>
      <w:bookmarkStart w:id="137" w:name="_Toc246216209"/>
      <w:bookmarkStart w:id="138" w:name="_Toc243907600"/>
      <w:r>
        <w:rPr>
          <w:rFonts w:hint="eastAsia" w:ascii="宋体" w:hAnsi="宋体" w:cs="宋体"/>
          <w:b/>
          <w:bCs/>
          <w:sz w:val="28"/>
          <w:szCs w:val="28"/>
        </w:rPr>
        <w:t xml:space="preserve"> 五、</w:t>
      </w:r>
      <w:bookmarkEnd w:id="135"/>
      <w:bookmarkEnd w:id="136"/>
      <w:bookmarkEnd w:id="137"/>
      <w:bookmarkEnd w:id="138"/>
      <w:r>
        <w:rPr>
          <w:rFonts w:hint="eastAsia" w:ascii="宋体" w:hAnsi="宋体" w:cs="宋体"/>
          <w:b/>
          <w:bCs/>
          <w:sz w:val="28"/>
          <w:szCs w:val="28"/>
        </w:rPr>
        <w:t>开标、评标、确定中标</w:t>
      </w:r>
      <w:r>
        <w:rPr>
          <w:rFonts w:hint="eastAsia" w:ascii="宋体" w:hAnsi="宋体" w:cs="宋体"/>
          <w:b/>
          <w:bCs/>
          <w:sz w:val="28"/>
          <w:szCs w:val="28"/>
          <w:lang w:eastAsia="zh-CN"/>
        </w:rPr>
        <w:t>投标人</w:t>
      </w:r>
    </w:p>
    <w:p w14:paraId="3F809884">
      <w:pPr>
        <w:spacing w:line="360" w:lineRule="auto"/>
        <w:ind w:firstLine="482" w:firstLineChars="200"/>
        <w:outlineLvl w:val="1"/>
        <w:rPr>
          <w:rFonts w:ascii="宋体" w:hAnsi="宋体" w:cs="宋体"/>
          <w:b/>
          <w:bCs/>
          <w:sz w:val="24"/>
          <w:szCs w:val="20"/>
        </w:rPr>
      </w:pPr>
      <w:bookmarkStart w:id="139" w:name="_Toc243907601"/>
      <w:bookmarkStart w:id="140" w:name="_Toc233274841"/>
      <w:bookmarkStart w:id="141" w:name="_Toc243906340"/>
      <w:bookmarkStart w:id="142" w:name="_Toc245897301"/>
      <w:r>
        <w:rPr>
          <w:rFonts w:hint="eastAsia" w:ascii="宋体" w:hAnsi="宋体" w:cs="宋体"/>
          <w:b/>
          <w:bCs/>
          <w:sz w:val="24"/>
          <w:szCs w:val="20"/>
        </w:rPr>
        <w:t>28、</w:t>
      </w:r>
      <w:bookmarkEnd w:id="139"/>
      <w:bookmarkEnd w:id="140"/>
      <w:bookmarkEnd w:id="141"/>
      <w:bookmarkEnd w:id="142"/>
      <w:r>
        <w:rPr>
          <w:rFonts w:hint="eastAsia" w:ascii="宋体" w:hAnsi="宋体" w:cs="宋体"/>
          <w:b/>
          <w:bCs/>
          <w:sz w:val="24"/>
          <w:szCs w:val="20"/>
        </w:rPr>
        <w:t>开标会议</w:t>
      </w:r>
    </w:p>
    <w:p w14:paraId="183B08D4">
      <w:pPr>
        <w:spacing w:line="360" w:lineRule="auto"/>
        <w:ind w:firstLine="480" w:firstLineChars="200"/>
        <w:rPr>
          <w:rFonts w:ascii="宋体" w:hAnsi="宋体" w:cs="宋体"/>
          <w:sz w:val="24"/>
          <w:szCs w:val="20"/>
        </w:rPr>
      </w:pPr>
      <w:r>
        <w:rPr>
          <w:rFonts w:hint="eastAsia" w:ascii="宋体" w:hAnsi="宋体" w:cs="宋体"/>
          <w:sz w:val="24"/>
          <w:szCs w:val="20"/>
        </w:rPr>
        <w:t>28.1采购人在本投标人须知前附表规定的时间和地点组织开标会议。</w:t>
      </w:r>
    </w:p>
    <w:p w14:paraId="415A3CC1">
      <w:pPr>
        <w:spacing w:line="450" w:lineRule="exact"/>
        <w:ind w:firstLine="480" w:firstLineChars="200"/>
        <w:rPr>
          <w:rFonts w:ascii="宋体" w:hAnsi="宋体" w:cs="宋体"/>
          <w:sz w:val="24"/>
        </w:rPr>
      </w:pPr>
      <w:r>
        <w:rPr>
          <w:rFonts w:hint="eastAsia" w:ascii="宋体" w:hAnsi="宋体" w:cs="宋体"/>
          <w:sz w:val="24"/>
        </w:rPr>
        <w:t>28.2</w:t>
      </w:r>
      <w:r>
        <w:rPr>
          <w:rStyle w:val="24"/>
          <w:rFonts w:hint="eastAsia" w:ascii="宋体" w:hAnsi="宋体" w:cs="宋体"/>
          <w:b w:val="0"/>
          <w:sz w:val="24"/>
        </w:rPr>
        <w:t>开标由</w:t>
      </w:r>
      <w:r>
        <w:rPr>
          <w:rStyle w:val="24"/>
          <w:rFonts w:hint="eastAsia" w:cs="宋体"/>
          <w:b w:val="0"/>
          <w:sz w:val="24"/>
        </w:rPr>
        <w:t>招标代理机构</w:t>
      </w:r>
      <w:r>
        <w:rPr>
          <w:rStyle w:val="24"/>
          <w:rFonts w:hint="eastAsia" w:ascii="宋体" w:hAnsi="宋体" w:cs="宋体"/>
          <w:b w:val="0"/>
          <w:sz w:val="24"/>
        </w:rPr>
        <w:t>主持，财政部门和有关监督部门可视情况派员现场监督</w:t>
      </w:r>
      <w:r>
        <w:rPr>
          <w:rFonts w:hint="eastAsia" w:ascii="宋体" w:hAnsi="宋体" w:cs="宋体"/>
          <w:sz w:val="24"/>
        </w:rPr>
        <w:t>。</w:t>
      </w:r>
    </w:p>
    <w:p w14:paraId="28EC7CE0">
      <w:pPr>
        <w:pStyle w:val="19"/>
        <w:spacing w:before="75" w:beforeAutospacing="0" w:after="75" w:afterAutospacing="0" w:line="360" w:lineRule="auto"/>
        <w:ind w:firstLine="480" w:firstLineChars="200"/>
        <w:rPr>
          <w:rStyle w:val="24"/>
          <w:b w:val="0"/>
          <w:bCs w:val="0"/>
        </w:rPr>
      </w:pPr>
      <w:r>
        <w:rPr>
          <w:rFonts w:hint="eastAsia"/>
          <w:b w:val="0"/>
          <w:bCs w:val="0"/>
        </w:rPr>
        <w:t>28.3</w:t>
      </w:r>
      <w:r>
        <w:rPr>
          <w:rStyle w:val="24"/>
          <w:rFonts w:hint="eastAsia"/>
          <w:b w:val="0"/>
          <w:bCs w:val="0"/>
        </w:rPr>
        <w:t>本次采用不见面开标方式，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5D76ABDF">
      <w:pPr>
        <w:spacing w:line="360" w:lineRule="auto"/>
        <w:ind w:firstLine="480" w:firstLineChars="200"/>
        <w:outlineLvl w:val="1"/>
        <w:rPr>
          <w:rFonts w:ascii="宋体" w:hAnsi="宋体" w:cs="宋体"/>
          <w:sz w:val="24"/>
          <w:szCs w:val="20"/>
        </w:rPr>
      </w:pPr>
      <w:bookmarkStart w:id="143" w:name="_Toc245897302"/>
      <w:bookmarkStart w:id="144" w:name="_Toc243906341"/>
      <w:bookmarkStart w:id="145" w:name="_Toc233274842"/>
      <w:bookmarkStart w:id="146" w:name="_Toc243907602"/>
      <w:r>
        <w:rPr>
          <w:rFonts w:hint="eastAsia" w:ascii="宋体" w:hAnsi="宋体" w:cs="宋体"/>
          <w:sz w:val="24"/>
          <w:szCs w:val="20"/>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3751D4C2">
      <w:pPr>
        <w:spacing w:line="360" w:lineRule="auto"/>
        <w:ind w:firstLine="480" w:firstLineChars="200"/>
        <w:outlineLvl w:val="1"/>
        <w:rPr>
          <w:rFonts w:ascii="宋体" w:hAnsi="宋体" w:cs="宋体"/>
          <w:sz w:val="24"/>
          <w:szCs w:val="20"/>
        </w:rPr>
      </w:pPr>
      <w:r>
        <w:rPr>
          <w:rFonts w:hint="eastAsia" w:ascii="宋体" w:hAnsi="宋体" w:cs="宋体"/>
          <w:sz w:val="24"/>
          <w:szCs w:val="20"/>
        </w:rPr>
        <w:t>28.4投标文件的解密：投标人登录政采云平台，在开标时间后30分钟内（</w:t>
      </w:r>
      <w:r>
        <w:rPr>
          <w:rFonts w:hint="eastAsia" w:ascii="宋体" w:hAnsi="宋体" w:cs="宋体"/>
          <w:kern w:val="0"/>
          <w:sz w:val="24"/>
        </w:rPr>
        <w:t>202</w:t>
      </w:r>
      <w:r>
        <w:rPr>
          <w:rFonts w:hint="eastAsia" w:ascii="宋体" w:hAnsi="宋体" w:cs="宋体"/>
          <w:kern w:val="0"/>
          <w:sz w:val="24"/>
          <w:lang w:val="en-US" w:eastAsia="zh-CN"/>
        </w:rPr>
        <w:t>5</w:t>
      </w:r>
      <w:r>
        <w:rPr>
          <w:rFonts w:hint="eastAsia" w:ascii="宋体" w:hAnsi="宋体" w:cs="宋体"/>
          <w:kern w:val="0"/>
          <w:sz w:val="24"/>
        </w:rPr>
        <w:t>年</w:t>
      </w:r>
      <w:r>
        <w:rPr>
          <w:rFonts w:hint="eastAsia" w:ascii="宋体" w:hAnsi="宋体" w:cs="宋体"/>
          <w:kern w:val="0"/>
          <w:sz w:val="24"/>
          <w:lang w:val="en-US" w:eastAsia="zh-CN"/>
        </w:rPr>
        <w:t>04</w:t>
      </w:r>
      <w:r>
        <w:rPr>
          <w:rFonts w:hint="eastAsia" w:ascii="宋体" w:hAnsi="宋体" w:cs="宋体"/>
          <w:kern w:val="0"/>
          <w:sz w:val="24"/>
        </w:rPr>
        <w:t>月</w:t>
      </w:r>
      <w:r>
        <w:rPr>
          <w:rFonts w:hint="eastAsia" w:ascii="宋体" w:hAnsi="宋体" w:cs="宋体"/>
          <w:kern w:val="0"/>
          <w:sz w:val="24"/>
          <w:lang w:val="en-US" w:eastAsia="zh-CN"/>
        </w:rPr>
        <w:t>22</w:t>
      </w:r>
      <w:r>
        <w:rPr>
          <w:rFonts w:hint="eastAsia" w:ascii="宋体" w:hAnsi="宋体" w:cs="宋体"/>
          <w:kern w:val="0"/>
          <w:sz w:val="24"/>
        </w:rPr>
        <w:t>日10:30-11：00</w:t>
      </w:r>
      <w:r>
        <w:rPr>
          <w:rFonts w:hint="eastAsia" w:ascii="宋体" w:hAnsi="宋体" w:cs="宋体"/>
          <w:kern w:val="0"/>
          <w:sz w:val="24"/>
          <w:lang w:eastAsia="zh-CN"/>
        </w:rPr>
        <w:t>）</w:t>
      </w:r>
      <w:r>
        <w:rPr>
          <w:rFonts w:hint="eastAsia" w:ascii="宋体" w:hAnsi="宋体" w:cs="宋体"/>
          <w:sz w:val="24"/>
          <w:szCs w:val="20"/>
        </w:rPr>
        <w:t>用“项目采购-开标评标”功能进行解密投标文件。若投标人在规定时间内（</w:t>
      </w:r>
      <w:r>
        <w:rPr>
          <w:rFonts w:hint="eastAsia" w:ascii="宋体" w:hAnsi="宋体" w:cs="宋体"/>
          <w:kern w:val="0"/>
          <w:sz w:val="24"/>
        </w:rPr>
        <w:t>202</w:t>
      </w:r>
      <w:r>
        <w:rPr>
          <w:rFonts w:hint="eastAsia" w:ascii="宋体" w:hAnsi="宋体" w:cs="宋体"/>
          <w:kern w:val="0"/>
          <w:sz w:val="24"/>
          <w:lang w:val="en-US" w:eastAsia="zh-CN"/>
        </w:rPr>
        <w:t>5</w:t>
      </w:r>
      <w:r>
        <w:rPr>
          <w:rFonts w:hint="eastAsia" w:ascii="宋体" w:hAnsi="宋体" w:cs="宋体"/>
          <w:kern w:val="0"/>
          <w:sz w:val="24"/>
        </w:rPr>
        <w:t>年</w:t>
      </w:r>
      <w:r>
        <w:rPr>
          <w:rFonts w:hint="eastAsia" w:ascii="宋体" w:hAnsi="宋体" w:cs="宋体"/>
          <w:kern w:val="0"/>
          <w:sz w:val="24"/>
          <w:lang w:val="en-US" w:eastAsia="zh-CN"/>
        </w:rPr>
        <w:t>04</w:t>
      </w:r>
      <w:r>
        <w:rPr>
          <w:rFonts w:hint="eastAsia" w:ascii="宋体" w:hAnsi="宋体" w:cs="宋体"/>
          <w:kern w:val="0"/>
          <w:sz w:val="24"/>
        </w:rPr>
        <w:t>月</w:t>
      </w:r>
      <w:r>
        <w:rPr>
          <w:rFonts w:hint="eastAsia" w:ascii="宋体" w:hAnsi="宋体" w:cs="宋体"/>
          <w:kern w:val="0"/>
          <w:sz w:val="24"/>
          <w:lang w:val="en-US" w:eastAsia="zh-CN"/>
        </w:rPr>
        <w:t>22</w:t>
      </w:r>
      <w:r>
        <w:rPr>
          <w:rFonts w:hint="eastAsia" w:ascii="宋体" w:hAnsi="宋体" w:cs="宋体"/>
          <w:kern w:val="0"/>
          <w:sz w:val="24"/>
        </w:rPr>
        <w:t>日10:30-11：00</w:t>
      </w:r>
      <w:r>
        <w:rPr>
          <w:rFonts w:hint="eastAsia" w:ascii="宋体" w:hAnsi="宋体" w:cs="宋体"/>
          <w:sz w:val="24"/>
          <w:szCs w:val="20"/>
        </w:rPr>
        <w:t>）未按时解密的，视为无效投标。解密与加密投标文件须使用同一个CA。</w:t>
      </w:r>
    </w:p>
    <w:p w14:paraId="573B4113">
      <w:pPr>
        <w:spacing w:line="360" w:lineRule="auto"/>
        <w:ind w:firstLine="480" w:firstLineChars="200"/>
        <w:outlineLvl w:val="1"/>
        <w:rPr>
          <w:rFonts w:ascii="宋体" w:hAnsi="宋体" w:cs="宋体"/>
          <w:sz w:val="24"/>
          <w:szCs w:val="20"/>
        </w:rPr>
      </w:pPr>
      <w:r>
        <w:rPr>
          <w:rFonts w:hint="eastAsia" w:ascii="宋体" w:hAnsi="宋体" w:cs="宋体"/>
          <w:sz w:val="24"/>
          <w:szCs w:val="20"/>
        </w:rPr>
        <w:t>28.5投标人应在开启报价</w:t>
      </w:r>
      <w:r>
        <w:rPr>
          <w:rFonts w:hint="eastAsia" w:ascii="宋体" w:hAnsi="宋体" w:cs="宋体"/>
          <w:sz w:val="24"/>
          <w:szCs w:val="20"/>
          <w:lang w:val="en-US" w:eastAsia="zh-CN"/>
        </w:rPr>
        <w:t>30</w:t>
      </w:r>
      <w:r>
        <w:rPr>
          <w:rFonts w:hint="eastAsia" w:ascii="宋体" w:hAnsi="宋体" w:cs="宋体"/>
          <w:sz w:val="24"/>
          <w:szCs w:val="20"/>
        </w:rPr>
        <w:t>分钟内进行签字确认。</w:t>
      </w:r>
    </w:p>
    <w:p w14:paraId="3CA29775">
      <w:pPr>
        <w:spacing w:line="360" w:lineRule="auto"/>
        <w:ind w:firstLine="480" w:firstLineChars="200"/>
        <w:outlineLvl w:val="1"/>
        <w:rPr>
          <w:rFonts w:ascii="宋体" w:hAnsi="宋体" w:cs="宋体"/>
          <w:sz w:val="24"/>
          <w:szCs w:val="20"/>
        </w:rPr>
      </w:pPr>
      <w:r>
        <w:rPr>
          <w:rFonts w:hint="eastAsia" w:ascii="宋体" w:hAnsi="宋体" w:cs="宋体"/>
          <w:sz w:val="24"/>
          <w:szCs w:val="20"/>
        </w:rPr>
        <w:t>28.6开标完毕，进行下一步评标。</w:t>
      </w:r>
    </w:p>
    <w:p w14:paraId="49CB76D3">
      <w:pPr>
        <w:spacing w:line="360" w:lineRule="auto"/>
        <w:ind w:firstLine="482" w:firstLineChars="200"/>
        <w:outlineLvl w:val="1"/>
        <w:rPr>
          <w:rFonts w:ascii="宋体" w:hAnsi="宋体" w:cs="宋体"/>
          <w:b/>
          <w:bCs/>
          <w:sz w:val="24"/>
          <w:szCs w:val="20"/>
        </w:rPr>
      </w:pPr>
      <w:r>
        <w:rPr>
          <w:rFonts w:hint="eastAsia" w:ascii="宋体" w:hAnsi="宋体" w:cs="宋体"/>
          <w:b/>
          <w:bCs/>
          <w:sz w:val="24"/>
          <w:szCs w:val="20"/>
        </w:rPr>
        <w:t>29、</w:t>
      </w:r>
      <w:bookmarkEnd w:id="143"/>
      <w:bookmarkEnd w:id="144"/>
      <w:bookmarkEnd w:id="145"/>
      <w:bookmarkEnd w:id="146"/>
      <w:r>
        <w:rPr>
          <w:rFonts w:hint="eastAsia" w:ascii="宋体" w:hAnsi="宋体" w:cs="宋体"/>
          <w:b/>
          <w:bCs/>
          <w:sz w:val="24"/>
          <w:szCs w:val="20"/>
        </w:rPr>
        <w:t>评标委员会</w:t>
      </w:r>
    </w:p>
    <w:p w14:paraId="229F2F51">
      <w:pPr>
        <w:widowControl/>
        <w:spacing w:line="360" w:lineRule="auto"/>
        <w:ind w:firstLine="480" w:firstLineChars="200"/>
        <w:rPr>
          <w:rFonts w:ascii="宋体" w:hAnsi="宋体" w:cs="宋体"/>
          <w:sz w:val="24"/>
          <w:szCs w:val="20"/>
        </w:rPr>
      </w:pPr>
      <w:r>
        <w:rPr>
          <w:rFonts w:hint="eastAsia" w:ascii="宋体" w:hAnsi="宋体" w:cs="宋体"/>
          <w:sz w:val="24"/>
          <w:szCs w:val="20"/>
        </w:rPr>
        <w:t>29.1评标委员会成员组成：按照</w:t>
      </w:r>
      <w:r>
        <w:rPr>
          <w:rFonts w:hint="eastAsia" w:ascii="宋体" w:hAnsi="宋体" w:cs="宋体"/>
          <w:sz w:val="24"/>
        </w:rPr>
        <w:t>《中华人民共和国政府采购法》、《中华人民共和国政府采购法实施条例》、《政府采购货物和服务招标投标管理办法》</w:t>
      </w:r>
      <w:r>
        <w:rPr>
          <w:rFonts w:hint="eastAsia" w:ascii="宋体" w:hAnsi="宋体" w:cs="宋体"/>
          <w:sz w:val="24"/>
          <w:szCs w:val="20"/>
        </w:rPr>
        <w:t>及相关法律、法规规定组建</w:t>
      </w:r>
      <w:r>
        <w:rPr>
          <w:rFonts w:hint="eastAsia" w:ascii="宋体" w:hAnsi="宋体" w:cs="宋体"/>
          <w:sz w:val="24"/>
        </w:rPr>
        <w:t>，由采购人代表和评审专家组成</w:t>
      </w:r>
      <w:r>
        <w:rPr>
          <w:rFonts w:hint="eastAsia" w:ascii="宋体" w:hAnsi="宋体" w:cs="宋体"/>
          <w:sz w:val="24"/>
          <w:szCs w:val="20"/>
        </w:rPr>
        <w:t>。评标委员会将负责对投标人提交的投标文件进行公开、评审，确保公开、评审过程公正、合法、保密，并向采购人推荐中标候选人。</w:t>
      </w:r>
    </w:p>
    <w:p w14:paraId="30BC025E">
      <w:pPr>
        <w:spacing w:line="360" w:lineRule="auto"/>
        <w:ind w:firstLine="482" w:firstLineChars="200"/>
        <w:outlineLvl w:val="1"/>
        <w:rPr>
          <w:rFonts w:ascii="宋体" w:hAnsi="宋体" w:cs="宋体"/>
          <w:b/>
          <w:sz w:val="24"/>
        </w:rPr>
      </w:pPr>
      <w:bookmarkStart w:id="147" w:name="_Toc243906346"/>
      <w:bookmarkStart w:id="148" w:name="_Toc233274845"/>
      <w:bookmarkStart w:id="149" w:name="_Toc245897306"/>
      <w:bookmarkStart w:id="150" w:name="_Toc243907607"/>
      <w:bookmarkStart w:id="151" w:name="_Toc245897304"/>
      <w:bookmarkStart w:id="152" w:name="_Toc233274843"/>
      <w:bookmarkStart w:id="153" w:name="_Toc243906344"/>
      <w:bookmarkStart w:id="154" w:name="_Toc243907605"/>
      <w:r>
        <w:rPr>
          <w:rFonts w:hint="eastAsia" w:ascii="宋体" w:hAnsi="宋体" w:cs="宋体"/>
          <w:b/>
          <w:sz w:val="24"/>
        </w:rPr>
        <w:t>30、重大偏离</w:t>
      </w:r>
      <w:bookmarkEnd w:id="147"/>
      <w:bookmarkEnd w:id="148"/>
      <w:bookmarkEnd w:id="149"/>
      <w:bookmarkEnd w:id="150"/>
    </w:p>
    <w:p w14:paraId="751F02A8">
      <w:pPr>
        <w:spacing w:line="360" w:lineRule="auto"/>
        <w:ind w:firstLine="480" w:firstLineChars="200"/>
        <w:rPr>
          <w:rFonts w:ascii="宋体" w:hAnsi="宋体" w:cs="宋体"/>
          <w:b w:val="0"/>
          <w:bCs/>
          <w:sz w:val="24"/>
        </w:rPr>
      </w:pPr>
      <w:bookmarkStart w:id="155" w:name="_Toc233274846"/>
      <w:bookmarkStart w:id="156" w:name="_Toc243907608"/>
      <w:bookmarkStart w:id="157" w:name="_Toc245897307"/>
      <w:bookmarkStart w:id="158" w:name="_Toc243906347"/>
      <w:r>
        <w:rPr>
          <w:rFonts w:hint="eastAsia" w:ascii="宋体" w:hAnsi="宋体" w:cs="宋体"/>
          <w:b w:val="0"/>
          <w:bCs/>
          <w:sz w:val="24"/>
        </w:rPr>
        <w:t>重大偏离是指实质上影响合同的招标范围、质量和性能、服务期、投标保证金等，或者实质上不满足招标文件的要求，而且限制了采购人的权力或减轻了投标人的义务。纠正或承认这些偏离将会对其他实质上投标要求的投标人合理的竞争地位产生不公正的影响。</w:t>
      </w:r>
    </w:p>
    <w:p w14:paraId="2332E9EE">
      <w:pPr>
        <w:spacing w:line="360" w:lineRule="auto"/>
        <w:ind w:firstLine="482" w:firstLineChars="200"/>
        <w:outlineLvl w:val="1"/>
        <w:rPr>
          <w:rFonts w:ascii="宋体" w:hAnsi="宋体" w:cs="宋体"/>
          <w:b/>
          <w:sz w:val="24"/>
        </w:rPr>
      </w:pPr>
      <w:r>
        <w:rPr>
          <w:rFonts w:hint="eastAsia" w:ascii="宋体" w:hAnsi="宋体" w:cs="宋体"/>
          <w:b/>
          <w:sz w:val="24"/>
        </w:rPr>
        <w:t>31、</w:t>
      </w:r>
      <w:bookmarkEnd w:id="155"/>
      <w:bookmarkEnd w:id="156"/>
      <w:bookmarkEnd w:id="157"/>
      <w:bookmarkEnd w:id="158"/>
      <w:r>
        <w:rPr>
          <w:rFonts w:hint="eastAsia" w:ascii="宋体" w:hAnsi="宋体" w:cs="宋体"/>
          <w:b/>
          <w:sz w:val="24"/>
        </w:rPr>
        <w:t>废标</w:t>
      </w:r>
    </w:p>
    <w:p w14:paraId="6502C2B1">
      <w:pPr>
        <w:spacing w:line="360" w:lineRule="auto"/>
        <w:ind w:firstLine="480" w:firstLineChars="200"/>
        <w:rPr>
          <w:rFonts w:ascii="宋体" w:hAnsi="宋体" w:cs="宋体"/>
          <w:b w:val="0"/>
          <w:bCs/>
          <w:sz w:val="24"/>
        </w:rPr>
      </w:pPr>
      <w:r>
        <w:rPr>
          <w:rFonts w:hint="eastAsia" w:ascii="宋体" w:hAnsi="宋体" w:cs="宋体"/>
          <w:b w:val="0"/>
          <w:bCs/>
          <w:sz w:val="24"/>
        </w:rPr>
        <w:t>在招标采购中，出现下列情形之一的，应予废标：</w:t>
      </w:r>
    </w:p>
    <w:p w14:paraId="7FD64CC7">
      <w:pPr>
        <w:spacing w:line="360" w:lineRule="auto"/>
        <w:ind w:firstLine="480" w:firstLineChars="200"/>
        <w:rPr>
          <w:rFonts w:ascii="宋体" w:hAnsi="宋体" w:cs="宋体"/>
          <w:b w:val="0"/>
          <w:bCs/>
          <w:sz w:val="24"/>
        </w:rPr>
      </w:pPr>
      <w:r>
        <w:rPr>
          <w:rFonts w:hint="eastAsia" w:ascii="宋体" w:hAnsi="宋体" w:cs="宋体"/>
          <w:b w:val="0"/>
          <w:bCs/>
          <w:sz w:val="24"/>
        </w:rPr>
        <w:t>31.1符合专业条件的投标人或者对招标文件每标项作实质响应的投标人不足三家的；</w:t>
      </w:r>
    </w:p>
    <w:p w14:paraId="65D5C4D6">
      <w:pPr>
        <w:spacing w:line="360" w:lineRule="auto"/>
        <w:ind w:firstLine="480" w:firstLineChars="200"/>
        <w:rPr>
          <w:rFonts w:ascii="宋体" w:hAnsi="宋体" w:cs="宋体"/>
          <w:b w:val="0"/>
          <w:bCs/>
          <w:sz w:val="24"/>
        </w:rPr>
      </w:pPr>
      <w:r>
        <w:rPr>
          <w:rFonts w:hint="eastAsia" w:ascii="宋体" w:hAnsi="宋体" w:cs="宋体"/>
          <w:b w:val="0"/>
          <w:bCs/>
          <w:sz w:val="24"/>
        </w:rPr>
        <w:t>31.2出现影响采购公正的违法、违规行为的；</w:t>
      </w:r>
    </w:p>
    <w:p w14:paraId="730471D7">
      <w:pPr>
        <w:spacing w:line="360" w:lineRule="auto"/>
        <w:ind w:firstLine="480" w:firstLineChars="200"/>
        <w:rPr>
          <w:rFonts w:ascii="宋体" w:hAnsi="宋体" w:cs="宋体"/>
          <w:b w:val="0"/>
          <w:bCs/>
          <w:sz w:val="24"/>
        </w:rPr>
      </w:pPr>
      <w:r>
        <w:rPr>
          <w:rFonts w:hint="eastAsia" w:ascii="宋体" w:hAnsi="宋体" w:cs="宋体"/>
          <w:b w:val="0"/>
          <w:bCs/>
          <w:sz w:val="24"/>
        </w:rPr>
        <w:t>31.3投标人的报价均超过了采购预算，采购人不能支付的；</w:t>
      </w:r>
    </w:p>
    <w:p w14:paraId="779AA04A">
      <w:pPr>
        <w:spacing w:line="360" w:lineRule="auto"/>
        <w:ind w:firstLine="480" w:firstLineChars="200"/>
        <w:rPr>
          <w:rFonts w:ascii="宋体" w:hAnsi="宋体" w:cs="宋体"/>
          <w:b w:val="0"/>
          <w:bCs/>
          <w:sz w:val="24"/>
        </w:rPr>
      </w:pPr>
      <w:r>
        <w:rPr>
          <w:rFonts w:hint="eastAsia" w:ascii="宋体" w:hAnsi="宋体" w:cs="宋体"/>
          <w:b w:val="0"/>
          <w:bCs/>
          <w:sz w:val="24"/>
        </w:rPr>
        <w:t>31.4因重大变故，采购任务取消的；</w:t>
      </w:r>
    </w:p>
    <w:p w14:paraId="3AD299E2">
      <w:pPr>
        <w:spacing w:line="360" w:lineRule="auto"/>
        <w:ind w:firstLine="480" w:firstLineChars="200"/>
        <w:rPr>
          <w:rFonts w:ascii="宋体" w:hAnsi="宋体" w:cs="宋体"/>
          <w:b w:val="0"/>
          <w:bCs/>
          <w:sz w:val="24"/>
        </w:rPr>
      </w:pPr>
      <w:r>
        <w:rPr>
          <w:rFonts w:hint="eastAsia" w:ascii="宋体" w:hAnsi="宋体" w:cs="宋体"/>
          <w:b w:val="0"/>
          <w:bCs/>
          <w:sz w:val="24"/>
        </w:rPr>
        <w:t>31.5《中华人民共和国政府采购法》及相关法律法规及招标文件明确规定废标的其他情形。</w:t>
      </w:r>
      <w:bookmarkStart w:id="159" w:name="_Toc245897308"/>
      <w:bookmarkStart w:id="160" w:name="_Toc233274847"/>
      <w:bookmarkStart w:id="161" w:name="_Toc243907609"/>
      <w:bookmarkStart w:id="162" w:name="_Toc243906348"/>
    </w:p>
    <w:p w14:paraId="615D2130">
      <w:pPr>
        <w:spacing w:line="360" w:lineRule="auto"/>
        <w:ind w:firstLine="482" w:firstLineChars="200"/>
        <w:outlineLvl w:val="1"/>
        <w:rPr>
          <w:rFonts w:ascii="宋体" w:hAnsi="宋体" w:cs="宋体"/>
          <w:b/>
          <w:sz w:val="24"/>
        </w:rPr>
      </w:pPr>
      <w:r>
        <w:rPr>
          <w:rFonts w:hint="eastAsia" w:ascii="宋体" w:hAnsi="宋体" w:cs="宋体"/>
          <w:b/>
          <w:sz w:val="24"/>
        </w:rPr>
        <w:t>32、投标人串通投标</w:t>
      </w:r>
    </w:p>
    <w:p w14:paraId="0064E3C9">
      <w:pPr>
        <w:spacing w:line="360" w:lineRule="auto"/>
        <w:ind w:firstLine="480" w:firstLineChars="200"/>
        <w:rPr>
          <w:rFonts w:ascii="宋体" w:hAnsi="宋体" w:cs="宋体"/>
          <w:b w:val="0"/>
          <w:bCs/>
          <w:sz w:val="24"/>
        </w:rPr>
      </w:pPr>
      <w:r>
        <w:rPr>
          <w:rFonts w:hint="eastAsia" w:ascii="宋体" w:hAnsi="宋体" w:cs="宋体"/>
          <w:b w:val="0"/>
          <w:bCs/>
          <w:sz w:val="24"/>
        </w:rPr>
        <w:t>有下列情形之一的，视为投标人串通投标，其投标无效：</w:t>
      </w:r>
    </w:p>
    <w:p w14:paraId="2257D0BF">
      <w:pPr>
        <w:spacing w:line="360" w:lineRule="auto"/>
        <w:ind w:firstLine="480" w:firstLineChars="200"/>
        <w:rPr>
          <w:rFonts w:ascii="宋体" w:hAnsi="宋体" w:cs="宋体"/>
          <w:b w:val="0"/>
          <w:bCs/>
          <w:sz w:val="24"/>
        </w:rPr>
      </w:pPr>
      <w:r>
        <w:rPr>
          <w:rFonts w:hint="eastAsia" w:ascii="宋体" w:hAnsi="宋体" w:cs="宋体"/>
          <w:b w:val="0"/>
          <w:bCs/>
          <w:sz w:val="24"/>
        </w:rPr>
        <w:t>32.1不同投标人的投标文件由同一单位或者个人编制；</w:t>
      </w:r>
    </w:p>
    <w:p w14:paraId="4AB964F8">
      <w:pPr>
        <w:spacing w:line="360" w:lineRule="auto"/>
        <w:ind w:firstLine="480" w:firstLineChars="200"/>
        <w:rPr>
          <w:rFonts w:ascii="宋体" w:hAnsi="宋体" w:cs="宋体"/>
          <w:b w:val="0"/>
          <w:bCs/>
          <w:sz w:val="24"/>
        </w:rPr>
      </w:pPr>
      <w:r>
        <w:rPr>
          <w:rFonts w:hint="eastAsia" w:ascii="宋体" w:hAnsi="宋体" w:cs="宋体"/>
          <w:b w:val="0"/>
          <w:bCs/>
          <w:sz w:val="24"/>
        </w:rPr>
        <w:t>32.2不同投标人委托同一单位或者个人办理投标事宜；</w:t>
      </w:r>
    </w:p>
    <w:p w14:paraId="5E5037F5">
      <w:pPr>
        <w:spacing w:line="360" w:lineRule="auto"/>
        <w:ind w:firstLine="480" w:firstLineChars="200"/>
        <w:rPr>
          <w:rFonts w:ascii="宋体" w:hAnsi="宋体" w:cs="宋体"/>
          <w:b w:val="0"/>
          <w:bCs/>
          <w:sz w:val="24"/>
        </w:rPr>
      </w:pPr>
      <w:r>
        <w:rPr>
          <w:rFonts w:hint="eastAsia" w:ascii="宋体" w:hAnsi="宋体" w:cs="宋体"/>
          <w:b w:val="0"/>
          <w:bCs/>
          <w:sz w:val="24"/>
        </w:rPr>
        <w:t>32.3不同投标人的投标文件载明的项目管理成员或者联系人员为同一人；</w:t>
      </w:r>
    </w:p>
    <w:p w14:paraId="21DA643A">
      <w:pPr>
        <w:spacing w:line="360" w:lineRule="auto"/>
        <w:ind w:firstLine="480" w:firstLineChars="200"/>
        <w:rPr>
          <w:rFonts w:ascii="宋体" w:hAnsi="宋体" w:cs="宋体"/>
          <w:b w:val="0"/>
          <w:bCs/>
          <w:sz w:val="24"/>
        </w:rPr>
      </w:pPr>
      <w:r>
        <w:rPr>
          <w:rFonts w:hint="eastAsia" w:ascii="宋体" w:hAnsi="宋体" w:cs="宋体"/>
          <w:b w:val="0"/>
          <w:bCs/>
          <w:sz w:val="24"/>
        </w:rPr>
        <w:t>32.4不同投标人的投标文件异常一致或者投标报价呈规律性差异；</w:t>
      </w:r>
    </w:p>
    <w:p w14:paraId="49741B74">
      <w:pPr>
        <w:spacing w:line="360" w:lineRule="auto"/>
        <w:ind w:firstLine="480" w:firstLineChars="200"/>
        <w:rPr>
          <w:rFonts w:ascii="宋体" w:hAnsi="宋体" w:cs="宋体"/>
          <w:b w:val="0"/>
          <w:bCs/>
          <w:sz w:val="24"/>
        </w:rPr>
      </w:pPr>
      <w:r>
        <w:rPr>
          <w:rFonts w:hint="eastAsia" w:ascii="宋体" w:hAnsi="宋体" w:cs="宋体"/>
          <w:b w:val="0"/>
          <w:bCs/>
          <w:sz w:val="24"/>
        </w:rPr>
        <w:t>32.5不同投标人的投标文件相互混装；</w:t>
      </w:r>
    </w:p>
    <w:p w14:paraId="27118469">
      <w:pPr>
        <w:spacing w:line="360" w:lineRule="auto"/>
        <w:ind w:firstLine="480" w:firstLineChars="200"/>
        <w:rPr>
          <w:rFonts w:ascii="宋体" w:hAnsi="宋体" w:cs="宋体"/>
          <w:b w:val="0"/>
          <w:bCs/>
          <w:sz w:val="24"/>
        </w:rPr>
      </w:pPr>
      <w:r>
        <w:rPr>
          <w:rFonts w:hint="eastAsia" w:ascii="宋体" w:hAnsi="宋体" w:cs="宋体"/>
          <w:b w:val="0"/>
          <w:bCs/>
          <w:sz w:val="24"/>
        </w:rPr>
        <w:t>32.6不同投标人的投标保证金从同一单位或者个人的账户转出。</w:t>
      </w:r>
    </w:p>
    <w:p w14:paraId="399F2891">
      <w:pPr>
        <w:spacing w:line="360" w:lineRule="auto"/>
        <w:ind w:firstLine="482" w:firstLineChars="200"/>
        <w:outlineLvl w:val="1"/>
        <w:rPr>
          <w:rFonts w:ascii="宋体" w:hAnsi="宋体" w:cs="宋体"/>
          <w:b/>
          <w:sz w:val="24"/>
        </w:rPr>
      </w:pPr>
      <w:r>
        <w:rPr>
          <w:rFonts w:hint="eastAsia" w:ascii="宋体" w:hAnsi="宋体" w:cs="宋体"/>
          <w:b/>
          <w:sz w:val="24"/>
        </w:rPr>
        <w:t>33、投标无效：投标人存在下列情况之一的，其投标无效:</w:t>
      </w:r>
    </w:p>
    <w:p w14:paraId="6F2B7A1A">
      <w:pPr>
        <w:spacing w:line="360" w:lineRule="auto"/>
        <w:ind w:firstLine="480" w:firstLineChars="200"/>
        <w:outlineLvl w:val="1"/>
        <w:rPr>
          <w:rFonts w:ascii="宋体" w:hAnsi="宋体" w:cs="宋体"/>
          <w:b w:val="0"/>
          <w:bCs/>
          <w:sz w:val="24"/>
        </w:rPr>
      </w:pPr>
      <w:r>
        <w:rPr>
          <w:rFonts w:hint="eastAsia" w:ascii="宋体" w:hAnsi="宋体" w:cs="宋体"/>
          <w:b w:val="0"/>
          <w:bCs/>
          <w:sz w:val="24"/>
        </w:rPr>
        <w:t>33.1未按照招标文件的规定提交投标保证金的；</w:t>
      </w:r>
    </w:p>
    <w:p w14:paraId="36CF1C20">
      <w:pPr>
        <w:spacing w:line="360" w:lineRule="auto"/>
        <w:ind w:firstLine="480" w:firstLineChars="200"/>
        <w:outlineLvl w:val="1"/>
        <w:rPr>
          <w:rFonts w:ascii="宋体" w:hAnsi="宋体" w:cs="宋体"/>
          <w:b w:val="0"/>
          <w:bCs/>
          <w:sz w:val="24"/>
        </w:rPr>
      </w:pPr>
      <w:r>
        <w:rPr>
          <w:rFonts w:hint="eastAsia" w:ascii="宋体" w:hAnsi="宋体" w:cs="宋体"/>
          <w:b w:val="0"/>
          <w:bCs/>
          <w:sz w:val="24"/>
        </w:rPr>
        <w:t>33.2投标文件未按招标文件要求签署、盖章的；</w:t>
      </w:r>
    </w:p>
    <w:p w14:paraId="484F46FB">
      <w:pPr>
        <w:spacing w:line="360" w:lineRule="auto"/>
        <w:ind w:firstLine="480" w:firstLineChars="200"/>
        <w:outlineLvl w:val="1"/>
        <w:rPr>
          <w:rFonts w:ascii="宋体" w:hAnsi="宋体" w:cs="宋体"/>
          <w:b w:val="0"/>
          <w:bCs/>
          <w:sz w:val="24"/>
        </w:rPr>
      </w:pPr>
      <w:r>
        <w:rPr>
          <w:rFonts w:hint="eastAsia" w:ascii="宋体" w:hAnsi="宋体" w:cs="宋体"/>
          <w:b w:val="0"/>
          <w:bCs/>
          <w:sz w:val="24"/>
        </w:rPr>
        <w:t>33.3不具备招标文件中规定的资格要求的；</w:t>
      </w:r>
    </w:p>
    <w:p w14:paraId="5972982C">
      <w:pPr>
        <w:spacing w:line="360" w:lineRule="auto"/>
        <w:ind w:firstLine="480" w:firstLineChars="200"/>
        <w:outlineLvl w:val="1"/>
        <w:rPr>
          <w:rFonts w:ascii="宋体" w:hAnsi="宋体" w:cs="宋体"/>
          <w:b w:val="0"/>
          <w:bCs/>
          <w:sz w:val="24"/>
        </w:rPr>
      </w:pPr>
      <w:r>
        <w:rPr>
          <w:rFonts w:hint="eastAsia" w:ascii="宋体" w:hAnsi="宋体" w:cs="宋体"/>
          <w:b w:val="0"/>
          <w:bCs/>
          <w:sz w:val="24"/>
        </w:rPr>
        <w:t>33.4报价超过招标文件中规定的预算金额或者最高限价的；</w:t>
      </w:r>
    </w:p>
    <w:p w14:paraId="5B5D7A33">
      <w:pPr>
        <w:spacing w:line="360" w:lineRule="auto"/>
        <w:ind w:firstLine="480" w:firstLineChars="200"/>
        <w:outlineLvl w:val="1"/>
        <w:rPr>
          <w:rFonts w:ascii="宋体" w:hAnsi="宋体" w:cs="宋体"/>
          <w:b w:val="0"/>
          <w:bCs/>
          <w:sz w:val="24"/>
        </w:rPr>
      </w:pPr>
      <w:r>
        <w:rPr>
          <w:rFonts w:hint="eastAsia" w:ascii="宋体" w:hAnsi="宋体" w:cs="宋体"/>
          <w:b w:val="0"/>
          <w:bCs/>
          <w:sz w:val="24"/>
        </w:rPr>
        <w:t>33.5投标文件含有采购人不能接受的附加条件的;</w:t>
      </w:r>
    </w:p>
    <w:p w14:paraId="4ABA8E36">
      <w:pPr>
        <w:spacing w:line="360" w:lineRule="auto"/>
        <w:ind w:firstLine="480" w:firstLineChars="200"/>
        <w:outlineLvl w:val="1"/>
        <w:rPr>
          <w:rFonts w:ascii="宋体" w:hAnsi="宋体" w:cs="宋体"/>
          <w:b w:val="0"/>
          <w:bCs/>
          <w:sz w:val="24"/>
        </w:rPr>
      </w:pPr>
      <w:r>
        <w:rPr>
          <w:rFonts w:hint="eastAsia" w:ascii="宋体" w:hAnsi="宋体" w:cs="宋体"/>
          <w:b w:val="0"/>
          <w:bCs/>
          <w:sz w:val="24"/>
        </w:rPr>
        <w:t>33.6《中华人民共和国政府采购法》、《中华人民共和国政府采购法实施条例》、《政府采购货物和服务招标投标管理办法》及相关法律法规及招标文件明确规定可以作无效投标文件的其他情形。</w:t>
      </w:r>
    </w:p>
    <w:p w14:paraId="47736495">
      <w:pPr>
        <w:spacing w:line="360" w:lineRule="auto"/>
        <w:ind w:firstLine="482" w:firstLineChars="200"/>
        <w:outlineLvl w:val="1"/>
        <w:rPr>
          <w:rFonts w:ascii="宋体" w:hAnsi="宋体" w:cs="宋体"/>
          <w:b/>
          <w:sz w:val="24"/>
        </w:rPr>
      </w:pPr>
      <w:r>
        <w:rPr>
          <w:rFonts w:hint="eastAsia" w:ascii="宋体" w:hAnsi="宋体" w:cs="宋体"/>
          <w:b/>
          <w:sz w:val="24"/>
        </w:rPr>
        <w:t>34、</w:t>
      </w:r>
      <w:bookmarkEnd w:id="159"/>
      <w:bookmarkEnd w:id="160"/>
      <w:bookmarkEnd w:id="161"/>
      <w:bookmarkEnd w:id="162"/>
      <w:r>
        <w:rPr>
          <w:rFonts w:hint="eastAsia" w:ascii="宋体" w:hAnsi="宋体" w:cs="宋体"/>
          <w:b/>
          <w:sz w:val="24"/>
        </w:rPr>
        <w:t>评标方法</w:t>
      </w:r>
    </w:p>
    <w:p w14:paraId="15C81A6A">
      <w:pPr>
        <w:spacing w:line="360" w:lineRule="auto"/>
        <w:ind w:firstLine="480" w:firstLineChars="200"/>
        <w:rPr>
          <w:rFonts w:ascii="宋体" w:hAnsi="宋体" w:cs="宋体"/>
          <w:b w:val="0"/>
          <w:bCs/>
          <w:sz w:val="24"/>
        </w:rPr>
      </w:pPr>
      <w:r>
        <w:rPr>
          <w:rFonts w:hint="eastAsia" w:ascii="宋体" w:hAnsi="宋体" w:cs="宋体"/>
          <w:b w:val="0"/>
          <w:bCs/>
          <w:sz w:val="24"/>
        </w:rPr>
        <w:t>34.1按照《财政部关于在政府采购活动中查询及使用信用记录有关问题的通知》（财库〔2016〕125号）的要求，根据开标当日“信用中国”网站（www.creditchina.gov.cn）、中国政府采购网（www.ccgp.gov.cn）的信息，对列入失信被执行人、重大税收违法案件当事人名单、政府采购严重违法失信行为记录名单及其他不符合《中华人民共和国政府采购法》第二十二条规定条件的投标人，拒绝参与政府采购活动，同时对信用信息查询记录和证据进行打印存档。</w:t>
      </w:r>
    </w:p>
    <w:bookmarkEnd w:id="151"/>
    <w:bookmarkEnd w:id="152"/>
    <w:bookmarkEnd w:id="153"/>
    <w:bookmarkEnd w:id="154"/>
    <w:p w14:paraId="1DCD414E">
      <w:pPr>
        <w:spacing w:line="360" w:lineRule="auto"/>
        <w:ind w:firstLine="480" w:firstLineChars="200"/>
        <w:rPr>
          <w:rFonts w:ascii="宋体" w:hAnsi="宋体" w:cs="宋体"/>
          <w:b w:val="0"/>
          <w:bCs/>
          <w:sz w:val="24"/>
        </w:rPr>
      </w:pPr>
      <w:r>
        <w:rPr>
          <w:rFonts w:hint="eastAsia" w:ascii="宋体" w:hAnsi="宋体" w:cs="宋体"/>
          <w:b w:val="0"/>
          <w:bCs/>
          <w:sz w:val="24"/>
        </w:rPr>
        <w:t>34.2本项目评审采用综合评分法，并严格按照招标文件的要求和条件进行。</w:t>
      </w:r>
    </w:p>
    <w:p w14:paraId="24F135A3">
      <w:pPr>
        <w:spacing w:line="360" w:lineRule="auto"/>
        <w:ind w:firstLine="480" w:firstLineChars="200"/>
        <w:rPr>
          <w:rFonts w:ascii="宋体" w:hAnsi="宋体" w:cs="宋体"/>
          <w:bCs/>
          <w:sz w:val="24"/>
        </w:rPr>
      </w:pPr>
      <w:r>
        <w:rPr>
          <w:rFonts w:hint="eastAsia" w:ascii="宋体" w:hAnsi="宋体" w:cs="宋体"/>
          <w:bCs/>
          <w:sz w:val="24"/>
        </w:rPr>
        <w:t>34.2.1投标文件符合性审查：由评标委员会评委对符合资格的各投标人投标文件进行符合性审查。符合性审查是从投标文件的有效性、完整性和对招标文件的响应程度进行审查。未通过符合性审查的投标人其投标文件将按照无效投标处理。</w:t>
      </w:r>
    </w:p>
    <w:p w14:paraId="7836C189">
      <w:pPr>
        <w:spacing w:line="360" w:lineRule="auto"/>
        <w:ind w:firstLine="480" w:firstLineChars="200"/>
        <w:rPr>
          <w:rFonts w:ascii="宋体" w:hAnsi="宋体" w:cs="宋体"/>
          <w:bCs/>
          <w:sz w:val="24"/>
        </w:rPr>
      </w:pPr>
      <w:r>
        <w:rPr>
          <w:rFonts w:hint="eastAsia" w:ascii="宋体" w:hAnsi="宋体" w:cs="宋体"/>
          <w:bCs/>
          <w:sz w:val="24"/>
        </w:rPr>
        <w:t>34.2.1.1澄清有关问题。对投标文件中含义不明确、同类问题表述不一致或者有明显文字和计算错误的内容，评标委员会可以书面形式要求投标人作出必要的澄清、说明或者纠正。</w:t>
      </w:r>
    </w:p>
    <w:p w14:paraId="1FFF873D">
      <w:pPr>
        <w:pStyle w:val="12"/>
        <w:spacing w:line="360" w:lineRule="auto"/>
        <w:ind w:firstLine="480" w:firstLineChars="200"/>
        <w:rPr>
          <w:rFonts w:hAnsi="宋体" w:cs="宋体"/>
          <w:bCs/>
          <w:sz w:val="24"/>
          <w:szCs w:val="24"/>
        </w:rPr>
      </w:pPr>
      <w:r>
        <w:rPr>
          <w:rFonts w:hint="eastAsia" w:hAnsi="宋体" w:cs="宋体"/>
          <w:bCs/>
          <w:sz w:val="24"/>
          <w:szCs w:val="24"/>
        </w:rPr>
        <w:t>34.2.1.2比较与评价。评标委员会应当按照招标文件中规定的评标方法和标准，对符合性审查合格的投标文件进行商务和技术评估，综合比较与评价。</w:t>
      </w:r>
    </w:p>
    <w:p w14:paraId="092AE5E8">
      <w:pPr>
        <w:spacing w:line="360" w:lineRule="auto"/>
        <w:ind w:firstLine="480" w:firstLineChars="200"/>
        <w:rPr>
          <w:rFonts w:ascii="宋体" w:hAnsi="宋体" w:cs="宋体"/>
          <w:bCs/>
          <w:sz w:val="24"/>
        </w:rPr>
      </w:pPr>
      <w:r>
        <w:rPr>
          <w:rFonts w:hint="eastAsia" w:ascii="宋体" w:hAnsi="宋体" w:cs="宋体"/>
          <w:bCs/>
          <w:sz w:val="24"/>
        </w:rPr>
        <w:t>34.3综合评分法是指投标文件满足招标文件全部实质性要求，且按照评审因素的量化指标评审得分最高的投标人为中标候选人的评标方法。</w:t>
      </w:r>
    </w:p>
    <w:p w14:paraId="61DD2F9A">
      <w:pPr>
        <w:spacing w:line="360" w:lineRule="auto"/>
        <w:ind w:firstLine="482" w:firstLineChars="200"/>
        <w:rPr>
          <w:rFonts w:ascii="宋体" w:hAnsi="宋体" w:cs="宋体"/>
          <w:b/>
          <w:sz w:val="24"/>
        </w:rPr>
      </w:pPr>
      <w:r>
        <w:rPr>
          <w:rFonts w:hint="eastAsia" w:ascii="宋体" w:hAnsi="宋体" w:cs="宋体"/>
          <w:b/>
          <w:sz w:val="24"/>
        </w:rPr>
        <w:t>34.4评标分值：总分值为100分，其中价格部分分值为30分，其余商务、技术部分分值为70分。具体评标方法详本招标文件第六章“评标方法（综合评分法）”</w:t>
      </w:r>
    </w:p>
    <w:p w14:paraId="4C4310C4">
      <w:pPr>
        <w:spacing w:line="360" w:lineRule="auto"/>
        <w:ind w:firstLine="480" w:firstLineChars="200"/>
        <w:rPr>
          <w:rFonts w:ascii="宋体" w:hAnsi="宋体" w:cs="宋体"/>
          <w:sz w:val="24"/>
        </w:rPr>
      </w:pPr>
      <w:r>
        <w:rPr>
          <w:rFonts w:hint="eastAsia" w:ascii="宋体" w:hAnsi="宋体" w:cs="宋体"/>
          <w:sz w:val="24"/>
        </w:rPr>
        <w:t>34.5商务报价错误的修正</w:t>
      </w:r>
    </w:p>
    <w:p w14:paraId="3A932275">
      <w:pPr>
        <w:spacing w:line="360" w:lineRule="auto"/>
        <w:ind w:firstLine="480" w:firstLineChars="200"/>
        <w:rPr>
          <w:rFonts w:ascii="宋体" w:hAnsi="宋体" w:cs="宋体"/>
          <w:sz w:val="24"/>
        </w:rPr>
      </w:pPr>
      <w:r>
        <w:rPr>
          <w:rFonts w:hint="eastAsia" w:ascii="宋体" w:hAnsi="宋体" w:cs="宋体"/>
          <w:sz w:val="24"/>
        </w:rPr>
        <w:t>34.5.1如果发现商务报价存在计算或表达上错误，则按下列原则进行修正：</w:t>
      </w:r>
    </w:p>
    <w:p w14:paraId="6EE9DB27">
      <w:pPr>
        <w:spacing w:line="360" w:lineRule="auto"/>
        <w:ind w:firstLine="480" w:firstLineChars="200"/>
        <w:rPr>
          <w:rFonts w:ascii="宋体" w:hAnsi="宋体" w:cs="宋体"/>
          <w:sz w:val="24"/>
        </w:rPr>
      </w:pPr>
      <w:r>
        <w:rPr>
          <w:rFonts w:hint="eastAsia" w:ascii="宋体" w:hAnsi="宋体" w:cs="宋体"/>
          <w:sz w:val="24"/>
        </w:rPr>
        <w:t>（1）开标时，投标文件中开标一览表(报价表)内容与投标文件中明细表内容不一致的，以开标一览表(报价表)为准。</w:t>
      </w:r>
    </w:p>
    <w:p w14:paraId="77B5D509">
      <w:pPr>
        <w:spacing w:line="360" w:lineRule="auto"/>
        <w:ind w:firstLine="480" w:firstLineChars="200"/>
        <w:rPr>
          <w:rFonts w:ascii="宋体" w:hAnsi="宋体" w:cs="宋体"/>
          <w:sz w:val="24"/>
        </w:rPr>
      </w:pPr>
      <w:bookmarkStart w:id="163" w:name="_Toc243906345"/>
      <w:bookmarkStart w:id="164" w:name="_Toc224623451"/>
      <w:bookmarkStart w:id="165" w:name="_Toc224624488"/>
      <w:bookmarkStart w:id="166" w:name="_Toc243907606"/>
      <w:bookmarkStart w:id="167" w:name="_Toc224620150"/>
      <w:bookmarkStart w:id="168" w:name="_Toc224623663"/>
      <w:bookmarkStart w:id="169" w:name="_Toc224624628"/>
      <w:bookmarkStart w:id="170" w:name="_Toc224620071"/>
      <w:bookmarkStart w:id="171" w:name="_Toc224623557"/>
      <w:bookmarkStart w:id="172" w:name="_Toc224622928"/>
      <w:bookmarkStart w:id="173" w:name="_Toc224624767"/>
      <w:bookmarkStart w:id="174" w:name="_Toc245897305"/>
      <w:r>
        <w:rPr>
          <w:rFonts w:hint="eastAsia" w:ascii="宋体" w:hAnsi="宋体" w:cs="宋体"/>
          <w:sz w:val="24"/>
        </w:rPr>
        <w:t>（2）投标文件的大写金额和小写金额不一致的，以大写金额为准；</w:t>
      </w:r>
    </w:p>
    <w:p w14:paraId="6B883C19">
      <w:pPr>
        <w:spacing w:line="360" w:lineRule="auto"/>
        <w:ind w:firstLine="480" w:firstLineChars="200"/>
        <w:rPr>
          <w:rFonts w:ascii="宋体" w:hAnsi="宋体" w:cs="宋体"/>
          <w:sz w:val="24"/>
        </w:rPr>
      </w:pPr>
      <w:r>
        <w:rPr>
          <w:rFonts w:hint="eastAsia" w:ascii="宋体" w:hAnsi="宋体" w:cs="宋体"/>
          <w:sz w:val="24"/>
        </w:rPr>
        <w:t>（3）总价金额与按单价汇总金额不一致的，以单价金额计算结果为准；单价金额小数点或者百分比有明显错位的，以开标一览表的总价为准，并修改单价；对不同文字文本投标文件的解释发生异议的，以中文文本为准。</w:t>
      </w:r>
    </w:p>
    <w:p w14:paraId="1BD841CE">
      <w:pPr>
        <w:spacing w:line="360" w:lineRule="auto"/>
        <w:ind w:firstLine="480" w:firstLineChars="200"/>
        <w:rPr>
          <w:rFonts w:ascii="宋体" w:hAnsi="宋体" w:cs="宋体"/>
          <w:b w:val="0"/>
          <w:bCs w:val="0"/>
          <w:sz w:val="24"/>
        </w:rPr>
      </w:pPr>
      <w:r>
        <w:rPr>
          <w:rFonts w:hint="eastAsia" w:ascii="宋体" w:hAnsi="宋体" w:cs="宋体"/>
          <w:b w:val="0"/>
          <w:bCs w:val="0"/>
          <w:sz w:val="24"/>
        </w:rPr>
        <w:t>34.5.2同时出现两种以上不一致的，按照前款规定的顺序修正。修正后的报价按照财政部公布第87号令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bookmarkEnd w:id="163"/>
    <w:bookmarkEnd w:id="164"/>
    <w:bookmarkEnd w:id="165"/>
    <w:bookmarkEnd w:id="166"/>
    <w:bookmarkEnd w:id="167"/>
    <w:bookmarkEnd w:id="168"/>
    <w:bookmarkEnd w:id="169"/>
    <w:bookmarkEnd w:id="170"/>
    <w:bookmarkEnd w:id="171"/>
    <w:bookmarkEnd w:id="172"/>
    <w:bookmarkEnd w:id="173"/>
    <w:bookmarkEnd w:id="174"/>
    <w:p w14:paraId="6CA96045">
      <w:pPr>
        <w:spacing w:line="360" w:lineRule="auto"/>
        <w:ind w:firstLine="480" w:firstLineChars="200"/>
        <w:outlineLvl w:val="1"/>
        <w:rPr>
          <w:rFonts w:ascii="宋体" w:hAnsi="宋体" w:cs="宋体"/>
          <w:b w:val="0"/>
          <w:bCs w:val="0"/>
          <w:sz w:val="24"/>
        </w:rPr>
      </w:pPr>
      <w:r>
        <w:rPr>
          <w:rFonts w:hint="eastAsia" w:ascii="宋体" w:hAnsi="宋体" w:cs="宋体"/>
          <w:b w:val="0"/>
          <w:bCs w:val="0"/>
          <w:sz w:val="24"/>
        </w:rPr>
        <w:t>34.6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1AF2FBE">
      <w:pPr>
        <w:spacing w:line="360" w:lineRule="auto"/>
        <w:ind w:firstLine="482" w:firstLineChars="200"/>
        <w:rPr>
          <w:rFonts w:hint="eastAsia" w:ascii="宋体" w:hAnsi="宋体" w:eastAsia="宋体" w:cs="宋体"/>
          <w:b/>
          <w:sz w:val="24"/>
          <w:lang w:eastAsia="zh-CN"/>
        </w:rPr>
      </w:pPr>
      <w:r>
        <w:rPr>
          <w:rFonts w:hint="eastAsia" w:ascii="宋体" w:hAnsi="宋体" w:cs="宋体"/>
          <w:b/>
          <w:sz w:val="24"/>
        </w:rPr>
        <w:t>35、推荐中标候选</w:t>
      </w:r>
      <w:r>
        <w:rPr>
          <w:rFonts w:hint="eastAsia" w:ascii="宋体" w:hAnsi="宋体" w:cs="宋体"/>
          <w:b/>
          <w:sz w:val="24"/>
          <w:lang w:eastAsia="zh-CN"/>
        </w:rPr>
        <w:t>投标人</w:t>
      </w:r>
    </w:p>
    <w:p w14:paraId="5EF6162C">
      <w:pPr>
        <w:spacing w:line="360" w:lineRule="auto"/>
        <w:ind w:firstLine="480" w:firstLineChars="200"/>
        <w:outlineLvl w:val="1"/>
        <w:rPr>
          <w:rFonts w:ascii="宋体" w:hAnsi="宋体" w:cs="宋体"/>
          <w:b w:val="0"/>
          <w:bCs/>
          <w:sz w:val="24"/>
        </w:rPr>
      </w:pPr>
      <w:r>
        <w:rPr>
          <w:rFonts w:hint="eastAsia" w:ascii="宋体" w:hAnsi="宋体" w:cs="宋体"/>
          <w:b w:val="0"/>
          <w:bCs/>
          <w:sz w:val="24"/>
        </w:rPr>
        <w:t>35.1各投标人的综合得分由高至低排序，综合得分排列前3名的投标人被推荐为中标候选</w:t>
      </w:r>
      <w:r>
        <w:rPr>
          <w:rFonts w:hint="eastAsia" w:ascii="宋体" w:hAnsi="宋体" w:cs="宋体"/>
          <w:b w:val="0"/>
          <w:bCs/>
          <w:sz w:val="24"/>
          <w:lang w:eastAsia="zh-CN"/>
        </w:rPr>
        <w:t>投标人</w:t>
      </w:r>
      <w:r>
        <w:rPr>
          <w:rFonts w:hint="eastAsia" w:ascii="宋体" w:hAnsi="宋体" w:cs="宋体"/>
          <w:b w:val="0"/>
          <w:bCs/>
          <w:sz w:val="24"/>
        </w:rPr>
        <w:t>。综合得分相同的，则按照投标报价由低到高的顺序推荐；如综合得分且投标报价得分均相同，则按商务、技术部分得分由高至低顺序推荐，如出现综合评审得分、投标报价得分且商务、技术部分得分也均相同时，则由评标委员会投票确定其排序。</w:t>
      </w:r>
    </w:p>
    <w:p w14:paraId="5822BA21">
      <w:pPr>
        <w:spacing w:line="360" w:lineRule="auto"/>
        <w:ind w:firstLine="480" w:firstLineChars="200"/>
        <w:rPr>
          <w:rFonts w:ascii="宋体" w:hAnsi="宋体" w:cs="宋体"/>
          <w:b w:val="0"/>
          <w:bCs/>
          <w:sz w:val="24"/>
        </w:rPr>
      </w:pPr>
      <w:r>
        <w:rPr>
          <w:rFonts w:hint="eastAsia" w:ascii="宋体" w:hAnsi="宋体" w:cs="宋体"/>
          <w:b w:val="0"/>
          <w:bCs/>
          <w:sz w:val="24"/>
        </w:rPr>
        <w:t>注：评分计算保留两位小数，第三位小数四舍五入。</w:t>
      </w:r>
    </w:p>
    <w:p w14:paraId="72393349">
      <w:pPr>
        <w:spacing w:line="360" w:lineRule="auto"/>
        <w:ind w:firstLine="480" w:firstLineChars="200"/>
        <w:rPr>
          <w:rFonts w:ascii="宋体" w:hAnsi="宋体" w:cs="宋体"/>
          <w:b w:val="0"/>
          <w:bCs/>
          <w:sz w:val="24"/>
        </w:rPr>
      </w:pPr>
      <w:r>
        <w:rPr>
          <w:rFonts w:hint="eastAsia" w:ascii="宋体" w:hAnsi="宋体" w:cs="宋体"/>
          <w:b w:val="0"/>
          <w:bCs/>
          <w:sz w:val="24"/>
        </w:rPr>
        <w:t>35.2评标委员会评审专家复核。评标小组评分汇总结束后，评标小组应当进行评审复核，对拟推荐为中标候选人的、报价最低的、投标人资格审查未通过的、投标人投标文件作无效处理的重点复核。</w:t>
      </w:r>
    </w:p>
    <w:p w14:paraId="33AD8A6B">
      <w:pPr>
        <w:spacing w:line="360" w:lineRule="auto"/>
        <w:ind w:firstLine="480" w:firstLineChars="200"/>
        <w:rPr>
          <w:rFonts w:hint="eastAsia" w:ascii="宋体" w:hAnsi="宋体" w:eastAsia="宋体" w:cs="宋体"/>
          <w:b w:val="0"/>
          <w:bCs/>
          <w:sz w:val="24"/>
          <w:lang w:eastAsia="zh-CN"/>
        </w:rPr>
      </w:pPr>
      <w:r>
        <w:rPr>
          <w:rFonts w:hint="eastAsia" w:ascii="宋体" w:hAnsi="宋体" w:cs="宋体"/>
          <w:b w:val="0"/>
          <w:bCs/>
          <w:sz w:val="24"/>
        </w:rPr>
        <w:t>35.3确定中标</w:t>
      </w:r>
      <w:r>
        <w:rPr>
          <w:rFonts w:hint="eastAsia" w:ascii="宋体" w:hAnsi="宋体" w:cs="宋体"/>
          <w:b w:val="0"/>
          <w:bCs/>
          <w:sz w:val="24"/>
          <w:lang w:eastAsia="zh-CN"/>
        </w:rPr>
        <w:t>投标人</w:t>
      </w:r>
    </w:p>
    <w:p w14:paraId="7AA1E29C">
      <w:pPr>
        <w:spacing w:line="360" w:lineRule="auto"/>
        <w:ind w:firstLine="480" w:firstLineChars="200"/>
        <w:rPr>
          <w:rFonts w:ascii="宋体" w:hAnsi="宋体" w:cs="宋体"/>
          <w:b w:val="0"/>
          <w:bCs/>
          <w:sz w:val="24"/>
        </w:rPr>
      </w:pPr>
      <w:r>
        <w:rPr>
          <w:rFonts w:hint="eastAsia" w:ascii="宋体" w:hAnsi="宋体" w:cs="宋体"/>
          <w:b w:val="0"/>
          <w:bCs/>
          <w:sz w:val="24"/>
        </w:rPr>
        <w:t>35.3.1招标代理机构应当在评标结束后2个工作日内将评标报告送采购人确认。</w:t>
      </w:r>
    </w:p>
    <w:p w14:paraId="4AEC17A6">
      <w:pPr>
        <w:spacing w:line="360" w:lineRule="auto"/>
        <w:ind w:firstLine="480" w:firstLineChars="200"/>
        <w:rPr>
          <w:rFonts w:ascii="宋体" w:hAnsi="宋体" w:cs="宋体"/>
          <w:b w:val="0"/>
          <w:bCs/>
          <w:sz w:val="24"/>
        </w:rPr>
      </w:pPr>
      <w:bookmarkStart w:id="175" w:name="_Toc243906349"/>
      <w:bookmarkStart w:id="176" w:name="_Toc245897309"/>
      <w:bookmarkStart w:id="177" w:name="_Toc243907610"/>
      <w:bookmarkStart w:id="178" w:name="_Toc233274848"/>
      <w:r>
        <w:rPr>
          <w:rFonts w:hint="eastAsia" w:ascii="宋体" w:hAnsi="宋体" w:cs="宋体"/>
          <w:b w:val="0"/>
          <w:bCs/>
          <w:sz w:val="24"/>
        </w:rPr>
        <w:t>35.3.2采购人应当在收到评标报告后5个工作日内，根据评标报告中推荐的中标候选</w:t>
      </w:r>
      <w:r>
        <w:rPr>
          <w:rFonts w:hint="eastAsia" w:ascii="宋体" w:hAnsi="宋体" w:cs="宋体"/>
          <w:b w:val="0"/>
          <w:bCs/>
          <w:sz w:val="24"/>
          <w:lang w:eastAsia="zh-CN"/>
        </w:rPr>
        <w:t>投标人</w:t>
      </w:r>
      <w:r>
        <w:rPr>
          <w:rFonts w:hint="eastAsia" w:ascii="宋体" w:hAnsi="宋体" w:cs="宋体"/>
          <w:b w:val="0"/>
          <w:bCs/>
          <w:sz w:val="24"/>
        </w:rPr>
        <w:t>及有关规定确定</w:t>
      </w:r>
      <w:r>
        <w:rPr>
          <w:rFonts w:hint="eastAsia" w:ascii="宋体" w:hAnsi="宋体" w:cs="宋体"/>
          <w:b w:val="0"/>
          <w:bCs/>
          <w:sz w:val="24"/>
          <w:lang w:val="en-US" w:eastAsia="zh-CN"/>
        </w:rPr>
        <w:t>第一名为</w:t>
      </w:r>
      <w:r>
        <w:rPr>
          <w:rFonts w:hint="eastAsia" w:ascii="宋体" w:hAnsi="宋体" w:cs="宋体"/>
          <w:b w:val="0"/>
          <w:bCs/>
          <w:sz w:val="24"/>
        </w:rPr>
        <w:t>中标</w:t>
      </w:r>
      <w:r>
        <w:rPr>
          <w:rFonts w:hint="eastAsia" w:ascii="宋体" w:hAnsi="宋体" w:cs="宋体"/>
          <w:b w:val="0"/>
          <w:bCs/>
          <w:sz w:val="24"/>
          <w:lang w:eastAsia="zh-CN"/>
        </w:rPr>
        <w:t>投标人</w:t>
      </w:r>
      <w:r>
        <w:rPr>
          <w:rFonts w:hint="eastAsia" w:ascii="宋体" w:hAnsi="宋体" w:cs="宋体"/>
          <w:b w:val="0"/>
          <w:bCs/>
          <w:sz w:val="24"/>
        </w:rPr>
        <w:t>。</w:t>
      </w:r>
    </w:p>
    <w:bookmarkEnd w:id="175"/>
    <w:bookmarkEnd w:id="176"/>
    <w:bookmarkEnd w:id="177"/>
    <w:bookmarkEnd w:id="178"/>
    <w:p w14:paraId="4AE28BF5">
      <w:pPr>
        <w:spacing w:line="360" w:lineRule="auto"/>
        <w:ind w:firstLine="480" w:firstLineChars="200"/>
        <w:outlineLvl w:val="1"/>
        <w:rPr>
          <w:rFonts w:ascii="宋体" w:hAnsi="宋体" w:cs="宋体"/>
          <w:sz w:val="24"/>
        </w:rPr>
      </w:pPr>
      <w:bookmarkStart w:id="179" w:name="_Toc243906350"/>
      <w:bookmarkStart w:id="180" w:name="_Toc243907611"/>
      <w:bookmarkStart w:id="181" w:name="_Toc245897310"/>
      <w:bookmarkStart w:id="182" w:name="_Toc233274849"/>
      <w:r>
        <w:rPr>
          <w:rFonts w:hint="eastAsia" w:ascii="宋体" w:hAnsi="宋体" w:cs="宋体"/>
          <w:sz w:val="24"/>
        </w:rPr>
        <w:t>36、采购人依法接受和拒绝任一或所有投标人的权力</w:t>
      </w:r>
    </w:p>
    <w:p w14:paraId="53806BD4">
      <w:pPr>
        <w:spacing w:line="360" w:lineRule="auto"/>
        <w:ind w:firstLine="480" w:firstLineChars="200"/>
        <w:outlineLvl w:val="1"/>
        <w:rPr>
          <w:rFonts w:ascii="宋体" w:hAnsi="宋体" w:cs="宋体"/>
          <w:sz w:val="24"/>
        </w:rPr>
      </w:pPr>
      <w:r>
        <w:rPr>
          <w:rFonts w:hint="eastAsia" w:ascii="宋体" w:hAnsi="宋体" w:cs="宋体"/>
          <w:sz w:val="24"/>
        </w:rPr>
        <w:t>采购人保留确定中标</w:t>
      </w:r>
      <w:r>
        <w:rPr>
          <w:rFonts w:hint="eastAsia" w:ascii="宋体" w:hAnsi="宋体" w:cs="宋体"/>
          <w:sz w:val="24"/>
          <w:lang w:eastAsia="zh-CN"/>
        </w:rPr>
        <w:t>投标人</w:t>
      </w:r>
      <w:r>
        <w:rPr>
          <w:rFonts w:hint="eastAsia" w:ascii="宋体" w:hAnsi="宋体" w:cs="宋体"/>
          <w:sz w:val="24"/>
        </w:rPr>
        <w:t>之前的任何时候依法接受或拒绝任一或所有投标人的权力，对受影响的投标人不承担任何责任，也无义务向受影响的投标人解释采取这一行动的理由。</w:t>
      </w:r>
    </w:p>
    <w:p w14:paraId="6F10D3B9">
      <w:pPr>
        <w:spacing w:line="360" w:lineRule="auto"/>
        <w:ind w:firstLine="482" w:firstLineChars="200"/>
        <w:outlineLvl w:val="1"/>
        <w:rPr>
          <w:rFonts w:ascii="宋体" w:hAnsi="宋体" w:cs="宋体"/>
          <w:b/>
          <w:bCs/>
          <w:sz w:val="24"/>
        </w:rPr>
      </w:pPr>
      <w:r>
        <w:rPr>
          <w:rFonts w:hint="eastAsia" w:ascii="宋体" w:hAnsi="宋体" w:cs="宋体"/>
          <w:b/>
          <w:bCs/>
          <w:sz w:val="24"/>
        </w:rPr>
        <w:t>36、中标通知书</w:t>
      </w:r>
    </w:p>
    <w:p w14:paraId="367E4253">
      <w:pPr>
        <w:spacing w:line="360" w:lineRule="auto"/>
        <w:ind w:firstLine="480" w:firstLineChars="200"/>
        <w:outlineLvl w:val="1"/>
        <w:rPr>
          <w:rFonts w:ascii="宋体" w:hAnsi="宋体" w:cs="宋体"/>
          <w:sz w:val="24"/>
        </w:rPr>
      </w:pPr>
      <w:r>
        <w:rPr>
          <w:rFonts w:hint="eastAsia" w:ascii="宋体" w:hAnsi="宋体" w:cs="宋体"/>
          <w:sz w:val="24"/>
        </w:rPr>
        <w:t>36.1采购人确定中标</w:t>
      </w:r>
      <w:r>
        <w:rPr>
          <w:rFonts w:hint="eastAsia" w:ascii="宋体" w:hAnsi="宋体" w:cs="宋体"/>
          <w:sz w:val="24"/>
          <w:lang w:eastAsia="zh-CN"/>
        </w:rPr>
        <w:t>投标人</w:t>
      </w:r>
      <w:r>
        <w:rPr>
          <w:rFonts w:hint="eastAsia" w:ascii="宋体" w:hAnsi="宋体" w:cs="宋体"/>
          <w:sz w:val="24"/>
        </w:rPr>
        <w:t>后，及时通知招标代理机构，招标代理机构将按程序公告成交结果，同时向中标</w:t>
      </w:r>
      <w:r>
        <w:rPr>
          <w:rFonts w:hint="eastAsia" w:ascii="宋体" w:hAnsi="宋体" w:cs="宋体"/>
          <w:sz w:val="24"/>
          <w:lang w:eastAsia="zh-CN"/>
        </w:rPr>
        <w:t>投标人</w:t>
      </w:r>
      <w:r>
        <w:rPr>
          <w:rFonts w:hint="eastAsia" w:ascii="宋体" w:hAnsi="宋体" w:cs="宋体"/>
          <w:sz w:val="24"/>
        </w:rPr>
        <w:t>发出中标通知书，中标通知书一经发出即发生法律效力。</w:t>
      </w:r>
    </w:p>
    <w:p w14:paraId="0B351ACB">
      <w:pPr>
        <w:spacing w:line="360" w:lineRule="auto"/>
        <w:ind w:firstLine="480" w:firstLineChars="200"/>
        <w:outlineLvl w:val="1"/>
        <w:rPr>
          <w:rFonts w:ascii="宋体" w:hAnsi="宋体" w:cs="宋体"/>
          <w:sz w:val="24"/>
        </w:rPr>
      </w:pPr>
      <w:r>
        <w:rPr>
          <w:rFonts w:hint="eastAsia" w:ascii="宋体" w:hAnsi="宋体" w:cs="宋体"/>
          <w:sz w:val="24"/>
        </w:rPr>
        <w:t>36.2《中标通知书》将是合同的组成部分。</w:t>
      </w:r>
    </w:p>
    <w:p w14:paraId="49E2F226">
      <w:pPr>
        <w:spacing w:line="360" w:lineRule="auto"/>
        <w:ind w:firstLine="480" w:firstLineChars="200"/>
        <w:outlineLvl w:val="1"/>
        <w:rPr>
          <w:rFonts w:ascii="宋体" w:hAnsi="宋体" w:cs="宋体"/>
          <w:sz w:val="24"/>
        </w:rPr>
      </w:pPr>
      <w:r>
        <w:rPr>
          <w:rFonts w:hint="eastAsia" w:ascii="宋体" w:hAnsi="宋体" w:cs="宋体"/>
          <w:sz w:val="24"/>
        </w:rPr>
        <w:t>36.3采购人将通知其他未成交的投标人。并按照法律法规相关规定退还其投标保证金。</w:t>
      </w:r>
    </w:p>
    <w:p w14:paraId="14E4A4C4">
      <w:pPr>
        <w:spacing w:line="360" w:lineRule="auto"/>
        <w:ind w:firstLine="482" w:firstLineChars="200"/>
        <w:outlineLvl w:val="1"/>
        <w:rPr>
          <w:rFonts w:ascii="宋体" w:hAnsi="宋体" w:cs="宋体"/>
          <w:b/>
          <w:bCs/>
          <w:sz w:val="24"/>
        </w:rPr>
      </w:pPr>
      <w:r>
        <w:rPr>
          <w:rFonts w:hint="eastAsia" w:ascii="宋体" w:hAnsi="宋体" w:cs="宋体"/>
          <w:b/>
          <w:bCs/>
          <w:sz w:val="24"/>
        </w:rPr>
        <w:t>38、纪律与保密事项</w:t>
      </w:r>
      <w:bookmarkEnd w:id="179"/>
      <w:bookmarkEnd w:id="180"/>
      <w:bookmarkEnd w:id="181"/>
      <w:bookmarkEnd w:id="182"/>
    </w:p>
    <w:p w14:paraId="421BADB7">
      <w:pPr>
        <w:spacing w:line="360" w:lineRule="auto"/>
        <w:ind w:firstLine="480" w:firstLineChars="200"/>
        <w:rPr>
          <w:rFonts w:ascii="宋体" w:hAnsi="宋体" w:cs="宋体"/>
          <w:sz w:val="24"/>
        </w:rPr>
      </w:pPr>
      <w:r>
        <w:rPr>
          <w:rFonts w:hint="eastAsia" w:ascii="宋体" w:hAnsi="宋体" w:cs="宋体"/>
          <w:sz w:val="24"/>
        </w:rPr>
        <w:t>38.1凡参与公开招标的有关人员均应自觉接受有关主管部门的监督，不得向他人透露可能影响公平竞争的有关公开的其他情况。</w:t>
      </w:r>
    </w:p>
    <w:p w14:paraId="201533D3">
      <w:pPr>
        <w:spacing w:line="360" w:lineRule="auto"/>
        <w:ind w:firstLine="480" w:firstLineChars="200"/>
        <w:rPr>
          <w:rFonts w:ascii="宋体" w:hAnsi="宋体" w:cs="宋体"/>
          <w:sz w:val="24"/>
        </w:rPr>
      </w:pPr>
      <w:r>
        <w:rPr>
          <w:rFonts w:hint="eastAsia" w:ascii="宋体" w:hAnsi="宋体" w:cs="宋体"/>
          <w:sz w:val="24"/>
        </w:rPr>
        <w:t>38.2领取本招标文件及其它相关资料者，应对文件进行保密，不得用作本次公开以外的任何用途。由采购人向投标人提供的技术资料和所有其它资料，均视为保密资料，除非得到采购人的同意，不得向第三方透露。</w:t>
      </w:r>
    </w:p>
    <w:p w14:paraId="50C04D8B">
      <w:pPr>
        <w:spacing w:line="360" w:lineRule="auto"/>
        <w:ind w:firstLine="480" w:firstLineChars="200"/>
        <w:rPr>
          <w:rFonts w:ascii="宋体" w:hAnsi="宋体" w:cs="宋体"/>
          <w:sz w:val="24"/>
        </w:rPr>
      </w:pPr>
      <w:r>
        <w:rPr>
          <w:rFonts w:hint="eastAsia" w:ascii="宋体" w:hAnsi="宋体" w:cs="宋体"/>
          <w:sz w:val="24"/>
        </w:rPr>
        <w:t>38.3投标人不得与采购人串通公开，不得向采购人或者评标委员会成员行贿谋取中标，不得以他人名义参与公开或者以其它任何方式弄虚作假骗取参与公开；投标人不得以任何方式干扰、影响评标工作。如果投标人或者其他利害关系人通过捏造事实、伪造证明材料等方式提出质疑，干扰政府采购活动正常进行的，属于严重不良行为，采购人、招标代理机构将提请财政部门将其列入不良行为记录名单，并依法予以处罚。</w:t>
      </w:r>
    </w:p>
    <w:p w14:paraId="15211CCA">
      <w:pPr>
        <w:spacing w:line="360" w:lineRule="auto"/>
        <w:ind w:firstLine="480" w:firstLineChars="200"/>
        <w:rPr>
          <w:rFonts w:ascii="宋体" w:hAnsi="宋体" w:cs="宋体"/>
          <w:sz w:val="24"/>
        </w:rPr>
      </w:pPr>
      <w:r>
        <w:rPr>
          <w:rFonts w:hint="eastAsia" w:ascii="宋体" w:hAnsi="宋体" w:cs="宋体"/>
          <w:sz w:val="24"/>
        </w:rPr>
        <w:t>38.4投标人不得在公开采购过程中互相串通、结盟、损害公开的公正性和竞争性，或以任何方式影响其他投标人参与正当公开。扰乱公开市场，破坏公平竞争原则。如投标人在公开招标过程中互相串通，一经查实，将取消公开招标资格并不予退还其投标保证金。</w:t>
      </w:r>
    </w:p>
    <w:p w14:paraId="6D8C937B">
      <w:pPr>
        <w:spacing w:line="360" w:lineRule="auto"/>
        <w:ind w:firstLine="480" w:firstLineChars="200"/>
        <w:rPr>
          <w:rFonts w:ascii="宋体" w:hAnsi="宋体" w:cs="宋体"/>
          <w:sz w:val="24"/>
        </w:rPr>
      </w:pPr>
      <w:r>
        <w:rPr>
          <w:rFonts w:hint="eastAsia" w:ascii="宋体" w:hAnsi="宋体" w:cs="宋体"/>
          <w:sz w:val="24"/>
        </w:rPr>
        <w:t>38.5 公开之日起直至授予中标</w:t>
      </w:r>
      <w:r>
        <w:rPr>
          <w:rFonts w:hint="eastAsia" w:ascii="宋体" w:hAnsi="宋体" w:cs="宋体"/>
          <w:sz w:val="24"/>
          <w:lang w:eastAsia="zh-CN"/>
        </w:rPr>
        <w:t>投标人</w:t>
      </w:r>
      <w:r>
        <w:rPr>
          <w:rFonts w:hint="eastAsia" w:ascii="宋体" w:hAnsi="宋体" w:cs="宋体"/>
          <w:sz w:val="24"/>
        </w:rPr>
        <w:t>合同为止，凡属于对投标文件的审查、澄清、评价、比较有关的资料和中标</w:t>
      </w:r>
      <w:r>
        <w:rPr>
          <w:rFonts w:hint="eastAsia" w:ascii="宋体" w:hAnsi="宋体" w:cs="宋体"/>
          <w:sz w:val="24"/>
          <w:lang w:eastAsia="zh-CN"/>
        </w:rPr>
        <w:t>投标人</w:t>
      </w:r>
      <w:r>
        <w:rPr>
          <w:rFonts w:hint="eastAsia" w:ascii="宋体" w:hAnsi="宋体" w:cs="宋体"/>
          <w:sz w:val="24"/>
        </w:rPr>
        <w:t>的推荐情况及与评审有关的其他任何情况均严格保密。</w:t>
      </w:r>
    </w:p>
    <w:p w14:paraId="14E1080A">
      <w:pPr>
        <w:spacing w:line="360" w:lineRule="auto"/>
        <w:ind w:firstLine="480" w:firstLineChars="200"/>
        <w:rPr>
          <w:rFonts w:ascii="宋体" w:hAnsi="宋体" w:cs="宋体"/>
          <w:sz w:val="24"/>
        </w:rPr>
      </w:pPr>
      <w:r>
        <w:rPr>
          <w:rFonts w:hint="eastAsia" w:ascii="宋体" w:hAnsi="宋体" w:cs="宋体"/>
          <w:sz w:val="24"/>
        </w:rPr>
        <w:t>38.6从公开之日起至授予合同期间，投标人试图向评标委员会、招标代理机构施加任何影响或对采购人的比较及授予合同的决定进行影响，都可能导致其投标文件被拒绝。</w:t>
      </w:r>
    </w:p>
    <w:p w14:paraId="7B0484BB">
      <w:pPr>
        <w:spacing w:line="360" w:lineRule="auto"/>
        <w:ind w:firstLine="480" w:firstLineChars="200"/>
        <w:rPr>
          <w:rFonts w:ascii="宋体" w:hAnsi="宋体" w:cs="宋体"/>
          <w:sz w:val="24"/>
        </w:rPr>
      </w:pPr>
      <w:r>
        <w:rPr>
          <w:rFonts w:hint="eastAsia" w:ascii="宋体" w:hAnsi="宋体" w:cs="宋体"/>
          <w:sz w:val="24"/>
        </w:rPr>
        <w:t>38.7除投标人被要求对投标文件进行澄清外，从公开之时起至授予合同期间，投标人不得就与其投标文件有关的事项主动与评标委员会、招标代理机构以及采购人联系。</w:t>
      </w:r>
    </w:p>
    <w:p w14:paraId="2A0553B5">
      <w:pPr>
        <w:spacing w:line="360" w:lineRule="auto"/>
        <w:ind w:firstLine="480" w:firstLineChars="200"/>
        <w:rPr>
          <w:rFonts w:ascii="宋体" w:hAnsi="宋体" w:cs="宋体"/>
          <w:sz w:val="24"/>
        </w:rPr>
      </w:pPr>
      <w:r>
        <w:rPr>
          <w:rFonts w:hint="eastAsia" w:ascii="宋体" w:hAnsi="宋体" w:cs="宋体"/>
          <w:sz w:val="24"/>
        </w:rPr>
        <w:t>38.8中标</w:t>
      </w:r>
      <w:r>
        <w:rPr>
          <w:rFonts w:hint="eastAsia" w:ascii="宋体" w:hAnsi="宋体" w:cs="宋体"/>
          <w:sz w:val="24"/>
          <w:lang w:eastAsia="zh-CN"/>
        </w:rPr>
        <w:t>投标人</w:t>
      </w:r>
      <w:r>
        <w:rPr>
          <w:rFonts w:hint="eastAsia" w:ascii="宋体" w:hAnsi="宋体" w:cs="宋体"/>
          <w:sz w:val="24"/>
        </w:rPr>
        <w:t>确定后，采购人不对未中标</w:t>
      </w:r>
      <w:r>
        <w:rPr>
          <w:rFonts w:hint="eastAsia" w:ascii="宋体" w:hAnsi="宋体" w:cs="宋体"/>
          <w:sz w:val="24"/>
          <w:lang w:eastAsia="zh-CN"/>
        </w:rPr>
        <w:t>投标人</w:t>
      </w:r>
      <w:r>
        <w:rPr>
          <w:rFonts w:hint="eastAsia" w:ascii="宋体" w:hAnsi="宋体" w:cs="宋体"/>
          <w:sz w:val="24"/>
        </w:rPr>
        <w:t>就评审过程以及未能中标原因作出任何解释，未中标</w:t>
      </w:r>
      <w:r>
        <w:rPr>
          <w:rFonts w:hint="eastAsia" w:ascii="宋体" w:hAnsi="宋体" w:cs="宋体"/>
          <w:sz w:val="24"/>
          <w:lang w:eastAsia="zh-CN"/>
        </w:rPr>
        <w:t>投标人</w:t>
      </w:r>
      <w:r>
        <w:rPr>
          <w:rFonts w:hint="eastAsia" w:ascii="宋体" w:hAnsi="宋体" w:cs="宋体"/>
          <w:sz w:val="24"/>
        </w:rPr>
        <w:t>不得向评标委员会或其他有关人员询问评审过程的情况和索取评审过程的资料。</w:t>
      </w:r>
    </w:p>
    <w:p w14:paraId="07C7432C">
      <w:pPr>
        <w:pStyle w:val="12"/>
        <w:spacing w:line="360" w:lineRule="auto"/>
        <w:jc w:val="center"/>
        <w:outlineLvl w:val="1"/>
        <w:rPr>
          <w:rFonts w:hAnsi="宋体" w:cs="宋体"/>
          <w:b/>
          <w:bCs/>
          <w:sz w:val="28"/>
          <w:szCs w:val="28"/>
        </w:rPr>
      </w:pPr>
      <w:r>
        <w:rPr>
          <w:rFonts w:hint="eastAsia" w:hAnsi="宋体" w:cs="宋体"/>
          <w:b/>
          <w:bCs/>
          <w:sz w:val="28"/>
          <w:szCs w:val="28"/>
        </w:rPr>
        <w:t>六、授予合同</w:t>
      </w:r>
    </w:p>
    <w:p w14:paraId="1D8C5097">
      <w:pPr>
        <w:pStyle w:val="12"/>
        <w:spacing w:line="360" w:lineRule="auto"/>
        <w:ind w:firstLine="482" w:firstLineChars="200"/>
        <w:outlineLvl w:val="1"/>
        <w:rPr>
          <w:rFonts w:hAnsi="宋体" w:cs="宋体"/>
          <w:b/>
          <w:bCs w:val="0"/>
          <w:sz w:val="24"/>
          <w:szCs w:val="24"/>
        </w:rPr>
      </w:pPr>
      <w:r>
        <w:rPr>
          <w:rFonts w:hint="eastAsia" w:hAnsi="宋体" w:cs="宋体"/>
          <w:b/>
          <w:bCs w:val="0"/>
          <w:sz w:val="24"/>
          <w:szCs w:val="24"/>
        </w:rPr>
        <w:t>39、授予合同标准</w:t>
      </w:r>
    </w:p>
    <w:p w14:paraId="1CBDC593">
      <w:pPr>
        <w:pStyle w:val="12"/>
        <w:spacing w:line="360" w:lineRule="auto"/>
        <w:ind w:firstLine="480" w:firstLineChars="200"/>
        <w:rPr>
          <w:rFonts w:hAnsi="宋体" w:cs="宋体"/>
          <w:bCs/>
          <w:sz w:val="24"/>
          <w:szCs w:val="24"/>
        </w:rPr>
      </w:pPr>
      <w:r>
        <w:rPr>
          <w:rFonts w:hint="eastAsia" w:hAnsi="宋体" w:cs="宋体"/>
          <w:bCs/>
          <w:sz w:val="24"/>
          <w:szCs w:val="24"/>
        </w:rPr>
        <w:t>39.1本招标项目的采购合同将授予按本须知第35条确定</w:t>
      </w:r>
      <w:r>
        <w:rPr>
          <w:rFonts w:hint="eastAsia" w:hAnsi="宋体" w:cs="宋体"/>
          <w:sz w:val="24"/>
          <w:szCs w:val="24"/>
        </w:rPr>
        <w:t>中标</w:t>
      </w:r>
      <w:r>
        <w:rPr>
          <w:rFonts w:hint="eastAsia" w:hAnsi="宋体" w:cs="宋体"/>
          <w:bCs/>
          <w:sz w:val="24"/>
          <w:szCs w:val="24"/>
          <w:lang w:eastAsia="zh-CN"/>
        </w:rPr>
        <w:t>投标人</w:t>
      </w:r>
      <w:r>
        <w:rPr>
          <w:rFonts w:hint="eastAsia" w:hAnsi="宋体" w:cs="宋体"/>
          <w:bCs/>
          <w:sz w:val="24"/>
          <w:szCs w:val="24"/>
        </w:rPr>
        <w:t>。</w:t>
      </w:r>
    </w:p>
    <w:p w14:paraId="6806F48E">
      <w:pPr>
        <w:pStyle w:val="12"/>
        <w:spacing w:line="360" w:lineRule="auto"/>
        <w:ind w:firstLine="482" w:firstLineChars="200"/>
        <w:outlineLvl w:val="1"/>
        <w:rPr>
          <w:rFonts w:hAnsi="宋体" w:cs="宋体"/>
          <w:b/>
          <w:bCs/>
          <w:sz w:val="24"/>
          <w:szCs w:val="24"/>
        </w:rPr>
      </w:pPr>
      <w:bookmarkStart w:id="183" w:name="_Toc245897317"/>
      <w:bookmarkStart w:id="184" w:name="_Toc243907620"/>
      <w:bookmarkStart w:id="185" w:name="_Toc233274855"/>
      <w:bookmarkStart w:id="186" w:name="_Toc243906357"/>
      <w:r>
        <w:rPr>
          <w:rFonts w:hint="eastAsia" w:hAnsi="宋体" w:cs="宋体"/>
          <w:b/>
          <w:bCs/>
          <w:sz w:val="24"/>
          <w:szCs w:val="24"/>
        </w:rPr>
        <w:t>40、签订合同</w:t>
      </w:r>
      <w:bookmarkEnd w:id="183"/>
      <w:bookmarkEnd w:id="184"/>
      <w:bookmarkEnd w:id="185"/>
      <w:bookmarkEnd w:id="186"/>
    </w:p>
    <w:p w14:paraId="3786F505">
      <w:pPr>
        <w:pStyle w:val="12"/>
        <w:spacing w:line="360" w:lineRule="auto"/>
        <w:ind w:firstLine="480" w:firstLineChars="200"/>
        <w:rPr>
          <w:rFonts w:hAnsi="宋体" w:cs="宋体"/>
          <w:sz w:val="24"/>
          <w:szCs w:val="24"/>
        </w:rPr>
      </w:pPr>
      <w:r>
        <w:rPr>
          <w:rFonts w:hint="eastAsia" w:hAnsi="宋体" w:cs="宋体"/>
          <w:sz w:val="24"/>
          <w:szCs w:val="24"/>
        </w:rPr>
        <w:t>40.1中标</w:t>
      </w:r>
      <w:r>
        <w:rPr>
          <w:rFonts w:hint="eastAsia" w:hAnsi="宋体" w:cs="宋体"/>
          <w:sz w:val="24"/>
          <w:szCs w:val="24"/>
          <w:lang w:eastAsia="zh-CN"/>
        </w:rPr>
        <w:t>投标人</w:t>
      </w:r>
      <w:r>
        <w:rPr>
          <w:rFonts w:hint="eastAsia" w:hAnsi="宋体" w:cs="宋体"/>
          <w:sz w:val="24"/>
          <w:szCs w:val="24"/>
        </w:rPr>
        <w:t>应当自中标通知书发出之日起三十日内，按照招标文件和中标</w:t>
      </w:r>
      <w:r>
        <w:rPr>
          <w:rFonts w:hint="eastAsia" w:hAnsi="宋体" w:cs="宋体"/>
          <w:sz w:val="24"/>
          <w:szCs w:val="24"/>
          <w:lang w:eastAsia="zh-CN"/>
        </w:rPr>
        <w:t>投标人</w:t>
      </w:r>
      <w:r>
        <w:rPr>
          <w:rFonts w:hint="eastAsia" w:hAnsi="宋体" w:cs="宋体"/>
          <w:sz w:val="24"/>
          <w:szCs w:val="24"/>
        </w:rPr>
        <w:t>的投标文件订立书面合同。中标</w:t>
      </w:r>
      <w:r>
        <w:rPr>
          <w:rFonts w:hint="eastAsia" w:hAnsi="宋体" w:cs="宋体"/>
          <w:sz w:val="24"/>
          <w:szCs w:val="24"/>
          <w:lang w:eastAsia="zh-CN"/>
        </w:rPr>
        <w:t>投标人</w:t>
      </w:r>
      <w:r>
        <w:rPr>
          <w:rFonts w:hint="eastAsia" w:hAnsi="宋体" w:cs="宋体"/>
          <w:sz w:val="24"/>
          <w:szCs w:val="24"/>
        </w:rPr>
        <w:t>不得要求订立背离本投标文件合同条款等投标文件实质性内容的其他协议。</w:t>
      </w:r>
    </w:p>
    <w:p w14:paraId="19879EDE">
      <w:pPr>
        <w:pStyle w:val="12"/>
        <w:spacing w:line="360" w:lineRule="auto"/>
        <w:ind w:firstLine="480" w:firstLineChars="200"/>
        <w:rPr>
          <w:rFonts w:hAnsi="宋体" w:cs="宋体"/>
          <w:sz w:val="24"/>
          <w:szCs w:val="24"/>
        </w:rPr>
      </w:pPr>
      <w:r>
        <w:rPr>
          <w:rFonts w:hint="eastAsia" w:hAnsi="宋体" w:cs="宋体"/>
          <w:sz w:val="24"/>
          <w:szCs w:val="24"/>
        </w:rPr>
        <w:t>40.2 中标通知书、中标</w:t>
      </w:r>
      <w:r>
        <w:rPr>
          <w:rFonts w:hint="eastAsia" w:hAnsi="宋体" w:cs="宋体"/>
          <w:sz w:val="24"/>
          <w:szCs w:val="24"/>
          <w:lang w:eastAsia="zh-CN"/>
        </w:rPr>
        <w:t>投标人</w:t>
      </w:r>
      <w:r>
        <w:rPr>
          <w:rFonts w:hint="eastAsia" w:hAnsi="宋体" w:cs="宋体"/>
          <w:sz w:val="24"/>
          <w:szCs w:val="24"/>
        </w:rPr>
        <w:t>的投标文件及其技术规范及标准、项目采购需求、本招标文件（含修改文件或补充文件）及答疑纪要等，均为签订合同的依据。</w:t>
      </w:r>
    </w:p>
    <w:p w14:paraId="3F684003">
      <w:pPr>
        <w:pStyle w:val="12"/>
        <w:spacing w:line="360" w:lineRule="auto"/>
        <w:ind w:firstLine="480" w:firstLineChars="200"/>
        <w:rPr>
          <w:rFonts w:hAnsi="宋体" w:cs="宋体"/>
          <w:sz w:val="24"/>
          <w:szCs w:val="24"/>
        </w:rPr>
      </w:pPr>
      <w:r>
        <w:rPr>
          <w:rFonts w:hint="eastAsia" w:hAnsi="宋体" w:cs="宋体"/>
          <w:sz w:val="24"/>
          <w:szCs w:val="24"/>
        </w:rPr>
        <w:t>40.3采购人如不按本须知40.1条规定与中标</w:t>
      </w:r>
      <w:r>
        <w:rPr>
          <w:rFonts w:hint="eastAsia" w:hAnsi="宋体" w:cs="宋体"/>
          <w:sz w:val="24"/>
          <w:szCs w:val="24"/>
          <w:lang w:eastAsia="zh-CN"/>
        </w:rPr>
        <w:t>投标人</w:t>
      </w:r>
      <w:r>
        <w:rPr>
          <w:rFonts w:hint="eastAsia" w:hAnsi="宋体" w:cs="宋体"/>
          <w:sz w:val="24"/>
          <w:szCs w:val="24"/>
        </w:rPr>
        <w:t>签订合同，或者采购人、中标</w:t>
      </w:r>
      <w:r>
        <w:rPr>
          <w:rFonts w:hint="eastAsia" w:hAnsi="宋体" w:cs="宋体"/>
          <w:sz w:val="24"/>
          <w:szCs w:val="24"/>
          <w:lang w:eastAsia="zh-CN"/>
        </w:rPr>
        <w:t>投标人</w:t>
      </w:r>
      <w:r>
        <w:rPr>
          <w:rFonts w:hint="eastAsia" w:hAnsi="宋体" w:cs="宋体"/>
          <w:sz w:val="24"/>
          <w:szCs w:val="24"/>
        </w:rPr>
        <w:t>签订背离合同实质性内容的协议，由监督管理部门责令其改正。</w:t>
      </w:r>
    </w:p>
    <w:p w14:paraId="465EB30C">
      <w:pPr>
        <w:pStyle w:val="12"/>
        <w:tabs>
          <w:tab w:val="left" w:pos="7770"/>
        </w:tabs>
        <w:spacing w:line="360" w:lineRule="auto"/>
        <w:ind w:firstLine="480" w:firstLineChars="200"/>
        <w:rPr>
          <w:rFonts w:hAnsi="宋体" w:cs="宋体"/>
          <w:sz w:val="24"/>
          <w:szCs w:val="24"/>
        </w:rPr>
      </w:pPr>
      <w:r>
        <w:rPr>
          <w:rFonts w:hint="eastAsia" w:hAnsi="宋体" w:cs="宋体"/>
          <w:sz w:val="24"/>
          <w:szCs w:val="24"/>
        </w:rPr>
        <w:t>40.4中标</w:t>
      </w:r>
      <w:r>
        <w:rPr>
          <w:rFonts w:hint="eastAsia" w:hAnsi="宋体" w:cs="宋体"/>
          <w:sz w:val="24"/>
          <w:szCs w:val="24"/>
          <w:lang w:eastAsia="zh-CN"/>
        </w:rPr>
        <w:t>投标人</w:t>
      </w:r>
      <w:r>
        <w:rPr>
          <w:rFonts w:hint="eastAsia" w:hAnsi="宋体" w:cs="宋体"/>
          <w:sz w:val="24"/>
          <w:szCs w:val="24"/>
        </w:rPr>
        <w:t>如不按本须知40.1条规定与采购人签订合同，则按违约处理，采购人将有权取消中标</w:t>
      </w:r>
      <w:r>
        <w:rPr>
          <w:rFonts w:hint="eastAsia" w:hAnsi="宋体" w:cs="宋体"/>
          <w:sz w:val="24"/>
          <w:szCs w:val="24"/>
          <w:lang w:eastAsia="zh-CN"/>
        </w:rPr>
        <w:t>投标人</w:t>
      </w:r>
      <w:r>
        <w:rPr>
          <w:rFonts w:hint="eastAsia" w:hAnsi="宋体" w:cs="宋体"/>
          <w:sz w:val="24"/>
          <w:szCs w:val="24"/>
        </w:rPr>
        <w:t>资格，不予退还其投标保证金，给采购人造成损失超过投标保证金数额的，还应当予以赔偿，同时依法承担相应的法律责任。</w:t>
      </w:r>
    </w:p>
    <w:p w14:paraId="34AA9707">
      <w:pPr>
        <w:spacing w:line="360" w:lineRule="auto"/>
        <w:ind w:firstLine="480" w:firstLineChars="200"/>
        <w:rPr>
          <w:rFonts w:ascii="宋体" w:hAnsi="宋体" w:cs="宋体"/>
          <w:b w:val="0"/>
          <w:bCs/>
          <w:sz w:val="24"/>
        </w:rPr>
      </w:pPr>
      <w:r>
        <w:rPr>
          <w:rFonts w:hint="eastAsia" w:ascii="宋体" w:hAnsi="宋体" w:cs="宋体"/>
          <w:b w:val="0"/>
          <w:bCs/>
          <w:sz w:val="24"/>
        </w:rPr>
        <w:t>40.5中标</w:t>
      </w:r>
      <w:r>
        <w:rPr>
          <w:rFonts w:hint="eastAsia" w:ascii="宋体" w:hAnsi="宋体" w:cs="宋体"/>
          <w:b w:val="0"/>
          <w:bCs/>
          <w:sz w:val="24"/>
          <w:lang w:eastAsia="zh-CN"/>
        </w:rPr>
        <w:t>投标人</w:t>
      </w:r>
      <w:r>
        <w:rPr>
          <w:rFonts w:hint="eastAsia" w:ascii="宋体" w:hAnsi="宋体" w:cs="宋体"/>
          <w:b w:val="0"/>
          <w:bCs/>
          <w:sz w:val="24"/>
        </w:rPr>
        <w:t>因不可抗力或者自身原因不能履行政府采购合同的，采购人可以按照评审报告推荐的中标候选人名单排序，确定下一候选人为中标</w:t>
      </w:r>
      <w:r>
        <w:rPr>
          <w:rFonts w:hint="eastAsia" w:ascii="宋体" w:hAnsi="宋体" w:cs="宋体"/>
          <w:b w:val="0"/>
          <w:bCs/>
          <w:sz w:val="24"/>
          <w:lang w:eastAsia="zh-CN"/>
        </w:rPr>
        <w:t>投标人</w:t>
      </w:r>
      <w:r>
        <w:rPr>
          <w:rFonts w:hint="eastAsia" w:ascii="宋体" w:hAnsi="宋体" w:cs="宋体"/>
          <w:b w:val="0"/>
          <w:bCs/>
          <w:sz w:val="24"/>
        </w:rPr>
        <w:t>，也可以重新开展政府采购活动。</w:t>
      </w:r>
    </w:p>
    <w:p w14:paraId="6A805029">
      <w:pPr>
        <w:spacing w:line="360" w:lineRule="auto"/>
        <w:ind w:firstLine="482" w:firstLineChars="200"/>
        <w:outlineLvl w:val="1"/>
        <w:rPr>
          <w:rFonts w:ascii="宋体" w:hAnsi="宋体" w:cs="宋体"/>
          <w:b/>
          <w:bCs/>
          <w:sz w:val="24"/>
        </w:rPr>
      </w:pPr>
      <w:bookmarkStart w:id="187" w:name="_Toc243907621"/>
      <w:bookmarkStart w:id="188" w:name="_Toc245897318"/>
      <w:r>
        <w:rPr>
          <w:rFonts w:hint="eastAsia" w:ascii="宋体" w:hAnsi="宋体" w:cs="宋体"/>
          <w:b/>
          <w:bCs/>
          <w:sz w:val="24"/>
        </w:rPr>
        <w:t>41、合同的签订准则</w:t>
      </w:r>
      <w:bookmarkEnd w:id="187"/>
      <w:bookmarkEnd w:id="188"/>
    </w:p>
    <w:p w14:paraId="4455644D">
      <w:pPr>
        <w:spacing w:line="360" w:lineRule="auto"/>
        <w:ind w:firstLine="480" w:firstLineChars="200"/>
        <w:rPr>
          <w:rFonts w:ascii="宋体" w:hAnsi="宋体" w:cs="宋体"/>
          <w:sz w:val="24"/>
        </w:rPr>
      </w:pPr>
      <w:r>
        <w:rPr>
          <w:rFonts w:hint="eastAsia" w:ascii="宋体" w:hAnsi="宋体" w:cs="宋体"/>
          <w:sz w:val="24"/>
        </w:rPr>
        <w:t>41.1合同签订必须由采购人、中标</w:t>
      </w:r>
      <w:r>
        <w:rPr>
          <w:rFonts w:hint="eastAsia" w:ascii="宋体" w:hAnsi="宋体" w:cs="宋体"/>
          <w:sz w:val="24"/>
          <w:lang w:eastAsia="zh-CN"/>
        </w:rPr>
        <w:t>投标人</w:t>
      </w:r>
      <w:r>
        <w:rPr>
          <w:rFonts w:hint="eastAsia" w:ascii="宋体" w:hAnsi="宋体" w:cs="宋体"/>
          <w:sz w:val="24"/>
        </w:rPr>
        <w:t>双方法定代表人或其委托代理人签署并加盖法人公章后方能生效。</w:t>
      </w:r>
    </w:p>
    <w:p w14:paraId="2781FDB6">
      <w:pPr>
        <w:spacing w:line="360" w:lineRule="auto"/>
        <w:ind w:firstLine="480" w:firstLineChars="200"/>
        <w:rPr>
          <w:rFonts w:ascii="宋体" w:hAnsi="宋体" w:cs="宋体"/>
          <w:b w:val="0"/>
          <w:bCs w:val="0"/>
          <w:sz w:val="24"/>
        </w:rPr>
      </w:pPr>
      <w:r>
        <w:rPr>
          <w:rFonts w:hint="eastAsia" w:ascii="宋体" w:hAnsi="宋体" w:cs="宋体"/>
          <w:b w:val="0"/>
          <w:bCs w:val="0"/>
          <w:sz w:val="24"/>
        </w:rPr>
        <w:t>41.2合同转包（实质性要求）</w:t>
      </w:r>
    </w:p>
    <w:p w14:paraId="252BF892">
      <w:pPr>
        <w:spacing w:line="360" w:lineRule="auto"/>
        <w:ind w:firstLine="480" w:firstLineChars="200"/>
        <w:rPr>
          <w:rFonts w:ascii="宋体" w:hAnsi="宋体" w:cs="宋体"/>
          <w:b w:val="0"/>
          <w:bCs w:val="0"/>
          <w:sz w:val="24"/>
        </w:rPr>
      </w:pPr>
      <w:r>
        <w:rPr>
          <w:rFonts w:hint="eastAsia" w:ascii="宋体" w:hAnsi="宋体" w:cs="宋体"/>
          <w:b w:val="0"/>
          <w:bCs w:val="0"/>
          <w:sz w:val="24"/>
        </w:rPr>
        <w:t>本采购项目严禁中标</w:t>
      </w:r>
      <w:r>
        <w:rPr>
          <w:rFonts w:hint="eastAsia" w:ascii="宋体" w:hAnsi="宋体" w:cs="宋体"/>
          <w:b w:val="0"/>
          <w:bCs w:val="0"/>
          <w:sz w:val="24"/>
          <w:lang w:eastAsia="zh-CN"/>
        </w:rPr>
        <w:t>投标人</w:t>
      </w:r>
      <w:r>
        <w:rPr>
          <w:rFonts w:hint="eastAsia" w:ascii="宋体" w:hAnsi="宋体" w:cs="宋体"/>
          <w:b w:val="0"/>
          <w:bCs w:val="0"/>
          <w:sz w:val="24"/>
        </w:rPr>
        <w:t>将任何政府采购合同义务转包。本项目所称转包，是指中标</w:t>
      </w:r>
      <w:r>
        <w:rPr>
          <w:rFonts w:hint="eastAsia" w:ascii="宋体" w:hAnsi="宋体" w:cs="宋体"/>
          <w:b w:val="0"/>
          <w:bCs w:val="0"/>
          <w:sz w:val="24"/>
          <w:lang w:eastAsia="zh-CN"/>
        </w:rPr>
        <w:t>投标人</w:t>
      </w:r>
      <w:r>
        <w:rPr>
          <w:rFonts w:hint="eastAsia" w:ascii="宋体" w:hAnsi="宋体" w:cs="宋体"/>
          <w:b w:val="0"/>
          <w:bCs w:val="0"/>
          <w:sz w:val="24"/>
        </w:rPr>
        <w:t>将政府采购合同义务转让给第三人，并退出现有政府采购合同当事人双方的权利义务关系，受让人（即第三人）成为政府采购合同的另一方当事人的行为。</w:t>
      </w:r>
    </w:p>
    <w:p w14:paraId="501C38EB">
      <w:pPr>
        <w:spacing w:line="360" w:lineRule="auto"/>
        <w:ind w:firstLine="480" w:firstLineChars="200"/>
        <w:rPr>
          <w:rFonts w:ascii="宋体" w:hAnsi="宋体" w:cs="宋体"/>
          <w:b/>
          <w:bCs/>
          <w:sz w:val="24"/>
        </w:rPr>
      </w:pPr>
      <w:r>
        <w:rPr>
          <w:rFonts w:hint="eastAsia" w:ascii="宋体" w:hAnsi="宋体" w:cs="宋体"/>
          <w:b w:val="0"/>
          <w:bCs w:val="0"/>
          <w:sz w:val="24"/>
        </w:rPr>
        <w:t>中标</w:t>
      </w:r>
      <w:r>
        <w:rPr>
          <w:rFonts w:hint="eastAsia" w:ascii="宋体" w:hAnsi="宋体" w:cs="宋体"/>
          <w:b w:val="0"/>
          <w:bCs w:val="0"/>
          <w:sz w:val="24"/>
          <w:lang w:eastAsia="zh-CN"/>
        </w:rPr>
        <w:t>投标人</w:t>
      </w:r>
      <w:r>
        <w:rPr>
          <w:rFonts w:hint="eastAsia" w:ascii="宋体" w:hAnsi="宋体" w:cs="宋体"/>
          <w:b w:val="0"/>
          <w:bCs w:val="0"/>
          <w:sz w:val="24"/>
        </w:rPr>
        <w:t>转包的，视同拒绝履行政府采购合同义务，将依法追究法律责任</w:t>
      </w:r>
      <w:r>
        <w:rPr>
          <w:rFonts w:hint="eastAsia" w:ascii="宋体" w:hAnsi="宋体" w:cs="宋体"/>
          <w:b/>
          <w:bCs/>
          <w:sz w:val="24"/>
        </w:rPr>
        <w:t>。</w:t>
      </w:r>
    </w:p>
    <w:p w14:paraId="2B670842">
      <w:pPr>
        <w:spacing w:line="360" w:lineRule="auto"/>
        <w:ind w:firstLine="482" w:firstLineChars="200"/>
        <w:rPr>
          <w:rFonts w:ascii="宋体" w:hAnsi="宋体" w:cs="宋体"/>
          <w:b/>
          <w:bCs/>
          <w:sz w:val="24"/>
        </w:rPr>
      </w:pPr>
      <w:r>
        <w:rPr>
          <w:rFonts w:hint="eastAsia" w:ascii="宋体" w:hAnsi="宋体" w:cs="宋体"/>
          <w:b/>
          <w:bCs/>
          <w:sz w:val="24"/>
        </w:rPr>
        <w:t>42、验收</w:t>
      </w:r>
    </w:p>
    <w:p w14:paraId="72E39D98">
      <w:pPr>
        <w:spacing w:line="360" w:lineRule="auto"/>
        <w:ind w:firstLine="480" w:firstLineChars="200"/>
        <w:rPr>
          <w:rFonts w:ascii="宋体" w:hAnsi="宋体" w:cs="宋体"/>
          <w:b w:val="0"/>
          <w:bCs w:val="0"/>
          <w:sz w:val="24"/>
        </w:rPr>
      </w:pPr>
      <w:r>
        <w:rPr>
          <w:rFonts w:hint="eastAsia" w:ascii="宋体" w:hAnsi="宋体" w:cs="宋体"/>
          <w:b w:val="0"/>
          <w:bCs w:val="0"/>
          <w:sz w:val="24"/>
        </w:rPr>
        <w:t>42.1本项目采购人将严格按照政府采购相关法律法规以及《克拉玛依市政府采购项目需求论证和履约验收管理办法》（克财发〔2016〕9号）的要求进行验收。</w:t>
      </w:r>
    </w:p>
    <w:p w14:paraId="0DBD585F">
      <w:pPr>
        <w:snapToGrid w:val="0"/>
        <w:spacing w:line="360" w:lineRule="auto"/>
        <w:ind w:firstLine="562" w:firstLineChars="200"/>
        <w:jc w:val="center"/>
        <w:rPr>
          <w:rFonts w:ascii="宋体" w:hAnsi="宋体" w:cs="宋体"/>
          <w:sz w:val="24"/>
        </w:rPr>
      </w:pPr>
      <w:r>
        <w:rPr>
          <w:rFonts w:hint="eastAsia" w:ascii="宋体" w:hAnsi="宋体" w:cs="宋体"/>
          <w:b/>
          <w:bCs/>
          <w:kern w:val="0"/>
          <w:sz w:val="28"/>
          <w:szCs w:val="28"/>
        </w:rPr>
        <w:t>七、询问、质疑、投诉</w:t>
      </w:r>
    </w:p>
    <w:p w14:paraId="1C23DBD3">
      <w:pPr>
        <w:snapToGrid w:val="0"/>
        <w:spacing w:line="360" w:lineRule="auto"/>
        <w:ind w:firstLine="482" w:firstLineChars="200"/>
        <w:jc w:val="left"/>
        <w:rPr>
          <w:rFonts w:ascii="宋体" w:hAnsi="宋体" w:cs="宋体"/>
          <w:b/>
          <w:bCs/>
          <w:sz w:val="24"/>
        </w:rPr>
      </w:pPr>
      <w:r>
        <w:rPr>
          <w:rFonts w:hint="eastAsia" w:ascii="宋体" w:hAnsi="宋体" w:cs="宋体"/>
          <w:b/>
          <w:bCs/>
          <w:sz w:val="24"/>
        </w:rPr>
        <w:t>43、询问</w:t>
      </w:r>
    </w:p>
    <w:p w14:paraId="667CA06B">
      <w:pPr>
        <w:spacing w:line="440" w:lineRule="exact"/>
        <w:ind w:firstLine="480" w:firstLineChars="200"/>
        <w:rPr>
          <w:rFonts w:ascii="宋体" w:hAnsi="宋体" w:cs="宋体"/>
          <w:sz w:val="24"/>
        </w:rPr>
      </w:pPr>
      <w:r>
        <w:rPr>
          <w:rFonts w:hint="eastAsia" w:ascii="宋体" w:hAnsi="宋体" w:cs="宋体"/>
          <w:sz w:val="24"/>
        </w:rPr>
        <w:t>43.1投标人对采购活动事项有疑问的，可以向采购人或采购代理机构提出询问，采购人或采购代理机构应当在三个工作日内对投标人依法提出的询问作出答复，但答复的内容不得涉及商业秘密。</w:t>
      </w:r>
    </w:p>
    <w:p w14:paraId="5D2C9449">
      <w:pPr>
        <w:spacing w:line="440" w:lineRule="exact"/>
        <w:ind w:firstLine="482" w:firstLineChars="200"/>
        <w:rPr>
          <w:rFonts w:ascii="宋体" w:hAnsi="宋体" w:cs="宋体"/>
          <w:b/>
          <w:sz w:val="24"/>
        </w:rPr>
      </w:pPr>
      <w:r>
        <w:rPr>
          <w:rFonts w:hint="eastAsia" w:ascii="宋体" w:hAnsi="宋体" w:cs="宋体"/>
          <w:b/>
          <w:sz w:val="24"/>
        </w:rPr>
        <w:t>44、质疑</w:t>
      </w:r>
    </w:p>
    <w:p w14:paraId="7758A4B4">
      <w:pPr>
        <w:spacing w:line="360" w:lineRule="auto"/>
        <w:ind w:firstLine="480" w:firstLineChars="200"/>
        <w:rPr>
          <w:rFonts w:ascii="宋体" w:hAnsi="宋体" w:cs="宋体"/>
          <w:sz w:val="24"/>
        </w:rPr>
      </w:pPr>
      <w:r>
        <w:rPr>
          <w:rFonts w:hint="eastAsia" w:ascii="宋体" w:hAnsi="宋体" w:cs="宋体"/>
          <w:sz w:val="24"/>
        </w:rPr>
        <w:t>44.1 投标人认为招标文件、采购过程和中标结果使自己的合法权益受到损害的，可以在知道或者应知其权益受到损害之日起七个工作日内，将质疑文件原件和必要的证明材料送达采购代理机构。</w:t>
      </w:r>
    </w:p>
    <w:p w14:paraId="45D4ACE3">
      <w:pPr>
        <w:spacing w:line="360" w:lineRule="auto"/>
        <w:ind w:firstLine="480" w:firstLineChars="200"/>
        <w:rPr>
          <w:rFonts w:ascii="宋体" w:hAnsi="宋体" w:cs="宋体"/>
          <w:sz w:val="24"/>
        </w:rPr>
      </w:pPr>
      <w:r>
        <w:rPr>
          <w:rFonts w:hint="eastAsia" w:ascii="宋体" w:hAnsi="宋体" w:cs="宋体"/>
          <w:sz w:val="24"/>
        </w:rPr>
        <w:t xml:space="preserve">44.2上述应知其权益受到损害之日是指： </w:t>
      </w:r>
    </w:p>
    <w:p w14:paraId="7F8E9539">
      <w:pPr>
        <w:spacing w:line="360" w:lineRule="auto"/>
        <w:ind w:firstLine="480" w:firstLineChars="200"/>
        <w:rPr>
          <w:rFonts w:ascii="宋体" w:hAnsi="宋体" w:cs="宋体"/>
          <w:sz w:val="24"/>
        </w:rPr>
      </w:pPr>
      <w:r>
        <w:rPr>
          <w:rFonts w:hint="eastAsia" w:ascii="宋体" w:hAnsi="宋体" w:cs="宋体"/>
          <w:sz w:val="24"/>
        </w:rPr>
        <w:t xml:space="preserve">（1）对招标文件提出质疑的，为招标文件公告期限届满之日起计算； </w:t>
      </w:r>
    </w:p>
    <w:p w14:paraId="345D95FC">
      <w:pPr>
        <w:spacing w:line="360" w:lineRule="auto"/>
        <w:ind w:firstLine="480" w:firstLineChars="200"/>
        <w:rPr>
          <w:rFonts w:ascii="宋体" w:hAnsi="宋体" w:cs="宋体"/>
          <w:sz w:val="24"/>
        </w:rPr>
      </w:pPr>
      <w:r>
        <w:rPr>
          <w:rFonts w:hint="eastAsia" w:ascii="宋体" w:hAnsi="宋体" w:cs="宋体"/>
          <w:sz w:val="24"/>
        </w:rPr>
        <w:t>（2）对采购过程提出质疑的，自采购程序环节结束之日起计算；</w:t>
      </w:r>
    </w:p>
    <w:p w14:paraId="3DE650A6">
      <w:pPr>
        <w:spacing w:line="360" w:lineRule="auto"/>
        <w:ind w:firstLine="480" w:firstLineChars="200"/>
        <w:rPr>
          <w:rFonts w:ascii="宋体" w:hAnsi="宋体" w:cs="宋体"/>
          <w:sz w:val="24"/>
        </w:rPr>
      </w:pPr>
      <w:r>
        <w:rPr>
          <w:rFonts w:hint="eastAsia" w:ascii="宋体" w:hAnsi="宋体" w:cs="宋体"/>
          <w:sz w:val="24"/>
        </w:rPr>
        <w:t>（3）对中标结果提出质疑的，自中标或者中标结果公告期限届满之日起计算。</w:t>
      </w:r>
    </w:p>
    <w:p w14:paraId="065B4436">
      <w:pPr>
        <w:spacing w:line="360" w:lineRule="auto"/>
        <w:ind w:firstLine="480" w:firstLineChars="200"/>
        <w:rPr>
          <w:rFonts w:ascii="宋体" w:hAnsi="宋体" w:cs="宋体"/>
          <w:sz w:val="24"/>
        </w:rPr>
      </w:pPr>
      <w:r>
        <w:rPr>
          <w:rFonts w:hint="eastAsia" w:ascii="宋体" w:hAnsi="宋体" w:cs="宋体"/>
          <w:sz w:val="24"/>
        </w:rPr>
        <w:t>44.3质疑投标人在法定质疑期内应当一次性提出针对同一采购环节提出质疑。</w:t>
      </w:r>
    </w:p>
    <w:p w14:paraId="63271782">
      <w:pPr>
        <w:pStyle w:val="29"/>
        <w:spacing w:line="360" w:lineRule="auto"/>
        <w:ind w:left="1" w:firstLine="480" w:firstLineChars="200"/>
        <w:rPr>
          <w:rFonts w:hAnsi="宋体" w:cs="宋体"/>
          <w:b/>
          <w:sz w:val="24"/>
          <w:szCs w:val="24"/>
        </w:rPr>
      </w:pPr>
      <w:r>
        <w:rPr>
          <w:rFonts w:hint="eastAsia" w:hAnsi="宋体" w:cs="宋体"/>
          <w:b w:val="0"/>
          <w:bCs/>
          <w:sz w:val="24"/>
          <w:szCs w:val="24"/>
        </w:rPr>
        <w:t>44.4质疑文件应包括以下主要内容，并按照“谁主张、谁举证”的原则，附上相关证明材料。否则，招标代理机构不予受理【财政部发布了《政府采购投标人质疑函范本》和《政府采购投标人投诉书范本》，两范本指投标人提出质疑、投诉人提起投诉时，应提交的质疑函、投诉书和必要的证明材料（下载路径：中国政府采购网→下载专区）】：　　　</w:t>
      </w:r>
      <w:r>
        <w:rPr>
          <w:rFonts w:hint="eastAsia" w:hAnsi="宋体" w:cs="宋体"/>
          <w:b/>
          <w:sz w:val="24"/>
          <w:szCs w:val="24"/>
        </w:rPr>
        <w:t>　　　　</w:t>
      </w:r>
    </w:p>
    <w:p w14:paraId="19FDD156">
      <w:pPr>
        <w:spacing w:line="360" w:lineRule="auto"/>
        <w:ind w:firstLine="480" w:firstLineChars="200"/>
        <w:rPr>
          <w:rFonts w:ascii="宋体" w:hAnsi="宋体" w:cs="宋体"/>
          <w:sz w:val="24"/>
        </w:rPr>
      </w:pPr>
      <w:r>
        <w:rPr>
          <w:rFonts w:hint="eastAsia" w:ascii="宋体" w:hAnsi="宋体" w:cs="宋体"/>
          <w:sz w:val="24"/>
        </w:rPr>
        <w:t xml:space="preserve">（1）投标人的姓名或者名称、地址、邮编、联系人及联系电话（包括座机、手机、传真号码等）； </w:t>
      </w:r>
    </w:p>
    <w:p w14:paraId="5D7B8C0A">
      <w:pPr>
        <w:spacing w:line="360" w:lineRule="auto"/>
        <w:ind w:firstLine="480" w:firstLineChars="200"/>
        <w:rPr>
          <w:rFonts w:ascii="宋体" w:hAnsi="宋体" w:cs="宋体"/>
          <w:sz w:val="24"/>
        </w:rPr>
      </w:pPr>
      <w:r>
        <w:rPr>
          <w:rFonts w:hint="eastAsia" w:ascii="宋体" w:hAnsi="宋体" w:cs="宋体"/>
          <w:sz w:val="24"/>
        </w:rPr>
        <w:t xml:space="preserve">（2）质疑项目的名称、招标文件编号、包号、招标公告发布时间、递交投标文件或投标文件截止时间； </w:t>
      </w:r>
    </w:p>
    <w:p w14:paraId="2074365C">
      <w:pPr>
        <w:spacing w:line="360" w:lineRule="auto"/>
        <w:ind w:firstLine="480" w:firstLineChars="200"/>
        <w:rPr>
          <w:rFonts w:ascii="宋体" w:hAnsi="宋体" w:cs="宋体"/>
          <w:sz w:val="24"/>
        </w:rPr>
      </w:pPr>
      <w:r>
        <w:rPr>
          <w:rFonts w:hint="eastAsia" w:ascii="宋体" w:hAnsi="宋体" w:cs="宋体"/>
          <w:sz w:val="24"/>
        </w:rPr>
        <w:t xml:space="preserve">（3）具体、明确的质疑事项和与质疑事项相关的请求； </w:t>
      </w:r>
    </w:p>
    <w:p w14:paraId="6E430510">
      <w:pPr>
        <w:spacing w:line="360" w:lineRule="auto"/>
        <w:ind w:firstLine="480" w:firstLineChars="200"/>
        <w:rPr>
          <w:rFonts w:ascii="宋体" w:hAnsi="宋体" w:cs="宋体"/>
          <w:sz w:val="24"/>
        </w:rPr>
      </w:pPr>
      <w:r>
        <w:rPr>
          <w:rFonts w:hint="eastAsia" w:ascii="宋体" w:hAnsi="宋体" w:cs="宋体"/>
          <w:sz w:val="24"/>
        </w:rPr>
        <w:t xml:space="preserve">（4）事实依据（具体条款，认为自己合法权益受到损害或可能受到损害的相关证据材料。如涉及到产品功能或技术指标的，应出具相关制造商的证明文件）； </w:t>
      </w:r>
    </w:p>
    <w:p w14:paraId="3692E788">
      <w:pPr>
        <w:spacing w:line="360" w:lineRule="auto"/>
        <w:ind w:firstLine="480" w:firstLineChars="200"/>
        <w:rPr>
          <w:rFonts w:ascii="宋体" w:hAnsi="宋体" w:cs="宋体"/>
          <w:sz w:val="24"/>
        </w:rPr>
      </w:pPr>
      <w:r>
        <w:rPr>
          <w:rFonts w:hint="eastAsia" w:ascii="宋体" w:hAnsi="宋体" w:cs="宋体"/>
          <w:sz w:val="24"/>
        </w:rPr>
        <w:t xml:space="preserve">（5）必要的法律依据； </w:t>
      </w:r>
    </w:p>
    <w:p w14:paraId="1BF09771">
      <w:pPr>
        <w:spacing w:line="360" w:lineRule="auto"/>
        <w:ind w:firstLine="480" w:firstLineChars="200"/>
        <w:rPr>
          <w:rFonts w:ascii="宋体" w:hAnsi="宋体" w:cs="宋体"/>
          <w:sz w:val="24"/>
        </w:rPr>
      </w:pPr>
      <w:r>
        <w:rPr>
          <w:rFonts w:hint="eastAsia" w:ascii="宋体" w:hAnsi="宋体" w:cs="宋体"/>
          <w:sz w:val="24"/>
        </w:rPr>
        <w:t>（6）提起质疑的日期；</w:t>
      </w:r>
    </w:p>
    <w:p w14:paraId="3E546DAD">
      <w:pPr>
        <w:spacing w:line="360" w:lineRule="auto"/>
        <w:ind w:firstLine="480" w:firstLineChars="200"/>
        <w:rPr>
          <w:rFonts w:ascii="宋体" w:hAnsi="宋体" w:cs="宋体"/>
          <w:sz w:val="24"/>
        </w:rPr>
      </w:pPr>
      <w:r>
        <w:rPr>
          <w:rFonts w:hint="eastAsia" w:ascii="宋体" w:hAnsi="宋体" w:cs="宋体"/>
          <w:sz w:val="24"/>
        </w:rPr>
        <w:t>（7）质疑文件应当署名，质疑人为自然人的，应当由本人签字并附有效身份证明；质疑人为法人或其他组织的，应当由法定代表人签字并加盖单位公章；</w:t>
      </w:r>
    </w:p>
    <w:p w14:paraId="1A19C4EA">
      <w:pPr>
        <w:spacing w:line="360" w:lineRule="auto"/>
        <w:ind w:firstLine="480" w:firstLineChars="200"/>
        <w:rPr>
          <w:rFonts w:ascii="宋体" w:hAnsi="宋体" w:cs="宋体"/>
          <w:sz w:val="24"/>
        </w:rPr>
      </w:pPr>
      <w:r>
        <w:rPr>
          <w:rFonts w:hint="eastAsia" w:ascii="宋体" w:hAnsi="宋体" w:cs="宋体"/>
          <w:sz w:val="24"/>
        </w:rPr>
        <w:t>（8）投标人委托代理质疑的，应当提交授权委托书，并载明代理人的姓名或者名称、代理事项、具体权限、期限和相关事项。</w:t>
      </w:r>
    </w:p>
    <w:p w14:paraId="79B4BF6E">
      <w:pPr>
        <w:spacing w:line="360" w:lineRule="auto"/>
        <w:ind w:firstLine="480" w:firstLineChars="200"/>
        <w:rPr>
          <w:rFonts w:ascii="宋体" w:hAnsi="宋体" w:cs="宋体"/>
          <w:sz w:val="24"/>
        </w:rPr>
      </w:pPr>
      <w:r>
        <w:rPr>
          <w:rFonts w:hint="eastAsia" w:ascii="宋体" w:hAnsi="宋体" w:cs="宋体"/>
          <w:sz w:val="24"/>
        </w:rPr>
        <w:t>44.5质疑投标人是指直接参加本项目采购活动的投标人，未参加政府采购活动的投标人或在采购活动中自身权益未受到损害的投标人所提出的质疑不予受理。</w:t>
      </w:r>
    </w:p>
    <w:p w14:paraId="1A7C5744">
      <w:pPr>
        <w:spacing w:line="360" w:lineRule="auto"/>
        <w:ind w:firstLine="480" w:firstLineChars="200"/>
        <w:rPr>
          <w:rFonts w:ascii="宋体" w:hAnsi="宋体" w:cs="宋体"/>
          <w:sz w:val="24"/>
        </w:rPr>
      </w:pPr>
      <w:r>
        <w:rPr>
          <w:rFonts w:hint="eastAsia" w:ascii="宋体" w:hAnsi="宋体" w:cs="宋体"/>
          <w:sz w:val="24"/>
        </w:rPr>
        <w:t>44.6采购人、招标代理机构在收到投标人的书面质疑后将及时组织调查核实，在七个工作日内作出答复，并以书面形式通知质疑投标人和其他有关投标人，答复的内容不涉及商业秘密。</w:t>
      </w:r>
    </w:p>
    <w:p w14:paraId="3D291FE4">
      <w:pPr>
        <w:spacing w:line="360" w:lineRule="auto"/>
        <w:ind w:firstLine="482" w:firstLineChars="200"/>
        <w:rPr>
          <w:rFonts w:ascii="宋体" w:hAnsi="宋体" w:cs="宋体"/>
          <w:b/>
          <w:sz w:val="24"/>
        </w:rPr>
      </w:pPr>
      <w:r>
        <w:rPr>
          <w:rFonts w:hint="eastAsia" w:ascii="宋体" w:hAnsi="宋体" w:cs="宋体"/>
          <w:b/>
          <w:sz w:val="24"/>
        </w:rPr>
        <w:t>45、投诉</w:t>
      </w:r>
    </w:p>
    <w:p w14:paraId="38C34CD0">
      <w:pPr>
        <w:spacing w:line="360" w:lineRule="auto"/>
        <w:ind w:firstLine="480" w:firstLineChars="200"/>
        <w:rPr>
          <w:rFonts w:ascii="宋体" w:hAnsi="宋体" w:cs="宋体"/>
          <w:sz w:val="24"/>
        </w:rPr>
      </w:pPr>
      <w:r>
        <w:rPr>
          <w:rFonts w:hint="eastAsia" w:ascii="宋体" w:hAnsi="宋体" w:cs="宋体"/>
          <w:sz w:val="24"/>
        </w:rPr>
        <w:t>45.1 质疑投标人对采购人、招标代理机构的答复不满意，或采购人、招标代理机构未在规定的时间内作出答复的，可以在答复期满后十五个工作日内向采购项目同级财政部门提起投诉。</w:t>
      </w:r>
    </w:p>
    <w:p w14:paraId="7D0AF828">
      <w:pPr>
        <w:spacing w:line="360" w:lineRule="auto"/>
        <w:ind w:firstLine="480" w:firstLineChars="200"/>
        <w:rPr>
          <w:rFonts w:ascii="宋体" w:hAnsi="宋体" w:cs="宋体"/>
          <w:sz w:val="24"/>
        </w:rPr>
      </w:pPr>
      <w:r>
        <w:rPr>
          <w:rFonts w:hint="eastAsia" w:ascii="宋体" w:hAnsi="宋体" w:cs="宋体"/>
          <w:sz w:val="24"/>
        </w:rPr>
        <w:t>45.2投标人投诉的事项不得超出已质疑事项的范围，但基于质疑答复内容提出的投诉事项除外。</w:t>
      </w:r>
    </w:p>
    <w:p w14:paraId="4769701F">
      <w:pPr>
        <w:spacing w:line="360" w:lineRule="auto"/>
        <w:ind w:firstLine="482" w:firstLineChars="200"/>
        <w:rPr>
          <w:rFonts w:ascii="宋体" w:hAnsi="宋体" w:cs="宋体"/>
          <w:b/>
          <w:sz w:val="24"/>
        </w:rPr>
      </w:pPr>
      <w:r>
        <w:rPr>
          <w:rFonts w:hint="eastAsia" w:ascii="宋体" w:hAnsi="宋体" w:cs="宋体"/>
          <w:b/>
          <w:sz w:val="24"/>
        </w:rPr>
        <w:t>46、诚实信用</w:t>
      </w:r>
    </w:p>
    <w:p w14:paraId="72A14368">
      <w:pPr>
        <w:spacing w:line="360" w:lineRule="auto"/>
        <w:ind w:firstLine="480" w:firstLineChars="200"/>
        <w:rPr>
          <w:rFonts w:ascii="宋体" w:hAnsi="宋体" w:cs="宋体"/>
          <w:sz w:val="24"/>
        </w:rPr>
      </w:pPr>
      <w:r>
        <w:rPr>
          <w:rFonts w:hint="eastAsia" w:ascii="宋体" w:hAnsi="宋体" w:cs="宋体"/>
          <w:sz w:val="24"/>
        </w:rPr>
        <w:t>46.1投标人不得虚假质疑和恶意质疑，并对质疑内容的真实性承担责任。如果投标人或者其他利害关系人通过捏造事实、伪造证明材料等方式提出质疑，干扰政府采购活动正常进行的，属于严重不良行为，采购人、招标代理机构将提请财政部门将其列入不良行为记录名单，并依法予以处罚。</w:t>
      </w:r>
    </w:p>
    <w:p w14:paraId="3715E8E0">
      <w:pPr>
        <w:spacing w:line="360" w:lineRule="auto"/>
        <w:ind w:firstLine="480" w:firstLineChars="200"/>
        <w:rPr>
          <w:rFonts w:ascii="宋体" w:hAnsi="宋体" w:cs="宋体"/>
          <w:sz w:val="24"/>
        </w:rPr>
      </w:pPr>
      <w:r>
        <w:rPr>
          <w:rFonts w:hint="eastAsia" w:ascii="宋体" w:hAnsi="宋体" w:cs="宋体"/>
          <w:sz w:val="24"/>
        </w:rPr>
        <w:t>46.2 投标人不得虚假承诺，否则，按照提供虚假材料谋取中标处理。</w:t>
      </w:r>
    </w:p>
    <w:p w14:paraId="4ECAB32F">
      <w:pPr>
        <w:snapToGrid w:val="0"/>
        <w:spacing w:line="360" w:lineRule="auto"/>
        <w:jc w:val="center"/>
        <w:rPr>
          <w:rFonts w:ascii="宋体" w:hAnsi="宋体" w:cs="宋体"/>
          <w:b/>
          <w:bCs/>
          <w:kern w:val="0"/>
          <w:sz w:val="28"/>
          <w:szCs w:val="28"/>
        </w:rPr>
      </w:pPr>
      <w:r>
        <w:rPr>
          <w:rFonts w:hint="eastAsia" w:ascii="宋体" w:hAnsi="宋体" w:cs="宋体"/>
          <w:b/>
          <w:bCs/>
          <w:kern w:val="0"/>
          <w:sz w:val="28"/>
          <w:szCs w:val="28"/>
        </w:rPr>
        <w:t>八、义务、工作纪律</w:t>
      </w:r>
    </w:p>
    <w:p w14:paraId="187FB802">
      <w:pPr>
        <w:tabs>
          <w:tab w:val="left" w:pos="7665"/>
        </w:tabs>
        <w:spacing w:line="360" w:lineRule="auto"/>
        <w:ind w:firstLine="482" w:firstLineChars="200"/>
        <w:rPr>
          <w:rFonts w:ascii="宋体" w:hAnsi="宋体" w:cs="宋体"/>
          <w:b/>
          <w:bCs w:val="0"/>
          <w:sz w:val="24"/>
        </w:rPr>
      </w:pPr>
      <w:r>
        <w:rPr>
          <w:rFonts w:hint="eastAsia" w:ascii="宋体" w:hAnsi="宋体" w:cs="宋体"/>
          <w:b/>
          <w:bCs w:val="0"/>
          <w:sz w:val="24"/>
        </w:rPr>
        <w:t>47、采购人或者招标代理机构负责组织评标工作，并履行下列职责：</w:t>
      </w:r>
    </w:p>
    <w:p w14:paraId="2EF91A87">
      <w:pPr>
        <w:tabs>
          <w:tab w:val="left" w:pos="7665"/>
        </w:tabs>
        <w:spacing w:line="360" w:lineRule="auto"/>
        <w:ind w:firstLine="480" w:firstLineChars="200"/>
        <w:rPr>
          <w:rFonts w:ascii="宋体" w:hAnsi="宋体" w:cs="宋体"/>
          <w:bCs/>
          <w:sz w:val="24"/>
        </w:rPr>
      </w:pPr>
      <w:r>
        <w:rPr>
          <w:rFonts w:hint="eastAsia" w:ascii="宋体" w:hAnsi="宋体" w:cs="宋体"/>
          <w:bCs/>
          <w:sz w:val="24"/>
        </w:rPr>
        <w:t>47.1核对评审专家身份和采购人代表授权函，对评审专家在政府采购活动中的职责履行情况予以记录，并及时将有关违法违规行为向财政部门报告；</w:t>
      </w:r>
    </w:p>
    <w:p w14:paraId="76C363A3">
      <w:pPr>
        <w:tabs>
          <w:tab w:val="left" w:pos="7665"/>
        </w:tabs>
        <w:spacing w:line="360" w:lineRule="auto"/>
        <w:ind w:firstLine="480" w:firstLineChars="200"/>
        <w:rPr>
          <w:rFonts w:ascii="宋体" w:hAnsi="宋体" w:cs="宋体"/>
          <w:bCs/>
          <w:sz w:val="24"/>
        </w:rPr>
      </w:pPr>
      <w:r>
        <w:rPr>
          <w:rFonts w:hint="eastAsia" w:ascii="宋体" w:hAnsi="宋体" w:cs="宋体"/>
          <w:bCs/>
          <w:sz w:val="24"/>
        </w:rPr>
        <w:t>47.2宣布评标纪律；</w:t>
      </w:r>
    </w:p>
    <w:p w14:paraId="672516D7">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47.3公布投标人名单，告知评审专家应当回避的情形；</w:t>
      </w:r>
    </w:p>
    <w:p w14:paraId="6941C0D7">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47.4组织评标委员会推选评标组长，采购人代表不得担任组长；</w:t>
      </w:r>
    </w:p>
    <w:p w14:paraId="1E1611B3">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47.5在评标期间采取必要的通讯管理措施，保证评标活动不受外界干扰；</w:t>
      </w:r>
    </w:p>
    <w:p w14:paraId="672A5484">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47.6根据评标委员会的要求介绍政府采购相关政策法规、招标文件；</w:t>
      </w:r>
    </w:p>
    <w:p w14:paraId="74CDB226">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47.7维护评标秩序，监督评标委员会依照招标文件规定的评标程序、方法和标准进行独立评审，及时制止和纠正采购人代表、评审专家的倾向性言论或者违法违规行为；</w:t>
      </w:r>
    </w:p>
    <w:p w14:paraId="365EC6E4">
      <w:pPr>
        <w:tabs>
          <w:tab w:val="left" w:pos="7665"/>
        </w:tabs>
        <w:spacing w:line="360" w:lineRule="auto"/>
        <w:ind w:firstLine="480" w:firstLineChars="200"/>
        <w:rPr>
          <w:rFonts w:ascii="宋体" w:hAnsi="宋体" w:cs="宋体"/>
          <w:bCs/>
          <w:sz w:val="24"/>
        </w:rPr>
      </w:pPr>
      <w:r>
        <w:rPr>
          <w:rFonts w:hint="eastAsia" w:ascii="宋体" w:hAnsi="宋体" w:cs="宋体"/>
          <w:bCs/>
          <w:sz w:val="24"/>
        </w:rPr>
        <w:t>47.8核对评标结果，有本办法第六十四条规定情形的，要求评标委员会复核或者书面说明理由，评标委员会拒绝的，应予记录并向本级财政部门报告；</w:t>
      </w:r>
    </w:p>
    <w:p w14:paraId="1AFBB13B">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47.9评审工作完成后，按照规定向评审专家支付劳务报酬和异地评审差旅费，不得向评审专家以外的其他人员支付评审劳务报酬；</w:t>
      </w:r>
    </w:p>
    <w:p w14:paraId="0D3A467C">
      <w:pPr>
        <w:tabs>
          <w:tab w:val="left" w:pos="7665"/>
        </w:tabs>
        <w:spacing w:line="360" w:lineRule="auto"/>
        <w:ind w:firstLine="240" w:firstLineChars="100"/>
        <w:rPr>
          <w:rFonts w:ascii="宋体" w:hAnsi="宋体" w:cs="宋体"/>
          <w:bCs/>
          <w:sz w:val="24"/>
        </w:rPr>
      </w:pPr>
      <w:r>
        <w:rPr>
          <w:rFonts w:hint="eastAsia" w:ascii="宋体" w:hAnsi="宋体" w:cs="宋体"/>
          <w:bCs/>
          <w:sz w:val="24"/>
        </w:rPr>
        <w:t xml:space="preserve">  47.10处理与评标有关的其他事项。</w:t>
      </w:r>
    </w:p>
    <w:p w14:paraId="55DE3E73">
      <w:pPr>
        <w:tabs>
          <w:tab w:val="left" w:pos="7665"/>
        </w:tabs>
        <w:spacing w:line="360" w:lineRule="auto"/>
        <w:ind w:firstLine="480" w:firstLineChars="200"/>
        <w:rPr>
          <w:rFonts w:ascii="宋体" w:hAnsi="宋体" w:cs="宋体"/>
          <w:bCs/>
          <w:sz w:val="24"/>
        </w:rPr>
      </w:pPr>
      <w:r>
        <w:rPr>
          <w:rFonts w:hint="eastAsia" w:ascii="宋体" w:hAnsi="宋体" w:cs="宋体"/>
          <w:bCs/>
          <w:sz w:val="24"/>
        </w:rPr>
        <w:t>采购人可以在评标前说明项目背景和采购需求，说明内容不得含有歧视性、倾向性意见，不得超出招标文件所述范围。说明应当提交书面材料，并随招标文件一并存档。</w:t>
      </w:r>
    </w:p>
    <w:p w14:paraId="78124639">
      <w:pPr>
        <w:tabs>
          <w:tab w:val="left" w:pos="7665"/>
        </w:tabs>
        <w:spacing w:line="360" w:lineRule="auto"/>
        <w:ind w:firstLine="482" w:firstLineChars="200"/>
        <w:rPr>
          <w:rFonts w:ascii="宋体" w:hAnsi="宋体" w:cs="宋体"/>
          <w:b/>
          <w:bCs w:val="0"/>
          <w:sz w:val="24"/>
        </w:rPr>
      </w:pPr>
      <w:r>
        <w:rPr>
          <w:rFonts w:hint="eastAsia" w:ascii="宋体" w:hAnsi="宋体" w:cs="宋体"/>
          <w:b/>
          <w:bCs w:val="0"/>
          <w:sz w:val="24"/>
        </w:rPr>
        <w:t>48、评标委员会在政府采购活动中应当遵守以下工作纪律：</w:t>
      </w:r>
    </w:p>
    <w:p w14:paraId="759AAD90">
      <w:pPr>
        <w:tabs>
          <w:tab w:val="left" w:pos="7665"/>
        </w:tabs>
        <w:spacing w:line="360" w:lineRule="auto"/>
        <w:ind w:firstLine="480" w:firstLineChars="200"/>
        <w:rPr>
          <w:rFonts w:ascii="宋体" w:hAnsi="宋体" w:cs="宋体"/>
          <w:bCs/>
          <w:sz w:val="24"/>
        </w:rPr>
      </w:pPr>
      <w:r>
        <w:rPr>
          <w:rFonts w:hint="eastAsia" w:ascii="宋体" w:hAnsi="宋体" w:cs="宋体"/>
          <w:bCs/>
          <w:sz w:val="24"/>
        </w:rPr>
        <w:t>48.1不得参加与自己有《中华人民共和国政府采购法实施条例》第九条规定的利害关系的政府采购项目的评标活动。发现参加了与自己有利害关系的评审活动，须主动提出回避，退出评审；</w:t>
      </w:r>
    </w:p>
    <w:p w14:paraId="5E1A57EA">
      <w:pPr>
        <w:tabs>
          <w:tab w:val="left" w:pos="7665"/>
        </w:tabs>
        <w:spacing w:line="360" w:lineRule="auto"/>
        <w:ind w:firstLine="480" w:firstLineChars="200"/>
        <w:rPr>
          <w:rFonts w:ascii="宋体" w:hAnsi="宋体" w:cs="宋体"/>
          <w:bCs/>
          <w:sz w:val="24"/>
        </w:rPr>
      </w:pPr>
      <w:r>
        <w:rPr>
          <w:rFonts w:hint="eastAsia" w:ascii="宋体" w:hAnsi="宋体" w:cs="宋体"/>
          <w:bCs/>
          <w:sz w:val="24"/>
        </w:rPr>
        <w:t>48.2评审前，应当将通讯工具或者相关电子设备交由招标代理机构统一保管；</w:t>
      </w:r>
    </w:p>
    <w:p w14:paraId="4F86E080">
      <w:pPr>
        <w:tabs>
          <w:tab w:val="left" w:pos="7665"/>
        </w:tabs>
        <w:spacing w:line="360" w:lineRule="auto"/>
        <w:ind w:firstLine="480" w:firstLineChars="200"/>
        <w:rPr>
          <w:rFonts w:ascii="宋体" w:hAnsi="宋体" w:cs="宋体"/>
          <w:bCs/>
          <w:sz w:val="24"/>
        </w:rPr>
      </w:pPr>
      <w:r>
        <w:rPr>
          <w:rFonts w:hint="eastAsia" w:ascii="宋体" w:hAnsi="宋体" w:cs="宋体"/>
          <w:bCs/>
          <w:sz w:val="24"/>
        </w:rPr>
        <w:t>48.3评审过程中，不得与外界联系，因发生不可预见情况，确实需要与外界联系的，应当在监督人员监督之下办理；</w:t>
      </w:r>
    </w:p>
    <w:p w14:paraId="15232FD7">
      <w:pPr>
        <w:tabs>
          <w:tab w:val="left" w:pos="7665"/>
        </w:tabs>
        <w:spacing w:line="360" w:lineRule="auto"/>
        <w:ind w:firstLine="480" w:firstLineChars="200"/>
        <w:rPr>
          <w:rFonts w:ascii="宋体" w:hAnsi="宋体" w:cs="宋体"/>
          <w:bCs/>
          <w:sz w:val="24"/>
        </w:rPr>
      </w:pPr>
      <w:r>
        <w:rPr>
          <w:rFonts w:hint="eastAsia" w:ascii="宋体" w:hAnsi="宋体" w:cs="宋体"/>
          <w:bCs/>
          <w:sz w:val="24"/>
        </w:rPr>
        <w:t>48.4评审过程中，不得发表影响评审公正的倾向性、歧视性言论，不得征询或者接受采购人的倾向性意见，不得明示或暗示投标人在澄清时表达与其响应文件原义不同的意见，不得以招标文件没有规定的评审方法和标准作为评审的依据，不得修改或者细化评审程序、评审方法、评审因素和评审标准，不得违规撰写评审意见，不得拒绝对自己的评审意见签字确认；</w:t>
      </w:r>
    </w:p>
    <w:p w14:paraId="6D5B227E">
      <w:pPr>
        <w:tabs>
          <w:tab w:val="left" w:pos="7665"/>
        </w:tabs>
        <w:spacing w:line="360" w:lineRule="auto"/>
        <w:ind w:firstLine="480" w:firstLineChars="200"/>
        <w:rPr>
          <w:rFonts w:ascii="宋体" w:hAnsi="宋体" w:cs="宋体"/>
          <w:bCs/>
          <w:sz w:val="24"/>
        </w:rPr>
      </w:pPr>
      <w:r>
        <w:rPr>
          <w:rFonts w:hint="eastAsia" w:ascii="宋体" w:hAnsi="宋体" w:cs="宋体"/>
          <w:bCs/>
          <w:sz w:val="24"/>
        </w:rPr>
        <w:t>48.5在评审过程中和评审结束后，不得记录、复制或带走任何评审资料，不得向外界透露评审内容；</w:t>
      </w:r>
    </w:p>
    <w:p w14:paraId="39BB778C">
      <w:pPr>
        <w:tabs>
          <w:tab w:val="left" w:pos="7665"/>
        </w:tabs>
        <w:spacing w:line="360" w:lineRule="auto"/>
        <w:ind w:firstLine="480" w:firstLineChars="200"/>
        <w:rPr>
          <w:rFonts w:ascii="宋体" w:hAnsi="宋体" w:cs="宋体"/>
          <w:bCs/>
          <w:sz w:val="24"/>
        </w:rPr>
      </w:pPr>
      <w:r>
        <w:rPr>
          <w:rFonts w:hint="eastAsia" w:ascii="宋体" w:hAnsi="宋体" w:cs="宋体"/>
          <w:bCs/>
          <w:sz w:val="24"/>
        </w:rPr>
        <w:t>48.6评审现场服从招标代理机构工作人员的管理，接受现场监督人员的合法监督；</w:t>
      </w:r>
    </w:p>
    <w:p w14:paraId="66F4E26F">
      <w:pPr>
        <w:tabs>
          <w:tab w:val="left" w:pos="7665"/>
        </w:tabs>
        <w:spacing w:line="360" w:lineRule="auto"/>
        <w:ind w:firstLine="480" w:firstLineChars="200"/>
        <w:rPr>
          <w:rFonts w:ascii="宋体" w:hAnsi="宋体" w:cs="宋体"/>
          <w:bCs/>
          <w:sz w:val="24"/>
        </w:rPr>
      </w:pPr>
      <w:r>
        <w:rPr>
          <w:rFonts w:hint="eastAsia" w:ascii="宋体" w:hAnsi="宋体" w:cs="宋体"/>
          <w:bCs/>
          <w:sz w:val="24"/>
        </w:rPr>
        <w:t>48.7遵守有关廉洁自律规定，不得私下接触投标人，不得收受投标人及有关业务单位和个人的财物或好处，不得接受招标代理机构的请托。</w:t>
      </w:r>
    </w:p>
    <w:p w14:paraId="076B1344">
      <w:pPr>
        <w:tabs>
          <w:tab w:val="left" w:pos="7665"/>
        </w:tabs>
        <w:spacing w:line="360" w:lineRule="auto"/>
        <w:ind w:firstLine="482" w:firstLineChars="200"/>
        <w:rPr>
          <w:rFonts w:ascii="宋体" w:hAnsi="宋体" w:cs="宋体"/>
          <w:b/>
          <w:bCs w:val="0"/>
          <w:sz w:val="24"/>
        </w:rPr>
      </w:pPr>
      <w:r>
        <w:rPr>
          <w:rFonts w:hint="eastAsia" w:ascii="宋体" w:hAnsi="宋体" w:cs="宋体"/>
          <w:b/>
          <w:bCs w:val="0"/>
          <w:sz w:val="24"/>
        </w:rPr>
        <w:t>49、评标委员会负责具体评标事务，并独立履行下列职责：</w:t>
      </w:r>
    </w:p>
    <w:p w14:paraId="314F5B5A">
      <w:pPr>
        <w:tabs>
          <w:tab w:val="left" w:pos="7665"/>
        </w:tabs>
        <w:spacing w:line="360" w:lineRule="auto"/>
        <w:ind w:firstLine="480" w:firstLineChars="200"/>
        <w:rPr>
          <w:rFonts w:ascii="宋体" w:hAnsi="宋体" w:cs="宋体"/>
          <w:bCs/>
          <w:sz w:val="24"/>
        </w:rPr>
      </w:pPr>
      <w:r>
        <w:rPr>
          <w:rFonts w:hint="eastAsia" w:ascii="宋体" w:hAnsi="宋体" w:cs="宋体"/>
          <w:bCs/>
          <w:sz w:val="24"/>
        </w:rPr>
        <w:t>49.1审查、评价投标文件是否符合招标文件的商务、技术等实质性要求；</w:t>
      </w:r>
    </w:p>
    <w:p w14:paraId="4F009C48">
      <w:pPr>
        <w:tabs>
          <w:tab w:val="left" w:pos="7665"/>
        </w:tabs>
        <w:spacing w:line="360" w:lineRule="auto"/>
        <w:ind w:firstLine="480" w:firstLineChars="200"/>
        <w:rPr>
          <w:rFonts w:ascii="宋体" w:hAnsi="宋体" w:cs="宋体"/>
          <w:bCs/>
          <w:sz w:val="24"/>
        </w:rPr>
      </w:pPr>
      <w:r>
        <w:rPr>
          <w:rFonts w:hint="eastAsia" w:ascii="宋体" w:hAnsi="宋体" w:cs="宋体"/>
          <w:bCs/>
          <w:sz w:val="24"/>
        </w:rPr>
        <w:t>49.2要求投标人对投标文件有关事项作出澄清或者说明；</w:t>
      </w:r>
    </w:p>
    <w:p w14:paraId="45706AFD">
      <w:pPr>
        <w:tabs>
          <w:tab w:val="left" w:pos="7665"/>
        </w:tabs>
        <w:spacing w:line="360" w:lineRule="auto"/>
        <w:ind w:firstLine="480" w:firstLineChars="200"/>
        <w:rPr>
          <w:rFonts w:ascii="宋体" w:hAnsi="宋体" w:cs="宋体"/>
          <w:bCs/>
          <w:sz w:val="24"/>
        </w:rPr>
      </w:pPr>
      <w:r>
        <w:rPr>
          <w:rFonts w:hint="eastAsia" w:ascii="宋体" w:hAnsi="宋体" w:cs="宋体"/>
          <w:bCs/>
          <w:sz w:val="24"/>
        </w:rPr>
        <w:t>49.3对投标文件进行比较和评价；</w:t>
      </w:r>
    </w:p>
    <w:p w14:paraId="7F70B2B5">
      <w:pPr>
        <w:tabs>
          <w:tab w:val="left" w:pos="7665"/>
        </w:tabs>
        <w:spacing w:line="360" w:lineRule="auto"/>
        <w:ind w:firstLine="480" w:firstLineChars="200"/>
        <w:rPr>
          <w:rFonts w:ascii="宋体" w:hAnsi="宋体" w:cs="宋体"/>
          <w:bCs/>
          <w:sz w:val="24"/>
        </w:rPr>
      </w:pPr>
      <w:r>
        <w:rPr>
          <w:rFonts w:hint="eastAsia" w:ascii="宋体" w:hAnsi="宋体" w:cs="宋体"/>
          <w:bCs/>
          <w:sz w:val="24"/>
        </w:rPr>
        <w:t>49.4确定中标</w:t>
      </w:r>
      <w:r>
        <w:rPr>
          <w:rFonts w:hint="eastAsia" w:ascii="宋体" w:hAnsi="宋体" w:cs="宋体"/>
          <w:bCs/>
          <w:sz w:val="24"/>
          <w:lang w:eastAsia="zh-CN"/>
        </w:rPr>
        <w:t>投标人</w:t>
      </w:r>
      <w:r>
        <w:rPr>
          <w:rFonts w:hint="eastAsia" w:ascii="宋体" w:hAnsi="宋体" w:cs="宋体"/>
          <w:bCs/>
          <w:sz w:val="24"/>
        </w:rPr>
        <w:t>名单，以及根据采购人委托直接确定中标</w:t>
      </w:r>
      <w:r>
        <w:rPr>
          <w:rFonts w:hint="eastAsia" w:ascii="宋体" w:hAnsi="宋体" w:cs="宋体"/>
          <w:bCs/>
          <w:sz w:val="24"/>
          <w:lang w:eastAsia="zh-CN"/>
        </w:rPr>
        <w:t>投标人</w:t>
      </w:r>
      <w:r>
        <w:rPr>
          <w:rFonts w:hint="eastAsia" w:ascii="宋体" w:hAnsi="宋体" w:cs="宋体"/>
          <w:bCs/>
          <w:sz w:val="24"/>
        </w:rPr>
        <w:t>；</w:t>
      </w:r>
    </w:p>
    <w:p w14:paraId="375E957D">
      <w:pPr>
        <w:tabs>
          <w:tab w:val="left" w:pos="7665"/>
        </w:tabs>
        <w:spacing w:line="360" w:lineRule="auto"/>
        <w:ind w:firstLine="480" w:firstLineChars="200"/>
        <w:rPr>
          <w:rFonts w:hint="eastAsia" w:ascii="宋体" w:hAnsi="宋体" w:cs="宋体"/>
          <w:bCs/>
          <w:sz w:val="24"/>
        </w:rPr>
      </w:pPr>
      <w:r>
        <w:rPr>
          <w:rFonts w:hint="eastAsia" w:ascii="宋体" w:hAnsi="宋体" w:cs="宋体"/>
          <w:bCs/>
          <w:sz w:val="24"/>
        </w:rPr>
        <w:t>49.5向采购人、招标代理机构或者有关部门报告评标中发现的违法行为。</w:t>
      </w:r>
    </w:p>
    <w:p w14:paraId="58CD7321">
      <w:pPr>
        <w:pStyle w:val="9"/>
        <w:rPr>
          <w:rFonts w:hint="eastAsia" w:ascii="宋体" w:hAnsi="宋体" w:cs="宋体"/>
          <w:bCs/>
          <w:sz w:val="24"/>
        </w:rPr>
      </w:pPr>
    </w:p>
    <w:p w14:paraId="03BFE95E">
      <w:pPr>
        <w:pStyle w:val="11"/>
        <w:ind w:left="0" w:leftChars="0" w:firstLine="0" w:firstLineChars="0"/>
        <w:jc w:val="both"/>
      </w:pPr>
    </w:p>
    <w:p w14:paraId="23AD1A94">
      <w:pPr>
        <w:pStyle w:val="12"/>
        <w:adjustRightInd w:val="0"/>
        <w:snapToGrid w:val="0"/>
        <w:spacing w:line="360" w:lineRule="auto"/>
        <w:jc w:val="center"/>
        <w:rPr>
          <w:rFonts w:hAnsi="宋体" w:cs="宋体"/>
          <w:b/>
          <w:sz w:val="28"/>
          <w:szCs w:val="28"/>
        </w:rPr>
      </w:pPr>
    </w:p>
    <w:p w14:paraId="0B3DFBED">
      <w:pPr>
        <w:pStyle w:val="12"/>
        <w:adjustRightInd w:val="0"/>
        <w:snapToGrid w:val="0"/>
        <w:spacing w:line="360" w:lineRule="auto"/>
        <w:jc w:val="center"/>
        <w:rPr>
          <w:rFonts w:hAnsi="宋体" w:cs="宋体"/>
          <w:b/>
          <w:sz w:val="28"/>
          <w:szCs w:val="28"/>
        </w:rPr>
      </w:pPr>
    </w:p>
    <w:p w14:paraId="1112FF9A">
      <w:pPr>
        <w:pStyle w:val="12"/>
        <w:adjustRightInd w:val="0"/>
        <w:snapToGrid w:val="0"/>
        <w:spacing w:line="360" w:lineRule="auto"/>
        <w:jc w:val="center"/>
        <w:rPr>
          <w:rFonts w:hAnsi="宋体" w:cs="宋体"/>
          <w:b/>
          <w:sz w:val="28"/>
          <w:szCs w:val="28"/>
        </w:rPr>
      </w:pPr>
    </w:p>
    <w:p w14:paraId="785CFECB">
      <w:pPr>
        <w:pStyle w:val="12"/>
        <w:adjustRightInd w:val="0"/>
        <w:snapToGrid w:val="0"/>
        <w:spacing w:line="360" w:lineRule="auto"/>
        <w:jc w:val="center"/>
        <w:rPr>
          <w:rFonts w:hAnsi="宋体" w:cs="宋体"/>
          <w:b/>
          <w:sz w:val="28"/>
          <w:szCs w:val="28"/>
        </w:rPr>
      </w:pPr>
    </w:p>
    <w:p w14:paraId="2DCAD0AE">
      <w:pPr>
        <w:pStyle w:val="12"/>
        <w:adjustRightInd w:val="0"/>
        <w:snapToGrid w:val="0"/>
        <w:spacing w:line="360" w:lineRule="auto"/>
        <w:jc w:val="center"/>
        <w:rPr>
          <w:rFonts w:hAnsi="宋体" w:cs="宋体"/>
          <w:b/>
          <w:sz w:val="28"/>
          <w:szCs w:val="28"/>
        </w:rPr>
      </w:pPr>
    </w:p>
    <w:p w14:paraId="208DC33A">
      <w:pPr>
        <w:pStyle w:val="12"/>
        <w:adjustRightInd w:val="0"/>
        <w:snapToGrid w:val="0"/>
        <w:spacing w:line="360" w:lineRule="auto"/>
        <w:jc w:val="center"/>
        <w:rPr>
          <w:rFonts w:hAnsi="宋体" w:cs="宋体"/>
          <w:b/>
          <w:sz w:val="28"/>
          <w:szCs w:val="28"/>
        </w:rPr>
      </w:pPr>
    </w:p>
    <w:p w14:paraId="3D6C5BCB">
      <w:pPr>
        <w:pStyle w:val="12"/>
        <w:adjustRightInd w:val="0"/>
        <w:snapToGrid w:val="0"/>
        <w:spacing w:line="360" w:lineRule="auto"/>
        <w:jc w:val="both"/>
        <w:rPr>
          <w:rFonts w:hint="eastAsia" w:hAnsi="宋体" w:cs="宋体"/>
          <w:b/>
          <w:sz w:val="28"/>
          <w:szCs w:val="28"/>
        </w:rPr>
      </w:pPr>
    </w:p>
    <w:p w14:paraId="5FF857C0">
      <w:pPr>
        <w:pStyle w:val="5"/>
        <w:numPr>
          <w:ilvl w:val="0"/>
          <w:numId w:val="0"/>
        </w:numPr>
        <w:bidi w:val="0"/>
        <w:ind w:leftChars="0"/>
        <w:jc w:val="center"/>
      </w:pPr>
      <w:bookmarkStart w:id="189" w:name="_Toc32271"/>
      <w:r>
        <w:rPr>
          <w:rFonts w:hint="eastAsia"/>
        </w:rPr>
        <w:t>第三章  项目采购需求</w:t>
      </w:r>
      <w:bookmarkEnd w:id="189"/>
    </w:p>
    <w:p w14:paraId="4B7EB08E">
      <w:pPr>
        <w:pStyle w:val="2"/>
        <w:keepNext w:val="0"/>
        <w:keepLines w:val="0"/>
        <w:pageBreakBefore w:val="0"/>
        <w:numPr>
          <w:ilvl w:val="0"/>
          <w:numId w:val="0"/>
        </w:numPr>
        <w:kinsoku/>
        <w:wordWrap/>
        <w:overflowPunct/>
        <w:topLinePunct w:val="0"/>
        <w:autoSpaceDE/>
        <w:autoSpaceDN/>
        <w:bidi w:val="0"/>
        <w:adjustRightInd/>
        <w:snapToGrid/>
        <w:spacing w:after="0" w:line="520" w:lineRule="exact"/>
        <w:ind w:firstLine="643" w:firstLineChars="200"/>
        <w:rPr>
          <w:rFonts w:hint="eastAsia" w:ascii="仿宋_GB2312" w:hAnsi="仿宋_GB2312" w:eastAsia="仿宋_GB2312" w:cs="仿宋_GB2312"/>
          <w:b/>
          <w:bCs/>
          <w:kern w:val="2"/>
          <w:sz w:val="32"/>
          <w:szCs w:val="32"/>
          <w:lang w:val="en-US" w:eastAsia="zh-CN" w:bidi="ar-SA"/>
        </w:rPr>
      </w:pPr>
      <w:bookmarkStart w:id="190" w:name="OLE_LINK18"/>
      <w:bookmarkStart w:id="191" w:name="OLE_LINK7"/>
      <w:r>
        <w:rPr>
          <w:rFonts w:hint="eastAsia" w:ascii="仿宋_GB2312" w:hAnsi="仿宋_GB2312" w:eastAsia="仿宋_GB2312" w:cs="仿宋_GB2312"/>
          <w:b/>
          <w:bCs/>
          <w:kern w:val="2"/>
          <w:sz w:val="32"/>
          <w:szCs w:val="32"/>
          <w:lang w:val="en-US" w:eastAsia="zh-CN" w:bidi="ar-SA"/>
        </w:rPr>
        <w:t>一、采购清单及技术参数</w:t>
      </w:r>
    </w:p>
    <w:tbl>
      <w:tblPr>
        <w:tblStyle w:val="22"/>
        <w:tblpPr w:leftFromText="180" w:rightFromText="180" w:vertAnchor="text" w:horzAnchor="page" w:tblpX="1260" w:tblpY="590"/>
        <w:tblOverlap w:val="never"/>
        <w:tblW w:w="9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870"/>
        <w:gridCol w:w="5670"/>
        <w:gridCol w:w="735"/>
        <w:gridCol w:w="690"/>
        <w:gridCol w:w="1095"/>
      </w:tblGrid>
      <w:tr w14:paraId="4BE33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47DFC81B">
            <w:pPr>
              <w:keepNext w:val="0"/>
              <w:keepLines w:val="0"/>
              <w:widowControl/>
              <w:suppressLineNumbers w:val="0"/>
              <w:jc w:val="center"/>
              <w:textAlignment w:val="center"/>
              <w:rPr>
                <w:vertAlign w:val="baseline"/>
              </w:rPr>
            </w:pPr>
            <w:bookmarkStart w:id="192" w:name="OLE_LINK51"/>
            <w:r>
              <w:rPr>
                <w:rFonts w:hint="eastAsia" w:ascii="宋体" w:hAnsi="宋体" w:eastAsia="宋体" w:cs="宋体"/>
                <w:b/>
                <w:bCs/>
                <w:i w:val="0"/>
                <w:iCs w:val="0"/>
                <w:color w:val="000000"/>
                <w:kern w:val="0"/>
                <w:sz w:val="21"/>
                <w:szCs w:val="21"/>
                <w:u w:val="none"/>
                <w:lang w:val="en-US" w:eastAsia="zh-CN" w:bidi="ar"/>
              </w:rPr>
              <w:t>序号</w:t>
            </w:r>
          </w:p>
        </w:tc>
        <w:tc>
          <w:tcPr>
            <w:tcW w:w="870" w:type="dxa"/>
            <w:noWrap w:val="0"/>
            <w:vAlign w:val="center"/>
          </w:tcPr>
          <w:p w14:paraId="3865C070">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名称</w:t>
            </w:r>
          </w:p>
        </w:tc>
        <w:tc>
          <w:tcPr>
            <w:tcW w:w="5670" w:type="dxa"/>
            <w:noWrap w:val="0"/>
            <w:vAlign w:val="center"/>
          </w:tcPr>
          <w:p w14:paraId="7D78AFCC">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技术</w:t>
            </w:r>
            <w:r>
              <w:rPr>
                <w:rFonts w:hint="eastAsia" w:ascii="宋体" w:hAnsi="宋体" w:eastAsia="宋体" w:cs="宋体"/>
                <w:b/>
                <w:bCs/>
                <w:i w:val="0"/>
                <w:iCs w:val="0"/>
                <w:color w:val="000000"/>
                <w:kern w:val="0"/>
                <w:sz w:val="21"/>
                <w:szCs w:val="21"/>
                <w:u w:val="none"/>
                <w:lang w:val="en-US" w:eastAsia="zh-CN" w:bidi="ar"/>
              </w:rPr>
              <w:t>参数</w:t>
            </w:r>
          </w:p>
        </w:tc>
        <w:tc>
          <w:tcPr>
            <w:tcW w:w="735" w:type="dxa"/>
            <w:noWrap w:val="0"/>
            <w:vAlign w:val="center"/>
          </w:tcPr>
          <w:p w14:paraId="3D8F4A5D">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单位</w:t>
            </w:r>
          </w:p>
        </w:tc>
        <w:tc>
          <w:tcPr>
            <w:tcW w:w="690" w:type="dxa"/>
            <w:noWrap w:val="0"/>
            <w:vAlign w:val="center"/>
          </w:tcPr>
          <w:p w14:paraId="050723CA">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数量</w:t>
            </w:r>
          </w:p>
        </w:tc>
        <w:tc>
          <w:tcPr>
            <w:tcW w:w="1095" w:type="dxa"/>
            <w:noWrap w:val="0"/>
            <w:vAlign w:val="center"/>
          </w:tcPr>
          <w:p w14:paraId="48933525">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备注</w:t>
            </w:r>
          </w:p>
        </w:tc>
      </w:tr>
      <w:tr w14:paraId="5D675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148C0299">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1"/>
                <w:szCs w:val="21"/>
                <w:u w:val="none"/>
                <w:lang w:val="en-US" w:eastAsia="zh-CN" w:bidi="ar"/>
              </w:rPr>
              <w:t>1</w:t>
            </w:r>
          </w:p>
        </w:tc>
        <w:tc>
          <w:tcPr>
            <w:tcW w:w="870" w:type="dxa"/>
            <w:noWrap w:val="0"/>
            <w:vAlign w:val="center"/>
          </w:tcPr>
          <w:p w14:paraId="1D62E784">
            <w:pPr>
              <w:keepNext w:val="0"/>
              <w:keepLines w:val="0"/>
              <w:widowControl/>
              <w:suppressLineNumbers w:val="0"/>
              <w:jc w:val="center"/>
              <w:textAlignment w:val="center"/>
              <w:rPr>
                <w:vertAlign w:val="baseline"/>
              </w:rPr>
            </w:pPr>
            <w:bookmarkStart w:id="193" w:name="OLE_LINK10"/>
            <w:r>
              <w:rPr>
                <w:rFonts w:hint="eastAsia" w:ascii="宋体" w:hAnsi="宋体" w:eastAsia="宋体" w:cs="宋体"/>
                <w:i w:val="0"/>
                <w:iCs w:val="0"/>
                <w:color w:val="000000"/>
                <w:kern w:val="0"/>
                <w:sz w:val="20"/>
                <w:szCs w:val="20"/>
                <w:u w:val="none"/>
                <w:lang w:val="en-US" w:eastAsia="zh-CN" w:bidi="ar"/>
              </w:rPr>
              <w:t>固定式观鸟望远镜</w:t>
            </w:r>
            <w:bookmarkEnd w:id="193"/>
          </w:p>
        </w:tc>
        <w:tc>
          <w:tcPr>
            <w:tcW w:w="5670" w:type="dxa"/>
            <w:noWrap w:val="0"/>
            <w:vAlign w:val="center"/>
          </w:tcPr>
          <w:p w14:paraId="703F2FA8">
            <w:pPr>
              <w:keepNext w:val="0"/>
              <w:keepLines w:val="0"/>
              <w:widowControl/>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一</w:t>
            </w:r>
            <w:bookmarkStart w:id="194" w:name="OLE_LINK11"/>
            <w:r>
              <w:rPr>
                <w:rFonts w:hint="default" w:ascii="宋体" w:hAnsi="宋体" w:eastAsia="宋体" w:cs="宋体"/>
                <w:b/>
                <w:bCs/>
                <w:i w:val="0"/>
                <w:iCs w:val="0"/>
                <w:color w:val="000000"/>
                <w:kern w:val="0"/>
                <w:sz w:val="20"/>
                <w:szCs w:val="20"/>
                <w:u w:val="none"/>
                <w:lang w:val="en-US" w:eastAsia="zh-CN" w:bidi="ar"/>
              </w:rPr>
              <w:t>、望远镜主体参数</w:t>
            </w:r>
          </w:p>
          <w:p w14:paraId="7C5010C1">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放大倍率：</w:t>
            </w:r>
            <w:r>
              <w:rPr>
                <w:rFonts w:hint="default" w:ascii="宋体" w:hAnsi="宋体" w:eastAsia="宋体" w:cs="宋体"/>
                <w:i w:val="0"/>
                <w:iCs w:val="0"/>
                <w:color w:val="000000"/>
                <w:kern w:val="0"/>
                <w:sz w:val="20"/>
                <w:szCs w:val="20"/>
                <w:u w:val="none"/>
                <w:lang w:val="en-US" w:eastAsia="zh-CN" w:bidi="ar"/>
              </w:rPr>
              <w:t>30 倍</w:t>
            </w:r>
          </w:p>
          <w:p w14:paraId="7257F84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物镜直径：</w:t>
            </w:r>
            <w:r>
              <w:rPr>
                <w:rFonts w:hint="default" w:ascii="宋体" w:hAnsi="宋体" w:eastAsia="宋体" w:cs="宋体"/>
                <w:i w:val="0"/>
                <w:iCs w:val="0"/>
                <w:color w:val="000000"/>
                <w:kern w:val="0"/>
                <w:sz w:val="20"/>
                <w:szCs w:val="20"/>
                <w:u w:val="none"/>
                <w:lang w:val="en-US" w:eastAsia="zh-CN" w:bidi="ar"/>
              </w:rPr>
              <w:t>120mm。</w:t>
            </w:r>
          </w:p>
          <w:p w14:paraId="4E108913">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出瞳参数：</w:t>
            </w:r>
            <w:r>
              <w:rPr>
                <w:rFonts w:hint="default" w:ascii="宋体" w:hAnsi="宋体" w:eastAsia="宋体" w:cs="宋体"/>
                <w:i w:val="0"/>
                <w:iCs w:val="0"/>
                <w:color w:val="000000"/>
                <w:kern w:val="0"/>
                <w:sz w:val="20"/>
                <w:szCs w:val="20"/>
                <w:u w:val="none"/>
                <w:lang w:val="en-US" w:eastAsia="zh-CN" w:bidi="ar"/>
              </w:rPr>
              <w:t>距离 20mm，直径 4mm。</w:t>
            </w:r>
          </w:p>
          <w:p w14:paraId="1C6F5D52">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视场角：</w:t>
            </w:r>
            <w:r>
              <w:rPr>
                <w:rFonts w:hint="default" w:ascii="宋体" w:hAnsi="宋体" w:eastAsia="宋体" w:cs="宋体"/>
                <w:i w:val="0"/>
                <w:iCs w:val="0"/>
                <w:color w:val="000000"/>
                <w:kern w:val="0"/>
                <w:sz w:val="20"/>
                <w:szCs w:val="20"/>
                <w:u w:val="none"/>
                <w:lang w:val="en-US" w:eastAsia="zh-CN" w:bidi="ar"/>
              </w:rPr>
              <w:t>不小于1.2°。</w:t>
            </w:r>
          </w:p>
          <w:p w14:paraId="16A2CD5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分辨率：</w:t>
            </w:r>
            <w:r>
              <w:rPr>
                <w:rFonts w:hint="default" w:ascii="宋体" w:hAnsi="宋体" w:eastAsia="宋体" w:cs="宋体"/>
                <w:i w:val="0"/>
                <w:iCs w:val="0"/>
                <w:color w:val="000000"/>
                <w:kern w:val="0"/>
                <w:sz w:val="20"/>
                <w:szCs w:val="20"/>
                <w:u w:val="none"/>
                <w:lang w:val="en-US" w:eastAsia="zh-CN" w:bidi="ar"/>
              </w:rPr>
              <w:t>优于 1.0 角秒。</w:t>
            </w:r>
          </w:p>
          <w:p w14:paraId="7FE6612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色彩还原：</w:t>
            </w:r>
            <w:r>
              <w:rPr>
                <w:rFonts w:hint="default" w:ascii="宋体" w:hAnsi="宋体" w:eastAsia="宋体" w:cs="宋体"/>
                <w:i w:val="0"/>
                <w:iCs w:val="0"/>
                <w:color w:val="000000"/>
                <w:kern w:val="0"/>
                <w:sz w:val="20"/>
                <w:szCs w:val="20"/>
                <w:u w:val="none"/>
                <w:lang w:val="en-US" w:eastAsia="zh-CN" w:bidi="ar"/>
              </w:rPr>
              <w:t>偏差±3% 内。</w:t>
            </w:r>
          </w:p>
          <w:p w14:paraId="35C96DC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镜身材质</w:t>
            </w:r>
            <w:r>
              <w:rPr>
                <w:rFonts w:hint="default" w:ascii="宋体" w:hAnsi="宋体" w:eastAsia="宋体" w:cs="宋体"/>
                <w:i w:val="0"/>
                <w:iCs w:val="0"/>
                <w:color w:val="000000"/>
                <w:kern w:val="0"/>
                <w:sz w:val="20"/>
                <w:szCs w:val="20"/>
                <w:u w:val="none"/>
                <w:lang w:val="en-US" w:eastAsia="zh-CN" w:bidi="ar"/>
              </w:rPr>
              <w:t>：铝合金材质，强度高、质轻，耐户外环境，延长使用寿命。</w:t>
            </w:r>
          </w:p>
          <w:p w14:paraId="44A83CA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温度适应性</w:t>
            </w:r>
            <w:r>
              <w:rPr>
                <w:rFonts w:hint="default" w:ascii="宋体" w:hAnsi="宋体" w:eastAsia="宋体" w:cs="宋体"/>
                <w:i w:val="0"/>
                <w:iCs w:val="0"/>
                <w:color w:val="000000"/>
                <w:kern w:val="0"/>
                <w:sz w:val="20"/>
                <w:szCs w:val="20"/>
                <w:u w:val="none"/>
                <w:lang w:val="en-US" w:eastAsia="zh-CN" w:bidi="ar"/>
              </w:rPr>
              <w:t>：-</w:t>
            </w:r>
            <w:r>
              <w:rPr>
                <w:rFonts w:hint="eastAsia" w:ascii="宋体" w:hAnsi="宋体" w:cs="宋体"/>
                <w:i w:val="0"/>
                <w:iCs w:val="0"/>
                <w:color w:val="000000"/>
                <w:kern w:val="0"/>
                <w:sz w:val="20"/>
                <w:szCs w:val="20"/>
                <w:u w:val="none"/>
                <w:lang w:val="en-US" w:eastAsia="zh-CN" w:bidi="ar"/>
              </w:rPr>
              <w:t>40</w:t>
            </w:r>
            <w:r>
              <w:rPr>
                <w:rFonts w:hint="default" w:ascii="宋体" w:hAnsi="宋体" w:eastAsia="宋体" w:cs="宋体"/>
                <w:i w:val="0"/>
                <w:iCs w:val="0"/>
                <w:color w:val="000000"/>
                <w:kern w:val="0"/>
                <w:sz w:val="20"/>
                <w:szCs w:val="20"/>
                <w:u w:val="none"/>
                <w:lang w:val="en-US" w:eastAsia="zh-CN" w:bidi="ar"/>
              </w:rPr>
              <w:t>℃</w:t>
            </w:r>
            <w:r>
              <w:rPr>
                <w:rFonts w:hint="eastAsia" w:ascii="宋体" w:hAnsi="宋体" w:cs="宋体"/>
                <w:i w:val="0"/>
                <w:iCs w:val="0"/>
                <w:color w:val="000000"/>
                <w:kern w:val="0"/>
                <w:sz w:val="20"/>
                <w:szCs w:val="20"/>
                <w:u w:val="none"/>
                <w:lang w:val="en-US" w:eastAsia="zh-CN" w:bidi="ar"/>
              </w:rPr>
              <w:t>-8</w:t>
            </w:r>
            <w:r>
              <w:rPr>
                <w:rFonts w:hint="default" w:ascii="宋体" w:hAnsi="宋体" w:eastAsia="宋体" w:cs="宋体"/>
                <w:i w:val="0"/>
                <w:iCs w:val="0"/>
                <w:color w:val="000000"/>
                <w:kern w:val="0"/>
                <w:sz w:val="20"/>
                <w:szCs w:val="20"/>
                <w:u w:val="none"/>
                <w:lang w:val="en-US" w:eastAsia="zh-CN" w:bidi="ar"/>
              </w:rPr>
              <w:t>0℃稳定工作，高低温下各部件正常，适用不同气候。</w:t>
            </w:r>
          </w:p>
          <w:p w14:paraId="6B16162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旋转角度：</w:t>
            </w:r>
            <w:r>
              <w:rPr>
                <w:rFonts w:hint="default" w:ascii="宋体" w:hAnsi="宋体" w:eastAsia="宋体" w:cs="宋体"/>
                <w:i w:val="0"/>
                <w:iCs w:val="0"/>
                <w:color w:val="000000"/>
                <w:kern w:val="0"/>
                <w:sz w:val="20"/>
                <w:szCs w:val="20"/>
                <w:u w:val="none"/>
                <w:lang w:val="en-US" w:eastAsia="zh-CN" w:bidi="ar"/>
              </w:rPr>
              <w:t>水平可无限制旋转，俯仰角度±40°。</w:t>
            </w:r>
          </w:p>
          <w:p w14:paraId="603A549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防水性能：</w:t>
            </w:r>
            <w:r>
              <w:rPr>
                <w:rFonts w:hint="default" w:ascii="宋体" w:hAnsi="宋体" w:eastAsia="宋体" w:cs="宋体"/>
                <w:i w:val="0"/>
                <w:iCs w:val="0"/>
                <w:color w:val="000000"/>
                <w:kern w:val="0"/>
                <w:sz w:val="20"/>
                <w:szCs w:val="20"/>
                <w:u w:val="none"/>
                <w:lang w:val="en-US" w:eastAsia="zh-CN" w:bidi="ar"/>
              </w:rPr>
              <w:t>IPX8 级全防水，内部不受水汽侵蚀。</w:t>
            </w:r>
          </w:p>
          <w:p w14:paraId="171ED5E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二、立柱</w:t>
            </w:r>
            <w:r>
              <w:rPr>
                <w:rFonts w:hint="eastAsia"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优质铸钢，圆柱结构</w:t>
            </w:r>
            <w:r>
              <w:rPr>
                <w:rFonts w:hint="eastAsia" w:ascii="宋体" w:hAnsi="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强度高、韧性好，高度：不低于1</w:t>
            </w:r>
            <w:r>
              <w:rPr>
                <w:rFonts w:hint="eastAsia" w:ascii="宋体" w:hAnsi="宋体" w:cs="宋体"/>
                <w:i w:val="0"/>
                <w:iCs w:val="0"/>
                <w:color w:val="000000"/>
                <w:kern w:val="0"/>
                <w:sz w:val="20"/>
                <w:szCs w:val="20"/>
                <w:u w:val="none"/>
                <w:lang w:val="en-US" w:eastAsia="zh-CN" w:bidi="ar"/>
              </w:rPr>
              <w:t>45</w:t>
            </w:r>
            <w:r>
              <w:rPr>
                <w:rFonts w:hint="default" w:ascii="宋体" w:hAnsi="宋体" w:eastAsia="宋体" w:cs="宋体"/>
                <w:i w:val="0"/>
                <w:iCs w:val="0"/>
                <w:color w:val="000000"/>
                <w:kern w:val="0"/>
                <w:sz w:val="20"/>
                <w:szCs w:val="20"/>
                <w:u w:val="none"/>
                <w:lang w:val="en-US" w:eastAsia="zh-CN" w:bidi="ar"/>
              </w:rPr>
              <w:t>0mm，保证观测视线无遮挡及使用舒适度。</w:t>
            </w:r>
          </w:p>
          <w:p w14:paraId="25B01A9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三、底座</w:t>
            </w:r>
            <w:r>
              <w:rPr>
                <w:rFonts w:hint="eastAsia"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优质铸钢，符合标准，承载望远镜传力给立柱，提供稳定支撑。</w:t>
            </w:r>
          </w:p>
          <w:p w14:paraId="6F78042D">
            <w:pPr>
              <w:keepNext w:val="0"/>
              <w:keepLines w:val="0"/>
              <w:widowControl/>
              <w:suppressLineNumbers w:val="0"/>
              <w:jc w:val="left"/>
              <w:textAlignment w:val="center"/>
            </w:pPr>
            <w:r>
              <w:rPr>
                <w:rFonts w:hint="default" w:ascii="宋体" w:hAnsi="宋体" w:eastAsia="宋体" w:cs="宋体"/>
                <w:b/>
                <w:bCs/>
                <w:i w:val="0"/>
                <w:iCs w:val="0"/>
                <w:color w:val="000000"/>
                <w:kern w:val="0"/>
                <w:sz w:val="20"/>
                <w:szCs w:val="20"/>
                <w:u w:val="none"/>
                <w:lang w:val="en-US" w:eastAsia="zh-CN" w:bidi="ar"/>
              </w:rPr>
              <w:t>四、</w:t>
            </w:r>
            <w:r>
              <w:rPr>
                <w:rFonts w:hint="eastAsia" w:ascii="宋体" w:hAnsi="宋体" w:cs="宋体"/>
                <w:b/>
                <w:bCs/>
                <w:i w:val="0"/>
                <w:iCs w:val="0"/>
                <w:color w:val="000000"/>
                <w:kern w:val="0"/>
                <w:sz w:val="20"/>
                <w:szCs w:val="20"/>
                <w:u w:val="none"/>
                <w:lang w:val="en-US" w:eastAsia="zh-CN" w:bidi="ar"/>
              </w:rPr>
              <w:t>基础</w:t>
            </w:r>
            <w:r>
              <w:rPr>
                <w:rFonts w:hint="eastAsia"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混凝土基础</w:t>
            </w:r>
            <w:bookmarkEnd w:id="194"/>
          </w:p>
        </w:tc>
        <w:tc>
          <w:tcPr>
            <w:tcW w:w="735" w:type="dxa"/>
            <w:noWrap w:val="0"/>
            <w:vAlign w:val="center"/>
          </w:tcPr>
          <w:p w14:paraId="01552A79">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0"/>
                <w:szCs w:val="20"/>
                <w:u w:val="none"/>
                <w:lang w:val="en-US" w:eastAsia="zh-CN" w:bidi="ar"/>
              </w:rPr>
              <w:t>套</w:t>
            </w:r>
          </w:p>
        </w:tc>
        <w:tc>
          <w:tcPr>
            <w:tcW w:w="690" w:type="dxa"/>
            <w:noWrap w:val="0"/>
            <w:vAlign w:val="center"/>
          </w:tcPr>
          <w:p w14:paraId="3485CB3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w:t>
            </w:r>
          </w:p>
        </w:tc>
        <w:tc>
          <w:tcPr>
            <w:tcW w:w="1095" w:type="dxa"/>
            <w:noWrap w:val="0"/>
            <w:vAlign w:val="center"/>
          </w:tcPr>
          <w:p w14:paraId="1181589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含安装调试费用</w:t>
            </w:r>
          </w:p>
        </w:tc>
      </w:tr>
      <w:tr w14:paraId="582C0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55D99A73">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1"/>
                <w:szCs w:val="21"/>
                <w:u w:val="none"/>
                <w:lang w:val="en-US" w:eastAsia="zh-CN" w:bidi="ar"/>
              </w:rPr>
              <w:t>2</w:t>
            </w:r>
          </w:p>
        </w:tc>
        <w:tc>
          <w:tcPr>
            <w:tcW w:w="870" w:type="dxa"/>
            <w:noWrap w:val="0"/>
            <w:vAlign w:val="center"/>
          </w:tcPr>
          <w:p w14:paraId="1CFA1F06">
            <w:pPr>
              <w:keepNext w:val="0"/>
              <w:keepLines w:val="0"/>
              <w:widowControl/>
              <w:suppressLineNumbers w:val="0"/>
              <w:jc w:val="left"/>
              <w:textAlignment w:val="center"/>
              <w:rPr>
                <w:rFonts w:hint="default"/>
                <w:lang w:val="en-US" w:eastAsia="zh-CN"/>
              </w:rPr>
            </w:pPr>
            <w:bookmarkStart w:id="195" w:name="OLE_LINK14"/>
            <w:r>
              <w:rPr>
                <w:rFonts w:hint="eastAsia" w:ascii="宋体" w:hAnsi="宋体" w:eastAsia="宋体" w:cs="宋体"/>
                <w:i w:val="0"/>
                <w:iCs w:val="0"/>
                <w:color w:val="000000"/>
                <w:kern w:val="0"/>
                <w:sz w:val="20"/>
                <w:szCs w:val="20"/>
                <w:u w:val="none"/>
                <w:lang w:val="en-US" w:eastAsia="zh-CN" w:bidi="ar"/>
              </w:rPr>
              <w:t>太阳能动物监控摄像头</w:t>
            </w:r>
            <w:bookmarkEnd w:id="195"/>
          </w:p>
        </w:tc>
        <w:tc>
          <w:tcPr>
            <w:tcW w:w="5670" w:type="dxa"/>
            <w:noWrap w:val="0"/>
            <w:vAlign w:val="center"/>
          </w:tcPr>
          <w:p w14:paraId="487E6DE1">
            <w:pPr>
              <w:keepNext w:val="0"/>
              <w:keepLines w:val="0"/>
              <w:widowControl/>
              <w:suppressLineNumbers w:val="0"/>
              <w:jc w:val="left"/>
              <w:textAlignment w:val="center"/>
              <w:rPr>
                <w:rFonts w:hint="default" w:ascii="宋体" w:hAnsi="宋体" w:eastAsia="宋体" w:cs="宋体"/>
                <w:b/>
                <w:bCs/>
                <w:i w:val="0"/>
                <w:iCs w:val="0"/>
                <w:color w:val="000000"/>
                <w:kern w:val="0"/>
                <w:sz w:val="20"/>
                <w:szCs w:val="20"/>
                <w:u w:val="none"/>
                <w:lang w:val="en-US" w:eastAsia="zh-CN" w:bidi="ar"/>
              </w:rPr>
            </w:pPr>
            <w:bookmarkStart w:id="196" w:name="OLE_LINK22"/>
            <w:r>
              <w:rPr>
                <w:rFonts w:hint="default" w:ascii="宋体" w:hAnsi="宋体" w:eastAsia="宋体" w:cs="宋体"/>
                <w:b/>
                <w:bCs/>
                <w:i w:val="0"/>
                <w:iCs w:val="0"/>
                <w:color w:val="000000"/>
                <w:kern w:val="0"/>
                <w:sz w:val="20"/>
                <w:szCs w:val="20"/>
                <w:u w:val="none"/>
                <w:lang w:val="en-US" w:eastAsia="zh-CN" w:bidi="ar"/>
              </w:rPr>
              <w:t>一、摄像</w:t>
            </w:r>
            <w:r>
              <w:rPr>
                <w:rFonts w:hint="eastAsia" w:ascii="宋体" w:hAnsi="宋体" w:eastAsia="宋体" w:cs="宋体"/>
                <w:b/>
                <w:bCs/>
                <w:i w:val="0"/>
                <w:iCs w:val="0"/>
                <w:color w:val="000000"/>
                <w:kern w:val="0"/>
                <w:sz w:val="20"/>
                <w:szCs w:val="20"/>
                <w:u w:val="none"/>
                <w:lang w:val="en-US" w:eastAsia="zh-CN" w:bidi="ar"/>
              </w:rPr>
              <w:t>机</w:t>
            </w:r>
          </w:p>
          <w:p w14:paraId="6A12453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bookmarkStart w:id="197" w:name="OLE_LINK35"/>
            <w:r>
              <w:rPr>
                <w:rFonts w:hint="eastAsia" w:ascii="宋体" w:hAnsi="宋体" w:eastAsia="宋体" w:cs="宋体"/>
                <w:i w:val="0"/>
                <w:iCs w:val="0"/>
                <w:color w:val="000000"/>
                <w:kern w:val="0"/>
                <w:sz w:val="20"/>
                <w:szCs w:val="20"/>
                <w:u w:val="none"/>
                <w:lang w:val="en-US" w:eastAsia="zh-CN" w:bidi="ar"/>
              </w:rPr>
              <w:t>支持4G（移动、联通，电信）网络传输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2.支持1/2.8" 400万23倍光学变焦镜头，采用高效补光阵列，低功耗，红外补光100m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3.支持区域入侵侦测，越界侦测，进入区域侦测和离开区域侦测等智能侦测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4.适用于农田、森林，河道、水库、矿区、野外等场景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5.内置加热玻璃，有效除雾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6.支持超低照度，0.005 Lux @F1.6（彩色），0.001 Lux @F1.6（黑白），0 Lux with IR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7.支持23倍光学变倍，16倍数字变倍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8.支持三码流技术，每路码流可独立配置分辨率及帧率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9.支持3D数字降噪，支持真宽动态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10.支持定时抓图与事件抓图功能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11.支持4G（移动、联通、电信）网络传输</w:t>
            </w:r>
          </w:p>
          <w:p w14:paraId="6B95690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12.支持SDK开发，开放型网络视频接口，ISAPI，GB/T28181，ISUP，支持云平台接入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13.IP66，抗干扰能力强，适用于严酷的电磁环境，符合GB/T17626.2/3/4/5/6四级标准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14.支持485读取标准电池电量信息并进行OSD叠加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15.最大支持512 GB MicroSD卡存储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16.内置可插拔4G NANO物联网卡，此卡定向到互联服务器</w:t>
            </w:r>
          </w:p>
          <w:bookmarkEnd w:id="197"/>
          <w:p w14:paraId="33A858B4">
            <w:pPr>
              <w:keepNext w:val="0"/>
              <w:keepLines w:val="0"/>
              <w:widowControl/>
              <w:numPr>
                <w:ilvl w:val="0"/>
                <w:numId w:val="0"/>
              </w:numPr>
              <w:suppressLineNumbers w:val="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二、</w:t>
            </w:r>
            <w:r>
              <w:rPr>
                <w:rFonts w:hint="default" w:ascii="宋体" w:hAnsi="宋体" w:eastAsia="宋体" w:cs="宋体"/>
                <w:b/>
                <w:bCs/>
                <w:i w:val="0"/>
                <w:iCs w:val="0"/>
                <w:color w:val="000000"/>
                <w:kern w:val="0"/>
                <w:sz w:val="20"/>
                <w:szCs w:val="20"/>
                <w:u w:val="none"/>
                <w:lang w:val="en-US" w:eastAsia="zh-CN" w:bidi="ar"/>
              </w:rPr>
              <w:t>监控杆</w:t>
            </w:r>
          </w:p>
          <w:p w14:paraId="5DE0610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立杆高度5米,杆体在40米/秒的风速条件下，不应发生明显抖动、严重歪斜或永久性变形，杆体需牢固、美观。</w:t>
            </w:r>
          </w:p>
          <w:p w14:paraId="47ACB155">
            <w:pPr>
              <w:keepNext w:val="0"/>
              <w:keepLines w:val="0"/>
              <w:widowControl/>
              <w:numPr>
                <w:ilvl w:val="0"/>
                <w:numId w:val="9"/>
              </w:numPr>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安装调试及辅材</w:t>
            </w:r>
          </w:p>
          <w:p w14:paraId="76E8BDE2">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设备安装、调试，接入平台配置及平台联网调试等，按接入监控设备计</w:t>
            </w:r>
          </w:p>
          <w:p w14:paraId="44EE5F9C">
            <w:pPr>
              <w:keepNext w:val="0"/>
              <w:keepLines w:val="0"/>
              <w:widowControl/>
              <w:numPr>
                <w:ilvl w:val="0"/>
                <w:numId w:val="9"/>
              </w:numPr>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机箱</w:t>
            </w:r>
          </w:p>
          <w:p w14:paraId="2C53ECA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监控设备箱（以实际场景需求为准），主要电气配件：控制器、重合闸、电源防雷器、维修插座，安装方式抱杆</w:t>
            </w:r>
          </w:p>
          <w:p w14:paraId="279CD7A5">
            <w:pPr>
              <w:keepNext w:val="0"/>
              <w:keepLines w:val="0"/>
              <w:widowControl/>
              <w:numPr>
                <w:ilvl w:val="0"/>
                <w:numId w:val="9"/>
              </w:numPr>
              <w:suppressLineNumbers w:val="0"/>
              <w:ind w:left="0" w:leftChars="0" w:firstLine="0" w:firstLineChars="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太阳能板</w:t>
            </w:r>
          </w:p>
          <w:p w14:paraId="4C71E66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光伏板：</w:t>
            </w:r>
            <w:r>
              <w:rPr>
                <w:rFonts w:hint="eastAsia" w:ascii="宋体" w:hAnsi="宋体" w:eastAsia="宋体" w:cs="宋体"/>
                <w:i w:val="0"/>
                <w:iCs w:val="0"/>
                <w:color w:val="000000"/>
                <w:kern w:val="0"/>
                <w:sz w:val="20"/>
                <w:szCs w:val="20"/>
                <w:u w:val="none"/>
                <w:lang w:val="en-US" w:eastAsia="zh-CN" w:bidi="ar"/>
              </w:rPr>
              <w:t>A级单晶硅面板，尺寸1070MM*540MM*30MM工作电压：18V，工作温度：零下40度-85度，边框材质优质铝合金，转换效能21%。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电池：</w:t>
            </w:r>
            <w:r>
              <w:rPr>
                <w:rFonts w:hint="eastAsia" w:ascii="宋体" w:hAnsi="宋体" w:eastAsia="宋体" w:cs="宋体"/>
                <w:i w:val="0"/>
                <w:iCs w:val="0"/>
                <w:color w:val="000000"/>
                <w:kern w:val="0"/>
                <w:sz w:val="20"/>
                <w:szCs w:val="20"/>
                <w:u w:val="none"/>
                <w:lang w:val="en-US" w:eastAsia="zh-CN" w:bidi="ar"/>
              </w:rPr>
              <w:t>全新A品18650，2500MAH三元锂电池，充放电次数≥800次以上，工作温度零下-40-70度。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控制器：</w:t>
            </w:r>
            <w:r>
              <w:rPr>
                <w:rFonts w:hint="eastAsia" w:ascii="宋体" w:hAnsi="宋体" w:eastAsia="宋体" w:cs="宋体"/>
                <w:i w:val="0"/>
                <w:iCs w:val="0"/>
                <w:color w:val="000000"/>
                <w:kern w:val="0"/>
                <w:sz w:val="20"/>
                <w:szCs w:val="20"/>
                <w:u w:val="none"/>
                <w:lang w:val="en-US" w:eastAsia="zh-CN" w:bidi="ar"/>
              </w:rPr>
              <w:t>4G物联网10A</w:t>
            </w:r>
            <w:r>
              <w:rPr>
                <w:rFonts w:hint="eastAsia" w:ascii="宋体" w:hAnsi="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MPPT控制器，防过充，防过放。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机箱：</w:t>
            </w:r>
            <w:r>
              <w:rPr>
                <w:rFonts w:hint="eastAsia" w:ascii="宋体" w:hAnsi="宋体" w:eastAsia="宋体" w:cs="宋体"/>
                <w:i w:val="0"/>
                <w:iCs w:val="0"/>
                <w:color w:val="000000"/>
                <w:kern w:val="0"/>
                <w:sz w:val="20"/>
                <w:szCs w:val="20"/>
                <w:u w:val="none"/>
                <w:lang w:val="en-US" w:eastAsia="zh-CN" w:bidi="ar"/>
              </w:rPr>
              <w:t>400*300*150mm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输出：</w:t>
            </w:r>
            <w:r>
              <w:rPr>
                <w:rFonts w:hint="eastAsia" w:ascii="宋体" w:hAnsi="宋体" w:eastAsia="宋体" w:cs="宋体"/>
                <w:i w:val="0"/>
                <w:iCs w:val="0"/>
                <w:color w:val="000000"/>
                <w:kern w:val="0"/>
                <w:sz w:val="20"/>
                <w:szCs w:val="20"/>
                <w:u w:val="none"/>
                <w:lang w:val="en-US" w:eastAsia="zh-CN" w:bidi="ar"/>
              </w:rPr>
              <w:t>一个12V，1.5米监控专用DC接口</w:t>
            </w:r>
          </w:p>
          <w:p w14:paraId="7EBF94E2">
            <w:pPr>
              <w:keepNext w:val="0"/>
              <w:keepLines w:val="0"/>
              <w:widowControl/>
              <w:numPr>
                <w:ilvl w:val="0"/>
                <w:numId w:val="0"/>
              </w:numPr>
              <w:suppressLineNumbers w:val="0"/>
              <w:ind w:leftChars="0"/>
              <w:jc w:val="left"/>
              <w:textAlignment w:val="center"/>
              <w:rPr>
                <w:rFonts w:hint="eastAsia" w:ascii="宋体" w:hAnsi="宋体" w:eastAsia="宋体" w:cs="宋体"/>
                <w:b/>
                <w:bCs/>
                <w:i w:val="0"/>
                <w:iCs w:val="0"/>
                <w:color w:val="000000"/>
                <w:kern w:val="0"/>
                <w:sz w:val="20"/>
                <w:szCs w:val="20"/>
                <w:u w:val="none"/>
                <w:lang w:val="en-US" w:eastAsia="zh-CN" w:bidi="ar"/>
              </w:rPr>
            </w:pPr>
            <w:bookmarkStart w:id="198" w:name="OLE_LINK36"/>
            <w:r>
              <w:rPr>
                <w:rFonts w:hint="eastAsia" w:ascii="宋体" w:hAnsi="宋体" w:eastAsia="宋体" w:cs="宋体"/>
                <w:b/>
                <w:bCs/>
                <w:i w:val="0"/>
                <w:iCs w:val="0"/>
                <w:color w:val="000000"/>
                <w:kern w:val="0"/>
                <w:sz w:val="20"/>
                <w:szCs w:val="20"/>
                <w:u w:val="none"/>
                <w:lang w:val="en-US" w:eastAsia="zh-CN" w:bidi="ar"/>
              </w:rPr>
              <w:t>六、太阳能供电模块</w:t>
            </w:r>
          </w:p>
          <w:p w14:paraId="0A04D5C3">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电池类型：三元锂电 / 磷酸铁锂 / 铅酸电池</w:t>
            </w:r>
          </w:p>
          <w:p w14:paraId="0FC3CA2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控制器版本：IOT版本(带4G无线) / RS485版本（带485功能）</w:t>
            </w:r>
          </w:p>
          <w:p w14:paraId="448E164E">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系统额定电压：12V</w:t>
            </w:r>
          </w:p>
          <w:p w14:paraId="478CFDE9">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充电电压范围：15-26V</w:t>
            </w:r>
          </w:p>
          <w:p w14:paraId="7A22CA41">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额定充电电流：10A</w:t>
            </w:r>
          </w:p>
          <w:p w14:paraId="0225CA6A">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最大太阳能板功率：150W/12V</w:t>
            </w:r>
          </w:p>
          <w:p w14:paraId="22906A1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最大PV开路电压：26V</w:t>
            </w:r>
          </w:p>
          <w:p w14:paraId="3AC38AD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MPPT技术参数：MPPT跟踪范围15≤Vmp≤30，MPPT转换效率97%</w:t>
            </w:r>
          </w:p>
          <w:p w14:paraId="640B68C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控制器输出控制：2路</w:t>
            </w:r>
          </w:p>
          <w:p w14:paraId="26B3B71F">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额定负载：输出电压为9.6V-12.6V，最大可接6A负载</w:t>
            </w:r>
          </w:p>
          <w:p w14:paraId="7ECC240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负载工作模式：开关模式和时间段模式</w:t>
            </w:r>
          </w:p>
          <w:p w14:paraId="391636E2">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功耗参数：静态功耗18mA/12V，休眠功耗≤1mA</w:t>
            </w:r>
          </w:p>
          <w:p w14:paraId="2880844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通信方式：4G无线传输</w:t>
            </w:r>
          </w:p>
          <w:p w14:paraId="1853038D">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保护功能：蓄电池过放保护、蓄电池超压保护、防止夜间BAT向PV放电、负载故障保护、过载保护、短路保护、过温保护、光伏输入反接保护等工作环境温湿度范围：温度-40℃ to 65℃，湿度0-100%RH</w:t>
            </w:r>
          </w:p>
          <w:p w14:paraId="40A9E30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冷却方式：自然散热</w:t>
            </w:r>
          </w:p>
          <w:p w14:paraId="62AAEBED">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规格尺寸(mm)：外观尺寸80×120×34mm</w:t>
            </w:r>
          </w:p>
          <w:p w14:paraId="4991901D">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安装尺寸74×106mm；孔径φ3.5mm</w:t>
            </w:r>
          </w:p>
          <w:bookmarkEnd w:id="198"/>
          <w:p w14:paraId="7E68392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val="0"/>
                <w:i w:val="0"/>
                <w:iCs w:val="0"/>
                <w:color w:val="000000"/>
                <w:kern w:val="0"/>
                <w:sz w:val="20"/>
                <w:szCs w:val="20"/>
                <w:u w:val="none"/>
                <w:lang w:val="en-US" w:eastAsia="zh-CN" w:bidi="ar"/>
              </w:rPr>
              <w:t>七、物联卡（流量卡）</w:t>
            </w:r>
            <w:r>
              <w:rPr>
                <w:rFonts w:hint="default"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涵盖</w:t>
            </w:r>
            <w:r>
              <w:rPr>
                <w:rFonts w:hint="eastAsia" w:ascii="宋体" w:hAnsi="宋体" w:cs="宋体"/>
                <w:i w:val="0"/>
                <w:iCs w:val="0"/>
                <w:color w:val="000000"/>
                <w:kern w:val="0"/>
                <w:sz w:val="20"/>
                <w:szCs w:val="20"/>
                <w:u w:val="none"/>
                <w:lang w:val="en-US" w:eastAsia="zh-CN" w:bidi="ar"/>
              </w:rPr>
              <w:t>1</w:t>
            </w:r>
            <w:r>
              <w:rPr>
                <w:rFonts w:hint="default" w:ascii="宋体" w:hAnsi="宋体" w:eastAsia="宋体" w:cs="宋体"/>
                <w:i w:val="0"/>
                <w:iCs w:val="0"/>
                <w:color w:val="000000"/>
                <w:kern w:val="0"/>
                <w:sz w:val="20"/>
                <w:szCs w:val="20"/>
                <w:u w:val="none"/>
                <w:lang w:val="en-US" w:eastAsia="zh-CN" w:bidi="ar"/>
              </w:rPr>
              <w:t>年所需费用</w:t>
            </w:r>
            <w:r>
              <w:rPr>
                <w:rFonts w:hint="eastAsia" w:ascii="宋体" w:hAnsi="宋体" w:cs="宋体"/>
                <w:i w:val="0"/>
                <w:iCs w:val="0"/>
                <w:color w:val="000000"/>
                <w:kern w:val="0"/>
                <w:sz w:val="20"/>
                <w:szCs w:val="20"/>
                <w:u w:val="none"/>
                <w:lang w:val="en-US" w:eastAsia="zh-CN" w:bidi="ar"/>
              </w:rPr>
              <w:t>,每月不少于</w:t>
            </w:r>
            <w:r>
              <w:rPr>
                <w:rFonts w:hint="eastAsia" w:ascii="宋体" w:hAnsi="宋体" w:eastAsia="宋体" w:cs="宋体"/>
                <w:i w:val="0"/>
                <w:iCs w:val="0"/>
                <w:color w:val="000000"/>
                <w:kern w:val="0"/>
                <w:sz w:val="20"/>
                <w:szCs w:val="20"/>
                <w:u w:val="none"/>
                <w:lang w:val="en-US" w:eastAsia="zh-CN" w:bidi="ar"/>
              </w:rPr>
              <w:t>100GB</w:t>
            </w:r>
          </w:p>
          <w:p w14:paraId="0533EB59">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八、</w:t>
            </w:r>
            <w:r>
              <w:rPr>
                <w:rFonts w:hint="default" w:ascii="宋体" w:hAnsi="宋体" w:eastAsia="宋体" w:cs="宋体"/>
                <w:b/>
                <w:bCs/>
                <w:i w:val="0"/>
                <w:iCs w:val="0"/>
                <w:color w:val="000000"/>
                <w:kern w:val="0"/>
                <w:sz w:val="20"/>
                <w:szCs w:val="20"/>
                <w:u w:val="none"/>
                <w:lang w:val="en-US" w:eastAsia="zh-CN" w:bidi="ar"/>
              </w:rPr>
              <w:t>内存卡：</w:t>
            </w:r>
            <w:r>
              <w:rPr>
                <w:rFonts w:hint="default" w:ascii="宋体" w:hAnsi="宋体" w:eastAsia="宋体" w:cs="宋体"/>
                <w:i w:val="0"/>
                <w:iCs w:val="0"/>
                <w:color w:val="000000"/>
                <w:kern w:val="0"/>
                <w:sz w:val="20"/>
                <w:szCs w:val="20"/>
                <w:u w:val="none"/>
                <w:lang w:val="en-US" w:eastAsia="zh-CN" w:bidi="ar"/>
              </w:rPr>
              <w:t>256GB 闪迪</w:t>
            </w:r>
          </w:p>
          <w:p w14:paraId="008503F3">
            <w:pPr>
              <w:keepNext w:val="0"/>
              <w:keepLines w:val="0"/>
              <w:widowControl/>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九、监控杆：</w:t>
            </w:r>
            <w:r>
              <w:rPr>
                <w:rFonts w:hint="eastAsia" w:ascii="宋体" w:hAnsi="宋体" w:eastAsia="宋体" w:cs="宋体"/>
                <w:i w:val="0"/>
                <w:iCs w:val="0"/>
                <w:color w:val="000000"/>
                <w:kern w:val="0"/>
                <w:sz w:val="20"/>
                <w:szCs w:val="20"/>
                <w:u w:val="none"/>
                <w:lang w:val="en-US" w:eastAsia="zh-CN" w:bidi="ar"/>
              </w:rPr>
              <w:t>立杆高度5米,杆体在40米/秒的风速条件下，不应发生明显抖动、严重歪斜或永久性变形，杆体需牢固、美观，表面镀锌喷塑。</w:t>
            </w:r>
          </w:p>
          <w:p w14:paraId="62603765">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十、</w:t>
            </w:r>
            <w:r>
              <w:rPr>
                <w:rFonts w:hint="eastAsia" w:ascii="宋体" w:hAnsi="宋体" w:eastAsia="宋体" w:cs="宋体"/>
                <w:b/>
                <w:bCs/>
                <w:i w:val="0"/>
                <w:iCs w:val="0"/>
                <w:color w:val="000000"/>
                <w:kern w:val="0"/>
                <w:sz w:val="20"/>
                <w:szCs w:val="20"/>
                <w:u w:val="none"/>
                <w:lang w:val="en-US" w:eastAsia="zh-CN" w:bidi="ar"/>
              </w:rPr>
              <w:t>监控杆</w:t>
            </w:r>
            <w:r>
              <w:rPr>
                <w:rFonts w:hint="eastAsia" w:ascii="宋体" w:hAnsi="宋体" w:cs="宋体"/>
                <w:b/>
                <w:bCs/>
                <w:i w:val="0"/>
                <w:iCs w:val="0"/>
                <w:color w:val="000000"/>
                <w:kern w:val="0"/>
                <w:sz w:val="20"/>
                <w:szCs w:val="20"/>
                <w:u w:val="none"/>
                <w:lang w:val="en-US" w:eastAsia="zh-CN" w:bidi="ar"/>
              </w:rPr>
              <w:t>基础</w:t>
            </w:r>
            <w:r>
              <w:rPr>
                <w:rFonts w:hint="default"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钢筋混凝土基础。</w:t>
            </w:r>
          </w:p>
          <w:p w14:paraId="4C52BF1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十一、</w:t>
            </w:r>
            <w:r>
              <w:rPr>
                <w:rFonts w:hint="default" w:ascii="宋体" w:hAnsi="宋体" w:eastAsia="宋体" w:cs="宋体"/>
                <w:b/>
                <w:bCs/>
                <w:i w:val="0"/>
                <w:iCs w:val="0"/>
                <w:color w:val="000000"/>
                <w:kern w:val="0"/>
                <w:sz w:val="20"/>
                <w:szCs w:val="20"/>
                <w:u w:val="none"/>
                <w:lang w:val="en-US" w:eastAsia="zh-CN" w:bidi="ar"/>
              </w:rPr>
              <w:t>平台接入链路费</w:t>
            </w:r>
            <w:r>
              <w:rPr>
                <w:rFonts w:hint="eastAsia"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涵盖</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年</w:t>
            </w:r>
            <w:r>
              <w:rPr>
                <w:rFonts w:hint="default" w:ascii="宋体" w:hAnsi="宋体" w:eastAsia="宋体" w:cs="宋体"/>
                <w:i w:val="0"/>
                <w:iCs w:val="0"/>
                <w:color w:val="000000"/>
                <w:kern w:val="0"/>
                <w:sz w:val="20"/>
                <w:szCs w:val="20"/>
                <w:u w:val="none"/>
                <w:lang w:val="en-US" w:eastAsia="zh-CN" w:bidi="ar"/>
              </w:rPr>
              <w:t>平台接入链路服务所需</w:t>
            </w:r>
            <w:r>
              <w:rPr>
                <w:rFonts w:hint="eastAsia" w:ascii="宋体" w:hAnsi="宋体" w:eastAsia="宋体" w:cs="宋体"/>
                <w:i w:val="0"/>
                <w:iCs w:val="0"/>
                <w:color w:val="000000"/>
                <w:kern w:val="0"/>
                <w:sz w:val="20"/>
                <w:szCs w:val="20"/>
                <w:u w:val="none"/>
                <w:lang w:val="en-US" w:eastAsia="zh-CN" w:bidi="ar"/>
              </w:rPr>
              <w:t>所有费用</w:t>
            </w:r>
            <w:r>
              <w:rPr>
                <w:rFonts w:hint="default" w:ascii="宋体" w:hAnsi="宋体" w:eastAsia="宋体" w:cs="宋体"/>
                <w:i w:val="0"/>
                <w:iCs w:val="0"/>
                <w:color w:val="000000"/>
                <w:kern w:val="0"/>
                <w:sz w:val="20"/>
                <w:szCs w:val="20"/>
                <w:u w:val="none"/>
                <w:lang w:val="en-US" w:eastAsia="zh-CN" w:bidi="ar"/>
              </w:rPr>
              <w:t>。</w:t>
            </w:r>
            <w:r>
              <w:rPr>
                <w:rFonts w:hint="eastAsia" w:ascii="宋体" w:hAnsi="宋体" w:cs="宋体"/>
                <w:b w:val="0"/>
                <w:bCs w:val="0"/>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 xml:space="preserve">  </w:t>
            </w:r>
          </w:p>
          <w:p w14:paraId="751B586D">
            <w:pPr>
              <w:keepNext w:val="0"/>
              <w:keepLines w:val="0"/>
              <w:widowControl/>
              <w:suppressLineNumbers w:val="0"/>
              <w:jc w:val="left"/>
              <w:textAlignment w:val="center"/>
              <w:rPr>
                <w:rFonts w:hint="default"/>
                <w:lang w:val="en-US" w:eastAsia="zh-CN"/>
              </w:rPr>
            </w:pPr>
            <w:r>
              <w:rPr>
                <w:rFonts w:hint="eastAsia" w:ascii="宋体" w:hAnsi="宋体" w:eastAsia="宋体" w:cs="宋体"/>
                <w:b/>
                <w:bCs/>
                <w:i w:val="0"/>
                <w:iCs w:val="0"/>
                <w:color w:val="000000"/>
                <w:kern w:val="0"/>
                <w:sz w:val="20"/>
                <w:szCs w:val="20"/>
                <w:u w:val="none"/>
                <w:lang w:val="en-US" w:eastAsia="zh-CN" w:bidi="ar"/>
              </w:rPr>
              <w:t>十二</w:t>
            </w: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报价应涵盖</w:t>
            </w:r>
            <w:r>
              <w:rPr>
                <w:rFonts w:hint="eastAsia" w:ascii="宋体" w:hAnsi="宋体" w:eastAsia="宋体" w:cs="宋体"/>
                <w:i w:val="0"/>
                <w:iCs w:val="0"/>
                <w:color w:val="000000"/>
                <w:kern w:val="0"/>
                <w:sz w:val="20"/>
                <w:szCs w:val="20"/>
                <w:u w:val="none"/>
                <w:lang w:val="en-US" w:eastAsia="zh-CN" w:bidi="ar"/>
              </w:rPr>
              <w:t>以上</w:t>
            </w:r>
            <w:r>
              <w:rPr>
                <w:rFonts w:hint="default" w:ascii="宋体" w:hAnsi="宋体" w:eastAsia="宋体" w:cs="宋体"/>
                <w:i w:val="0"/>
                <w:iCs w:val="0"/>
                <w:color w:val="000000"/>
                <w:kern w:val="0"/>
                <w:sz w:val="20"/>
                <w:szCs w:val="20"/>
                <w:u w:val="none"/>
                <w:lang w:val="en-US" w:eastAsia="zh-CN" w:bidi="ar"/>
              </w:rPr>
              <w:t>所有设备、配件及相关服务的全部费用，包括但不限于设备本身的购置费用、所有安装所需的附件费用，并且包含设备的安装、调试等工作（包安装）。</w:t>
            </w:r>
            <w:bookmarkEnd w:id="196"/>
          </w:p>
        </w:tc>
        <w:tc>
          <w:tcPr>
            <w:tcW w:w="735" w:type="dxa"/>
            <w:noWrap w:val="0"/>
            <w:vAlign w:val="center"/>
          </w:tcPr>
          <w:p w14:paraId="28B529C9">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0"/>
                <w:szCs w:val="20"/>
                <w:u w:val="none"/>
                <w:lang w:val="en-US" w:eastAsia="zh-CN" w:bidi="ar"/>
              </w:rPr>
              <w:t>套</w:t>
            </w:r>
          </w:p>
        </w:tc>
        <w:tc>
          <w:tcPr>
            <w:tcW w:w="690" w:type="dxa"/>
            <w:noWrap w:val="0"/>
            <w:vAlign w:val="center"/>
          </w:tcPr>
          <w:p w14:paraId="03754818">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38</w:t>
            </w:r>
          </w:p>
        </w:tc>
        <w:tc>
          <w:tcPr>
            <w:tcW w:w="1095" w:type="dxa"/>
            <w:noWrap w:val="0"/>
            <w:vAlign w:val="center"/>
          </w:tcPr>
          <w:p w14:paraId="0B6B1FE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14:paraId="30F33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0445C2BB">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1"/>
                <w:szCs w:val="21"/>
                <w:u w:val="none"/>
                <w:lang w:val="en-US" w:eastAsia="zh-CN" w:bidi="ar"/>
              </w:rPr>
              <w:t>3</w:t>
            </w:r>
          </w:p>
        </w:tc>
        <w:tc>
          <w:tcPr>
            <w:tcW w:w="870" w:type="dxa"/>
            <w:noWrap w:val="0"/>
            <w:vAlign w:val="center"/>
          </w:tcPr>
          <w:p w14:paraId="28BB3048">
            <w:pPr>
              <w:keepNext w:val="0"/>
              <w:keepLines w:val="0"/>
              <w:widowControl/>
              <w:suppressLineNumbers w:val="0"/>
              <w:jc w:val="center"/>
              <w:textAlignment w:val="center"/>
              <w:rPr>
                <w:vertAlign w:val="baseline"/>
              </w:rPr>
            </w:pPr>
            <w:bookmarkStart w:id="199" w:name="OLE_LINK13"/>
            <w:r>
              <w:rPr>
                <w:rFonts w:hint="eastAsia" w:ascii="宋体" w:hAnsi="宋体" w:eastAsia="宋体" w:cs="宋体"/>
                <w:i w:val="0"/>
                <w:iCs w:val="0"/>
                <w:color w:val="000000"/>
                <w:kern w:val="0"/>
                <w:sz w:val="20"/>
                <w:szCs w:val="20"/>
                <w:u w:val="none"/>
                <w:lang w:val="en-US" w:eastAsia="zh-CN" w:bidi="ar"/>
              </w:rPr>
              <w:t>太阳能治安摄像头</w:t>
            </w:r>
            <w:bookmarkEnd w:id="199"/>
          </w:p>
        </w:tc>
        <w:tc>
          <w:tcPr>
            <w:tcW w:w="5670" w:type="dxa"/>
            <w:noWrap w:val="0"/>
            <w:vAlign w:val="center"/>
          </w:tcPr>
          <w:p w14:paraId="5ED34249">
            <w:pPr>
              <w:keepNext w:val="0"/>
              <w:keepLines w:val="0"/>
              <w:widowControl/>
              <w:suppressLineNumbers w:val="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一、摄像</w:t>
            </w:r>
            <w:r>
              <w:rPr>
                <w:rFonts w:hint="eastAsia" w:ascii="宋体" w:hAnsi="宋体" w:eastAsia="宋体" w:cs="宋体"/>
                <w:b/>
                <w:bCs/>
                <w:i w:val="0"/>
                <w:iCs w:val="0"/>
                <w:color w:val="000000"/>
                <w:kern w:val="0"/>
                <w:sz w:val="20"/>
                <w:szCs w:val="20"/>
                <w:u w:val="none"/>
                <w:lang w:val="en-US" w:eastAsia="zh-CN" w:bidi="ar"/>
              </w:rPr>
              <w:t>机</w:t>
            </w:r>
          </w:p>
          <w:p w14:paraId="546E5C0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支持4G（移动、联通，电信）网络传输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2.支持1/2.8" 400万23倍光学变焦镜头，采用高效补光阵列，低功耗，红外补光100m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3.支持区域入侵侦测，越界侦测，进入区域侦测和离开区域侦测等智能侦测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4.适用于农田、森林，河道、水库、矿区、野外等场景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5.内置加热玻璃，有效除雾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6.支持超低照度，0.005 Lux @F1.6（彩色），0.001 Lux @F1.6（黑白），0 Lux with IR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7.支持23倍光学变倍，16倍数字变倍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8.支持三码流技术，每路码流可独立配置分辨率及帧率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9.支持3D数字降噪，支持真宽动态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10.支持定时抓图与事件抓图功能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11.支持4G（移动、联通、电信）网络传输</w:t>
            </w:r>
          </w:p>
          <w:p w14:paraId="7049014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12.支持SDK开发，开放型网络视频接口，ISAPI，GB/T28181，ISUP，支持云平台接入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13.IP66，抗干扰能力强，适用于严酷的电磁环境，符合GB/T17626.2/3/4/5/6四级标准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14.支持485读取标准电池电量信息并进行OSD叠加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15.最大支持512 GB MicroSD卡存储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16.内置可插拔4G NANO物联网卡，此卡定向到互联服务器</w:t>
            </w:r>
          </w:p>
          <w:p w14:paraId="36D30DEA">
            <w:pPr>
              <w:keepNext w:val="0"/>
              <w:keepLines w:val="0"/>
              <w:widowControl/>
              <w:numPr>
                <w:ilvl w:val="0"/>
                <w:numId w:val="0"/>
              </w:numPr>
              <w:suppressLineNumbers w:val="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二、</w:t>
            </w:r>
            <w:r>
              <w:rPr>
                <w:rFonts w:hint="default" w:ascii="宋体" w:hAnsi="宋体" w:eastAsia="宋体" w:cs="宋体"/>
                <w:b/>
                <w:bCs/>
                <w:i w:val="0"/>
                <w:iCs w:val="0"/>
                <w:color w:val="000000"/>
                <w:kern w:val="0"/>
                <w:sz w:val="20"/>
                <w:szCs w:val="20"/>
                <w:u w:val="none"/>
                <w:lang w:val="en-US" w:eastAsia="zh-CN" w:bidi="ar"/>
              </w:rPr>
              <w:t>监控杆</w:t>
            </w:r>
          </w:p>
          <w:p w14:paraId="2E96A55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立杆高度5米,杆体在40米/秒的风速条件下，不应发生明显抖动、严重歪斜或永久性变形，杆体需牢固、美观。</w:t>
            </w:r>
          </w:p>
          <w:p w14:paraId="7E7D6E65">
            <w:pPr>
              <w:keepNext w:val="0"/>
              <w:keepLines w:val="0"/>
              <w:widowControl/>
              <w:numPr>
                <w:ilvl w:val="0"/>
                <w:numId w:val="9"/>
              </w:numPr>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安装调试及辅材</w:t>
            </w:r>
          </w:p>
          <w:p w14:paraId="24F6083C">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设备安装、调试，接入平台配置及平台联网调试等，按接入监控设备计</w:t>
            </w:r>
          </w:p>
          <w:p w14:paraId="7A6D5B59">
            <w:pPr>
              <w:keepNext w:val="0"/>
              <w:keepLines w:val="0"/>
              <w:widowControl/>
              <w:numPr>
                <w:ilvl w:val="0"/>
                <w:numId w:val="9"/>
              </w:numPr>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机箱</w:t>
            </w:r>
          </w:p>
          <w:p w14:paraId="27693E83">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监控设备箱（以实际场景需求为准），主要电气配件：控制器、重合闸、电源防雷器、维修插座，安装方式抱杆</w:t>
            </w:r>
          </w:p>
          <w:p w14:paraId="42DDDAD0">
            <w:pPr>
              <w:keepNext w:val="0"/>
              <w:keepLines w:val="0"/>
              <w:widowControl/>
              <w:numPr>
                <w:ilvl w:val="0"/>
                <w:numId w:val="9"/>
              </w:numPr>
              <w:suppressLineNumbers w:val="0"/>
              <w:ind w:left="0" w:leftChars="0" w:firstLine="0" w:firstLineChars="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太阳能板</w:t>
            </w:r>
          </w:p>
          <w:p w14:paraId="3E3F2DB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光伏板：</w:t>
            </w:r>
            <w:r>
              <w:rPr>
                <w:rFonts w:hint="eastAsia" w:ascii="宋体" w:hAnsi="宋体" w:eastAsia="宋体" w:cs="宋体"/>
                <w:i w:val="0"/>
                <w:iCs w:val="0"/>
                <w:color w:val="000000"/>
                <w:kern w:val="0"/>
                <w:sz w:val="20"/>
                <w:szCs w:val="20"/>
                <w:u w:val="none"/>
                <w:lang w:val="en-US" w:eastAsia="zh-CN" w:bidi="ar"/>
              </w:rPr>
              <w:t>A级单晶硅面板，尺寸1070MM*540MM*30MM 工作电压：18V，工作温度：零下40度-85度，边框材质优质铝合金，转换效能21%。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电池：</w:t>
            </w:r>
            <w:r>
              <w:rPr>
                <w:rFonts w:hint="eastAsia" w:ascii="宋体" w:hAnsi="宋体" w:eastAsia="宋体" w:cs="宋体"/>
                <w:i w:val="0"/>
                <w:iCs w:val="0"/>
                <w:color w:val="000000"/>
                <w:kern w:val="0"/>
                <w:sz w:val="20"/>
                <w:szCs w:val="20"/>
                <w:u w:val="none"/>
                <w:lang w:val="en-US" w:eastAsia="zh-CN" w:bidi="ar"/>
              </w:rPr>
              <w:t>全新A品18650，2500MAH三元锂电池，充放电次数≥800次以上，工作温度零下-40-70度。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控制器：</w:t>
            </w:r>
            <w:r>
              <w:rPr>
                <w:rFonts w:hint="eastAsia" w:ascii="宋体" w:hAnsi="宋体" w:eastAsia="宋体" w:cs="宋体"/>
                <w:i w:val="0"/>
                <w:iCs w:val="0"/>
                <w:color w:val="000000"/>
                <w:kern w:val="0"/>
                <w:sz w:val="20"/>
                <w:szCs w:val="20"/>
                <w:u w:val="none"/>
                <w:lang w:val="en-US" w:eastAsia="zh-CN" w:bidi="ar"/>
              </w:rPr>
              <w:t>4G物联网 10A MPPT控制器，防过充，防过放。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机箱：</w:t>
            </w:r>
            <w:r>
              <w:rPr>
                <w:rFonts w:hint="eastAsia" w:ascii="宋体" w:hAnsi="宋体" w:eastAsia="宋体" w:cs="宋体"/>
                <w:i w:val="0"/>
                <w:iCs w:val="0"/>
                <w:color w:val="000000"/>
                <w:kern w:val="0"/>
                <w:sz w:val="20"/>
                <w:szCs w:val="20"/>
                <w:u w:val="none"/>
                <w:lang w:val="en-US" w:eastAsia="zh-CN" w:bidi="ar"/>
              </w:rPr>
              <w:t>400*300*150mm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输出：</w:t>
            </w:r>
            <w:r>
              <w:rPr>
                <w:rFonts w:hint="eastAsia" w:ascii="宋体" w:hAnsi="宋体" w:eastAsia="宋体" w:cs="宋体"/>
                <w:i w:val="0"/>
                <w:iCs w:val="0"/>
                <w:color w:val="000000"/>
                <w:kern w:val="0"/>
                <w:sz w:val="20"/>
                <w:szCs w:val="20"/>
                <w:u w:val="none"/>
                <w:lang w:val="en-US" w:eastAsia="zh-CN" w:bidi="ar"/>
              </w:rPr>
              <w:t>一个12V，1.5米监控专用DC接口</w:t>
            </w:r>
          </w:p>
          <w:p w14:paraId="109C4C93">
            <w:pPr>
              <w:keepNext w:val="0"/>
              <w:keepLines w:val="0"/>
              <w:widowControl/>
              <w:numPr>
                <w:ilvl w:val="0"/>
                <w:numId w:val="0"/>
              </w:numPr>
              <w:suppressLineNumbers w:val="0"/>
              <w:ind w:leftChars="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六、太阳能供电模块</w:t>
            </w:r>
          </w:p>
          <w:p w14:paraId="4ABD281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电池类型：三元锂电 / 磷酸铁锂 / 铅酸电池</w:t>
            </w:r>
          </w:p>
          <w:p w14:paraId="386FDEE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控制器版本：IOT版本(带4G无线) / RS485版本（带485功能）</w:t>
            </w:r>
          </w:p>
          <w:p w14:paraId="491C6959">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系统额定电压：12V</w:t>
            </w:r>
          </w:p>
          <w:p w14:paraId="08704A77">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充电电压范围：15-26V</w:t>
            </w:r>
          </w:p>
          <w:p w14:paraId="0B7772E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额定充电电流：10A</w:t>
            </w:r>
          </w:p>
          <w:p w14:paraId="6D710693">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最大太阳能板功率：150W/12V</w:t>
            </w:r>
          </w:p>
          <w:p w14:paraId="61456D9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最大PV开路电压：26V</w:t>
            </w:r>
          </w:p>
          <w:p w14:paraId="0F8EC94A">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MPPT技术参数：MPPT跟踪范围15≤Vmp≤30，MPPT转换效率97%</w:t>
            </w:r>
          </w:p>
          <w:p w14:paraId="3E34896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控制器输出控制：2路</w:t>
            </w:r>
          </w:p>
          <w:p w14:paraId="12D059E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额定负载：输出电压为9.6V-12.6V，最大可接6A负载</w:t>
            </w:r>
          </w:p>
          <w:p w14:paraId="220512F2">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负载工作模式：开关模式和时间段模式</w:t>
            </w:r>
          </w:p>
          <w:p w14:paraId="504DE82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功耗参数：静态功耗18mA/12V，休眠功耗≤1mA</w:t>
            </w:r>
          </w:p>
          <w:p w14:paraId="4150F31A">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通信方式：4G无线传输</w:t>
            </w:r>
          </w:p>
          <w:p w14:paraId="161B0F89">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保护功能：蓄电池过放保护、蓄电池超压保护、防止夜间BAT向PV放电、负载故障保</w:t>
            </w:r>
          </w:p>
          <w:p w14:paraId="6F75BBE2">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护、过载保护、短路保护、过温保护、光伏输入反接保护等</w:t>
            </w:r>
          </w:p>
          <w:p w14:paraId="10F3373D">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工作环境温湿度范围：温度-40℃ to 65℃，湿度0-100%RH</w:t>
            </w:r>
          </w:p>
          <w:p w14:paraId="065529F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冷却方式：自然散热</w:t>
            </w:r>
          </w:p>
          <w:p w14:paraId="43E0D15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规格尺寸(mm)：外观尺寸80×120×34m</w:t>
            </w:r>
          </w:p>
          <w:p w14:paraId="46BE691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安装尺寸74×106mm；孔径φ3.5mm</w:t>
            </w:r>
          </w:p>
          <w:p w14:paraId="6D7B1742">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val="0"/>
                <w:i w:val="0"/>
                <w:iCs w:val="0"/>
                <w:color w:val="000000"/>
                <w:kern w:val="0"/>
                <w:sz w:val="20"/>
                <w:szCs w:val="20"/>
                <w:u w:val="none"/>
                <w:lang w:val="en-US" w:eastAsia="zh-CN" w:bidi="ar"/>
              </w:rPr>
              <w:t>七、物联卡（流量卡）</w:t>
            </w:r>
            <w:r>
              <w:rPr>
                <w:rFonts w:hint="default"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涵盖</w:t>
            </w:r>
            <w:r>
              <w:rPr>
                <w:rFonts w:hint="eastAsia" w:ascii="宋体" w:hAnsi="宋体" w:cs="宋体"/>
                <w:i w:val="0"/>
                <w:iCs w:val="0"/>
                <w:color w:val="000000"/>
                <w:kern w:val="0"/>
                <w:sz w:val="20"/>
                <w:szCs w:val="20"/>
                <w:u w:val="none"/>
                <w:lang w:val="en-US" w:eastAsia="zh-CN" w:bidi="ar"/>
              </w:rPr>
              <w:t>1</w:t>
            </w:r>
            <w:r>
              <w:rPr>
                <w:rFonts w:hint="default" w:ascii="宋体" w:hAnsi="宋体" w:eastAsia="宋体" w:cs="宋体"/>
                <w:i w:val="0"/>
                <w:iCs w:val="0"/>
                <w:color w:val="000000"/>
                <w:kern w:val="0"/>
                <w:sz w:val="20"/>
                <w:szCs w:val="20"/>
                <w:u w:val="none"/>
                <w:lang w:val="en-US" w:eastAsia="zh-CN" w:bidi="ar"/>
              </w:rPr>
              <w:t>年所需费用</w:t>
            </w:r>
            <w:r>
              <w:rPr>
                <w:rFonts w:hint="eastAsia" w:ascii="宋体" w:hAnsi="宋体" w:cs="宋体"/>
                <w:i w:val="0"/>
                <w:iCs w:val="0"/>
                <w:color w:val="000000"/>
                <w:kern w:val="0"/>
                <w:sz w:val="20"/>
                <w:szCs w:val="20"/>
                <w:u w:val="none"/>
                <w:lang w:val="en-US" w:eastAsia="zh-CN" w:bidi="ar"/>
              </w:rPr>
              <w:t>,每月不少于</w:t>
            </w:r>
            <w:r>
              <w:rPr>
                <w:rFonts w:hint="eastAsia" w:ascii="宋体" w:hAnsi="宋体" w:eastAsia="宋体" w:cs="宋体"/>
                <w:i w:val="0"/>
                <w:iCs w:val="0"/>
                <w:color w:val="000000"/>
                <w:kern w:val="0"/>
                <w:sz w:val="20"/>
                <w:szCs w:val="20"/>
                <w:u w:val="none"/>
                <w:lang w:val="en-US" w:eastAsia="zh-CN" w:bidi="ar"/>
              </w:rPr>
              <w:t>100GB</w:t>
            </w:r>
          </w:p>
          <w:p w14:paraId="6CAD7E9A">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八、</w:t>
            </w:r>
            <w:r>
              <w:rPr>
                <w:rFonts w:hint="default" w:ascii="宋体" w:hAnsi="宋体" w:eastAsia="宋体" w:cs="宋体"/>
                <w:b/>
                <w:bCs/>
                <w:i w:val="0"/>
                <w:iCs w:val="0"/>
                <w:color w:val="000000"/>
                <w:kern w:val="0"/>
                <w:sz w:val="20"/>
                <w:szCs w:val="20"/>
                <w:u w:val="none"/>
                <w:lang w:val="en-US" w:eastAsia="zh-CN" w:bidi="ar"/>
              </w:rPr>
              <w:t>内存卡：</w:t>
            </w:r>
            <w:r>
              <w:rPr>
                <w:rFonts w:hint="default" w:ascii="宋体" w:hAnsi="宋体" w:eastAsia="宋体" w:cs="宋体"/>
                <w:i w:val="0"/>
                <w:iCs w:val="0"/>
                <w:color w:val="000000"/>
                <w:kern w:val="0"/>
                <w:sz w:val="20"/>
                <w:szCs w:val="20"/>
                <w:u w:val="none"/>
                <w:lang w:val="en-US" w:eastAsia="zh-CN" w:bidi="ar"/>
              </w:rPr>
              <w:t>256GB 闪迪</w:t>
            </w:r>
          </w:p>
          <w:p w14:paraId="1AA6FB39">
            <w:pPr>
              <w:keepNext w:val="0"/>
              <w:keepLines w:val="0"/>
              <w:widowControl/>
              <w:suppressLineNumbers w:val="0"/>
              <w:jc w:val="left"/>
              <w:textAlignment w:val="center"/>
              <w:rPr>
                <w:rFonts w:hint="eastAsia"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九、</w:t>
            </w:r>
            <w:bookmarkStart w:id="200" w:name="OLE_LINK17"/>
            <w:r>
              <w:rPr>
                <w:rFonts w:hint="eastAsia" w:ascii="宋体" w:hAnsi="宋体" w:eastAsia="宋体" w:cs="宋体"/>
                <w:b/>
                <w:bCs/>
                <w:i w:val="0"/>
                <w:iCs w:val="0"/>
                <w:color w:val="000000"/>
                <w:kern w:val="0"/>
                <w:sz w:val="20"/>
                <w:szCs w:val="20"/>
                <w:u w:val="none"/>
                <w:lang w:val="en-US" w:eastAsia="zh-CN" w:bidi="ar"/>
              </w:rPr>
              <w:t>监控杆</w:t>
            </w:r>
            <w:bookmarkEnd w:id="200"/>
            <w:r>
              <w:rPr>
                <w:rFonts w:hint="eastAsia" w:ascii="宋体" w:hAnsi="宋体" w:eastAsia="宋体" w:cs="宋体"/>
                <w:b/>
                <w:bCs/>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立杆高度5米,杆体在40米/秒的风速条件下，不应发生明显抖动、严重歪斜或永久性变形，杆体需牢固、美观，表面镀锌喷塑。</w:t>
            </w:r>
          </w:p>
          <w:p w14:paraId="2845D85A">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十、</w:t>
            </w:r>
            <w:r>
              <w:rPr>
                <w:rFonts w:hint="eastAsia" w:ascii="宋体" w:hAnsi="宋体" w:eastAsia="宋体" w:cs="宋体"/>
                <w:b/>
                <w:bCs/>
                <w:i w:val="0"/>
                <w:iCs w:val="0"/>
                <w:color w:val="000000"/>
                <w:kern w:val="0"/>
                <w:sz w:val="20"/>
                <w:szCs w:val="20"/>
                <w:u w:val="none"/>
                <w:lang w:val="en-US" w:eastAsia="zh-CN" w:bidi="ar"/>
              </w:rPr>
              <w:t>监控杆</w:t>
            </w:r>
            <w:r>
              <w:rPr>
                <w:rFonts w:hint="eastAsia" w:ascii="宋体" w:hAnsi="宋体" w:cs="宋体"/>
                <w:b/>
                <w:bCs/>
                <w:i w:val="0"/>
                <w:iCs w:val="0"/>
                <w:color w:val="000000"/>
                <w:kern w:val="0"/>
                <w:sz w:val="20"/>
                <w:szCs w:val="20"/>
                <w:u w:val="none"/>
                <w:lang w:val="en-US" w:eastAsia="zh-CN" w:bidi="ar"/>
              </w:rPr>
              <w:t>基础</w:t>
            </w:r>
            <w:r>
              <w:rPr>
                <w:rFonts w:hint="default"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钢筋混凝土基础。</w:t>
            </w:r>
          </w:p>
          <w:p w14:paraId="58EC0E9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十一、</w:t>
            </w:r>
            <w:bookmarkStart w:id="201" w:name="OLE_LINK23"/>
            <w:r>
              <w:rPr>
                <w:rFonts w:hint="default" w:ascii="宋体" w:hAnsi="宋体" w:eastAsia="宋体" w:cs="宋体"/>
                <w:b/>
                <w:bCs/>
                <w:i w:val="0"/>
                <w:iCs w:val="0"/>
                <w:color w:val="000000"/>
                <w:kern w:val="0"/>
                <w:sz w:val="20"/>
                <w:szCs w:val="20"/>
                <w:u w:val="none"/>
                <w:lang w:val="en-US" w:eastAsia="zh-CN" w:bidi="ar"/>
              </w:rPr>
              <w:t>平台接入链路费</w:t>
            </w:r>
            <w:r>
              <w:rPr>
                <w:rFonts w:hint="eastAsia"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涵盖</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年</w:t>
            </w:r>
            <w:r>
              <w:rPr>
                <w:rFonts w:hint="default" w:ascii="宋体" w:hAnsi="宋体" w:eastAsia="宋体" w:cs="宋体"/>
                <w:i w:val="0"/>
                <w:iCs w:val="0"/>
                <w:color w:val="000000"/>
                <w:kern w:val="0"/>
                <w:sz w:val="20"/>
                <w:szCs w:val="20"/>
                <w:u w:val="none"/>
                <w:lang w:val="en-US" w:eastAsia="zh-CN" w:bidi="ar"/>
              </w:rPr>
              <w:t>平台接入链路服务所需</w:t>
            </w:r>
            <w:r>
              <w:rPr>
                <w:rFonts w:hint="eastAsia" w:ascii="宋体" w:hAnsi="宋体" w:eastAsia="宋体" w:cs="宋体"/>
                <w:i w:val="0"/>
                <w:iCs w:val="0"/>
                <w:color w:val="000000"/>
                <w:kern w:val="0"/>
                <w:sz w:val="20"/>
                <w:szCs w:val="20"/>
                <w:u w:val="none"/>
                <w:lang w:val="en-US" w:eastAsia="zh-CN" w:bidi="ar"/>
              </w:rPr>
              <w:t>所有费用</w:t>
            </w:r>
            <w:r>
              <w:rPr>
                <w:rFonts w:hint="default" w:ascii="宋体" w:hAnsi="宋体" w:eastAsia="宋体" w:cs="宋体"/>
                <w:i w:val="0"/>
                <w:iCs w:val="0"/>
                <w:color w:val="000000"/>
                <w:kern w:val="0"/>
                <w:sz w:val="20"/>
                <w:szCs w:val="20"/>
                <w:u w:val="none"/>
                <w:lang w:val="en-US" w:eastAsia="zh-CN" w:bidi="ar"/>
              </w:rPr>
              <w:t>。</w:t>
            </w:r>
            <w:r>
              <w:rPr>
                <w:rFonts w:hint="eastAsia" w:ascii="宋体" w:hAnsi="宋体" w:cs="宋体"/>
                <w:b w:val="0"/>
                <w:bCs w:val="0"/>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 xml:space="preserve">  </w:t>
            </w:r>
          </w:p>
          <w:bookmarkEnd w:id="201"/>
          <w:p w14:paraId="0C882A47">
            <w:pPr>
              <w:keepNext w:val="0"/>
              <w:keepLines w:val="0"/>
              <w:widowControl/>
              <w:suppressLineNumbers w:val="0"/>
              <w:jc w:val="left"/>
              <w:textAlignment w:val="center"/>
              <w:rPr>
                <w:rFonts w:hint="default"/>
                <w:lang w:val="en-US"/>
              </w:rPr>
            </w:pPr>
            <w:r>
              <w:rPr>
                <w:rFonts w:hint="eastAsia" w:ascii="宋体" w:hAnsi="宋体" w:eastAsia="宋体" w:cs="宋体"/>
                <w:b/>
                <w:bCs/>
                <w:i w:val="0"/>
                <w:iCs w:val="0"/>
                <w:color w:val="000000"/>
                <w:kern w:val="0"/>
                <w:sz w:val="20"/>
                <w:szCs w:val="20"/>
                <w:u w:val="none"/>
                <w:lang w:val="en-US" w:eastAsia="zh-CN" w:bidi="ar"/>
              </w:rPr>
              <w:t>十二</w:t>
            </w: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报价应涵盖</w:t>
            </w:r>
            <w:r>
              <w:rPr>
                <w:rFonts w:hint="eastAsia" w:ascii="宋体" w:hAnsi="宋体" w:eastAsia="宋体" w:cs="宋体"/>
                <w:i w:val="0"/>
                <w:iCs w:val="0"/>
                <w:color w:val="000000"/>
                <w:kern w:val="0"/>
                <w:sz w:val="20"/>
                <w:szCs w:val="20"/>
                <w:u w:val="none"/>
                <w:lang w:val="en-US" w:eastAsia="zh-CN" w:bidi="ar"/>
              </w:rPr>
              <w:t>以上</w:t>
            </w:r>
            <w:r>
              <w:rPr>
                <w:rFonts w:hint="default" w:ascii="宋体" w:hAnsi="宋体" w:eastAsia="宋体" w:cs="宋体"/>
                <w:i w:val="0"/>
                <w:iCs w:val="0"/>
                <w:color w:val="000000"/>
                <w:kern w:val="0"/>
                <w:sz w:val="20"/>
                <w:szCs w:val="20"/>
                <w:u w:val="none"/>
                <w:lang w:val="en-US" w:eastAsia="zh-CN" w:bidi="ar"/>
              </w:rPr>
              <w:t>所有设备、配件及相关服务的全部费用，包括但不限于设备本身的购置费用、所有安装所需的附件费用，并且包含设备的安装、调试等工作（包安装）。</w:t>
            </w:r>
          </w:p>
        </w:tc>
        <w:tc>
          <w:tcPr>
            <w:tcW w:w="735" w:type="dxa"/>
            <w:noWrap w:val="0"/>
            <w:vAlign w:val="center"/>
          </w:tcPr>
          <w:p w14:paraId="5827171A">
            <w:pPr>
              <w:keepNext w:val="0"/>
              <w:keepLines w:val="0"/>
              <w:widowControl/>
              <w:suppressLineNumbers w:val="0"/>
              <w:jc w:val="center"/>
              <w:textAlignment w:val="center"/>
              <w:rPr>
                <w:vertAlign w:val="baseline"/>
              </w:rPr>
            </w:pPr>
            <w:r>
              <w:rPr>
                <w:rFonts w:hint="eastAsia" w:ascii="宋体" w:hAnsi="宋体" w:eastAsia="宋体" w:cs="宋体"/>
                <w:i w:val="0"/>
                <w:iCs w:val="0"/>
                <w:color w:val="000000"/>
                <w:kern w:val="0"/>
                <w:sz w:val="20"/>
                <w:szCs w:val="20"/>
                <w:u w:val="none"/>
                <w:lang w:val="en-US" w:eastAsia="zh-CN" w:bidi="ar"/>
              </w:rPr>
              <w:t>套</w:t>
            </w:r>
          </w:p>
        </w:tc>
        <w:tc>
          <w:tcPr>
            <w:tcW w:w="690" w:type="dxa"/>
            <w:noWrap w:val="0"/>
            <w:vAlign w:val="center"/>
          </w:tcPr>
          <w:p w14:paraId="362E6B6B">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14</w:t>
            </w:r>
          </w:p>
        </w:tc>
        <w:tc>
          <w:tcPr>
            <w:tcW w:w="1095" w:type="dxa"/>
            <w:noWrap w:val="0"/>
            <w:vAlign w:val="center"/>
          </w:tcPr>
          <w:p w14:paraId="0B1FF452">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p>
        </w:tc>
      </w:tr>
      <w:tr w14:paraId="70D6B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28F23126">
            <w:pPr>
              <w:keepNext w:val="0"/>
              <w:keepLines w:val="0"/>
              <w:widowControl/>
              <w:suppressLineNumbers w:val="0"/>
              <w:jc w:val="center"/>
              <w:textAlignment w:val="center"/>
              <w:rPr>
                <w:color w:val="000000"/>
                <w:vertAlign w:val="baseline"/>
              </w:rPr>
            </w:pPr>
            <w:r>
              <w:rPr>
                <w:rFonts w:hint="eastAsia" w:ascii="宋体" w:hAnsi="宋体" w:cs="宋体"/>
                <w:i w:val="0"/>
                <w:iCs w:val="0"/>
                <w:color w:val="000000"/>
                <w:kern w:val="0"/>
                <w:sz w:val="21"/>
                <w:szCs w:val="21"/>
                <w:u w:val="none"/>
                <w:lang w:val="en-US" w:eastAsia="zh-CN" w:bidi="ar"/>
              </w:rPr>
              <w:t>4</w:t>
            </w:r>
          </w:p>
        </w:tc>
        <w:tc>
          <w:tcPr>
            <w:tcW w:w="870" w:type="dxa"/>
            <w:noWrap w:val="0"/>
            <w:vAlign w:val="center"/>
          </w:tcPr>
          <w:p w14:paraId="739D813A">
            <w:pPr>
              <w:keepNext w:val="0"/>
              <w:keepLines w:val="0"/>
              <w:widowControl/>
              <w:suppressLineNumbers w:val="0"/>
              <w:jc w:val="center"/>
              <w:textAlignment w:val="center"/>
              <w:rPr>
                <w:color w:val="000000"/>
                <w:vertAlign w:val="baseline"/>
              </w:rPr>
            </w:pPr>
            <w:r>
              <w:rPr>
                <w:rFonts w:hint="eastAsia" w:ascii="宋体" w:hAnsi="宋体" w:eastAsia="宋体" w:cs="宋体"/>
                <w:i w:val="0"/>
                <w:iCs w:val="0"/>
                <w:color w:val="000000"/>
                <w:kern w:val="0"/>
                <w:sz w:val="20"/>
                <w:szCs w:val="20"/>
                <w:u w:val="none"/>
                <w:lang w:val="en-US" w:eastAsia="zh-CN" w:bidi="ar"/>
              </w:rPr>
              <w:t>红外相机</w:t>
            </w:r>
          </w:p>
        </w:tc>
        <w:tc>
          <w:tcPr>
            <w:tcW w:w="5670" w:type="dxa"/>
            <w:noWrap w:val="0"/>
            <w:vAlign w:val="center"/>
          </w:tcPr>
          <w:p w14:paraId="7852AA0C">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bookmarkStart w:id="202" w:name="OLE_LINK16"/>
            <w:bookmarkStart w:id="203" w:name="OLE_LINK26"/>
            <w:r>
              <w:rPr>
                <w:rFonts w:hint="eastAsia" w:ascii="仿宋" w:hAnsi="仿宋" w:eastAsia="仿宋" w:cs="仿宋"/>
                <w:color w:val="000000"/>
                <w:szCs w:val="22"/>
                <w:highlight w:val="none"/>
              </w:rPr>
              <w:t>1</w:t>
            </w:r>
            <w:r>
              <w:rPr>
                <w:rFonts w:hint="eastAsia" w:ascii="宋体" w:hAnsi="宋体" w:eastAsia="宋体" w:cs="宋体"/>
                <w:i w:val="0"/>
                <w:iCs w:val="0"/>
                <w:color w:val="000000"/>
                <w:kern w:val="0"/>
                <w:sz w:val="20"/>
                <w:szCs w:val="20"/>
                <w:u w:val="none"/>
                <w:lang w:val="en-US" w:eastAsia="zh-CN" w:bidi="ar"/>
              </w:rPr>
              <w:t>、带4G通讯功能，支持移动，电信，联通</w:t>
            </w:r>
          </w:p>
          <w:p w14:paraId="35E85D31">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2、支持云端图像存储，支持远程控制修改参数</w:t>
            </w:r>
          </w:p>
          <w:p w14:paraId="003A008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3、支持视频直播功能，能远程实时看到现场画面</w:t>
            </w:r>
          </w:p>
          <w:p w14:paraId="52713F4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4.设备需支持现场调试，能够稳定连接至平台，实现所有采集数据（包括但不限于图像、视频、工作状态信息等）的实时回传至该平台的可视化设备上</w:t>
            </w:r>
          </w:p>
          <w:p w14:paraId="7D41BBA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000000"/>
                <w:kern w:val="0"/>
                <w:sz w:val="20"/>
                <w:szCs w:val="20"/>
                <w:u w:val="none"/>
                <w:lang w:val="en-US" w:eastAsia="zh-CN" w:bidi="ar"/>
              </w:rPr>
              <w:t>5、可远程查看设备工作状态信息，包括电量、SD卡容量、信号强度、流量卡</w:t>
            </w:r>
            <w:r>
              <w:rPr>
                <w:rFonts w:hint="eastAsia" w:ascii="宋体" w:hAnsi="宋体" w:eastAsia="宋体" w:cs="宋体"/>
                <w:i w:val="0"/>
                <w:iCs w:val="0"/>
                <w:color w:val="auto"/>
                <w:kern w:val="0"/>
                <w:sz w:val="20"/>
                <w:szCs w:val="20"/>
                <w:highlight w:val="none"/>
                <w:u w:val="none"/>
                <w:lang w:val="en-US" w:eastAsia="zh-CN" w:bidi="ar"/>
              </w:rPr>
              <w:t>流量、</w:t>
            </w:r>
            <w:r>
              <w:rPr>
                <w:rFonts w:hint="eastAsia" w:ascii="宋体" w:hAnsi="宋体" w:eastAsia="宋体" w:cs="宋体"/>
                <w:b/>
                <w:bCs/>
                <w:i w:val="0"/>
                <w:iCs w:val="0"/>
                <w:color w:val="auto"/>
                <w:kern w:val="0"/>
                <w:sz w:val="20"/>
                <w:szCs w:val="20"/>
                <w:highlight w:val="none"/>
                <w:u w:val="none"/>
                <w:lang w:val="en-US" w:eastAsia="zh-CN" w:bidi="ar"/>
              </w:rPr>
              <w:t>单北斗卫星导航系统</w:t>
            </w:r>
            <w:r>
              <w:rPr>
                <w:rFonts w:hint="eastAsia" w:ascii="宋体" w:hAnsi="宋体" w:eastAsia="宋体" w:cs="宋体"/>
                <w:i w:val="0"/>
                <w:iCs w:val="0"/>
                <w:color w:val="auto"/>
                <w:kern w:val="0"/>
                <w:sz w:val="20"/>
                <w:szCs w:val="20"/>
                <w:highlight w:val="none"/>
                <w:u w:val="none"/>
                <w:lang w:val="en-US" w:eastAsia="zh-CN" w:bidi="ar"/>
              </w:rPr>
              <w:t>、服务器空间容量等信息，可对接第三方信息化系统</w:t>
            </w:r>
          </w:p>
          <w:p w14:paraId="2E95D5C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6</w:t>
            </w:r>
            <w:r>
              <w:rPr>
                <w:rFonts w:hint="eastAsia" w:ascii="宋体" w:hAnsi="宋体" w:eastAsia="宋体" w:cs="宋体"/>
                <w:i w:val="0"/>
                <w:iCs w:val="0"/>
                <w:color w:val="auto"/>
                <w:kern w:val="0"/>
                <w:sz w:val="20"/>
                <w:szCs w:val="20"/>
                <w:highlight w:val="none"/>
                <w:u w:val="none"/>
                <w:lang w:val="en-US" w:eastAsia="zh-CN" w:bidi="ar"/>
              </w:rPr>
              <w:t>、支持上传原文件、压缩视频，缩略图可选，并支持断点续传</w:t>
            </w:r>
          </w:p>
          <w:p w14:paraId="1DC9499E">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7</w:t>
            </w:r>
            <w:r>
              <w:rPr>
                <w:rFonts w:hint="eastAsia" w:ascii="宋体" w:hAnsi="宋体" w:eastAsia="宋体" w:cs="宋体"/>
                <w:i w:val="0"/>
                <w:iCs w:val="0"/>
                <w:color w:val="auto"/>
                <w:kern w:val="0"/>
                <w:sz w:val="20"/>
                <w:szCs w:val="20"/>
                <w:highlight w:val="none"/>
                <w:u w:val="none"/>
                <w:lang w:val="en-US" w:eastAsia="zh-CN" w:bidi="ar"/>
              </w:rPr>
              <w:t>、4G天线数量两根，以便有更好的信号</w:t>
            </w:r>
          </w:p>
          <w:p w14:paraId="05C85719">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8</w:t>
            </w:r>
            <w:r>
              <w:rPr>
                <w:rFonts w:hint="eastAsia" w:ascii="宋体" w:hAnsi="宋体" w:eastAsia="宋体" w:cs="宋体"/>
                <w:i w:val="0"/>
                <w:iCs w:val="0"/>
                <w:color w:val="auto"/>
                <w:kern w:val="0"/>
                <w:sz w:val="20"/>
                <w:szCs w:val="20"/>
                <w:highlight w:val="none"/>
                <w:u w:val="none"/>
                <w:lang w:val="en-US" w:eastAsia="zh-CN" w:bidi="ar"/>
              </w:rPr>
              <w:t>、支持</w:t>
            </w:r>
            <w:r>
              <w:rPr>
                <w:rFonts w:hint="eastAsia" w:ascii="宋体" w:hAnsi="宋体" w:eastAsia="宋体" w:cs="宋体"/>
                <w:b/>
                <w:bCs/>
                <w:i w:val="0"/>
                <w:iCs w:val="0"/>
                <w:color w:val="auto"/>
                <w:kern w:val="0"/>
                <w:sz w:val="20"/>
                <w:szCs w:val="20"/>
                <w:highlight w:val="none"/>
                <w:u w:val="none"/>
                <w:lang w:val="en-US" w:eastAsia="zh-CN" w:bidi="ar"/>
              </w:rPr>
              <w:t>单北斗</w:t>
            </w:r>
            <w:r>
              <w:rPr>
                <w:rFonts w:hint="eastAsia" w:ascii="宋体" w:hAnsi="宋体" w:eastAsia="宋体" w:cs="宋体"/>
                <w:i w:val="0"/>
                <w:iCs w:val="0"/>
                <w:color w:val="auto"/>
                <w:kern w:val="0"/>
                <w:sz w:val="20"/>
                <w:szCs w:val="20"/>
                <w:highlight w:val="none"/>
                <w:u w:val="none"/>
                <w:lang w:val="en-US" w:eastAsia="zh-CN" w:bidi="ar"/>
              </w:rPr>
              <w:t xml:space="preserve">自动定位  </w:t>
            </w:r>
          </w:p>
          <w:p w14:paraId="5A95557C">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9</w:t>
            </w:r>
            <w:r>
              <w:rPr>
                <w:rFonts w:hint="eastAsia" w:ascii="宋体" w:hAnsi="宋体" w:eastAsia="宋体" w:cs="宋体"/>
                <w:i w:val="0"/>
                <w:iCs w:val="0"/>
                <w:color w:val="auto"/>
                <w:kern w:val="0"/>
                <w:sz w:val="20"/>
                <w:szCs w:val="20"/>
                <w:highlight w:val="none"/>
                <w:u w:val="none"/>
                <w:lang w:val="en-US" w:eastAsia="zh-CN" w:bidi="ar"/>
              </w:rPr>
              <w:t>、最大支持3K（2560*1920）/30帧有声视频，照片像素最大3200万</w:t>
            </w:r>
          </w:p>
          <w:p w14:paraId="524C12EE">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0</w:t>
            </w:r>
            <w:r>
              <w:rPr>
                <w:rFonts w:hint="eastAsia" w:ascii="宋体" w:hAnsi="宋体" w:eastAsia="宋体" w:cs="宋体"/>
                <w:i w:val="0"/>
                <w:iCs w:val="0"/>
                <w:color w:val="000000"/>
                <w:kern w:val="0"/>
                <w:sz w:val="20"/>
                <w:szCs w:val="20"/>
                <w:u w:val="none"/>
                <w:lang w:val="en-US" w:eastAsia="zh-CN" w:bidi="ar"/>
              </w:rPr>
              <w:t>、≥2.4寸高清屏，且可旋转，安装时方便查看监测区域</w:t>
            </w:r>
          </w:p>
          <w:p w14:paraId="7896AB5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、相机录像与拍照同步启动，启动时间0.2秒，完美解决录像中无动物问题</w:t>
            </w:r>
          </w:p>
          <w:p w14:paraId="5B7E01C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、相机录像时同时完成拍照，省去拍照工作时间，缩短相机每次启动的工作时长，从而节省功耗</w:t>
            </w:r>
          </w:p>
          <w:p w14:paraId="2CEB8CB3">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、内置智能图像算法，自适应各种环境光线，自动调节远近距离曝光度</w:t>
            </w:r>
          </w:p>
          <w:p w14:paraId="4081901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、支持类似换弹匣式的整体安装及更换电池方式，不受安装高度角度影响，更换电池不必趴地上或松绑带，也无需在户外一个电池一个电池拆装，更换电池方便快捷</w:t>
            </w:r>
          </w:p>
          <w:p w14:paraId="560D4BBA">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、支持PIR+移动智能双重检测，有效避免误触发</w:t>
            </w:r>
          </w:p>
          <w:p w14:paraId="4A6AF07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6</w:t>
            </w:r>
            <w:r>
              <w:rPr>
                <w:rFonts w:hint="eastAsia" w:ascii="宋体" w:hAnsi="宋体" w:eastAsia="宋体" w:cs="宋体"/>
                <w:i w:val="0"/>
                <w:iCs w:val="0"/>
                <w:color w:val="000000"/>
                <w:kern w:val="0"/>
                <w:sz w:val="20"/>
                <w:szCs w:val="20"/>
                <w:u w:val="none"/>
                <w:lang w:val="en-US" w:eastAsia="zh-CN" w:bidi="ar"/>
              </w:rPr>
              <w:t>、采用多区大感应面、高灵敏度、强抗干扰性PIR，多级信号放大过滤设计， 有效避免误触发</w:t>
            </w:r>
          </w:p>
          <w:p w14:paraId="5E2C0DC4">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highlight w:val="yellow"/>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7</w:t>
            </w:r>
            <w:r>
              <w:rPr>
                <w:rFonts w:hint="eastAsia" w:ascii="宋体" w:hAnsi="宋体" w:eastAsia="宋体" w:cs="宋体"/>
                <w:i w:val="0"/>
                <w:iCs w:val="0"/>
                <w:color w:val="000000"/>
                <w:kern w:val="0"/>
                <w:sz w:val="20"/>
                <w:szCs w:val="20"/>
                <w:u w:val="none"/>
                <w:lang w:val="en-US" w:eastAsia="zh-CN" w:bidi="ar"/>
              </w:rPr>
              <w:t>、兼容12AA电池及18650锂电池，锂电池均支持太阳能充电</w:t>
            </w:r>
          </w:p>
          <w:p w14:paraId="0D7BD257">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8</w:t>
            </w:r>
            <w:r>
              <w:rPr>
                <w:rFonts w:hint="eastAsia" w:ascii="宋体" w:hAnsi="宋体" w:eastAsia="宋体" w:cs="宋体"/>
                <w:i w:val="0"/>
                <w:iCs w:val="0"/>
                <w:color w:val="000000"/>
                <w:kern w:val="0"/>
                <w:sz w:val="20"/>
                <w:szCs w:val="20"/>
                <w:u w:val="none"/>
                <w:lang w:val="en-US" w:eastAsia="zh-CN" w:bidi="ar"/>
              </w:rPr>
              <w:t>、支持拍照、录像、拍照+录像的工作模式</w:t>
            </w:r>
          </w:p>
          <w:p w14:paraId="72311F5C">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19</w:t>
            </w:r>
            <w:r>
              <w:rPr>
                <w:rFonts w:hint="eastAsia" w:ascii="宋体" w:hAnsi="宋体" w:eastAsia="宋体" w:cs="宋体"/>
                <w:i w:val="0"/>
                <w:iCs w:val="0"/>
                <w:color w:val="000000"/>
                <w:kern w:val="0"/>
                <w:sz w:val="20"/>
                <w:szCs w:val="20"/>
                <w:u w:val="none"/>
                <w:lang w:val="en-US" w:eastAsia="zh-CN" w:bidi="ar"/>
              </w:rPr>
              <w:t>、强抗冷热冲击性能，超强稳定性，IP68防水防尘设计，可进行5米以上深水浸泡试验</w:t>
            </w:r>
          </w:p>
          <w:p w14:paraId="7244C0E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20</w:t>
            </w:r>
            <w:r>
              <w:rPr>
                <w:rFonts w:hint="eastAsia" w:ascii="宋体" w:hAnsi="宋体" w:eastAsia="宋体" w:cs="宋体"/>
                <w:i w:val="0"/>
                <w:iCs w:val="0"/>
                <w:color w:val="000000"/>
                <w:kern w:val="0"/>
                <w:sz w:val="20"/>
                <w:szCs w:val="20"/>
                <w:u w:val="none"/>
                <w:lang w:val="en-US" w:eastAsia="zh-CN" w:bidi="ar"/>
              </w:rPr>
              <w:t>、镜头F=1.6大光圈镜头,FOV=65度或90度可选，宽光谱兼容性，高低温无变焦</w:t>
            </w:r>
          </w:p>
          <w:p w14:paraId="75DF1676">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、超低功耗设计方案，100ua超低待机电流，白天整机工作电流小于180ma</w:t>
            </w:r>
          </w:p>
          <w:p w14:paraId="49F6CEF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、支持850nm灯,无红曝940nm灯，白光LED灯，补光灯数量60个</w:t>
            </w:r>
          </w:p>
          <w:p w14:paraId="03EBEA52">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、内置耐低温钮扣电池保证断电或低温时时间不错乱</w:t>
            </w:r>
          </w:p>
          <w:p w14:paraId="0E94349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、高快门速度，有效抑制运动模糊</w:t>
            </w:r>
          </w:p>
          <w:p w14:paraId="45E7C25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、PIR灵敏度可调节：高、一般、低</w:t>
            </w:r>
          </w:p>
          <w:p w14:paraId="359DDCA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6</w:t>
            </w:r>
            <w:r>
              <w:rPr>
                <w:rFonts w:hint="eastAsia" w:ascii="宋体" w:hAnsi="宋体" w:eastAsia="宋体" w:cs="宋体"/>
                <w:i w:val="0"/>
                <w:iCs w:val="0"/>
                <w:color w:val="000000"/>
                <w:kern w:val="0"/>
                <w:sz w:val="20"/>
                <w:szCs w:val="20"/>
                <w:u w:val="none"/>
                <w:lang w:val="en-US" w:eastAsia="zh-CN" w:bidi="ar"/>
              </w:rPr>
              <w:t>、一体式高稳定性IR-CUT日夜切换器，提升彩色与黑白图像质量</w:t>
            </w:r>
          </w:p>
          <w:p w14:paraId="0542FD15">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7</w:t>
            </w:r>
            <w:r>
              <w:rPr>
                <w:rFonts w:hint="eastAsia" w:ascii="宋体" w:hAnsi="宋体" w:eastAsia="宋体" w:cs="宋体"/>
                <w:i w:val="0"/>
                <w:iCs w:val="0"/>
                <w:color w:val="000000"/>
                <w:kern w:val="0"/>
                <w:sz w:val="20"/>
                <w:szCs w:val="20"/>
                <w:u w:val="none"/>
                <w:lang w:val="en-US" w:eastAsia="zh-CN" w:bidi="ar"/>
              </w:rPr>
              <w:t>、最大可支持512GB SD存储卡，兼容各种品牌</w:t>
            </w:r>
          </w:p>
          <w:p w14:paraId="0961F0B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r>
              <w:rPr>
                <w:rFonts w:hint="eastAsia" w:ascii="宋体" w:hAnsi="宋体" w:cs="宋体"/>
                <w:i w:val="0"/>
                <w:iCs w:val="0"/>
                <w:color w:val="000000"/>
                <w:kern w:val="0"/>
                <w:sz w:val="20"/>
                <w:szCs w:val="20"/>
                <w:u w:val="none"/>
                <w:lang w:val="en-US" w:eastAsia="zh-CN" w:bidi="ar"/>
              </w:rPr>
              <w:t>8</w:t>
            </w:r>
            <w:r>
              <w:rPr>
                <w:rFonts w:hint="eastAsia" w:ascii="宋体" w:hAnsi="宋体" w:eastAsia="宋体" w:cs="宋体"/>
                <w:i w:val="0"/>
                <w:iCs w:val="0"/>
                <w:color w:val="000000"/>
                <w:kern w:val="0"/>
                <w:sz w:val="20"/>
                <w:szCs w:val="20"/>
                <w:u w:val="none"/>
                <w:lang w:val="en-US" w:eastAsia="zh-CN" w:bidi="ar"/>
              </w:rPr>
              <w:t>、高品质录音设计，-38dB灵敏度MIC</w:t>
            </w:r>
          </w:p>
          <w:p w14:paraId="0E1DAB3A">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29</w:t>
            </w:r>
            <w:r>
              <w:rPr>
                <w:rFonts w:hint="eastAsia" w:ascii="宋体" w:hAnsi="宋体" w:eastAsia="宋体" w:cs="宋体"/>
                <w:i w:val="0"/>
                <w:iCs w:val="0"/>
                <w:color w:val="000000"/>
                <w:kern w:val="0"/>
                <w:sz w:val="20"/>
                <w:szCs w:val="20"/>
                <w:u w:val="none"/>
                <w:lang w:val="en-US" w:eastAsia="zh-CN" w:bidi="ar"/>
              </w:rPr>
              <w:t>、可显示丰富的照片信息,包括拍摄日期、时间、温度、月相、设备名称、经纬度等</w:t>
            </w:r>
          </w:p>
          <w:p w14:paraId="1E5A40AC">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r>
              <w:rPr>
                <w:rFonts w:hint="eastAsia" w:ascii="宋体" w:hAnsi="宋体" w:cs="宋体"/>
                <w:i w:val="0"/>
                <w:iCs w:val="0"/>
                <w:color w:val="000000"/>
                <w:kern w:val="0"/>
                <w:sz w:val="20"/>
                <w:szCs w:val="20"/>
                <w:u w:val="none"/>
                <w:lang w:val="en-US" w:eastAsia="zh-CN" w:bidi="ar"/>
              </w:rPr>
              <w:t>0</w:t>
            </w:r>
            <w:r>
              <w:rPr>
                <w:rFonts w:hint="eastAsia" w:ascii="宋体" w:hAnsi="宋体" w:eastAsia="宋体" w:cs="宋体"/>
                <w:i w:val="0"/>
                <w:iCs w:val="0"/>
                <w:color w:val="000000"/>
                <w:kern w:val="0"/>
                <w:sz w:val="20"/>
                <w:szCs w:val="20"/>
                <w:u w:val="none"/>
                <w:lang w:val="en-US" w:eastAsia="zh-CN" w:bidi="ar"/>
              </w:rPr>
              <w:t>、专利仿生迷彩，防划伤脱落，强抗紫外防氧化变色</w:t>
            </w:r>
          </w:p>
          <w:p w14:paraId="0664EC70">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、工作温度-40至+80摄氏度</w:t>
            </w:r>
          </w:p>
          <w:p w14:paraId="41CA6291">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r>
              <w:rPr>
                <w:rFonts w:hint="eastAsia" w:ascii="宋体" w:hAnsi="宋体" w:cs="宋体"/>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、每台红外相机标配：6节耐低温18650电池，2600mah；1张流量卡</w:t>
            </w:r>
            <w:r>
              <w:rPr>
                <w:rFonts w:hint="eastAsia" w:ascii="宋体" w:hAnsi="宋体" w:eastAsia="宋体" w:cs="宋体"/>
                <w:i w:val="0"/>
                <w:iCs w:val="0"/>
                <w:color w:val="000000"/>
                <w:kern w:val="0"/>
                <w:sz w:val="20"/>
                <w:szCs w:val="20"/>
                <w:u w:val="none"/>
                <w:lang w:val="en-US" w:eastAsia="zh-CN" w:bidi="ar"/>
              </w:rPr>
              <w:tab/>
            </w:r>
            <w:r>
              <w:rPr>
                <w:rFonts w:hint="eastAsia" w:ascii="宋体" w:hAnsi="宋体" w:eastAsia="宋体" w:cs="宋体"/>
                <w:i w:val="0"/>
                <w:iCs w:val="0"/>
                <w:color w:val="000000"/>
                <w:kern w:val="0"/>
                <w:sz w:val="20"/>
                <w:szCs w:val="20"/>
                <w:u w:val="none"/>
                <w:lang w:val="en-US" w:eastAsia="zh-CN" w:bidi="ar"/>
              </w:rPr>
              <w:t>电信100G/月，年套餐；1个太阳能充电板（10W/14V，开路电压16V,最大充电电流0.7A，尺寸245*245*3mm）；1个充电器（一拖六，快充，带显示屏）；1张</w:t>
            </w:r>
            <w:bookmarkStart w:id="204" w:name="OLE_LINK15"/>
            <w:r>
              <w:rPr>
                <w:rFonts w:hint="eastAsia" w:ascii="宋体" w:hAnsi="宋体" w:eastAsia="宋体" w:cs="宋体"/>
                <w:i w:val="0"/>
                <w:iCs w:val="0"/>
                <w:color w:val="000000"/>
                <w:kern w:val="0"/>
                <w:sz w:val="20"/>
                <w:szCs w:val="20"/>
                <w:u w:val="none"/>
                <w:lang w:val="en-US" w:eastAsia="zh-CN" w:bidi="ar"/>
              </w:rPr>
              <w:t>512G内存</w:t>
            </w:r>
            <w:bookmarkEnd w:id="204"/>
            <w:r>
              <w:rPr>
                <w:rFonts w:hint="eastAsia" w:ascii="宋体" w:hAnsi="宋体" w:eastAsia="宋体" w:cs="宋体"/>
                <w:i w:val="0"/>
                <w:iCs w:val="0"/>
                <w:color w:val="000000"/>
                <w:kern w:val="0"/>
                <w:sz w:val="20"/>
                <w:szCs w:val="20"/>
                <w:u w:val="none"/>
                <w:lang w:val="en-US" w:eastAsia="zh-CN" w:bidi="ar"/>
              </w:rPr>
              <w:t xml:space="preserve">卡 </w:t>
            </w:r>
          </w:p>
          <w:p w14:paraId="471C9887">
            <w:pPr>
              <w:keepNext w:val="0"/>
              <w:keepLines w:val="0"/>
              <w:widowControl/>
              <w:suppressLineNumbers w:val="0"/>
              <w:jc w:val="left"/>
              <w:textAlignment w:val="center"/>
              <w:rPr>
                <w:color w:val="000000"/>
              </w:rPr>
            </w:pPr>
            <w:r>
              <w:rPr>
                <w:rFonts w:hint="eastAsia" w:ascii="宋体" w:hAnsi="宋体" w:cs="宋体"/>
                <w:i w:val="0"/>
                <w:iCs w:val="0"/>
                <w:color w:val="000000"/>
                <w:kern w:val="0"/>
                <w:sz w:val="20"/>
                <w:szCs w:val="20"/>
                <w:u w:val="none"/>
                <w:lang w:val="en-US" w:eastAsia="zh-CN" w:bidi="ar"/>
              </w:rPr>
              <w:t>33</w:t>
            </w:r>
            <w:r>
              <w:rPr>
                <w:rFonts w:hint="eastAsia" w:ascii="宋体" w:hAnsi="宋体" w:eastAsia="宋体" w:cs="宋体"/>
                <w:i w:val="0"/>
                <w:iCs w:val="0"/>
                <w:color w:val="000000"/>
                <w:kern w:val="0"/>
                <w:sz w:val="20"/>
                <w:szCs w:val="20"/>
                <w:u w:val="none"/>
                <w:lang w:val="en-US" w:eastAsia="zh-CN" w:bidi="ar"/>
              </w:rPr>
              <w:t>.</w:t>
            </w:r>
            <w:bookmarkEnd w:id="202"/>
            <w:r>
              <w:rPr>
                <w:rFonts w:hint="eastAsia" w:ascii="宋体" w:hAnsi="宋体" w:eastAsia="宋体" w:cs="宋体"/>
                <w:i w:val="0"/>
                <w:iCs w:val="0"/>
                <w:color w:val="000000"/>
                <w:kern w:val="0"/>
                <w:sz w:val="20"/>
                <w:szCs w:val="20"/>
                <w:u w:val="none"/>
                <w:lang w:val="en-US" w:eastAsia="zh-CN" w:bidi="ar"/>
              </w:rPr>
              <w:t>1年</w:t>
            </w:r>
            <w:r>
              <w:rPr>
                <w:rFonts w:hint="default" w:ascii="宋体" w:hAnsi="宋体" w:eastAsia="宋体" w:cs="宋体"/>
                <w:i w:val="0"/>
                <w:iCs w:val="0"/>
                <w:color w:val="000000"/>
                <w:kern w:val="0"/>
                <w:sz w:val="20"/>
                <w:szCs w:val="20"/>
                <w:u w:val="none"/>
                <w:lang w:val="en-US" w:eastAsia="zh-CN" w:bidi="ar"/>
              </w:rPr>
              <w:t>平台接入链路服务所需</w:t>
            </w:r>
            <w:r>
              <w:rPr>
                <w:rFonts w:hint="eastAsia" w:ascii="宋体" w:hAnsi="宋体" w:eastAsia="宋体" w:cs="宋体"/>
                <w:i w:val="0"/>
                <w:iCs w:val="0"/>
                <w:color w:val="000000"/>
                <w:kern w:val="0"/>
                <w:sz w:val="20"/>
                <w:szCs w:val="20"/>
                <w:u w:val="none"/>
                <w:lang w:val="en-US" w:eastAsia="zh-CN" w:bidi="ar"/>
              </w:rPr>
              <w:t>所有费用</w:t>
            </w:r>
            <w:r>
              <w:rPr>
                <w:rFonts w:hint="default" w:ascii="宋体" w:hAnsi="宋体" w:eastAsia="宋体" w:cs="宋体"/>
                <w:i w:val="0"/>
                <w:iCs w:val="0"/>
                <w:color w:val="000000"/>
                <w:kern w:val="0"/>
                <w:sz w:val="20"/>
                <w:szCs w:val="20"/>
                <w:u w:val="none"/>
                <w:lang w:val="en-US" w:eastAsia="zh-CN" w:bidi="ar"/>
              </w:rPr>
              <w:t>。</w:t>
            </w:r>
            <w:r>
              <w:rPr>
                <w:rFonts w:hint="eastAsia" w:ascii="宋体" w:hAnsi="宋体" w:cs="宋体"/>
                <w:b w:val="0"/>
                <w:bCs w:val="0"/>
                <w:i w:val="0"/>
                <w:iCs w:val="0"/>
                <w:color w:val="000000"/>
                <w:kern w:val="0"/>
                <w:sz w:val="20"/>
                <w:szCs w:val="20"/>
                <w:u w:val="none"/>
                <w:lang w:val="en-US" w:eastAsia="zh-CN" w:bidi="ar"/>
              </w:rPr>
              <w:t xml:space="preserve">   </w:t>
            </w:r>
            <w:bookmarkEnd w:id="203"/>
            <w:r>
              <w:rPr>
                <w:rFonts w:hint="eastAsia" w:ascii="宋体" w:hAnsi="宋体" w:cs="宋体"/>
                <w:b w:val="0"/>
                <w:bCs w:val="0"/>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 xml:space="preserve">  </w:t>
            </w:r>
          </w:p>
        </w:tc>
        <w:tc>
          <w:tcPr>
            <w:tcW w:w="735" w:type="dxa"/>
            <w:noWrap w:val="0"/>
            <w:vAlign w:val="center"/>
          </w:tcPr>
          <w:p w14:paraId="43C4436A">
            <w:pPr>
              <w:keepNext w:val="0"/>
              <w:keepLines w:val="0"/>
              <w:widowControl/>
              <w:suppressLineNumbers w:val="0"/>
              <w:jc w:val="center"/>
              <w:textAlignment w:val="center"/>
              <w:rPr>
                <w:color w:val="000000"/>
                <w:vertAlign w:val="baseline"/>
              </w:rPr>
            </w:pPr>
            <w:r>
              <w:rPr>
                <w:rFonts w:hint="eastAsia" w:ascii="宋体" w:hAnsi="宋体" w:eastAsia="宋体" w:cs="宋体"/>
                <w:i w:val="0"/>
                <w:iCs w:val="0"/>
                <w:color w:val="000000"/>
                <w:kern w:val="0"/>
                <w:sz w:val="20"/>
                <w:szCs w:val="20"/>
                <w:u w:val="none"/>
                <w:lang w:val="en-US" w:eastAsia="zh-CN" w:bidi="ar"/>
              </w:rPr>
              <w:t>套</w:t>
            </w:r>
          </w:p>
        </w:tc>
        <w:tc>
          <w:tcPr>
            <w:tcW w:w="690" w:type="dxa"/>
            <w:noWrap w:val="0"/>
            <w:vAlign w:val="center"/>
          </w:tcPr>
          <w:p w14:paraId="22A4E2C6">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200</w:t>
            </w:r>
          </w:p>
        </w:tc>
        <w:tc>
          <w:tcPr>
            <w:tcW w:w="1095" w:type="dxa"/>
            <w:noWrap w:val="0"/>
            <w:vAlign w:val="center"/>
          </w:tcPr>
          <w:p w14:paraId="232A6A9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14:paraId="4D29C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2916C29B">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cs="宋体"/>
                <w:i w:val="0"/>
                <w:iCs w:val="0"/>
                <w:color w:val="000000"/>
                <w:kern w:val="0"/>
                <w:sz w:val="21"/>
                <w:szCs w:val="21"/>
                <w:u w:val="none"/>
                <w:lang w:val="en-US" w:eastAsia="zh-CN" w:bidi="ar"/>
              </w:rPr>
              <w:t>5</w:t>
            </w:r>
          </w:p>
        </w:tc>
        <w:tc>
          <w:tcPr>
            <w:tcW w:w="870" w:type="dxa"/>
            <w:noWrap w:val="0"/>
            <w:vAlign w:val="center"/>
          </w:tcPr>
          <w:p w14:paraId="59845EF7">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eastAsia="宋体" w:cs="宋体"/>
                <w:i w:val="0"/>
                <w:iCs w:val="0"/>
                <w:color w:val="000000"/>
                <w:kern w:val="0"/>
                <w:sz w:val="20"/>
                <w:szCs w:val="20"/>
                <w:u w:val="none"/>
                <w:lang w:val="en-US" w:eastAsia="zh-CN" w:bidi="ar"/>
              </w:rPr>
              <w:t>人工浮岛</w:t>
            </w:r>
            <w:r>
              <w:rPr>
                <w:rFonts w:hint="eastAsia" w:ascii="宋体" w:hAnsi="宋体" w:cs="宋体"/>
                <w:i w:val="0"/>
                <w:iCs w:val="0"/>
                <w:color w:val="000000"/>
                <w:kern w:val="0"/>
                <w:sz w:val="20"/>
                <w:szCs w:val="20"/>
                <w:u w:val="none"/>
                <w:lang w:val="en-US" w:eastAsia="zh-CN" w:bidi="ar"/>
              </w:rPr>
              <w:t>（定制）</w:t>
            </w:r>
          </w:p>
        </w:tc>
        <w:tc>
          <w:tcPr>
            <w:tcW w:w="5670" w:type="dxa"/>
            <w:noWrap w:val="0"/>
            <w:vAlign w:val="center"/>
          </w:tcPr>
          <w:p w14:paraId="32CC3C57">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bookmarkStart w:id="205" w:name="OLE_LINK24"/>
            <w:bookmarkStart w:id="206" w:name="OLE_LINK27"/>
            <w:r>
              <w:rPr>
                <w:rFonts w:hint="default" w:ascii="宋体" w:hAnsi="宋体" w:eastAsia="宋体" w:cs="宋体"/>
                <w:b/>
                <w:bCs/>
                <w:i w:val="0"/>
                <w:iCs w:val="0"/>
                <w:color w:val="000000"/>
                <w:kern w:val="0"/>
                <w:sz w:val="20"/>
                <w:szCs w:val="20"/>
                <w:u w:val="none"/>
                <w:lang w:val="en-US" w:eastAsia="zh-CN" w:bidi="ar"/>
              </w:rPr>
              <w:t>一、浮岛结构设计</w:t>
            </w:r>
          </w:p>
          <w:p w14:paraId="4B1F2C9F">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（一）浮体材料</w:t>
            </w:r>
          </w:p>
          <w:p w14:paraId="4591F9F8">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 xml:space="preserve">选用HDPE（高密度聚乙烯）材质作为浮体材料，HDPE具有高强度、耐腐蚀、耐候性强、环保可回收等优点。将HDPE通过注塑工艺制成 50厘米×5 </w:t>
            </w:r>
            <w:r>
              <w:rPr>
                <w:rFonts w:hint="eastAsia" w:ascii="宋体" w:hAnsi="宋体" w:cs="宋体"/>
                <w:i w:val="0"/>
                <w:iCs w:val="0"/>
                <w:color w:val="000000"/>
                <w:kern w:val="0"/>
                <w:sz w:val="20"/>
                <w:szCs w:val="20"/>
                <w:u w:val="none"/>
                <w:lang w:val="en-US" w:eastAsia="zh-CN" w:bidi="ar"/>
              </w:rPr>
              <w:t>0</w:t>
            </w:r>
            <w:r>
              <w:rPr>
                <w:rFonts w:hint="default" w:ascii="宋体" w:hAnsi="宋体" w:eastAsia="宋体" w:cs="宋体"/>
                <w:i w:val="0"/>
                <w:iCs w:val="0"/>
                <w:color w:val="000000"/>
                <w:kern w:val="0"/>
                <w:sz w:val="20"/>
                <w:szCs w:val="20"/>
                <w:u w:val="none"/>
                <w:lang w:val="en-US" w:eastAsia="zh-CN" w:bidi="ar"/>
              </w:rPr>
              <w:t>厘米×20厘米的块状浮体，其壁厚设计为5毫米。为进一步增强浮力均匀性，在每个浮体内部设置均匀分布的轻质隔层，隔层采用低密度聚乙烯（LDPE）材质，厚度为2毫米。</w:t>
            </w:r>
          </w:p>
          <w:p w14:paraId="007E292F">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（二）框架结构</w:t>
            </w:r>
          </w:p>
          <w:p w14:paraId="72F7A78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采用热镀锌钢材搭建浮岛框架，边框采用50×50毫米的方管，内部支撑采用30×30毫米的方管，形成网格状结构，增强浮岛的整体稳定性。在框架的关键节点处，增设三角形加强板，加强板厚度为5毫米，材质与框架相同，进一步提升框架的抗变形能力。同时，在框架底部每隔1米设置一个水平支撑梁，支撑梁采用25×25毫米的方管，以增强框架对浮体材料的承载能力 。</w:t>
            </w:r>
          </w:p>
          <w:p w14:paraId="216CCD4A">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（三）连接方式</w:t>
            </w:r>
          </w:p>
          <w:p w14:paraId="0801ACF6">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浮体材料与框架之间采用高强度不锈钢螺栓和螺母进行固定，在螺栓连接处增设橡胶垫圈，防止因震动导致螺栓松动。同时，在框架的各个节点处，对于关键受力节点采用满焊连接，非关键受力节点采用高强度螺栓连接，并涂抹螺纹紧固胶，保证框架的强度和稳定性，此连接方式可适应HDPE浮体在不同环境下的受力变化。</w:t>
            </w:r>
          </w:p>
          <w:p w14:paraId="51434411">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（四）防护栏</w:t>
            </w:r>
          </w:p>
          <w:p w14:paraId="4E806973">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在浮岛四周设置高度为50厘米的防护栏，防护栏采用304不锈钢管材制作，壁厚1.5毫米。防护栏的横杆间距设置为20厘米，竖杆间距设置为15厘米，既防止白头硬尾鸭意外落水，又能起到一定的防护作用，减少外界干扰，同时避免白头硬尾鸭卡住或受伤，防护栏设计不受浮体材料更换影响。</w:t>
            </w:r>
          </w:p>
          <w:p w14:paraId="3EE9FE7B">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（五）锚固系统</w:t>
            </w:r>
          </w:p>
          <w:p w14:paraId="60D85B2D">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采用锚链和地锚将浮岛固定在水域中。锚链选用直径12毫米的镀锌铁链，其破断拉力不小于8吨，根据水深和水流情况，合理调整锚链长度，确保浮岛在不同水文条件下都能保持稳定。地锚采用混凝土浇筑的重力式地锚，地锚内部配置4根直径16 毫米的HRB400螺纹钢，锚固深度不小于1.5米，保证浮岛不会因水流和风力的作用而发生移动 ，锚固系统依据浮岛整体重量和水域环境设计，与浮体材料特性关联不大。</w:t>
            </w:r>
          </w:p>
          <w:p w14:paraId="0C3ED719">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二、浮岛表面设计</w:t>
            </w:r>
          </w:p>
          <w:p w14:paraId="045296D8">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（一）表面材料</w:t>
            </w:r>
          </w:p>
          <w:p w14:paraId="61315FA3">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浮岛表面铺设一层防滑、耐磨的橡胶垫，橡胶垫厚度为5毫米，邵氏硬度为60HA，具有良好的弹性，能为白头硬尾鸭提供舒适的栖息环境，同时也能防止其在活动时滑倒。橡胶垫颜色选择深绿色，与自然环境相近，减少对白头硬尾鸭的视觉刺激，表面材料与浮体材料更换无关。</w:t>
            </w:r>
          </w:p>
          <w:p w14:paraId="0C8A25F8">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（二）栖息区域划分</w:t>
            </w:r>
          </w:p>
          <w:p w14:paraId="7818BAE6">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根据白头硬尾鸭的生活习性，将浮岛表面划分为不同的功能区域。</w:t>
            </w:r>
          </w:p>
          <w:p w14:paraId="286F47B6">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休息区：</w:t>
            </w:r>
            <w:r>
              <w:rPr>
                <w:rFonts w:hint="default" w:ascii="宋体" w:hAnsi="宋体" w:eastAsia="宋体" w:cs="宋体"/>
                <w:i w:val="0"/>
                <w:iCs w:val="0"/>
                <w:color w:val="000000"/>
                <w:kern w:val="0"/>
                <w:sz w:val="20"/>
                <w:szCs w:val="20"/>
                <w:u w:val="none"/>
                <w:lang w:val="en-US" w:eastAsia="zh-CN" w:bidi="ar"/>
              </w:rPr>
              <w:t>浮岛的中心区域设置一个面积为30平方米的休息区，铺设厚度为8毫米的橡胶垫，并放置一些模拟自然环境的树枝、石块等，树枝选用经过防腐处理的天然树枝，石块表面进行打磨处理，防止划伤白头硬尾鸭，供白头硬尾鸭休息和躲避天敌。</w:t>
            </w:r>
          </w:p>
          <w:p w14:paraId="2665F9F8">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觅食区：</w:t>
            </w:r>
            <w:r>
              <w:rPr>
                <w:rFonts w:hint="default" w:ascii="宋体" w:hAnsi="宋体" w:eastAsia="宋体" w:cs="宋体"/>
                <w:i w:val="0"/>
                <w:iCs w:val="0"/>
                <w:color w:val="000000"/>
                <w:kern w:val="0"/>
                <w:sz w:val="20"/>
                <w:szCs w:val="20"/>
                <w:u w:val="none"/>
                <w:lang w:val="en-US" w:eastAsia="zh-CN" w:bidi="ar"/>
              </w:rPr>
              <w:t>在浮岛的边缘区域设置觅食区，面积约为50平方米，橡胶垫厚度为3毫米，便于白头硬尾鸭在水中觅食。同时，在觅食区设置 5 个浅水槽，浅水槽采用不锈钢材质，尺寸为1米×1米×0.3米，模拟自然水域环境，吸引浮游生物和小型水生动物，为白头硬尾鸭提供食物来源。</w:t>
            </w:r>
          </w:p>
          <w:p w14:paraId="61779BA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活动区：</w:t>
            </w:r>
            <w:r>
              <w:rPr>
                <w:rFonts w:hint="default" w:ascii="宋体" w:hAnsi="宋体" w:eastAsia="宋体" w:cs="宋体"/>
                <w:i w:val="0"/>
                <w:iCs w:val="0"/>
                <w:color w:val="000000"/>
                <w:kern w:val="0"/>
                <w:sz w:val="20"/>
                <w:szCs w:val="20"/>
                <w:u w:val="none"/>
                <w:lang w:val="en-US" w:eastAsia="zh-CN" w:bidi="ar"/>
              </w:rPr>
              <w:t>剩余的20平方米区域作为活动区，供白头硬尾鸭在浮岛上活动和嬉戏。活动区的橡胶垫表面设置一些凹凸不平的纹理，纹理深度为2毫米，增加白头硬尾鸭活动时的趣味性。同时，在活动区设置一些小型障碍物，如塑料桩、绳索等，模拟自然环境中的复杂地形，满足白头硬尾鸭的活动需求。</w:t>
            </w:r>
          </w:p>
          <w:p w14:paraId="50E078F3">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三、</w:t>
            </w:r>
            <w:r>
              <w:rPr>
                <w:rFonts w:hint="default" w:ascii="宋体" w:hAnsi="宋体" w:eastAsia="宋体" w:cs="宋体"/>
                <w:b/>
                <w:bCs/>
                <w:i w:val="0"/>
                <w:iCs w:val="0"/>
                <w:color w:val="000000"/>
                <w:kern w:val="0"/>
                <w:sz w:val="20"/>
                <w:szCs w:val="20"/>
                <w:u w:val="none"/>
                <w:lang w:val="en-US" w:eastAsia="zh-CN" w:bidi="ar"/>
              </w:rPr>
              <w:t>维护与管理</w:t>
            </w:r>
          </w:p>
          <w:p w14:paraId="68E8720F">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1.</w:t>
            </w:r>
            <w:r>
              <w:rPr>
                <w:rFonts w:hint="default" w:ascii="宋体" w:hAnsi="宋体" w:eastAsia="宋体" w:cs="宋体"/>
                <w:b/>
                <w:bCs/>
                <w:i w:val="0"/>
                <w:iCs w:val="0"/>
                <w:color w:val="000000"/>
                <w:kern w:val="0"/>
                <w:sz w:val="20"/>
                <w:szCs w:val="20"/>
                <w:u w:val="none"/>
                <w:lang w:val="en-US" w:eastAsia="zh-CN" w:bidi="ar"/>
              </w:rPr>
              <w:t>定期检查：</w:t>
            </w:r>
            <w:r>
              <w:rPr>
                <w:rFonts w:hint="default" w:ascii="宋体" w:hAnsi="宋体" w:eastAsia="宋体" w:cs="宋体"/>
                <w:i w:val="0"/>
                <w:iCs w:val="0"/>
                <w:color w:val="000000"/>
                <w:kern w:val="0"/>
                <w:sz w:val="20"/>
                <w:szCs w:val="20"/>
                <w:u w:val="none"/>
                <w:lang w:val="en-US" w:eastAsia="zh-CN" w:bidi="ar"/>
              </w:rPr>
              <w:t>定期对浮岛的结构进行检查，包括框架是否变形、浮筒是否破损、连接部件是否松动等，发现问题及时进行修复或更换。</w:t>
            </w:r>
          </w:p>
          <w:p w14:paraId="596FCC33">
            <w:pPr>
              <w:keepNext w:val="0"/>
              <w:keepLines w:val="0"/>
              <w:widowControl/>
              <w:numPr>
                <w:ilvl w:val="0"/>
                <w:numId w:val="0"/>
              </w:numPr>
              <w:suppressLineNumbers w:val="0"/>
              <w:ind w:leftChars="0"/>
              <w:jc w:val="left"/>
              <w:textAlignment w:val="center"/>
              <w:rPr>
                <w:rFonts w:hint="default"/>
                <w:color w:val="000000"/>
                <w:lang w:val="en-US" w:eastAsia="zh-CN"/>
              </w:rPr>
            </w:pPr>
            <w:r>
              <w:rPr>
                <w:rFonts w:hint="eastAsia" w:ascii="宋体" w:hAnsi="宋体" w:eastAsia="宋体" w:cs="宋体"/>
                <w:b/>
                <w:bCs/>
                <w:i w:val="0"/>
                <w:iCs w:val="0"/>
                <w:color w:val="000000"/>
                <w:kern w:val="0"/>
                <w:sz w:val="20"/>
                <w:szCs w:val="20"/>
                <w:u w:val="none"/>
                <w:lang w:val="en-US" w:eastAsia="zh-CN" w:bidi="ar"/>
              </w:rPr>
              <w:t>2.</w:t>
            </w:r>
            <w:r>
              <w:rPr>
                <w:rFonts w:hint="default" w:ascii="宋体" w:hAnsi="宋体" w:eastAsia="宋体" w:cs="宋体"/>
                <w:b/>
                <w:bCs/>
                <w:i w:val="0"/>
                <w:iCs w:val="0"/>
                <w:color w:val="000000"/>
                <w:kern w:val="0"/>
                <w:sz w:val="20"/>
                <w:szCs w:val="20"/>
                <w:u w:val="none"/>
                <w:lang w:val="en-US" w:eastAsia="zh-CN" w:bidi="ar"/>
              </w:rPr>
              <w:t>垃圾清理：</w:t>
            </w:r>
            <w:r>
              <w:rPr>
                <w:rFonts w:hint="default" w:ascii="宋体" w:hAnsi="宋体" w:eastAsia="宋体" w:cs="宋体"/>
                <w:i w:val="0"/>
                <w:iCs w:val="0"/>
                <w:color w:val="000000"/>
                <w:kern w:val="0"/>
                <w:sz w:val="20"/>
                <w:szCs w:val="20"/>
                <w:u w:val="none"/>
                <w:lang w:val="en-US" w:eastAsia="zh-CN" w:bidi="ar"/>
              </w:rPr>
              <w:t>定期清理浮岛表面和周边水域的垃圾和杂物，保持浮岛的清洁卫生，防止污染白头硬尾鸭的栖息环境。</w:t>
            </w:r>
            <w:bookmarkEnd w:id="205"/>
            <w:bookmarkEnd w:id="206"/>
            <w:r>
              <w:rPr>
                <w:rFonts w:hint="eastAsia" w:ascii="宋体" w:hAnsi="宋体" w:cs="宋体"/>
                <w:i w:val="0"/>
                <w:iCs w:val="0"/>
                <w:color w:val="000000"/>
                <w:kern w:val="0"/>
                <w:sz w:val="20"/>
                <w:szCs w:val="20"/>
                <w:u w:val="none"/>
                <w:lang w:val="en-US" w:eastAsia="zh-CN" w:bidi="ar"/>
              </w:rPr>
              <w:t xml:space="preserve"> </w:t>
            </w:r>
          </w:p>
        </w:tc>
        <w:tc>
          <w:tcPr>
            <w:tcW w:w="735" w:type="dxa"/>
            <w:noWrap w:val="0"/>
            <w:vAlign w:val="center"/>
          </w:tcPr>
          <w:p w14:paraId="723396A8">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eastAsia="宋体" w:cs="宋体"/>
                <w:i w:val="0"/>
                <w:iCs w:val="0"/>
                <w:color w:val="000000"/>
                <w:kern w:val="0"/>
                <w:sz w:val="20"/>
                <w:szCs w:val="20"/>
                <w:u w:val="none"/>
                <w:lang w:val="en-US" w:eastAsia="zh-CN" w:bidi="ar"/>
              </w:rPr>
              <w:t>座</w:t>
            </w:r>
          </w:p>
        </w:tc>
        <w:tc>
          <w:tcPr>
            <w:tcW w:w="690" w:type="dxa"/>
            <w:noWrap w:val="0"/>
            <w:vAlign w:val="center"/>
          </w:tcPr>
          <w:p w14:paraId="134842B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6</w:t>
            </w:r>
          </w:p>
        </w:tc>
        <w:tc>
          <w:tcPr>
            <w:tcW w:w="1095" w:type="dxa"/>
            <w:noWrap w:val="0"/>
            <w:vAlign w:val="center"/>
          </w:tcPr>
          <w:p w14:paraId="5F743EFD">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每座人工浮岛面积100平方米，报价</w:t>
            </w:r>
            <w:r>
              <w:rPr>
                <w:rFonts w:hint="eastAsia" w:ascii="宋体" w:hAnsi="宋体" w:eastAsia="宋体" w:cs="宋体"/>
                <w:i w:val="0"/>
                <w:iCs w:val="0"/>
                <w:color w:val="000000"/>
                <w:kern w:val="0"/>
                <w:sz w:val="20"/>
                <w:szCs w:val="20"/>
                <w:u w:val="none"/>
                <w:lang w:val="en-US" w:eastAsia="zh-CN" w:bidi="ar"/>
              </w:rPr>
              <w:t>包含人工浮岛设计、安装及调试等费用，提供</w:t>
            </w:r>
            <w:r>
              <w:rPr>
                <w:rFonts w:hint="default" w:ascii="宋体" w:hAnsi="宋体" w:eastAsia="宋体" w:cs="宋体"/>
                <w:i w:val="0"/>
                <w:iCs w:val="0"/>
                <w:color w:val="000000"/>
                <w:kern w:val="0"/>
                <w:sz w:val="20"/>
                <w:szCs w:val="20"/>
                <w:u w:val="none"/>
                <w:lang w:val="en-US" w:eastAsia="zh-CN" w:bidi="ar"/>
              </w:rPr>
              <w:t>设计图纸</w:t>
            </w: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材料明细</w:t>
            </w:r>
            <w:r>
              <w:rPr>
                <w:rFonts w:hint="eastAsia" w:ascii="宋体" w:hAnsi="宋体" w:eastAsia="宋体" w:cs="宋体"/>
                <w:i w:val="0"/>
                <w:iCs w:val="0"/>
                <w:color w:val="000000"/>
                <w:kern w:val="0"/>
                <w:sz w:val="20"/>
                <w:szCs w:val="20"/>
                <w:u w:val="none"/>
                <w:lang w:val="en-US" w:eastAsia="zh-CN" w:bidi="ar"/>
              </w:rPr>
              <w:t>及</w:t>
            </w:r>
            <w:r>
              <w:rPr>
                <w:rFonts w:hint="default" w:ascii="宋体" w:hAnsi="宋体" w:eastAsia="宋体" w:cs="宋体"/>
                <w:i w:val="0"/>
                <w:iCs w:val="0"/>
                <w:color w:val="000000"/>
                <w:kern w:val="0"/>
                <w:sz w:val="20"/>
                <w:szCs w:val="20"/>
                <w:u w:val="none"/>
                <w:lang w:val="en-US" w:eastAsia="zh-CN" w:bidi="ar"/>
              </w:rPr>
              <w:t>价格组成</w:t>
            </w:r>
            <w:r>
              <w:rPr>
                <w:rFonts w:hint="eastAsia" w:ascii="宋体" w:hAnsi="宋体" w:eastAsia="宋体" w:cs="宋体"/>
                <w:i w:val="0"/>
                <w:iCs w:val="0"/>
                <w:color w:val="000000"/>
                <w:kern w:val="0"/>
                <w:sz w:val="20"/>
                <w:szCs w:val="20"/>
                <w:u w:val="none"/>
                <w:lang w:val="en-US" w:eastAsia="zh-CN" w:bidi="ar"/>
              </w:rPr>
              <w:t>。</w:t>
            </w:r>
          </w:p>
          <w:p w14:paraId="2D28F27F">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p>
        </w:tc>
      </w:tr>
      <w:tr w14:paraId="4700A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noWrap w:val="0"/>
            <w:vAlign w:val="center"/>
          </w:tcPr>
          <w:p w14:paraId="45430962">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cs="宋体"/>
                <w:i w:val="0"/>
                <w:iCs w:val="0"/>
                <w:color w:val="000000"/>
                <w:kern w:val="0"/>
                <w:sz w:val="21"/>
                <w:szCs w:val="21"/>
                <w:u w:val="none"/>
                <w:lang w:val="en-US" w:eastAsia="zh-CN" w:bidi="ar"/>
              </w:rPr>
              <w:t>6</w:t>
            </w:r>
          </w:p>
        </w:tc>
        <w:tc>
          <w:tcPr>
            <w:tcW w:w="870" w:type="dxa"/>
            <w:noWrap w:val="0"/>
            <w:vAlign w:val="center"/>
          </w:tcPr>
          <w:p w14:paraId="0D6AAF48">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eastAsia="宋体" w:cs="宋体"/>
                <w:i w:val="0"/>
                <w:iCs w:val="0"/>
                <w:color w:val="000000"/>
                <w:kern w:val="0"/>
                <w:sz w:val="20"/>
                <w:szCs w:val="20"/>
                <w:u w:val="none"/>
                <w:lang w:val="en-US" w:eastAsia="zh-CN" w:bidi="ar"/>
              </w:rPr>
              <w:t>大型水鸟巢招引架</w:t>
            </w:r>
            <w:r>
              <w:rPr>
                <w:rFonts w:hint="eastAsia" w:ascii="宋体" w:hAnsi="宋体" w:cs="宋体"/>
                <w:i w:val="0"/>
                <w:iCs w:val="0"/>
                <w:color w:val="000000"/>
                <w:kern w:val="0"/>
                <w:sz w:val="20"/>
                <w:szCs w:val="20"/>
                <w:u w:val="none"/>
                <w:lang w:val="en-US" w:eastAsia="zh-CN" w:bidi="ar"/>
              </w:rPr>
              <w:t>（定制）</w:t>
            </w:r>
          </w:p>
        </w:tc>
        <w:tc>
          <w:tcPr>
            <w:tcW w:w="5670" w:type="dxa"/>
            <w:noWrap w:val="0"/>
            <w:vAlign w:val="center"/>
          </w:tcPr>
          <w:p w14:paraId="6DB99BD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b/>
                <w:bCs/>
                <w:i w:val="0"/>
                <w:iCs w:val="0"/>
                <w:color w:val="000000"/>
                <w:kern w:val="0"/>
                <w:sz w:val="20"/>
                <w:szCs w:val="20"/>
                <w:u w:val="none"/>
                <w:lang w:val="en-US" w:eastAsia="zh-CN" w:bidi="ar"/>
              </w:rPr>
            </w:pPr>
            <w:bookmarkStart w:id="207" w:name="OLE_LINK42"/>
            <w:bookmarkStart w:id="208" w:name="OLE_LINK25"/>
            <w:bookmarkStart w:id="209" w:name="OLE_LINK47"/>
            <w:bookmarkStart w:id="210" w:name="OLE_LINK12"/>
            <w:r>
              <w:rPr>
                <w:rFonts w:hint="eastAsia" w:ascii="宋体" w:hAnsi="宋体" w:eastAsia="宋体" w:cs="宋体"/>
                <w:b/>
                <w:bCs/>
                <w:i w:val="0"/>
                <w:iCs w:val="0"/>
                <w:color w:val="000000"/>
                <w:kern w:val="0"/>
                <w:sz w:val="20"/>
                <w:szCs w:val="20"/>
                <w:u w:val="none"/>
                <w:lang w:val="en-US" w:eastAsia="zh-CN" w:bidi="ar"/>
              </w:rPr>
              <w:t>按照双柱式禽类永久招引巢体定制，包含：两根15米高立柱、</w:t>
            </w:r>
            <w:bookmarkStart w:id="211" w:name="OLE_LINK41"/>
            <w:r>
              <w:rPr>
                <w:rFonts w:hint="eastAsia" w:ascii="宋体" w:hAnsi="宋体" w:eastAsia="宋体" w:cs="宋体"/>
                <w:b/>
                <w:bCs/>
                <w:i w:val="0"/>
                <w:iCs w:val="0"/>
                <w:color w:val="000000"/>
                <w:kern w:val="0"/>
                <w:sz w:val="20"/>
                <w:szCs w:val="20"/>
                <w:u w:val="none"/>
                <w:lang w:val="en-US" w:eastAsia="zh-CN" w:bidi="ar"/>
              </w:rPr>
              <w:t>横梁</w:t>
            </w:r>
            <w:bookmarkEnd w:id="211"/>
            <w:r>
              <w:rPr>
                <w:rFonts w:hint="eastAsia" w:ascii="宋体" w:hAnsi="宋体" w:eastAsia="宋体" w:cs="宋体"/>
                <w:b/>
                <w:bCs/>
                <w:i w:val="0"/>
                <w:iCs w:val="0"/>
                <w:color w:val="000000"/>
                <w:kern w:val="0"/>
                <w:sz w:val="20"/>
                <w:szCs w:val="20"/>
                <w:u w:val="none"/>
                <w:lang w:val="en-US" w:eastAsia="zh-CN" w:bidi="ar"/>
              </w:rPr>
              <w:t>长4×宽2米、</w:t>
            </w:r>
            <w:bookmarkEnd w:id="207"/>
            <w:bookmarkStart w:id="212" w:name="OLE_LINK43"/>
            <w:r>
              <w:rPr>
                <w:rFonts w:hint="eastAsia" w:ascii="宋体" w:hAnsi="宋体" w:eastAsia="宋体" w:cs="宋体"/>
                <w:b/>
                <w:bCs/>
                <w:i w:val="0"/>
                <w:iCs w:val="0"/>
                <w:color w:val="000000"/>
                <w:kern w:val="0"/>
                <w:sz w:val="20"/>
                <w:szCs w:val="20"/>
                <w:u w:val="none"/>
                <w:lang w:val="en-US" w:eastAsia="zh-CN" w:bidi="ar"/>
              </w:rPr>
              <w:t>安全钢缆、斜拉钢筋、立柱斜拉钢缆</w:t>
            </w:r>
            <w:bookmarkEnd w:id="212"/>
            <w:r>
              <w:rPr>
                <w:rFonts w:hint="eastAsia" w:ascii="宋体" w:hAnsi="宋体" w:eastAsia="宋体" w:cs="宋体"/>
                <w:b/>
                <w:bCs/>
                <w:i w:val="0"/>
                <w:iCs w:val="0"/>
                <w:color w:val="000000"/>
                <w:kern w:val="0"/>
                <w:sz w:val="20"/>
                <w:szCs w:val="20"/>
                <w:u w:val="none"/>
                <w:lang w:val="en-US" w:eastAsia="zh-CN" w:bidi="ar"/>
              </w:rPr>
              <w:t>。</w:t>
            </w:r>
          </w:p>
          <w:p w14:paraId="61B799B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宋体" w:hAnsi="宋体" w:eastAsia="宋体" w:cs="宋体"/>
                <w:b/>
                <w:bCs/>
                <w:i w:val="0"/>
                <w:iCs w:val="0"/>
                <w:color w:val="000000"/>
                <w:kern w:val="0"/>
                <w:sz w:val="20"/>
                <w:szCs w:val="20"/>
                <w:u w:val="none"/>
                <w:lang w:val="en-US" w:eastAsia="zh-CN" w:bidi="ar"/>
              </w:rPr>
            </w:pPr>
            <w:bookmarkStart w:id="213" w:name="OLE_LINK40"/>
            <w:bookmarkStart w:id="214" w:name="OLE_LINK9"/>
            <w:r>
              <w:rPr>
                <w:rFonts w:hint="default" w:ascii="宋体" w:hAnsi="宋体" w:eastAsia="宋体" w:cs="宋体"/>
                <w:b/>
                <w:bCs/>
                <w:i w:val="0"/>
                <w:iCs w:val="0"/>
                <w:color w:val="000000"/>
                <w:kern w:val="0"/>
                <w:sz w:val="20"/>
                <w:szCs w:val="20"/>
                <w:u w:val="none"/>
                <w:lang w:val="en-US" w:eastAsia="zh-CN" w:bidi="ar"/>
              </w:rPr>
              <w:t>大</w:t>
            </w:r>
            <w:bookmarkStart w:id="215" w:name="OLE_LINK44"/>
            <w:r>
              <w:rPr>
                <w:rFonts w:hint="default" w:ascii="宋体" w:hAnsi="宋体" w:eastAsia="宋体" w:cs="宋体"/>
                <w:b/>
                <w:bCs/>
                <w:i w:val="0"/>
                <w:iCs w:val="0"/>
                <w:color w:val="000000"/>
                <w:kern w:val="0"/>
                <w:sz w:val="20"/>
                <w:szCs w:val="20"/>
                <w:u w:val="none"/>
                <w:lang w:val="en-US" w:eastAsia="zh-CN" w:bidi="ar"/>
              </w:rPr>
              <w:t>型水鸟巢</w:t>
            </w:r>
            <w:bookmarkEnd w:id="213"/>
            <w:r>
              <w:rPr>
                <w:rFonts w:hint="default" w:ascii="宋体" w:hAnsi="宋体" w:eastAsia="宋体" w:cs="宋体"/>
                <w:b/>
                <w:bCs/>
                <w:i w:val="0"/>
                <w:iCs w:val="0"/>
                <w:color w:val="000000"/>
                <w:kern w:val="0"/>
                <w:sz w:val="20"/>
                <w:szCs w:val="20"/>
                <w:u w:val="none"/>
                <w:lang w:val="en-US" w:eastAsia="zh-CN" w:bidi="ar"/>
              </w:rPr>
              <w:t>招引架设计要求</w:t>
            </w:r>
          </w:p>
          <w:bookmarkEnd w:id="208"/>
          <w:bookmarkEnd w:id="214"/>
          <w:p w14:paraId="24FCF7FC">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000000"/>
                <w:kern w:val="0"/>
                <w:sz w:val="20"/>
                <w:szCs w:val="20"/>
                <w:u w:val="none"/>
                <w:lang w:val="en-US" w:eastAsia="zh-CN" w:bidi="ar"/>
              </w:rPr>
            </w:pPr>
            <w:bookmarkStart w:id="216" w:name="OLE_LINK50"/>
            <w:r>
              <w:rPr>
                <w:rFonts w:hint="default" w:ascii="宋体" w:hAnsi="宋体" w:eastAsia="宋体" w:cs="宋体"/>
                <w:i w:val="0"/>
                <w:iCs w:val="0"/>
                <w:color w:val="000000"/>
                <w:kern w:val="0"/>
                <w:sz w:val="20"/>
                <w:szCs w:val="20"/>
                <w:u w:val="none"/>
                <w:lang w:val="en-US" w:eastAsia="zh-CN" w:bidi="ar"/>
              </w:rPr>
              <w:t>为</w:t>
            </w:r>
            <w:bookmarkStart w:id="217" w:name="OLE_LINK49"/>
            <w:r>
              <w:rPr>
                <w:rFonts w:hint="default" w:ascii="宋体" w:hAnsi="宋体" w:eastAsia="宋体" w:cs="宋体"/>
                <w:i w:val="0"/>
                <w:iCs w:val="0"/>
                <w:color w:val="000000"/>
                <w:kern w:val="0"/>
                <w:sz w:val="20"/>
                <w:szCs w:val="20"/>
                <w:u w:val="none"/>
                <w:lang w:val="en-US" w:eastAsia="zh-CN" w:bidi="ar"/>
              </w:rPr>
              <w:t>满足水鸟栖息与繁殖需求，促进生态平衡，特定制大型水鸟巢招引架。</w:t>
            </w:r>
            <w:r>
              <w:rPr>
                <w:rFonts w:hint="eastAsia" w:ascii="宋体" w:hAnsi="宋体" w:eastAsia="宋体" w:cs="宋体"/>
                <w:b w:val="0"/>
                <w:bCs w:val="0"/>
                <w:i w:val="0"/>
                <w:iCs w:val="0"/>
                <w:color w:val="000000"/>
                <w:kern w:val="0"/>
                <w:sz w:val="20"/>
                <w:szCs w:val="20"/>
                <w:u w:val="none"/>
                <w:lang w:val="en-US" w:eastAsia="zh-CN" w:bidi="ar"/>
              </w:rPr>
              <w:t>供应商</w:t>
            </w:r>
            <w:r>
              <w:rPr>
                <w:rFonts w:hint="default" w:ascii="宋体" w:hAnsi="宋体" w:eastAsia="宋体" w:cs="宋体"/>
                <w:b w:val="0"/>
                <w:bCs w:val="0"/>
                <w:i w:val="0"/>
                <w:iCs w:val="0"/>
                <w:color w:val="000000"/>
                <w:kern w:val="0"/>
                <w:sz w:val="20"/>
                <w:szCs w:val="20"/>
                <w:u w:val="none"/>
                <w:lang w:val="en-US" w:eastAsia="zh-CN" w:bidi="ar"/>
              </w:rPr>
              <w:t>提供结构稳固、功能完善、安全可靠的招引架，确保其能适应户外复杂环境，有效吸引水鸟筑巢。</w:t>
            </w:r>
          </w:p>
          <w:p w14:paraId="0C7140E0">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一</w:t>
            </w:r>
            <w:r>
              <w:rPr>
                <w:rFonts w:hint="default" w:ascii="宋体" w:hAnsi="宋体" w:eastAsia="宋体" w:cs="宋体"/>
                <w:b/>
                <w:bCs/>
                <w:i w:val="0"/>
                <w:iCs w:val="0"/>
                <w:color w:val="000000"/>
                <w:kern w:val="0"/>
                <w:sz w:val="20"/>
                <w:szCs w:val="20"/>
                <w:u w:val="none"/>
                <w:lang w:val="en-US" w:eastAsia="zh-CN" w:bidi="ar"/>
              </w:rPr>
              <w:t>、总体要求</w:t>
            </w:r>
          </w:p>
          <w:p w14:paraId="55E0F463">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bookmarkStart w:id="218" w:name="OLE_LINK46"/>
            <w:r>
              <w:rPr>
                <w:rFonts w:hint="default" w:ascii="宋体" w:hAnsi="宋体" w:eastAsia="宋体" w:cs="宋体"/>
                <w:b/>
                <w:bCs/>
                <w:i w:val="0"/>
                <w:iCs w:val="0"/>
                <w:color w:val="000000"/>
                <w:kern w:val="0"/>
                <w:sz w:val="20"/>
                <w:szCs w:val="20"/>
                <w:u w:val="none"/>
                <w:lang w:val="en-US" w:eastAsia="zh-CN" w:bidi="ar"/>
              </w:rPr>
              <w:t>结构稳固</w:t>
            </w:r>
            <w:bookmarkEnd w:id="218"/>
            <w:r>
              <w:rPr>
                <w:rFonts w:hint="default" w:ascii="宋体" w:hAnsi="宋体" w:eastAsia="宋体" w:cs="宋体"/>
                <w:b/>
                <w:bCs/>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采用合理的结构设计与优质材料，确保招引架在各种自然条件下保持稳定，抵御强风、暴雨、地震等自然灾害。</w:t>
            </w:r>
          </w:p>
          <w:p w14:paraId="2C94E234">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功能完善：满足水鸟栖息、筑巢、繁殖等行为需求，同时兼顾便于观察与研究的功能。</w:t>
            </w:r>
          </w:p>
          <w:p w14:paraId="37108472">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安全可靠</w:t>
            </w:r>
            <w:r>
              <w:rPr>
                <w:rFonts w:hint="default" w:ascii="宋体" w:hAnsi="宋体" w:eastAsia="宋体" w:cs="宋体"/>
                <w:i w:val="0"/>
                <w:iCs w:val="0"/>
                <w:color w:val="000000"/>
                <w:kern w:val="0"/>
                <w:sz w:val="20"/>
                <w:szCs w:val="20"/>
                <w:u w:val="none"/>
                <w:lang w:val="en-US" w:eastAsia="zh-CN" w:bidi="ar"/>
              </w:rPr>
              <w:t>：消除潜在安全隐患，保障水鸟及维护人员的安全。</w:t>
            </w:r>
          </w:p>
          <w:p w14:paraId="316BA3DC">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环境适应性</w:t>
            </w:r>
            <w:r>
              <w:rPr>
                <w:rFonts w:hint="default" w:ascii="宋体" w:hAnsi="宋体" w:eastAsia="宋体" w:cs="宋体"/>
                <w:i w:val="0"/>
                <w:iCs w:val="0"/>
                <w:color w:val="000000"/>
                <w:kern w:val="0"/>
                <w:sz w:val="20"/>
                <w:szCs w:val="20"/>
                <w:u w:val="none"/>
                <w:lang w:val="en-US" w:eastAsia="zh-CN" w:bidi="ar"/>
              </w:rPr>
              <w:t>：能在高温、低温、潮湿、强风等户外复杂环境下长期稳定运行，材料具备抗腐蚀、耐老化等性能。</w:t>
            </w:r>
          </w:p>
          <w:p w14:paraId="21D5802C">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便于安装与维护</w:t>
            </w:r>
            <w:r>
              <w:rPr>
                <w:rFonts w:hint="default" w:ascii="宋体" w:hAnsi="宋体" w:eastAsia="宋体" w:cs="宋体"/>
                <w:i w:val="0"/>
                <w:iCs w:val="0"/>
                <w:color w:val="000000"/>
                <w:kern w:val="0"/>
                <w:sz w:val="20"/>
                <w:szCs w:val="20"/>
                <w:u w:val="none"/>
                <w:lang w:val="en-US" w:eastAsia="zh-CN" w:bidi="ar"/>
              </w:rPr>
              <w:t>：设计应考虑安装的便捷性，减少施工难度与时间；同时，预留维护通道与接口，方便日常检查、维修与保养。</w:t>
            </w:r>
          </w:p>
          <w:p w14:paraId="7A4628E1">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二</w:t>
            </w:r>
            <w:r>
              <w:rPr>
                <w:rFonts w:hint="default" w:ascii="宋体" w:hAnsi="宋体" w:eastAsia="宋体" w:cs="宋体"/>
                <w:b/>
                <w:bCs/>
                <w:i w:val="0"/>
                <w:iCs w:val="0"/>
                <w:color w:val="000000"/>
                <w:kern w:val="0"/>
                <w:sz w:val="20"/>
                <w:szCs w:val="20"/>
                <w:u w:val="none"/>
                <w:lang w:val="en-US" w:eastAsia="zh-CN" w:bidi="ar"/>
              </w:rPr>
              <w:t>、结构设计要求</w:t>
            </w:r>
          </w:p>
          <w:p w14:paraId="3C6D9903">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（一）立柱</w:t>
            </w:r>
          </w:p>
          <w:p w14:paraId="3CCB55A7">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cs="宋体"/>
                <w:b/>
                <w:bCs/>
                <w:i w:val="0"/>
                <w:iCs w:val="0"/>
                <w:color w:val="000000"/>
                <w:kern w:val="0"/>
                <w:sz w:val="20"/>
                <w:szCs w:val="20"/>
                <w:u w:val="none"/>
                <w:lang w:val="en-US" w:eastAsia="zh-CN" w:bidi="ar"/>
              </w:rPr>
              <w:t>立柱高度：</w:t>
            </w: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米</w:t>
            </w:r>
          </w:p>
          <w:p w14:paraId="1A854D25">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材质：</w:t>
            </w:r>
            <w:r>
              <w:rPr>
                <w:rFonts w:hint="default" w:ascii="宋体" w:hAnsi="宋体" w:eastAsia="宋体" w:cs="宋体"/>
                <w:i w:val="0"/>
                <w:iCs w:val="0"/>
                <w:color w:val="000000"/>
                <w:kern w:val="0"/>
                <w:sz w:val="20"/>
                <w:szCs w:val="20"/>
                <w:u w:val="none"/>
                <w:lang w:val="en-US" w:eastAsia="zh-CN" w:bidi="ar"/>
              </w:rPr>
              <w:t>选用Q345B合金钢及以上强度等级钢材，保证立柱具备卓越的抗压、抗弯性能，有效抵抗户外不良因素。</w:t>
            </w:r>
          </w:p>
          <w:p w14:paraId="41183D16">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防腐处理：</w:t>
            </w:r>
            <w:r>
              <w:rPr>
                <w:rFonts w:hint="default" w:ascii="宋体" w:hAnsi="宋体" w:eastAsia="宋体" w:cs="宋体"/>
                <w:i w:val="0"/>
                <w:iCs w:val="0"/>
                <w:color w:val="000000"/>
                <w:kern w:val="0"/>
                <w:sz w:val="20"/>
                <w:szCs w:val="20"/>
                <w:u w:val="none"/>
                <w:lang w:val="en-US" w:eastAsia="zh-CN" w:bidi="ar"/>
              </w:rPr>
              <w:t>热浸镀锌处理，镀锌层厚度不低于80微米，形成第一层防腐屏障。之后喷涂两道适配当地环境的氟碳漆，漆面应均匀、光滑，无气泡、流挂、漏喷等缺陷，确保20年以上的耐腐蚀寿命。</w:t>
            </w:r>
          </w:p>
          <w:p w14:paraId="35E575D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基础设计：</w:t>
            </w:r>
            <w:r>
              <w:rPr>
                <w:rFonts w:hint="default" w:ascii="宋体" w:hAnsi="宋体" w:eastAsia="宋体" w:cs="宋体"/>
                <w:i w:val="0"/>
                <w:iCs w:val="0"/>
                <w:color w:val="000000"/>
                <w:kern w:val="0"/>
                <w:sz w:val="20"/>
                <w:szCs w:val="20"/>
                <w:u w:val="none"/>
                <w:lang w:val="en-US" w:eastAsia="zh-CN" w:bidi="ar"/>
              </w:rPr>
              <w:t>配备专业的钢筋混凝土基础方案。根据地质条件与招引架受力分析，精确计算基础尺寸与配筋，确保基础能够为立柱提供稳固支撑，防止沉降与倾斜。</w:t>
            </w:r>
          </w:p>
          <w:p w14:paraId="141DC507">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（二）横梁</w:t>
            </w:r>
          </w:p>
          <w:p w14:paraId="025E12C4">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结构设计：</w:t>
            </w:r>
            <w:r>
              <w:rPr>
                <w:rFonts w:hint="default" w:ascii="宋体" w:hAnsi="宋体" w:eastAsia="宋体" w:cs="宋体"/>
                <w:i w:val="0"/>
                <w:iCs w:val="0"/>
                <w:color w:val="000000"/>
                <w:kern w:val="0"/>
                <w:sz w:val="20"/>
                <w:szCs w:val="20"/>
                <w:u w:val="none"/>
                <w:lang w:val="en-US" w:eastAsia="zh-CN" w:bidi="ar"/>
              </w:rPr>
              <w:t>采用</w:t>
            </w:r>
            <w:r>
              <w:rPr>
                <w:rFonts w:hint="eastAsia" w:ascii="宋体" w:hAnsi="宋体" w:cs="宋体"/>
                <w:i w:val="0"/>
                <w:iCs w:val="0"/>
                <w:color w:val="000000"/>
                <w:kern w:val="0"/>
                <w:sz w:val="20"/>
                <w:szCs w:val="20"/>
                <w:u w:val="none"/>
                <w:lang w:val="en-US" w:eastAsia="zh-CN" w:bidi="ar"/>
              </w:rPr>
              <w:t>4</w:t>
            </w:r>
            <w:r>
              <w:rPr>
                <w:rFonts w:hint="default" w:ascii="宋体" w:hAnsi="宋体" w:eastAsia="宋体" w:cs="宋体"/>
                <w:i w:val="0"/>
                <w:iCs w:val="0"/>
                <w:color w:val="000000"/>
                <w:kern w:val="0"/>
                <w:sz w:val="20"/>
                <w:szCs w:val="20"/>
                <w:u w:val="none"/>
                <w:lang w:val="en-US" w:eastAsia="zh-CN" w:bidi="ar"/>
              </w:rPr>
              <w:t>米×</w:t>
            </w:r>
            <w:r>
              <w:rPr>
                <w:rFonts w:hint="eastAsia" w:ascii="宋体" w:hAnsi="宋体" w:cs="宋体"/>
                <w:i w:val="0"/>
                <w:iCs w:val="0"/>
                <w:color w:val="000000"/>
                <w:kern w:val="0"/>
                <w:sz w:val="20"/>
                <w:szCs w:val="20"/>
                <w:u w:val="none"/>
                <w:lang w:val="en-US" w:eastAsia="zh-CN" w:bidi="ar"/>
              </w:rPr>
              <w:t>2</w:t>
            </w:r>
            <w:r>
              <w:rPr>
                <w:rFonts w:hint="default" w:ascii="宋体" w:hAnsi="宋体" w:eastAsia="宋体" w:cs="宋体"/>
                <w:i w:val="0"/>
                <w:iCs w:val="0"/>
                <w:color w:val="000000"/>
                <w:kern w:val="0"/>
                <w:sz w:val="20"/>
                <w:szCs w:val="20"/>
                <w:u w:val="none"/>
                <w:lang w:val="en-US" w:eastAsia="zh-CN" w:bidi="ar"/>
              </w:rPr>
              <w:t>米空腹式桁架结构，主弦杆选用Q345B 合金钢，确保横梁具备足够的强度与刚度，能够承受巢体重量以及鸟类活动产生的动荷载。</w:t>
            </w:r>
          </w:p>
          <w:p w14:paraId="710FCA90">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连接方式：</w:t>
            </w:r>
            <w:r>
              <w:rPr>
                <w:rFonts w:hint="default" w:ascii="宋体" w:hAnsi="宋体" w:eastAsia="宋体" w:cs="宋体"/>
                <w:i w:val="0"/>
                <w:iCs w:val="0"/>
                <w:color w:val="000000"/>
                <w:kern w:val="0"/>
                <w:sz w:val="20"/>
                <w:szCs w:val="20"/>
                <w:u w:val="none"/>
                <w:lang w:val="en-US" w:eastAsia="zh-CN" w:bidi="ar"/>
              </w:rPr>
              <w:t>关键节点设置20±1毫米厚的连接节点板，节点板采用数控切割设备进行精准切割，保证尺寸精度。焊接采用双面坡口焊，焊缝长度200毫米以上，确保焊接强度。同时，布置16 颗M20 高强螺栓，进一步增强连接的可靠性，使横梁能够承受至少10吨的组合荷载。</w:t>
            </w:r>
          </w:p>
          <w:p w14:paraId="12808AF0">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（三）安全钢缆</w:t>
            </w:r>
          </w:p>
          <w:p w14:paraId="4338EED8">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选型：</w:t>
            </w:r>
            <w:r>
              <w:rPr>
                <w:rFonts w:hint="default" w:ascii="宋体" w:hAnsi="宋体" w:eastAsia="宋体" w:cs="宋体"/>
                <w:i w:val="0"/>
                <w:iCs w:val="0"/>
                <w:color w:val="000000"/>
                <w:kern w:val="0"/>
                <w:sz w:val="20"/>
                <w:szCs w:val="20"/>
                <w:u w:val="none"/>
                <w:lang w:val="en-US" w:eastAsia="zh-CN" w:bidi="ar"/>
              </w:rPr>
              <w:t>选用直径12毫米的6×19S+FC 镀锌钢丝绳，其抗拉强度达到1770MPa以上，具备抵御12级以上大风的能力。</w:t>
            </w:r>
          </w:p>
          <w:p w14:paraId="225098FB">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布置方式：</w:t>
            </w:r>
            <w:r>
              <w:rPr>
                <w:rFonts w:hint="default" w:ascii="宋体" w:hAnsi="宋体" w:eastAsia="宋体" w:cs="宋体"/>
                <w:i w:val="0"/>
                <w:iCs w:val="0"/>
                <w:color w:val="000000"/>
                <w:kern w:val="0"/>
                <w:sz w:val="20"/>
                <w:szCs w:val="20"/>
                <w:u w:val="none"/>
                <w:lang w:val="en-US" w:eastAsia="zh-CN" w:bidi="ar"/>
              </w:rPr>
              <w:t>在横梁与立柱间呈网状交叉布置，横距1米、纵距0.5米，形成全方位的防护网络，防止鸟类意外坠落。</w:t>
            </w:r>
          </w:p>
          <w:p w14:paraId="1563D734">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固定方式：</w:t>
            </w:r>
            <w:r>
              <w:rPr>
                <w:rFonts w:hint="default" w:ascii="宋体" w:hAnsi="宋体" w:eastAsia="宋体" w:cs="宋体"/>
                <w:i w:val="0"/>
                <w:iCs w:val="0"/>
                <w:color w:val="000000"/>
                <w:kern w:val="0"/>
                <w:sz w:val="20"/>
                <w:szCs w:val="20"/>
                <w:u w:val="none"/>
                <w:lang w:val="en-US" w:eastAsia="zh-CN" w:bidi="ar"/>
              </w:rPr>
              <w:t xml:space="preserve">钢缆两端通过铝合金接头连接耳板，耳板销轴采用 </w:t>
            </w:r>
            <w:r>
              <w:rPr>
                <w:rFonts w:hint="default" w:ascii="宋体" w:hAnsi="宋体" w:eastAsia="宋体" w:cs="宋体"/>
                <w:b/>
                <w:bCs/>
                <w:i w:val="0"/>
                <w:iCs w:val="0"/>
                <w:color w:val="000000"/>
                <w:kern w:val="0"/>
                <w:sz w:val="20"/>
                <w:szCs w:val="20"/>
                <w:u w:val="none"/>
                <w:lang w:val="en-US" w:eastAsia="zh-CN" w:bidi="ar"/>
              </w:rPr>
              <w:t>20</w:t>
            </w:r>
            <w:r>
              <w:rPr>
                <w:rFonts w:hint="default" w:ascii="宋体" w:hAnsi="宋体" w:eastAsia="宋体" w:cs="宋体"/>
                <w:i w:val="0"/>
                <w:iCs w:val="0"/>
                <w:color w:val="000000"/>
                <w:kern w:val="0"/>
                <w:sz w:val="20"/>
                <w:szCs w:val="20"/>
                <w:u w:val="none"/>
                <w:lang w:val="en-US" w:eastAsia="zh-CN" w:bidi="ar"/>
              </w:rPr>
              <w:t>毫米、40Cr 材质，硬度达到HRC40-45，同时配备防松件，确保连接牢固可靠。</w:t>
            </w:r>
          </w:p>
          <w:p w14:paraId="432866AC">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（四）斜拉钢筋</w:t>
            </w:r>
          </w:p>
          <w:p w14:paraId="2387B4DC">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规格：</w:t>
            </w:r>
            <w:r>
              <w:rPr>
                <w:rFonts w:hint="default" w:ascii="宋体" w:hAnsi="宋体" w:eastAsia="宋体" w:cs="宋体"/>
                <w:i w:val="0"/>
                <w:iCs w:val="0"/>
                <w:color w:val="000000"/>
                <w:kern w:val="0"/>
                <w:sz w:val="20"/>
                <w:szCs w:val="20"/>
                <w:u w:val="none"/>
                <w:lang w:val="en-US" w:eastAsia="zh-CN" w:bidi="ar"/>
              </w:rPr>
              <w:t>采用直径25毫米的 HRB400 螺纹钢，与立柱夹角控制在45±5°，为招引架提供强大的侧向支撑。</w:t>
            </w:r>
          </w:p>
          <w:p w14:paraId="784574CF">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布置方式：</w:t>
            </w:r>
            <w:r>
              <w:rPr>
                <w:rFonts w:hint="default" w:ascii="宋体" w:hAnsi="宋体" w:eastAsia="宋体" w:cs="宋体"/>
                <w:i w:val="0"/>
                <w:iCs w:val="0"/>
                <w:color w:val="000000"/>
                <w:kern w:val="0"/>
                <w:sz w:val="20"/>
                <w:szCs w:val="20"/>
                <w:u w:val="none"/>
                <w:lang w:val="en-US" w:eastAsia="zh-CN" w:bidi="ar"/>
              </w:rPr>
              <w:t>每根立柱均匀布置3根斜拉钢筋，一端在立柱5米、10米、15米处进行焊接，焊缝高度8毫米、长度150毫米，保证焊接质量；另一端锚固于C30混凝土基础中，锚固长度不低于 750 毫米，有效控制立柱侧移在 5 厘米以内。</w:t>
            </w:r>
          </w:p>
          <w:p w14:paraId="37F966F2">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（五）</w:t>
            </w:r>
            <w:bookmarkStart w:id="219" w:name="OLE_LINK45"/>
            <w:r>
              <w:rPr>
                <w:rFonts w:hint="default" w:ascii="宋体" w:hAnsi="宋体" w:eastAsia="宋体" w:cs="宋体"/>
                <w:b/>
                <w:bCs/>
                <w:i w:val="0"/>
                <w:iCs w:val="0"/>
                <w:color w:val="000000"/>
                <w:kern w:val="0"/>
                <w:sz w:val="20"/>
                <w:szCs w:val="20"/>
                <w:u w:val="none"/>
                <w:lang w:val="en-US" w:eastAsia="zh-CN" w:bidi="ar"/>
              </w:rPr>
              <w:t>立柱斜拉钢缆</w:t>
            </w:r>
            <w:bookmarkEnd w:id="219"/>
          </w:p>
          <w:p w14:paraId="0D7CEABB">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选型：</w:t>
            </w:r>
            <w:r>
              <w:rPr>
                <w:rFonts w:hint="default" w:ascii="宋体" w:hAnsi="宋体" w:eastAsia="宋体" w:cs="宋体"/>
                <w:i w:val="0"/>
                <w:iCs w:val="0"/>
                <w:color w:val="000000"/>
                <w:kern w:val="0"/>
                <w:sz w:val="20"/>
                <w:szCs w:val="20"/>
                <w:u w:val="none"/>
                <w:lang w:val="en-US" w:eastAsia="zh-CN" w:bidi="ar"/>
              </w:rPr>
              <w:t>采用直径15毫米的 6×19S+IWR 型镀锌钢丝绳，破断拉力约13吨，为立柱提供强大的侧向稳固力。</w:t>
            </w:r>
          </w:p>
          <w:p w14:paraId="6D0726B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布置方式：</w:t>
            </w:r>
            <w:r>
              <w:rPr>
                <w:rFonts w:hint="default" w:ascii="宋体" w:hAnsi="宋体" w:eastAsia="宋体" w:cs="宋体"/>
                <w:i w:val="0"/>
                <w:iCs w:val="0"/>
                <w:color w:val="000000"/>
                <w:kern w:val="0"/>
                <w:sz w:val="20"/>
                <w:szCs w:val="20"/>
                <w:u w:val="none"/>
                <w:lang w:val="en-US" w:eastAsia="zh-CN" w:bidi="ar"/>
              </w:rPr>
              <w:t>一端连接在立柱15米处的15毫米Q345B耳板上，另一端锚固于2立方米重力式地锚中。地锚内配置4根直径20毫米的HRB400螺纹钢，锚固深度2.5米，有效防止立柱位移</w:t>
            </w:r>
            <w:r>
              <w:rPr>
                <w:rFonts w:hint="eastAsia" w:ascii="宋体" w:hAnsi="宋体" w:cs="宋体"/>
                <w:i w:val="0"/>
                <w:iCs w:val="0"/>
                <w:color w:val="000000"/>
                <w:kern w:val="0"/>
                <w:sz w:val="20"/>
                <w:szCs w:val="20"/>
                <w:u w:val="none"/>
                <w:lang w:val="en-US" w:eastAsia="zh-CN" w:bidi="ar"/>
              </w:rPr>
              <w:t>。</w:t>
            </w:r>
          </w:p>
          <w:p w14:paraId="2A055976">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w:t>
            </w:r>
            <w:r>
              <w:rPr>
                <w:rFonts w:hint="eastAsia" w:ascii="宋体" w:hAnsi="宋体" w:eastAsia="宋体" w:cs="宋体"/>
                <w:b/>
                <w:bCs/>
                <w:i w:val="0"/>
                <w:iCs w:val="0"/>
                <w:color w:val="000000"/>
                <w:kern w:val="0"/>
                <w:sz w:val="20"/>
                <w:szCs w:val="20"/>
                <w:u w:val="none"/>
                <w:lang w:val="en-US" w:eastAsia="zh-CN" w:bidi="ar"/>
              </w:rPr>
              <w:t>六</w:t>
            </w:r>
            <w:r>
              <w:rPr>
                <w:rFonts w:hint="default" w:ascii="宋体" w:hAnsi="宋体" w:eastAsia="宋体" w:cs="宋体"/>
                <w:b/>
                <w:bCs/>
                <w:i w:val="0"/>
                <w:iCs w:val="0"/>
                <w:color w:val="000000"/>
                <w:kern w:val="0"/>
                <w:sz w:val="20"/>
                <w:szCs w:val="20"/>
                <w:u w:val="none"/>
                <w:lang w:val="en-US" w:eastAsia="zh-CN" w:bidi="ar"/>
              </w:rPr>
              <w:t>）顶部</w:t>
            </w:r>
            <w:bookmarkStart w:id="220" w:name="OLE_LINK39"/>
            <w:r>
              <w:rPr>
                <w:rFonts w:hint="default" w:ascii="宋体" w:hAnsi="宋体" w:eastAsia="宋体" w:cs="宋体"/>
                <w:b/>
                <w:bCs/>
                <w:i w:val="0"/>
                <w:iCs w:val="0"/>
                <w:color w:val="000000"/>
                <w:kern w:val="0"/>
                <w:sz w:val="20"/>
                <w:szCs w:val="20"/>
                <w:u w:val="none"/>
                <w:lang w:val="en-US" w:eastAsia="zh-CN" w:bidi="ar"/>
              </w:rPr>
              <w:t>碗型巢框</w:t>
            </w:r>
            <w:bookmarkEnd w:id="220"/>
          </w:p>
          <w:p w14:paraId="2EDFC047">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i w:val="0"/>
                <w:iCs w:val="0"/>
                <w:color w:val="000000"/>
                <w:kern w:val="0"/>
                <w:sz w:val="20"/>
                <w:szCs w:val="20"/>
                <w:highlight w:val="none"/>
                <w:u w:val="none"/>
                <w:lang w:val="en-US" w:eastAsia="zh-CN" w:bidi="ar"/>
              </w:rPr>
              <w:t>顶部设置碗型巢框</w:t>
            </w:r>
            <w:r>
              <w:rPr>
                <w:rFonts w:hint="eastAsia" w:ascii="宋体" w:hAnsi="宋体" w:eastAsia="宋体" w:cs="宋体"/>
                <w:i w:val="0"/>
                <w:iCs w:val="0"/>
                <w:color w:val="000000"/>
                <w:kern w:val="0"/>
                <w:sz w:val="20"/>
                <w:szCs w:val="20"/>
                <w:highlight w:val="none"/>
                <w:u w:val="none"/>
                <w:lang w:val="en-US" w:eastAsia="zh-CN" w:bidi="ar"/>
              </w:rPr>
              <w:t>2个</w:t>
            </w:r>
            <w:r>
              <w:rPr>
                <w:rFonts w:hint="default" w:ascii="宋体" w:hAnsi="宋体" w:eastAsia="宋体" w:cs="宋体"/>
                <w:i w:val="0"/>
                <w:iCs w:val="0"/>
                <w:color w:val="000000"/>
                <w:kern w:val="0"/>
                <w:sz w:val="20"/>
                <w:szCs w:val="20"/>
                <w:highlight w:val="none"/>
                <w:u w:val="none"/>
                <w:lang w:val="en-US" w:eastAsia="zh-CN" w:bidi="ar"/>
              </w:rPr>
              <w:t>。</w:t>
            </w:r>
            <w:r>
              <w:rPr>
                <w:rFonts w:hint="eastAsia" w:ascii="宋体" w:hAnsi="宋体" w:eastAsia="宋体" w:cs="宋体"/>
                <w:i w:val="0"/>
                <w:iCs w:val="0"/>
                <w:color w:val="000000"/>
                <w:kern w:val="0"/>
                <w:sz w:val="20"/>
                <w:szCs w:val="20"/>
                <w:highlight w:val="none"/>
                <w:u w:val="none"/>
                <w:lang w:val="en-US" w:eastAsia="zh-CN" w:bidi="ar"/>
              </w:rPr>
              <w:t>要求如下：</w:t>
            </w:r>
          </w:p>
          <w:p w14:paraId="1D220B9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eastAsia"/>
                <w:b/>
                <w:bCs/>
                <w:highlight w:val="none"/>
                <w:lang w:val="en-US" w:eastAsia="zh-CN"/>
              </w:rPr>
              <w:t>1.</w:t>
            </w:r>
            <w:r>
              <w:rPr>
                <w:rFonts w:hint="default" w:ascii="宋体" w:hAnsi="宋体" w:eastAsia="宋体" w:cs="宋体"/>
                <w:b/>
                <w:bCs/>
                <w:i w:val="0"/>
                <w:iCs w:val="0"/>
                <w:color w:val="000000"/>
                <w:kern w:val="0"/>
                <w:sz w:val="20"/>
                <w:szCs w:val="20"/>
                <w:highlight w:val="none"/>
                <w:u w:val="none"/>
                <w:lang w:val="en-US" w:eastAsia="zh-CN" w:bidi="ar"/>
              </w:rPr>
              <w:t>材质要求</w:t>
            </w:r>
            <w:r>
              <w:rPr>
                <w:rFonts w:hint="eastAsia" w:ascii="宋体" w:hAnsi="宋体" w:cs="宋体"/>
                <w:b/>
                <w:bCs/>
                <w:i w:val="0"/>
                <w:iCs w:val="0"/>
                <w:color w:val="000000"/>
                <w:kern w:val="0"/>
                <w:sz w:val="20"/>
                <w:szCs w:val="20"/>
                <w:highlight w:val="none"/>
                <w:u w:val="none"/>
                <w:lang w:val="en-US" w:eastAsia="zh-CN" w:bidi="ar"/>
              </w:rPr>
              <w:t>：</w:t>
            </w:r>
            <w:r>
              <w:rPr>
                <w:rFonts w:hint="default" w:ascii="宋体" w:hAnsi="宋体" w:eastAsia="宋体" w:cs="宋体"/>
                <w:i w:val="0"/>
                <w:iCs w:val="0"/>
                <w:color w:val="000000"/>
                <w:kern w:val="0"/>
                <w:sz w:val="20"/>
                <w:szCs w:val="20"/>
                <w:highlight w:val="none"/>
                <w:u w:val="none"/>
                <w:lang w:val="en-US" w:eastAsia="zh-CN" w:bidi="ar"/>
              </w:rPr>
              <w:t>选用304L或316L不锈钢，经严格防腐处理，厚度10-15毫米，屈服强度不低于205MPa，抗拉强度不低于515MPa 。与巢框连接的部件，如连接件、挂钩等，采用相同或兼容金属材质，防止电化学腐蚀。</w:t>
            </w:r>
          </w:p>
          <w:p w14:paraId="274674DC">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2.</w:t>
            </w:r>
            <w:r>
              <w:rPr>
                <w:rFonts w:hint="default" w:ascii="宋体" w:hAnsi="宋体" w:eastAsia="宋体" w:cs="宋体"/>
                <w:b/>
                <w:bCs/>
                <w:i w:val="0"/>
                <w:iCs w:val="0"/>
                <w:color w:val="000000"/>
                <w:kern w:val="0"/>
                <w:sz w:val="20"/>
                <w:szCs w:val="20"/>
                <w:highlight w:val="none"/>
                <w:u w:val="none"/>
                <w:lang w:val="en-US" w:eastAsia="zh-CN" w:bidi="ar"/>
              </w:rPr>
              <w:t>结构要求</w:t>
            </w:r>
          </w:p>
          <w:p w14:paraId="61736EE6">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内部结构：</w:t>
            </w:r>
            <w:r>
              <w:rPr>
                <w:rFonts w:hint="default" w:ascii="宋体" w:hAnsi="宋体" w:eastAsia="宋体" w:cs="宋体"/>
                <w:i w:val="0"/>
                <w:iCs w:val="0"/>
                <w:color w:val="000000"/>
                <w:kern w:val="0"/>
                <w:sz w:val="20"/>
                <w:szCs w:val="20"/>
                <w:highlight w:val="none"/>
                <w:u w:val="none"/>
                <w:lang w:val="en-US" w:eastAsia="zh-CN" w:bidi="ar"/>
              </w:rPr>
              <w:t>采用仿生蜂窝状结构，蜂窝单元边长2-3 厘米，优化排列与连接，控制结构变形，保证安全可靠。</w:t>
            </w:r>
          </w:p>
          <w:p w14:paraId="47A46E7E">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排水设计：</w:t>
            </w:r>
            <w:r>
              <w:rPr>
                <w:rFonts w:hint="default" w:ascii="宋体" w:hAnsi="宋体" w:eastAsia="宋体" w:cs="宋体"/>
                <w:i w:val="0"/>
                <w:iCs w:val="0"/>
                <w:color w:val="000000"/>
                <w:kern w:val="0"/>
                <w:sz w:val="20"/>
                <w:szCs w:val="20"/>
                <w:highlight w:val="none"/>
                <w:u w:val="none"/>
                <w:lang w:val="en-US" w:eastAsia="zh-CN" w:bidi="ar"/>
              </w:rPr>
              <w:t>底部设多个直径5毫米、间距10厘米的排水孔，边缘光滑，下方设导流槽，防止积水回流。</w:t>
            </w:r>
          </w:p>
          <w:p w14:paraId="227F4B62">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防风结构：</w:t>
            </w:r>
            <w:r>
              <w:rPr>
                <w:rFonts w:hint="default" w:ascii="宋体" w:hAnsi="宋体" w:eastAsia="宋体" w:cs="宋体"/>
                <w:i w:val="0"/>
                <w:iCs w:val="0"/>
                <w:color w:val="000000"/>
                <w:kern w:val="0"/>
                <w:sz w:val="20"/>
                <w:szCs w:val="20"/>
                <w:highlight w:val="none"/>
                <w:u w:val="none"/>
                <w:lang w:val="en-US" w:eastAsia="zh-CN" w:bidi="ar"/>
              </w:rPr>
              <w:t>增加自重，每个巢框与横梁至少设6个均匀分布的固定点，使用抗拉强度不低于 800MPa 的不锈钢连接件，底部设三角形或十字形防风支撑结构，加强连接部位。</w:t>
            </w:r>
          </w:p>
          <w:p w14:paraId="1D5653FC">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3.</w:t>
            </w:r>
            <w:r>
              <w:rPr>
                <w:rFonts w:hint="default" w:ascii="宋体" w:hAnsi="宋体" w:eastAsia="宋体" w:cs="宋体"/>
                <w:b/>
                <w:bCs/>
                <w:i w:val="0"/>
                <w:iCs w:val="0"/>
                <w:color w:val="000000"/>
                <w:kern w:val="0"/>
                <w:sz w:val="20"/>
                <w:szCs w:val="20"/>
                <w:highlight w:val="none"/>
                <w:u w:val="none"/>
                <w:lang w:val="en-US" w:eastAsia="zh-CN" w:bidi="ar"/>
              </w:rPr>
              <w:t>表面处理要求</w:t>
            </w:r>
          </w:p>
          <w:p w14:paraId="148CE17F">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防滑处理：</w:t>
            </w:r>
            <w:r>
              <w:rPr>
                <w:rFonts w:hint="default" w:ascii="宋体" w:hAnsi="宋体" w:eastAsia="宋体" w:cs="宋体"/>
                <w:i w:val="0"/>
                <w:iCs w:val="0"/>
                <w:color w:val="000000"/>
                <w:kern w:val="0"/>
                <w:sz w:val="20"/>
                <w:szCs w:val="20"/>
                <w:highlight w:val="none"/>
                <w:u w:val="none"/>
                <w:lang w:val="en-US" w:eastAsia="zh-CN" w:bidi="ar"/>
              </w:rPr>
              <w:t>在内部和边缘设1-2毫米深的菱形或波浪形防滑纹理，间距5-8毫米，关键位置粘贴 3-5毫米厚的环保耐候橡胶防滑垫。</w:t>
            </w:r>
          </w:p>
          <w:p w14:paraId="56772100">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防反光处理：</w:t>
            </w:r>
            <w:r>
              <w:rPr>
                <w:rFonts w:hint="default" w:ascii="宋体" w:hAnsi="宋体" w:eastAsia="宋体" w:cs="宋体"/>
                <w:i w:val="0"/>
                <w:iCs w:val="0"/>
                <w:color w:val="000000"/>
                <w:kern w:val="0"/>
                <w:sz w:val="20"/>
                <w:szCs w:val="20"/>
                <w:highlight w:val="none"/>
                <w:u w:val="none"/>
                <w:lang w:val="en-US" w:eastAsia="zh-CN" w:bidi="ar"/>
              </w:rPr>
              <w:t>先打磨至表面粗糙度 Ra0.8-Ra1.6μm，再涂0.1-0.2毫米厚的氟碳哑光漆，颜色与环境协调。</w:t>
            </w:r>
          </w:p>
          <w:p w14:paraId="4D6D712B">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4.</w:t>
            </w:r>
            <w:r>
              <w:rPr>
                <w:rFonts w:hint="default" w:ascii="宋体" w:hAnsi="宋体" w:eastAsia="宋体" w:cs="宋体"/>
                <w:b/>
                <w:bCs/>
                <w:i w:val="0"/>
                <w:iCs w:val="0"/>
                <w:color w:val="000000"/>
                <w:kern w:val="0"/>
                <w:sz w:val="20"/>
                <w:szCs w:val="20"/>
                <w:highlight w:val="none"/>
                <w:u w:val="none"/>
                <w:lang w:val="en-US" w:eastAsia="zh-CN" w:bidi="ar"/>
              </w:rPr>
              <w:t>空间要求</w:t>
            </w:r>
          </w:p>
          <w:p w14:paraId="6D792EED">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直径：</w:t>
            </w:r>
            <w:r>
              <w:rPr>
                <w:rFonts w:hint="default" w:ascii="宋体" w:hAnsi="宋体" w:eastAsia="宋体" w:cs="宋体"/>
                <w:i w:val="0"/>
                <w:iCs w:val="0"/>
                <w:color w:val="000000"/>
                <w:kern w:val="0"/>
                <w:sz w:val="20"/>
                <w:szCs w:val="20"/>
                <w:highlight w:val="none"/>
                <w:u w:val="none"/>
                <w:lang w:val="en-US" w:eastAsia="zh-CN" w:bidi="ar"/>
              </w:rPr>
              <w:t>120厘米，误差控制在±1厘米内。</w:t>
            </w:r>
          </w:p>
          <w:p w14:paraId="398FEB74">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深度：</w:t>
            </w:r>
            <w:r>
              <w:rPr>
                <w:rFonts w:hint="default" w:ascii="宋体" w:hAnsi="宋体" w:eastAsia="宋体" w:cs="宋体"/>
                <w:i w:val="0"/>
                <w:iCs w:val="0"/>
                <w:color w:val="000000"/>
                <w:kern w:val="0"/>
                <w:sz w:val="20"/>
                <w:szCs w:val="20"/>
                <w:highlight w:val="none"/>
                <w:u w:val="none"/>
                <w:lang w:val="en-US" w:eastAsia="zh-CN" w:bidi="ar"/>
              </w:rPr>
              <w:t>40-60厘米，可通过调节连接角度或使用可调节连接件微调。</w:t>
            </w:r>
          </w:p>
          <w:p w14:paraId="0A00C30B">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highlight w:val="none"/>
                <w:u w:val="none"/>
                <w:lang w:val="en-US" w:eastAsia="zh-CN" w:bidi="ar"/>
              </w:rPr>
            </w:pPr>
            <w:r>
              <w:rPr>
                <w:rFonts w:hint="eastAsia" w:ascii="宋体" w:hAnsi="宋体" w:cs="宋体"/>
                <w:b/>
                <w:bCs/>
                <w:i w:val="0"/>
                <w:iCs w:val="0"/>
                <w:color w:val="000000"/>
                <w:kern w:val="0"/>
                <w:sz w:val="20"/>
                <w:szCs w:val="20"/>
                <w:highlight w:val="none"/>
                <w:u w:val="none"/>
                <w:lang w:val="en-US" w:eastAsia="zh-CN" w:bidi="ar"/>
              </w:rPr>
              <w:t>5.</w:t>
            </w:r>
            <w:r>
              <w:rPr>
                <w:rFonts w:hint="default" w:ascii="宋体" w:hAnsi="宋体" w:eastAsia="宋体" w:cs="宋体"/>
                <w:b/>
                <w:bCs/>
                <w:i w:val="0"/>
                <w:iCs w:val="0"/>
                <w:color w:val="000000"/>
                <w:kern w:val="0"/>
                <w:sz w:val="20"/>
                <w:szCs w:val="20"/>
                <w:highlight w:val="none"/>
                <w:u w:val="none"/>
                <w:lang w:val="en-US" w:eastAsia="zh-CN" w:bidi="ar"/>
              </w:rPr>
              <w:t>色彩与伪装要求</w:t>
            </w:r>
          </w:p>
          <w:p w14:paraId="0E3DB52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highlight w:val="none"/>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自然色彩</w:t>
            </w:r>
            <w:r>
              <w:rPr>
                <w:rFonts w:hint="default" w:ascii="宋体" w:hAnsi="宋体" w:eastAsia="宋体" w:cs="宋体"/>
                <w:i w:val="0"/>
                <w:iCs w:val="0"/>
                <w:color w:val="000000"/>
                <w:kern w:val="0"/>
                <w:sz w:val="20"/>
                <w:szCs w:val="20"/>
                <w:highlight w:val="none"/>
                <w:u w:val="none"/>
                <w:lang w:val="en-US" w:eastAsia="zh-CN" w:bidi="ar"/>
              </w:rPr>
              <w:t>：用灰色、棕色、绿色等自然色涂料涂装，参考当地环境主色调，调配明度和饱和度。</w:t>
            </w:r>
          </w:p>
          <w:p w14:paraId="538D260A">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auto"/>
                <w:kern w:val="0"/>
                <w:sz w:val="20"/>
                <w:szCs w:val="20"/>
                <w:highlight w:val="yellow"/>
                <w:u w:val="none"/>
                <w:lang w:val="en-US" w:eastAsia="zh-CN" w:bidi="ar"/>
              </w:rPr>
            </w:pPr>
            <w:r>
              <w:rPr>
                <w:rFonts w:hint="default" w:ascii="宋体" w:hAnsi="宋体" w:eastAsia="宋体" w:cs="宋体"/>
                <w:b/>
                <w:bCs/>
                <w:i w:val="0"/>
                <w:iCs w:val="0"/>
                <w:color w:val="000000"/>
                <w:kern w:val="0"/>
                <w:sz w:val="20"/>
                <w:szCs w:val="20"/>
                <w:highlight w:val="none"/>
                <w:u w:val="none"/>
                <w:lang w:val="en-US" w:eastAsia="zh-CN" w:bidi="ar"/>
              </w:rPr>
              <w:t>伪装设计</w:t>
            </w:r>
            <w:r>
              <w:rPr>
                <w:rFonts w:hint="default" w:ascii="宋体" w:hAnsi="宋体" w:eastAsia="宋体" w:cs="宋体"/>
                <w:i w:val="0"/>
                <w:iCs w:val="0"/>
                <w:color w:val="000000"/>
                <w:kern w:val="0"/>
                <w:sz w:val="20"/>
                <w:szCs w:val="20"/>
                <w:highlight w:val="none"/>
                <w:u w:val="none"/>
                <w:lang w:val="en-US" w:eastAsia="zh-CN" w:bidi="ar"/>
              </w:rPr>
              <w:t>：粘贴环保耐候的仿真树枝、树叶，或绘制树皮、树叶脉络等自然纹理图案。</w:t>
            </w:r>
          </w:p>
          <w:p w14:paraId="49831101">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auto"/>
                <w:kern w:val="0"/>
                <w:sz w:val="20"/>
                <w:szCs w:val="20"/>
                <w:u w:val="none"/>
                <w:lang w:val="en-US" w:eastAsia="zh-CN" w:bidi="ar"/>
              </w:rPr>
            </w:pPr>
            <w:bookmarkStart w:id="221" w:name="OLE_LINK21"/>
            <w:r>
              <w:rPr>
                <w:rFonts w:hint="default" w:ascii="宋体" w:hAnsi="宋体" w:eastAsia="宋体" w:cs="宋体"/>
                <w:b/>
                <w:bCs/>
                <w:i w:val="0"/>
                <w:iCs w:val="0"/>
                <w:color w:val="auto"/>
                <w:kern w:val="0"/>
                <w:sz w:val="20"/>
                <w:szCs w:val="20"/>
                <w:u w:val="none"/>
                <w:lang w:val="en-US" w:eastAsia="zh-CN" w:bidi="ar"/>
              </w:rPr>
              <w:t>（七）监控探头结构</w:t>
            </w:r>
          </w:p>
          <w:p w14:paraId="4DA31B68">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延伸结构</w:t>
            </w:r>
            <w:r>
              <w:rPr>
                <w:rFonts w:hint="default" w:ascii="宋体" w:hAnsi="宋体" w:eastAsia="宋体" w:cs="宋体"/>
                <w:b w:val="0"/>
                <w:bCs w:val="0"/>
                <w:i w:val="0"/>
                <w:iCs w:val="0"/>
                <w:color w:val="auto"/>
                <w:kern w:val="0"/>
                <w:sz w:val="20"/>
                <w:szCs w:val="20"/>
                <w:u w:val="none"/>
                <w:lang w:val="en-US" w:eastAsia="zh-CN" w:bidi="ar"/>
              </w:rPr>
              <w:t>：在巢架侧面延伸出2米的支架，用于安装监控探头。</w:t>
            </w:r>
          </w:p>
          <w:p w14:paraId="591CA046">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安装高度：</w:t>
            </w:r>
            <w:r>
              <w:rPr>
                <w:rFonts w:hint="default" w:ascii="宋体" w:hAnsi="宋体" w:eastAsia="宋体" w:cs="宋体"/>
                <w:b w:val="0"/>
                <w:bCs w:val="0"/>
                <w:i w:val="0"/>
                <w:iCs w:val="0"/>
                <w:color w:val="auto"/>
                <w:kern w:val="0"/>
                <w:sz w:val="20"/>
                <w:szCs w:val="20"/>
                <w:u w:val="none"/>
                <w:lang w:val="en-US" w:eastAsia="zh-CN" w:bidi="ar"/>
              </w:rPr>
              <w:t>监控探头高于鸟巢80厘米左右，可实现微俯视或平视巢内情况。</w:t>
            </w:r>
          </w:p>
          <w:p w14:paraId="03B90E78">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监控设备：</w:t>
            </w:r>
            <w:r>
              <w:rPr>
                <w:rFonts w:hint="default" w:ascii="宋体" w:hAnsi="宋体" w:eastAsia="宋体" w:cs="宋体"/>
                <w:b w:val="0"/>
                <w:bCs w:val="0"/>
                <w:i w:val="0"/>
                <w:iCs w:val="0"/>
                <w:color w:val="auto"/>
                <w:kern w:val="0"/>
                <w:sz w:val="20"/>
                <w:szCs w:val="20"/>
                <w:u w:val="none"/>
                <w:lang w:val="en-US" w:eastAsia="zh-CN" w:bidi="ar"/>
              </w:rPr>
              <w:t>选用高清、低照度、具备夜视功能的监控摄像头，确保在不同环境下都能清晰拍摄巢内情况。</w:t>
            </w:r>
          </w:p>
          <w:p w14:paraId="13C0D6BA">
            <w:pPr>
              <w:keepNext w:val="0"/>
              <w:keepLines w:val="0"/>
              <w:widowControl/>
              <w:numPr>
                <w:ilvl w:val="0"/>
                <w:numId w:val="0"/>
              </w:numPr>
              <w:suppressLineNumbers w:val="0"/>
              <w:ind w:leftChars="0"/>
              <w:jc w:val="left"/>
              <w:textAlignment w:val="center"/>
              <w:rPr>
                <w:rFonts w:hint="default" w:ascii="宋体" w:hAnsi="宋体" w:eastAsia="宋体" w:cs="宋体"/>
                <w:b w:val="0"/>
                <w:bCs w:val="0"/>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太阳能供电：</w:t>
            </w:r>
            <w:r>
              <w:rPr>
                <w:rFonts w:hint="default" w:ascii="宋体" w:hAnsi="宋体" w:eastAsia="宋体" w:cs="宋体"/>
                <w:b w:val="0"/>
                <w:bCs w:val="0"/>
                <w:i w:val="0"/>
                <w:iCs w:val="0"/>
                <w:color w:val="auto"/>
                <w:kern w:val="0"/>
                <w:sz w:val="20"/>
                <w:szCs w:val="20"/>
                <w:u w:val="none"/>
                <w:lang w:val="en-US" w:eastAsia="zh-CN" w:bidi="ar"/>
              </w:rPr>
              <w:t>配备高效太阳能板，功率不低于100W，确保在充足光照条件下能够为监控设备提供稳定的电力供应。太阳能板采用单晶硅材质，转换效率高，且具备良好的抗紫外线和耐候性。搭配大容量锂电池，容量不低于 100Ah，可在夜间或阴雨天气为监控设备持续供电，保证监控工作的连续性。同时，配备智能充电控制器，能够自动调节充电和放电过程，保护电池寿命，延长设备的使用时间。</w:t>
            </w:r>
          </w:p>
          <w:bookmarkEnd w:id="221"/>
          <w:p w14:paraId="61FDD46D">
            <w:pPr>
              <w:keepNext w:val="0"/>
              <w:keepLines w:val="0"/>
              <w:widowControl/>
              <w:suppressLineNumbers w:val="0"/>
              <w:jc w:val="left"/>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b/>
                <w:bCs w:val="0"/>
                <w:i w:val="0"/>
                <w:iCs w:val="0"/>
                <w:color w:val="auto"/>
                <w:kern w:val="0"/>
                <w:sz w:val="20"/>
                <w:szCs w:val="20"/>
                <w:u w:val="none"/>
                <w:lang w:val="en-US" w:eastAsia="zh-CN" w:bidi="ar"/>
              </w:rPr>
              <w:t>物联卡（流量卡）</w:t>
            </w:r>
            <w:r>
              <w:rPr>
                <w:rFonts w:hint="default" w:ascii="宋体" w:hAnsi="宋体" w:eastAsia="宋体" w:cs="宋体"/>
                <w:b/>
                <w:bCs/>
                <w:i w:val="0"/>
                <w:iCs w:val="0"/>
                <w:color w:val="auto"/>
                <w:kern w:val="0"/>
                <w:sz w:val="20"/>
                <w:szCs w:val="20"/>
                <w:u w:val="none"/>
                <w:lang w:val="en-US" w:eastAsia="zh-CN" w:bidi="ar"/>
              </w:rPr>
              <w:t>：</w:t>
            </w:r>
            <w:r>
              <w:rPr>
                <w:rFonts w:hint="default" w:ascii="宋体" w:hAnsi="宋体" w:eastAsia="宋体" w:cs="宋体"/>
                <w:i w:val="0"/>
                <w:iCs w:val="0"/>
                <w:color w:val="auto"/>
                <w:kern w:val="0"/>
                <w:sz w:val="20"/>
                <w:szCs w:val="20"/>
                <w:u w:val="none"/>
                <w:lang w:val="en-US" w:eastAsia="zh-CN" w:bidi="ar"/>
              </w:rPr>
              <w:t>涵盖</w:t>
            </w:r>
            <w:r>
              <w:rPr>
                <w:rFonts w:hint="eastAsia" w:ascii="宋体" w:hAnsi="宋体" w:cs="宋体"/>
                <w:i w:val="0"/>
                <w:iCs w:val="0"/>
                <w:color w:val="auto"/>
                <w:kern w:val="0"/>
                <w:sz w:val="20"/>
                <w:szCs w:val="20"/>
                <w:u w:val="none"/>
                <w:lang w:val="en-US" w:eastAsia="zh-CN" w:bidi="ar"/>
              </w:rPr>
              <w:t>1</w:t>
            </w:r>
            <w:r>
              <w:rPr>
                <w:rFonts w:hint="default" w:ascii="宋体" w:hAnsi="宋体" w:eastAsia="宋体" w:cs="宋体"/>
                <w:i w:val="0"/>
                <w:iCs w:val="0"/>
                <w:color w:val="auto"/>
                <w:kern w:val="0"/>
                <w:sz w:val="20"/>
                <w:szCs w:val="20"/>
                <w:u w:val="none"/>
                <w:lang w:val="en-US" w:eastAsia="zh-CN" w:bidi="ar"/>
              </w:rPr>
              <w:t>年所需费用</w:t>
            </w:r>
            <w:r>
              <w:rPr>
                <w:rFonts w:hint="eastAsia" w:ascii="宋体" w:hAnsi="宋体" w:cs="宋体"/>
                <w:i w:val="0"/>
                <w:iCs w:val="0"/>
                <w:color w:val="auto"/>
                <w:kern w:val="0"/>
                <w:sz w:val="20"/>
                <w:szCs w:val="20"/>
                <w:u w:val="none"/>
                <w:lang w:val="en-US" w:eastAsia="zh-CN" w:bidi="ar"/>
              </w:rPr>
              <w:t>,每月不少于</w:t>
            </w:r>
            <w:r>
              <w:rPr>
                <w:rFonts w:hint="eastAsia" w:ascii="宋体" w:hAnsi="宋体" w:eastAsia="宋体" w:cs="宋体"/>
                <w:i w:val="0"/>
                <w:iCs w:val="0"/>
                <w:color w:val="auto"/>
                <w:kern w:val="0"/>
                <w:sz w:val="20"/>
                <w:szCs w:val="20"/>
                <w:u w:val="none"/>
                <w:lang w:val="en-US" w:eastAsia="zh-CN" w:bidi="ar"/>
              </w:rPr>
              <w:t>100GB</w:t>
            </w:r>
          </w:p>
          <w:p w14:paraId="5FD27207">
            <w:pPr>
              <w:keepNext w:val="0"/>
              <w:keepLines w:val="0"/>
              <w:widowControl/>
              <w:suppressLineNumbers w:val="0"/>
              <w:jc w:val="left"/>
              <w:textAlignment w:val="center"/>
              <w:rPr>
                <w:rFonts w:hint="default" w:ascii="宋体" w:hAnsi="宋体" w:eastAsia="宋体" w:cs="宋体"/>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内存卡：</w:t>
            </w:r>
            <w:r>
              <w:rPr>
                <w:rFonts w:hint="default" w:ascii="宋体" w:hAnsi="宋体" w:eastAsia="宋体" w:cs="宋体"/>
                <w:i w:val="0"/>
                <w:iCs w:val="0"/>
                <w:color w:val="auto"/>
                <w:kern w:val="0"/>
                <w:sz w:val="20"/>
                <w:szCs w:val="20"/>
                <w:u w:val="none"/>
                <w:lang w:val="en-US" w:eastAsia="zh-CN" w:bidi="ar"/>
              </w:rPr>
              <w:t>256GB 闪迪</w:t>
            </w:r>
          </w:p>
          <w:p w14:paraId="4A38632A">
            <w:pPr>
              <w:keepNext w:val="0"/>
              <w:keepLines w:val="0"/>
              <w:widowControl/>
              <w:suppressLineNumbers w:val="0"/>
              <w:jc w:val="left"/>
              <w:textAlignment w:val="center"/>
              <w:rPr>
                <w:rFonts w:hint="eastAsia" w:ascii="宋体" w:hAnsi="宋体" w:eastAsia="宋体" w:cs="宋体"/>
                <w:b/>
                <w:bCs/>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平台接入链路费</w:t>
            </w:r>
            <w:r>
              <w:rPr>
                <w:rFonts w:hint="eastAsia" w:ascii="宋体" w:hAnsi="宋体" w:eastAsia="宋体" w:cs="宋体"/>
                <w:b/>
                <w:bCs/>
                <w:i w:val="0"/>
                <w:iCs w:val="0"/>
                <w:color w:val="auto"/>
                <w:kern w:val="0"/>
                <w:sz w:val="20"/>
                <w:szCs w:val="20"/>
                <w:u w:val="none"/>
                <w:lang w:val="en-US" w:eastAsia="zh-CN" w:bidi="ar"/>
              </w:rPr>
              <w:t>：</w:t>
            </w:r>
            <w:r>
              <w:rPr>
                <w:rFonts w:hint="default" w:ascii="宋体" w:hAnsi="宋体" w:eastAsia="宋体" w:cs="宋体"/>
                <w:i w:val="0"/>
                <w:iCs w:val="0"/>
                <w:color w:val="auto"/>
                <w:kern w:val="0"/>
                <w:sz w:val="20"/>
                <w:szCs w:val="20"/>
                <w:u w:val="none"/>
                <w:lang w:val="en-US" w:eastAsia="zh-CN" w:bidi="ar"/>
              </w:rPr>
              <w:t>涵盖</w:t>
            </w:r>
            <w:r>
              <w:rPr>
                <w:rFonts w:hint="eastAsia" w:ascii="宋体" w:hAnsi="宋体" w:cs="宋体"/>
                <w:i w:val="0"/>
                <w:iCs w:val="0"/>
                <w:color w:val="auto"/>
                <w:kern w:val="0"/>
                <w:sz w:val="20"/>
                <w:szCs w:val="20"/>
                <w:u w:val="none"/>
                <w:lang w:val="en-US" w:eastAsia="zh-CN" w:bidi="ar"/>
              </w:rPr>
              <w:t>1</w:t>
            </w:r>
            <w:r>
              <w:rPr>
                <w:rFonts w:hint="eastAsia" w:ascii="宋体" w:hAnsi="宋体" w:eastAsia="宋体" w:cs="宋体"/>
                <w:i w:val="0"/>
                <w:iCs w:val="0"/>
                <w:color w:val="auto"/>
                <w:kern w:val="0"/>
                <w:sz w:val="20"/>
                <w:szCs w:val="20"/>
                <w:u w:val="none"/>
                <w:lang w:val="en-US" w:eastAsia="zh-CN" w:bidi="ar"/>
              </w:rPr>
              <w:t>年</w:t>
            </w:r>
            <w:r>
              <w:rPr>
                <w:rFonts w:hint="default" w:ascii="宋体" w:hAnsi="宋体" w:eastAsia="宋体" w:cs="宋体"/>
                <w:i w:val="0"/>
                <w:iCs w:val="0"/>
                <w:color w:val="auto"/>
                <w:kern w:val="0"/>
                <w:sz w:val="20"/>
                <w:szCs w:val="20"/>
                <w:u w:val="none"/>
                <w:lang w:val="en-US" w:eastAsia="zh-CN" w:bidi="ar"/>
              </w:rPr>
              <w:t>平台接入链路服务所需</w:t>
            </w:r>
            <w:r>
              <w:rPr>
                <w:rFonts w:hint="eastAsia" w:ascii="宋体" w:hAnsi="宋体" w:eastAsia="宋体" w:cs="宋体"/>
                <w:i w:val="0"/>
                <w:iCs w:val="0"/>
                <w:color w:val="auto"/>
                <w:kern w:val="0"/>
                <w:sz w:val="20"/>
                <w:szCs w:val="20"/>
                <w:u w:val="none"/>
                <w:lang w:val="en-US" w:eastAsia="zh-CN" w:bidi="ar"/>
              </w:rPr>
              <w:t>所有费用</w:t>
            </w:r>
            <w:r>
              <w:rPr>
                <w:rFonts w:hint="default" w:ascii="宋体" w:hAnsi="宋体" w:eastAsia="宋体" w:cs="宋体"/>
                <w:i w:val="0"/>
                <w:iCs w:val="0"/>
                <w:color w:val="auto"/>
                <w:kern w:val="0"/>
                <w:sz w:val="20"/>
                <w:szCs w:val="20"/>
                <w:u w:val="none"/>
                <w:lang w:val="en-US" w:eastAsia="zh-CN" w:bidi="ar"/>
              </w:rPr>
              <w:t>。</w:t>
            </w:r>
            <w:r>
              <w:rPr>
                <w:rFonts w:hint="eastAsia" w:ascii="宋体" w:hAnsi="宋体" w:cs="宋体"/>
                <w:b w:val="0"/>
                <w:bCs w:val="0"/>
                <w:i w:val="0"/>
                <w:iCs w:val="0"/>
                <w:color w:val="auto"/>
                <w:kern w:val="0"/>
                <w:sz w:val="20"/>
                <w:szCs w:val="20"/>
                <w:u w:val="none"/>
                <w:lang w:val="en-US" w:eastAsia="zh-CN" w:bidi="ar"/>
              </w:rPr>
              <w:t xml:space="preserve">     </w:t>
            </w:r>
            <w:r>
              <w:rPr>
                <w:rFonts w:hint="eastAsia" w:ascii="宋体" w:hAnsi="宋体" w:eastAsia="宋体" w:cs="宋体"/>
                <w:i w:val="0"/>
                <w:iCs w:val="0"/>
                <w:color w:val="auto"/>
                <w:kern w:val="0"/>
                <w:sz w:val="20"/>
                <w:szCs w:val="20"/>
                <w:u w:val="none"/>
                <w:lang w:val="en-US" w:eastAsia="zh-CN" w:bidi="ar"/>
              </w:rPr>
              <w:t xml:space="preserve">  </w:t>
            </w:r>
          </w:p>
          <w:p w14:paraId="5BCB443E">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auto"/>
                <w:kern w:val="0"/>
                <w:sz w:val="20"/>
                <w:szCs w:val="20"/>
                <w:u w:val="none"/>
                <w:lang w:val="en-US" w:eastAsia="zh-CN" w:bidi="ar"/>
              </w:rPr>
            </w:pPr>
            <w:r>
              <w:rPr>
                <w:rFonts w:hint="eastAsia" w:ascii="宋体" w:hAnsi="宋体" w:eastAsia="宋体" w:cs="宋体"/>
                <w:b/>
                <w:bCs/>
                <w:i w:val="0"/>
                <w:iCs w:val="0"/>
                <w:color w:val="auto"/>
                <w:kern w:val="0"/>
                <w:sz w:val="20"/>
                <w:szCs w:val="20"/>
                <w:u w:val="none"/>
                <w:lang w:val="en-US" w:eastAsia="zh-CN" w:bidi="ar"/>
              </w:rPr>
              <w:t>三</w:t>
            </w:r>
            <w:r>
              <w:rPr>
                <w:rFonts w:hint="default" w:ascii="宋体" w:hAnsi="宋体" w:eastAsia="宋体" w:cs="宋体"/>
                <w:b/>
                <w:bCs/>
                <w:i w:val="0"/>
                <w:iCs w:val="0"/>
                <w:color w:val="auto"/>
                <w:kern w:val="0"/>
                <w:sz w:val="20"/>
                <w:szCs w:val="20"/>
                <w:u w:val="none"/>
                <w:lang w:val="en-US" w:eastAsia="zh-CN" w:bidi="ar"/>
              </w:rPr>
              <w:t>、功能设计要求</w:t>
            </w:r>
          </w:p>
          <w:p w14:paraId="756D02D2">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（一）巢体适配</w:t>
            </w:r>
          </w:p>
          <w:p w14:paraId="1D01CCEF">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巢体平台：</w:t>
            </w:r>
            <w:r>
              <w:rPr>
                <w:rFonts w:hint="default" w:ascii="宋体" w:hAnsi="宋体" w:eastAsia="宋体" w:cs="宋体"/>
                <w:i w:val="0"/>
                <w:iCs w:val="0"/>
                <w:color w:val="auto"/>
                <w:kern w:val="0"/>
                <w:sz w:val="20"/>
                <w:szCs w:val="20"/>
                <w:u w:val="none"/>
                <w:lang w:val="en-US" w:eastAsia="zh-CN" w:bidi="ar"/>
              </w:rPr>
              <w:t>横梁上铺设3毫米厚冲孔不锈钢板，冲孔直10毫米、间距30毫米，既有利于排水，又能提供良好的防滑性能。</w:t>
            </w:r>
          </w:p>
          <w:p w14:paraId="742F914A">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围栏设计：</w:t>
            </w:r>
            <w:r>
              <w:rPr>
                <w:rFonts w:hint="default" w:ascii="宋体" w:hAnsi="宋体" w:eastAsia="宋体" w:cs="宋体"/>
                <w:i w:val="0"/>
                <w:iCs w:val="0"/>
                <w:color w:val="auto"/>
                <w:kern w:val="0"/>
                <w:sz w:val="20"/>
                <w:szCs w:val="20"/>
                <w:u w:val="none"/>
                <w:lang w:val="en-US" w:eastAsia="zh-CN" w:bidi="ar"/>
              </w:rPr>
              <w:t>在巢体平台四周设置20厘米高的不锈钢丝网围栏，网孔尺寸为5厘米×5厘米，有效防止巢材被风吹散，为水鸟筑巢提供安全保障。</w:t>
            </w:r>
          </w:p>
          <w:p w14:paraId="19FCB8F1">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（二）可维护性</w:t>
            </w:r>
          </w:p>
          <w:p w14:paraId="6E36331D">
            <w:pPr>
              <w:keepNext w:val="0"/>
              <w:keepLines w:val="0"/>
              <w:widowControl/>
              <w:suppressLineNumbers w:val="0"/>
              <w:jc w:val="left"/>
              <w:rPr>
                <w:rFonts w:hint="default" w:ascii="宋体" w:hAnsi="宋体" w:eastAsia="宋体" w:cs="宋体"/>
                <w:i w:val="0"/>
                <w:iCs w:val="0"/>
                <w:color w:val="auto"/>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爬梯设计：</w:t>
            </w:r>
            <w:r>
              <w:rPr>
                <w:rFonts w:hint="default" w:ascii="宋体" w:hAnsi="宋体" w:eastAsia="宋体" w:cs="宋体"/>
                <w:i w:val="0"/>
                <w:iCs w:val="0"/>
                <w:color w:val="auto"/>
                <w:kern w:val="0"/>
                <w:sz w:val="20"/>
                <w:szCs w:val="20"/>
                <w:u w:val="none"/>
                <w:lang w:val="en-US" w:eastAsia="zh-CN" w:bidi="ar"/>
              </w:rPr>
              <w:t>在立柱内侧焊接 40 厘米宽螺旋式爬梯，踏步采用防滑设计，间距 25 厘米，材质为 Q235B 热镀锌钢材，从柱底延伸至横梁下方，方便维护人员攀爬。沿着爬梯全程，安装高强度安全索，安全索材质为镀锌钢丝绳，直径不小于 8 毫米 ，每隔一定距离设置牢固的固定点，确保维护人员攀爬过程中，可随时将安全扣连接在安全索上，保障维护人员攀爬安全。</w:t>
            </w:r>
          </w:p>
          <w:p w14:paraId="1BC0EB58">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auto"/>
                <w:kern w:val="0"/>
                <w:sz w:val="20"/>
                <w:szCs w:val="20"/>
                <w:u w:val="none"/>
                <w:lang w:val="en-US" w:eastAsia="zh-CN" w:bidi="ar"/>
              </w:rPr>
              <w:t>检修口设置：</w:t>
            </w:r>
            <w:r>
              <w:rPr>
                <w:rFonts w:hint="default" w:ascii="宋体" w:hAnsi="宋体" w:eastAsia="宋体" w:cs="宋体"/>
                <w:i w:val="0"/>
                <w:iCs w:val="0"/>
                <w:color w:val="auto"/>
                <w:kern w:val="0"/>
                <w:sz w:val="20"/>
                <w:szCs w:val="20"/>
                <w:u w:val="none"/>
                <w:lang w:val="en-US" w:eastAsia="zh-CN" w:bidi="ar"/>
              </w:rPr>
              <w:t>在关键部位设置50厘米边长的检修口，采用可拆卸铝合金盖板，配备橡胶密封条，有效防水防尘，</w:t>
            </w:r>
            <w:r>
              <w:rPr>
                <w:rFonts w:hint="default" w:ascii="宋体" w:hAnsi="宋体" w:eastAsia="宋体" w:cs="宋体"/>
                <w:i w:val="0"/>
                <w:iCs w:val="0"/>
                <w:color w:val="000000"/>
                <w:kern w:val="0"/>
                <w:sz w:val="20"/>
                <w:szCs w:val="20"/>
                <w:u w:val="none"/>
                <w:lang w:val="en-US" w:eastAsia="zh-CN" w:bidi="ar"/>
              </w:rPr>
              <w:t>便于日常维护与检查。</w:t>
            </w:r>
          </w:p>
          <w:p w14:paraId="2F317EE9">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（三）环境适应性</w:t>
            </w:r>
          </w:p>
          <w:p w14:paraId="4BBF92B1">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外观设计</w:t>
            </w:r>
            <w:r>
              <w:rPr>
                <w:rFonts w:hint="default" w:ascii="宋体" w:hAnsi="宋体" w:eastAsia="宋体" w:cs="宋体"/>
                <w:i w:val="0"/>
                <w:iCs w:val="0"/>
                <w:color w:val="000000"/>
                <w:kern w:val="0"/>
                <w:sz w:val="20"/>
                <w:szCs w:val="20"/>
                <w:u w:val="none"/>
                <w:lang w:val="en-US" w:eastAsia="zh-CN" w:bidi="ar"/>
              </w:rPr>
              <w:t>：整个招引架采用喷墨绿色氟碳漆进行涂装，使其与自然环境相融合，减少对水鸟的惊扰。</w:t>
            </w:r>
          </w:p>
          <w:p w14:paraId="42B9DA74">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伸缩缝设计：</w:t>
            </w:r>
            <w:r>
              <w:rPr>
                <w:rFonts w:hint="default" w:ascii="宋体" w:hAnsi="宋体" w:eastAsia="宋体" w:cs="宋体"/>
                <w:i w:val="0"/>
                <w:iCs w:val="0"/>
                <w:color w:val="000000"/>
                <w:kern w:val="0"/>
                <w:sz w:val="20"/>
                <w:szCs w:val="20"/>
                <w:u w:val="none"/>
                <w:lang w:val="en-US" w:eastAsia="zh-CN" w:bidi="ar"/>
              </w:rPr>
              <w:t>在结构关键部位预留5毫米伸缩缝，填充硅酮密封胶，并使用橡胶缓冲垫，有效适应温度变化引起的材料热胀冷缩，确保结构的稳定性。</w:t>
            </w:r>
          </w:p>
          <w:p w14:paraId="48F5C75E">
            <w:pPr>
              <w:keepNext w:val="0"/>
              <w:keepLines w:val="0"/>
              <w:widowControl/>
              <w:numPr>
                <w:ilvl w:val="0"/>
                <w:numId w:val="0"/>
              </w:numPr>
              <w:suppressLineNumbers w:val="0"/>
              <w:ind w:leftChars="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四</w:t>
            </w:r>
            <w:r>
              <w:rPr>
                <w:rFonts w:hint="default" w:ascii="宋体" w:hAnsi="宋体" w:eastAsia="宋体" w:cs="宋体"/>
                <w:b/>
                <w:bCs/>
                <w:i w:val="0"/>
                <w:iCs w:val="0"/>
                <w:color w:val="000000"/>
                <w:kern w:val="0"/>
                <w:sz w:val="20"/>
                <w:szCs w:val="20"/>
                <w:u w:val="none"/>
                <w:lang w:val="en-US" w:eastAsia="zh-CN" w:bidi="ar"/>
              </w:rPr>
              <w:t>、维护与保养要求</w:t>
            </w:r>
          </w:p>
          <w:p w14:paraId="61AD3B15">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定期检查</w:t>
            </w:r>
            <w:r>
              <w:rPr>
                <w:rFonts w:hint="default" w:ascii="宋体" w:hAnsi="宋体" w:eastAsia="宋体" w:cs="宋体"/>
                <w:i w:val="0"/>
                <w:iCs w:val="0"/>
                <w:color w:val="000000"/>
                <w:kern w:val="0"/>
                <w:sz w:val="20"/>
                <w:szCs w:val="20"/>
                <w:u w:val="none"/>
                <w:lang w:val="en-US" w:eastAsia="zh-CN" w:bidi="ar"/>
              </w:rPr>
              <w:t>：定期对招引架进行外观检查，包括结构是否变形、连接部位是否松动、防腐涂层是否脱落等。</w:t>
            </w:r>
          </w:p>
          <w:p w14:paraId="16B2EEF7">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b/>
                <w:bCs/>
                <w:i w:val="0"/>
                <w:iCs w:val="0"/>
                <w:color w:val="000000"/>
                <w:kern w:val="0"/>
                <w:sz w:val="20"/>
                <w:szCs w:val="20"/>
                <w:u w:val="none"/>
                <w:lang w:val="en-US" w:eastAsia="zh-CN" w:bidi="ar"/>
              </w:rPr>
              <w:t>维护保养：</w:t>
            </w:r>
            <w:r>
              <w:rPr>
                <w:rFonts w:hint="default" w:ascii="宋体" w:hAnsi="宋体" w:eastAsia="宋体" w:cs="宋体"/>
                <w:i w:val="0"/>
                <w:iCs w:val="0"/>
                <w:color w:val="000000"/>
                <w:kern w:val="0"/>
                <w:sz w:val="20"/>
                <w:szCs w:val="20"/>
                <w:u w:val="none"/>
                <w:lang w:val="en-US" w:eastAsia="zh-CN" w:bidi="ar"/>
              </w:rPr>
              <w:t>根据检查结果，及时进行维护保养，包括紧固连接部位、修复防腐涂层、更换损坏部件等。</w:t>
            </w:r>
          </w:p>
          <w:p w14:paraId="1EC8D557">
            <w:pPr>
              <w:keepNext w:val="0"/>
              <w:keepLines w:val="0"/>
              <w:widowControl/>
              <w:numPr>
                <w:ilvl w:val="0"/>
                <w:numId w:val="0"/>
              </w:numPr>
              <w:suppressLineNumbers w:val="0"/>
              <w:ind w:leftChars="0"/>
              <w:jc w:val="left"/>
              <w:textAlignment w:val="center"/>
              <w:rPr>
                <w:rFonts w:hint="default"/>
                <w:color w:val="000000"/>
                <w:lang w:val="en-US" w:eastAsia="zh-CN"/>
              </w:rPr>
            </w:pPr>
            <w:r>
              <w:rPr>
                <w:rFonts w:hint="default" w:ascii="宋体" w:hAnsi="宋体" w:eastAsia="宋体" w:cs="宋体"/>
                <w:b/>
                <w:bCs/>
                <w:i w:val="0"/>
                <w:iCs w:val="0"/>
                <w:color w:val="000000"/>
                <w:kern w:val="0"/>
                <w:sz w:val="20"/>
                <w:szCs w:val="20"/>
                <w:u w:val="none"/>
                <w:lang w:val="en-US" w:eastAsia="zh-CN" w:bidi="ar"/>
              </w:rPr>
              <w:t>安全管理</w:t>
            </w:r>
            <w:r>
              <w:rPr>
                <w:rFonts w:hint="default" w:ascii="宋体" w:hAnsi="宋体" w:eastAsia="宋体" w:cs="宋体"/>
                <w:i w:val="0"/>
                <w:iCs w:val="0"/>
                <w:color w:val="000000"/>
                <w:kern w:val="0"/>
                <w:sz w:val="20"/>
                <w:szCs w:val="20"/>
                <w:u w:val="none"/>
                <w:lang w:val="en-US" w:eastAsia="zh-CN" w:bidi="ar"/>
              </w:rPr>
              <w:t>：在维护保养过程中，严格</w:t>
            </w:r>
            <w:bookmarkEnd w:id="209"/>
            <w:r>
              <w:rPr>
                <w:rFonts w:hint="default" w:ascii="宋体" w:hAnsi="宋体" w:eastAsia="宋体" w:cs="宋体"/>
                <w:i w:val="0"/>
                <w:iCs w:val="0"/>
                <w:color w:val="000000"/>
                <w:kern w:val="0"/>
                <w:sz w:val="20"/>
                <w:szCs w:val="20"/>
                <w:u w:val="none"/>
                <w:lang w:val="en-US" w:eastAsia="zh-CN" w:bidi="ar"/>
              </w:rPr>
              <w:t>遵守安全操作规程，确保维护人员的安全。</w:t>
            </w:r>
            <w:bookmarkEnd w:id="210"/>
            <w:bookmarkEnd w:id="215"/>
            <w:bookmarkEnd w:id="216"/>
            <w:bookmarkEnd w:id="217"/>
          </w:p>
        </w:tc>
        <w:tc>
          <w:tcPr>
            <w:tcW w:w="735" w:type="dxa"/>
            <w:noWrap w:val="0"/>
            <w:vAlign w:val="center"/>
          </w:tcPr>
          <w:p w14:paraId="0F026C81">
            <w:pPr>
              <w:keepNext w:val="0"/>
              <w:keepLines w:val="0"/>
              <w:widowControl/>
              <w:suppressLineNumbers w:val="0"/>
              <w:jc w:val="center"/>
              <w:textAlignment w:val="center"/>
              <w:rPr>
                <w:rFonts w:hint="eastAsia" w:ascii="Calibri" w:hAnsi="Calibri" w:eastAsia="宋体" w:cs="Times New Roman"/>
                <w:color w:val="000000"/>
                <w:kern w:val="2"/>
                <w:sz w:val="21"/>
                <w:szCs w:val="24"/>
                <w:vertAlign w:val="baseline"/>
                <w:lang w:val="en-US" w:eastAsia="zh-CN" w:bidi="ar-SA"/>
              </w:rPr>
            </w:pPr>
            <w:r>
              <w:rPr>
                <w:rFonts w:hint="eastAsia" w:ascii="宋体" w:hAnsi="宋体" w:eastAsia="宋体" w:cs="宋体"/>
                <w:i w:val="0"/>
                <w:iCs w:val="0"/>
                <w:color w:val="000000"/>
                <w:kern w:val="0"/>
                <w:sz w:val="20"/>
                <w:szCs w:val="20"/>
                <w:u w:val="none"/>
                <w:lang w:val="en-US" w:eastAsia="zh-CN" w:bidi="ar"/>
              </w:rPr>
              <w:t>套</w:t>
            </w:r>
          </w:p>
        </w:tc>
        <w:tc>
          <w:tcPr>
            <w:tcW w:w="690" w:type="dxa"/>
            <w:noWrap w:val="0"/>
            <w:vAlign w:val="center"/>
          </w:tcPr>
          <w:p w14:paraId="53C1F4F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3</w:t>
            </w:r>
          </w:p>
        </w:tc>
        <w:tc>
          <w:tcPr>
            <w:tcW w:w="1095" w:type="dxa"/>
            <w:noWrap w:val="0"/>
            <w:vAlign w:val="center"/>
          </w:tcPr>
          <w:p w14:paraId="382B48F1">
            <w:pPr>
              <w:keepNext w:val="0"/>
              <w:keepLines w:val="0"/>
              <w:widowControl/>
              <w:suppressLineNumbers w:val="0"/>
              <w:jc w:val="left"/>
              <w:textAlignment w:val="center"/>
              <w:rPr>
                <w:rFonts w:hint="default" w:ascii="宋体" w:hAnsi="宋体" w:eastAsia="宋体" w:cs="宋体"/>
                <w:b w:val="0"/>
                <w:bCs w:val="0"/>
                <w:i w:val="0"/>
                <w:iCs w:val="0"/>
                <w:color w:val="000000"/>
                <w:kern w:val="0"/>
                <w:sz w:val="20"/>
                <w:szCs w:val="20"/>
                <w:u w:val="none"/>
                <w:lang w:val="en-US" w:eastAsia="zh-CN" w:bidi="ar"/>
              </w:rPr>
            </w:pPr>
            <w:r>
              <w:rPr>
                <w:rFonts w:hint="eastAsia" w:ascii="宋体" w:hAnsi="宋体" w:eastAsia="宋体" w:cs="宋体"/>
                <w:b w:val="0"/>
                <w:bCs w:val="0"/>
                <w:i w:val="0"/>
                <w:iCs w:val="0"/>
                <w:color w:val="000000"/>
                <w:kern w:val="0"/>
                <w:sz w:val="20"/>
                <w:szCs w:val="20"/>
                <w:u w:val="none"/>
                <w:lang w:val="en-US" w:eastAsia="zh-CN" w:bidi="ar"/>
              </w:rPr>
              <w:t>含</w:t>
            </w:r>
            <w:r>
              <w:rPr>
                <w:rFonts w:hint="eastAsia" w:ascii="宋体" w:hAnsi="宋体" w:eastAsia="宋体" w:cs="宋体"/>
                <w:i w:val="0"/>
                <w:iCs w:val="0"/>
                <w:color w:val="000000"/>
                <w:kern w:val="0"/>
                <w:sz w:val="20"/>
                <w:szCs w:val="20"/>
                <w:u w:val="none"/>
                <w:lang w:val="en-US" w:eastAsia="zh-CN" w:bidi="ar"/>
              </w:rPr>
              <w:t>设计、安装及调试等费用，提供</w:t>
            </w:r>
            <w:r>
              <w:rPr>
                <w:rFonts w:hint="default" w:ascii="宋体" w:hAnsi="宋体" w:eastAsia="宋体" w:cs="宋体"/>
                <w:i w:val="0"/>
                <w:iCs w:val="0"/>
                <w:color w:val="000000"/>
                <w:kern w:val="0"/>
                <w:sz w:val="20"/>
                <w:szCs w:val="20"/>
                <w:u w:val="none"/>
                <w:lang w:val="en-US" w:eastAsia="zh-CN" w:bidi="ar"/>
              </w:rPr>
              <w:t>设计图纸</w:t>
            </w: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材料明细</w:t>
            </w:r>
            <w:r>
              <w:rPr>
                <w:rFonts w:hint="eastAsia" w:ascii="宋体" w:hAnsi="宋体" w:eastAsia="宋体" w:cs="宋体"/>
                <w:i w:val="0"/>
                <w:iCs w:val="0"/>
                <w:color w:val="000000"/>
                <w:kern w:val="0"/>
                <w:sz w:val="20"/>
                <w:szCs w:val="20"/>
                <w:u w:val="none"/>
                <w:lang w:val="en-US" w:eastAsia="zh-CN" w:bidi="ar"/>
              </w:rPr>
              <w:t>及</w:t>
            </w:r>
            <w:r>
              <w:rPr>
                <w:rFonts w:hint="default" w:ascii="宋体" w:hAnsi="宋体" w:eastAsia="宋体" w:cs="宋体"/>
                <w:i w:val="0"/>
                <w:iCs w:val="0"/>
                <w:color w:val="000000"/>
                <w:kern w:val="0"/>
                <w:sz w:val="20"/>
                <w:szCs w:val="20"/>
                <w:u w:val="none"/>
                <w:lang w:val="en-US" w:eastAsia="zh-CN" w:bidi="ar"/>
              </w:rPr>
              <w:t>价格组成</w:t>
            </w:r>
            <w:r>
              <w:rPr>
                <w:rFonts w:hint="eastAsia" w:ascii="宋体" w:hAnsi="宋体" w:eastAsia="宋体" w:cs="宋体"/>
                <w:i w:val="0"/>
                <w:iCs w:val="0"/>
                <w:color w:val="000000"/>
                <w:kern w:val="0"/>
                <w:sz w:val="20"/>
                <w:szCs w:val="20"/>
                <w:u w:val="none"/>
                <w:lang w:val="en-US" w:eastAsia="zh-CN" w:bidi="ar"/>
              </w:rPr>
              <w:t>。</w:t>
            </w:r>
          </w:p>
          <w:p w14:paraId="151F834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bl>
    <w:p w14:paraId="2FA1D755">
      <w:pPr>
        <w:keepNext w:val="0"/>
        <w:keepLines w:val="0"/>
        <w:pageBreakBefore w:val="0"/>
        <w:widowControl/>
        <w:suppressLineNumbers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val="0"/>
          <w:bCs w:val="0"/>
          <w:color w:val="000000"/>
          <w:kern w:val="2"/>
          <w:sz w:val="24"/>
          <w:szCs w:val="24"/>
          <w:lang w:val="en-US" w:eastAsia="zh-CN" w:bidi="ar-SA"/>
        </w:rPr>
        <w:t>注：本项目为满足</w:t>
      </w:r>
      <w:r>
        <w:rPr>
          <w:rFonts w:hint="eastAsia" w:ascii="宋体" w:hAnsi="宋体" w:eastAsia="宋体" w:cs="宋体"/>
          <w:b w:val="0"/>
          <w:bCs w:val="0"/>
          <w:kern w:val="2"/>
          <w:sz w:val="24"/>
          <w:szCs w:val="24"/>
          <w:lang w:val="en-US" w:eastAsia="zh-CN" w:bidi="ar-SA"/>
        </w:rPr>
        <w:t>招标文件要求的所有功能、参数的总</w:t>
      </w:r>
      <w:bookmarkEnd w:id="192"/>
      <w:r>
        <w:rPr>
          <w:rFonts w:hint="eastAsia" w:ascii="宋体" w:hAnsi="宋体" w:eastAsia="宋体" w:cs="宋体"/>
          <w:b w:val="0"/>
          <w:bCs w:val="0"/>
          <w:kern w:val="2"/>
          <w:sz w:val="24"/>
          <w:szCs w:val="24"/>
          <w:lang w:val="en-US" w:eastAsia="zh-CN" w:bidi="ar-SA"/>
        </w:rPr>
        <w:t>报价，若投标人出现漏填项目的，招标人认为此项目费用已包括在价格表的其他项目的单价和金额之中，如中标，缺报的设备或项目免费提供。</w:t>
      </w:r>
    </w:p>
    <w:p w14:paraId="5D56F008">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二、交货期</w:t>
      </w:r>
    </w:p>
    <w:bookmarkEnd w:id="190"/>
    <w:p w14:paraId="4E6E409C">
      <w:pPr>
        <w:keepNext w:val="0"/>
        <w:keepLines w:val="0"/>
        <w:pageBreakBefore w:val="0"/>
        <w:widowControl/>
        <w:suppressLineNumbers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自合同签订之日起，乙方必须严格遵循甲方提出的各项具体要求，在规定时间节点内（2025年4月至5月期间），完成货物的供货、安装以及调试等一系列工作任务，并积极配合甲方进行验收。</w:t>
      </w:r>
    </w:p>
    <w:p w14:paraId="35FFD950">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bookmarkStart w:id="222" w:name="OLE_LINK19"/>
      <w:r>
        <w:rPr>
          <w:rFonts w:hint="eastAsia" w:ascii="宋体" w:hAnsi="宋体" w:eastAsia="宋体" w:cs="宋体"/>
          <w:b/>
          <w:bCs/>
          <w:kern w:val="2"/>
          <w:sz w:val="24"/>
          <w:szCs w:val="24"/>
          <w:lang w:val="en-US" w:eastAsia="zh-CN" w:bidi="ar-SA"/>
        </w:rPr>
        <w:t>三、交货地点</w:t>
      </w:r>
    </w:p>
    <w:bookmarkEnd w:id="222"/>
    <w:p w14:paraId="143E441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克拉玛依市克拉玛依区（具体交付地点将由采购人依据项目的实际推进情况与需求，适时进行通知传达）。乙方承担确保货物按时、准确送达指定地点的责任，并在货物送达后，应立即开展安装调试工作，以促使设备能够尽快投入正常使用，满足项目需求。</w:t>
      </w:r>
    </w:p>
    <w:p w14:paraId="3D7D2235">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四、质保期</w:t>
      </w:r>
    </w:p>
    <w:p w14:paraId="755F71C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本次采购质保期为3年。质保期从验收合格后开始计算。</w:t>
      </w:r>
    </w:p>
    <w:p w14:paraId="013B4DFD">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五、验收标准及方式</w:t>
      </w:r>
    </w:p>
    <w:p w14:paraId="281FE15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根据国家相关标准、行业标准、地方标准或者其他标准、</w:t>
      </w:r>
    </w:p>
    <w:p w14:paraId="33FBDE60">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规范：</w:t>
      </w:r>
    </w:p>
    <w:p w14:paraId="5C4A63D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质量及验收标准：产品质量符合技术要求，与合同规定技术要求与参数描述一致。中标人提供的中标物品，必须符合本采购文件要求；如有不符，采购人可以无条件退货，所造成的损失由中标人承担。更换后的零部件质保期按更换日起顺延。</w:t>
      </w:r>
    </w:p>
    <w:p w14:paraId="4149FCE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val="0"/>
          <w:bCs w:val="0"/>
          <w:kern w:val="2"/>
          <w:sz w:val="24"/>
          <w:szCs w:val="24"/>
          <w:lang w:val="en-US" w:eastAsia="zh-CN" w:bidi="ar-SA"/>
        </w:rPr>
        <w:t>2、采购人对中标人提供的货物在使用前进行安装调试时，中标人需负责安装并培训业主单位的使用操作人员，并协助采购人一起调试，直到符合技术要求，采购人才做最终验收。</w:t>
      </w:r>
    </w:p>
    <w:p w14:paraId="05122115">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六、违约责任</w:t>
      </w:r>
    </w:p>
    <w:p w14:paraId="0DE90BE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1.倘若在项目实施过程中发现货物存在质量、技术等方面的问题，中标供应商有责任依据合同约定以及采购人的要求，迅速采取针对性处理措施，并承担因问题产生所引发的一切损失与费用开销。</w:t>
      </w:r>
    </w:p>
    <w:p w14:paraId="110D731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2.若因中标供应商的违约行为致使合同被迫终止，将严格按照违约情形论处，中标供应商需承担相应法律后果。</w:t>
      </w:r>
    </w:p>
    <w:p w14:paraId="185D5C49">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七、安全责任</w:t>
      </w:r>
    </w:p>
    <w:p w14:paraId="5E82243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服务过程中发生的安全问题及责任由服务承接方完全承担。验收过程中产生的有关费用由中标人承担。</w:t>
      </w:r>
    </w:p>
    <w:p w14:paraId="48BC25D9">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八、售后服务</w:t>
      </w:r>
    </w:p>
    <w:p w14:paraId="7EA198C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中标人需提供专门的售后服务电话，中标人在接到采购人通知后，2小时内做出响应，24小时内到达设备使用现场，排除故障，及时将设备修复，直至设备恢复正常使用为止。 48小时内无法修复的，中标人需提供无偿提供备机或备用零件供采购人使用。</w:t>
      </w:r>
    </w:p>
    <w:p w14:paraId="29C94E07">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九、技术培训</w:t>
      </w:r>
    </w:p>
    <w:p w14:paraId="2FE8C80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设备到货后，由中标人负责派技术人员和设备培训人员到招标人指定的现场进行足够工作日的设备安装、调试、试运行，并对招标人设备操作人员进行技术培训，使其能掌握有关使用、维护和管理，达到能独立进行日程维护工作；中标人所派技术人员在招标人所在地的食宿及市内交通费用由中标人自行承担。</w:t>
      </w:r>
    </w:p>
    <w:p w14:paraId="3BF267DD">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十、数量调整</w:t>
      </w:r>
    </w:p>
    <w:p w14:paraId="612C59B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采购人保留合同履行中调整部分方案及定购设备数量和服务的权力，投标人应对方案中设备和服务明细报价，按投标单价不变的前提下进行调整，双方不得拒绝。合同最终结算金额按实际使用量乘以投标单价进行计算。</w:t>
      </w:r>
    </w:p>
    <w:p w14:paraId="7AE86831">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十一、其他要求</w:t>
      </w:r>
    </w:p>
    <w:p w14:paraId="0971E2B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1、供应商提供各种必要的材料及辅助材料。</w:t>
      </w:r>
    </w:p>
    <w:p w14:paraId="4A3AC7F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2、交货的产品必须是新的且从未使用过的。</w:t>
      </w:r>
    </w:p>
    <w:p w14:paraId="501DF350">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bookmarkStart w:id="223" w:name="OLE_LINK33"/>
      <w:r>
        <w:rPr>
          <w:rFonts w:hint="eastAsia" w:ascii="宋体" w:hAnsi="宋体" w:eastAsia="宋体" w:cs="宋体"/>
          <w:b/>
          <w:bCs/>
          <w:kern w:val="2"/>
          <w:sz w:val="24"/>
          <w:szCs w:val="24"/>
          <w:lang w:val="en-US" w:eastAsia="zh-CN" w:bidi="ar-SA"/>
        </w:rPr>
        <w:t>十二、付款方式</w:t>
      </w:r>
    </w:p>
    <w:p w14:paraId="20DB1C3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bookmarkStart w:id="224" w:name="OLE_LINK20"/>
      <w:r>
        <w:rPr>
          <w:rFonts w:hint="eastAsia" w:ascii="宋体" w:hAnsi="宋体" w:eastAsia="宋体" w:cs="宋体"/>
          <w:b w:val="0"/>
          <w:bCs w:val="0"/>
          <w:kern w:val="2"/>
          <w:sz w:val="24"/>
          <w:szCs w:val="24"/>
          <w:lang w:val="en-US" w:eastAsia="zh-CN" w:bidi="ar-SA"/>
        </w:rPr>
        <w:t>由中标供应商与采购人协商后依据合同执行。</w:t>
      </w:r>
    </w:p>
    <w:bookmarkEnd w:id="224"/>
    <w:p w14:paraId="16F8B4B3">
      <w:pPr>
        <w:pStyle w:val="2"/>
        <w:keepNext w:val="0"/>
        <w:keepLines w:val="0"/>
        <w:pageBreakBefore w:val="0"/>
        <w:numPr>
          <w:ilvl w:val="0"/>
          <w:numId w:val="0"/>
        </w:numPr>
        <w:kinsoku/>
        <w:wordWrap/>
        <w:overflowPunct/>
        <w:topLinePunct w:val="0"/>
        <w:autoSpaceDE/>
        <w:autoSpaceDN/>
        <w:bidi w:val="0"/>
        <w:adjustRightInd/>
        <w:snapToGrid/>
        <w:spacing w:after="0" w:line="560" w:lineRule="exact"/>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十三、最高限价</w:t>
      </w:r>
    </w:p>
    <w:p w14:paraId="5C3A1E6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本次招标最高限价为贰佰伍捌拾万元（2580000元），投标人报价应全面涵盖设备采购、辅助材料购置、产品包装与运输、现场安装调试、人员培训服务以及各项税费等，完成本项目所需的全部费用，任何超过最高限价的报价将被认定为无效报价。</w:t>
      </w:r>
    </w:p>
    <w:bookmarkEnd w:id="191"/>
    <w:bookmarkEnd w:id="223"/>
    <w:p w14:paraId="67B550E0">
      <w:pPr>
        <w:pStyle w:val="9"/>
        <w:rPr>
          <w:rFonts w:hAnsi="宋体" w:cs="宋体"/>
          <w:b/>
          <w:sz w:val="28"/>
          <w:szCs w:val="28"/>
        </w:rPr>
      </w:pPr>
    </w:p>
    <w:p w14:paraId="05136019"/>
    <w:p w14:paraId="4A9E3600">
      <w:pPr>
        <w:pStyle w:val="12"/>
        <w:adjustRightInd w:val="0"/>
        <w:snapToGrid w:val="0"/>
        <w:spacing w:line="360" w:lineRule="auto"/>
        <w:ind w:firstLine="3092" w:firstLineChars="1100"/>
        <w:rPr>
          <w:rFonts w:hint="eastAsia" w:hAnsi="宋体" w:cs="宋体"/>
          <w:b/>
          <w:sz w:val="28"/>
          <w:szCs w:val="28"/>
        </w:rPr>
      </w:pPr>
    </w:p>
    <w:p w14:paraId="5B87F198">
      <w:pPr>
        <w:pStyle w:val="12"/>
        <w:adjustRightInd w:val="0"/>
        <w:snapToGrid w:val="0"/>
        <w:spacing w:line="360" w:lineRule="auto"/>
        <w:ind w:firstLine="3092" w:firstLineChars="1100"/>
        <w:rPr>
          <w:rFonts w:hint="eastAsia" w:hAnsi="宋体" w:cs="宋体"/>
          <w:b/>
          <w:sz w:val="28"/>
          <w:szCs w:val="28"/>
        </w:rPr>
      </w:pPr>
    </w:p>
    <w:p w14:paraId="644E9BCA">
      <w:pPr>
        <w:pStyle w:val="12"/>
        <w:adjustRightInd w:val="0"/>
        <w:snapToGrid w:val="0"/>
        <w:spacing w:line="360" w:lineRule="auto"/>
        <w:ind w:firstLine="3092" w:firstLineChars="1100"/>
        <w:rPr>
          <w:rFonts w:hint="eastAsia" w:hAnsi="宋体" w:cs="宋体"/>
          <w:b/>
          <w:sz w:val="28"/>
          <w:szCs w:val="28"/>
        </w:rPr>
      </w:pPr>
    </w:p>
    <w:p w14:paraId="674C2926">
      <w:pPr>
        <w:pStyle w:val="12"/>
        <w:adjustRightInd w:val="0"/>
        <w:snapToGrid w:val="0"/>
        <w:spacing w:line="360" w:lineRule="auto"/>
        <w:rPr>
          <w:rFonts w:hint="eastAsia" w:hAnsi="宋体" w:cs="宋体"/>
          <w:b/>
          <w:sz w:val="28"/>
          <w:szCs w:val="28"/>
        </w:rPr>
      </w:pPr>
    </w:p>
    <w:p w14:paraId="5F50ABBC">
      <w:pPr>
        <w:pStyle w:val="13"/>
        <w:rPr>
          <w:rFonts w:hint="eastAsia" w:hAnsi="宋体" w:cs="宋体"/>
          <w:b/>
          <w:sz w:val="28"/>
          <w:szCs w:val="28"/>
        </w:rPr>
      </w:pPr>
    </w:p>
    <w:p w14:paraId="06362D52">
      <w:pPr>
        <w:rPr>
          <w:rFonts w:hint="eastAsia" w:hAnsi="宋体" w:cs="宋体"/>
          <w:b/>
          <w:sz w:val="28"/>
          <w:szCs w:val="28"/>
        </w:rPr>
      </w:pPr>
    </w:p>
    <w:p w14:paraId="72CB943D">
      <w:pPr>
        <w:pStyle w:val="20"/>
        <w:rPr>
          <w:rFonts w:hint="eastAsia" w:hAnsi="宋体" w:cs="宋体"/>
          <w:b/>
          <w:sz w:val="28"/>
          <w:szCs w:val="28"/>
        </w:rPr>
      </w:pPr>
    </w:p>
    <w:p w14:paraId="23FD88E2">
      <w:pPr>
        <w:rPr>
          <w:rFonts w:hint="eastAsia" w:hAnsi="宋体" w:cs="宋体"/>
          <w:b/>
          <w:sz w:val="28"/>
          <w:szCs w:val="28"/>
        </w:rPr>
      </w:pPr>
    </w:p>
    <w:p w14:paraId="0F6441CC">
      <w:pPr>
        <w:pStyle w:val="20"/>
        <w:rPr>
          <w:rFonts w:hint="eastAsia" w:hAnsi="宋体" w:cs="宋体"/>
          <w:b/>
          <w:sz w:val="28"/>
          <w:szCs w:val="28"/>
        </w:rPr>
      </w:pPr>
    </w:p>
    <w:p w14:paraId="2D631EEF">
      <w:pPr>
        <w:rPr>
          <w:rFonts w:hint="eastAsia" w:hAnsi="宋体" w:cs="宋体"/>
          <w:b/>
          <w:sz w:val="28"/>
          <w:szCs w:val="28"/>
        </w:rPr>
      </w:pPr>
    </w:p>
    <w:p w14:paraId="0F9B96A1">
      <w:pPr>
        <w:pStyle w:val="20"/>
        <w:rPr>
          <w:rFonts w:hint="eastAsia" w:hAnsi="宋体" w:cs="宋体"/>
          <w:b/>
          <w:sz w:val="28"/>
          <w:szCs w:val="28"/>
        </w:rPr>
      </w:pPr>
    </w:p>
    <w:p w14:paraId="53DF4496">
      <w:pPr>
        <w:rPr>
          <w:rFonts w:hint="eastAsia" w:hAnsi="宋体" w:cs="宋体"/>
          <w:b/>
          <w:sz w:val="28"/>
          <w:szCs w:val="28"/>
        </w:rPr>
      </w:pPr>
    </w:p>
    <w:p w14:paraId="639A7733">
      <w:pPr>
        <w:pStyle w:val="20"/>
        <w:rPr>
          <w:rFonts w:hint="eastAsia" w:hAnsi="宋体" w:cs="宋体"/>
          <w:b/>
          <w:sz w:val="28"/>
          <w:szCs w:val="28"/>
        </w:rPr>
      </w:pPr>
    </w:p>
    <w:p w14:paraId="4C2194DC">
      <w:pPr>
        <w:rPr>
          <w:rFonts w:hint="eastAsia" w:hAnsi="宋体" w:cs="宋体"/>
          <w:b/>
          <w:sz w:val="28"/>
          <w:szCs w:val="28"/>
        </w:rPr>
      </w:pPr>
    </w:p>
    <w:p w14:paraId="7683C58E">
      <w:pPr>
        <w:pStyle w:val="20"/>
        <w:rPr>
          <w:rFonts w:hint="eastAsia" w:hAnsi="宋体" w:cs="宋体"/>
          <w:b/>
          <w:sz w:val="28"/>
          <w:szCs w:val="28"/>
        </w:rPr>
      </w:pPr>
    </w:p>
    <w:p w14:paraId="60391C4B">
      <w:pPr>
        <w:rPr>
          <w:rFonts w:hint="eastAsia" w:hAnsi="宋体" w:cs="宋体"/>
          <w:b/>
          <w:sz w:val="28"/>
          <w:szCs w:val="28"/>
        </w:rPr>
      </w:pPr>
    </w:p>
    <w:p w14:paraId="248E17B2">
      <w:pPr>
        <w:pStyle w:val="20"/>
        <w:rPr>
          <w:rFonts w:hint="eastAsia" w:hAnsi="宋体" w:cs="宋体"/>
          <w:b/>
          <w:sz w:val="28"/>
          <w:szCs w:val="28"/>
        </w:rPr>
      </w:pPr>
    </w:p>
    <w:p w14:paraId="7D35E68A">
      <w:pPr>
        <w:rPr>
          <w:rFonts w:hint="eastAsia" w:hAnsi="宋体" w:cs="宋体"/>
          <w:b/>
          <w:sz w:val="28"/>
          <w:szCs w:val="28"/>
        </w:rPr>
      </w:pPr>
    </w:p>
    <w:p w14:paraId="19C57CED">
      <w:pPr>
        <w:pStyle w:val="20"/>
        <w:rPr>
          <w:rFonts w:hint="eastAsia" w:hAnsi="宋体" w:cs="宋体"/>
          <w:b/>
          <w:sz w:val="28"/>
          <w:szCs w:val="28"/>
        </w:rPr>
      </w:pPr>
    </w:p>
    <w:p w14:paraId="0A25796B">
      <w:pPr>
        <w:rPr>
          <w:rFonts w:hint="eastAsia" w:hAnsi="宋体" w:cs="宋体"/>
          <w:b/>
          <w:sz w:val="28"/>
          <w:szCs w:val="28"/>
        </w:rPr>
      </w:pPr>
    </w:p>
    <w:p w14:paraId="10AB6C15">
      <w:pPr>
        <w:pStyle w:val="20"/>
        <w:rPr>
          <w:rFonts w:hint="eastAsia" w:hAnsi="宋体" w:cs="宋体"/>
          <w:b/>
          <w:sz w:val="28"/>
          <w:szCs w:val="28"/>
        </w:rPr>
      </w:pPr>
    </w:p>
    <w:p w14:paraId="6C231436">
      <w:pPr>
        <w:rPr>
          <w:rFonts w:hint="eastAsia" w:hAnsi="宋体" w:cs="宋体"/>
          <w:b/>
          <w:sz w:val="28"/>
          <w:szCs w:val="28"/>
        </w:rPr>
      </w:pPr>
    </w:p>
    <w:p w14:paraId="79A158DB">
      <w:pPr>
        <w:pStyle w:val="20"/>
        <w:rPr>
          <w:rFonts w:hint="eastAsia" w:hAnsi="宋体" w:cs="宋体"/>
          <w:b/>
          <w:sz w:val="28"/>
          <w:szCs w:val="28"/>
        </w:rPr>
      </w:pPr>
    </w:p>
    <w:p w14:paraId="79DF61B9">
      <w:pPr>
        <w:rPr>
          <w:rFonts w:hint="eastAsia" w:hAnsi="宋体" w:cs="宋体"/>
          <w:b/>
          <w:sz w:val="28"/>
          <w:szCs w:val="28"/>
        </w:rPr>
      </w:pPr>
    </w:p>
    <w:p w14:paraId="3CB7D00E">
      <w:pPr>
        <w:pStyle w:val="20"/>
        <w:rPr>
          <w:rFonts w:hint="eastAsia" w:hAnsi="宋体" w:cs="宋体"/>
          <w:b/>
          <w:sz w:val="28"/>
          <w:szCs w:val="28"/>
        </w:rPr>
      </w:pPr>
    </w:p>
    <w:p w14:paraId="1D63B07F">
      <w:pPr>
        <w:rPr>
          <w:rFonts w:hint="eastAsia" w:hAnsi="宋体" w:cs="宋体"/>
          <w:b/>
          <w:sz w:val="28"/>
          <w:szCs w:val="28"/>
        </w:rPr>
      </w:pPr>
    </w:p>
    <w:p w14:paraId="5B9ABB1A">
      <w:pPr>
        <w:pStyle w:val="20"/>
        <w:rPr>
          <w:rFonts w:hint="eastAsia" w:hAnsi="宋体" w:cs="宋体"/>
          <w:b/>
          <w:sz w:val="28"/>
          <w:szCs w:val="28"/>
        </w:rPr>
      </w:pPr>
    </w:p>
    <w:p w14:paraId="1C9991D6">
      <w:pPr>
        <w:rPr>
          <w:rFonts w:hint="eastAsia" w:hAnsi="宋体" w:cs="宋体"/>
          <w:b/>
          <w:sz w:val="28"/>
          <w:szCs w:val="28"/>
        </w:rPr>
      </w:pPr>
    </w:p>
    <w:p w14:paraId="2E60E9FA">
      <w:pPr>
        <w:pStyle w:val="20"/>
        <w:rPr>
          <w:rFonts w:hint="eastAsia"/>
        </w:rPr>
      </w:pPr>
    </w:p>
    <w:p w14:paraId="76DAF658">
      <w:pPr>
        <w:pStyle w:val="5"/>
        <w:numPr>
          <w:ilvl w:val="0"/>
          <w:numId w:val="0"/>
        </w:numPr>
        <w:bidi w:val="0"/>
        <w:ind w:leftChars="0"/>
        <w:jc w:val="center"/>
      </w:pPr>
      <w:bookmarkStart w:id="225" w:name="_Toc10190"/>
      <w:r>
        <w:rPr>
          <w:rFonts w:hint="eastAsia"/>
        </w:rPr>
        <w:t>第四章  合同条款（主要条款）</w:t>
      </w:r>
      <w:bookmarkEnd w:id="225"/>
    </w:p>
    <w:p w14:paraId="18301350">
      <w:pPr>
        <w:spacing w:line="360" w:lineRule="auto"/>
        <w:ind w:firstLine="480" w:firstLineChars="200"/>
        <w:jc w:val="left"/>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（本招标文件提供合同文本未尽事宜由</w:t>
      </w:r>
      <w:r>
        <w:rPr>
          <w:rFonts w:hint="eastAsia" w:asciiTheme="minorEastAsia" w:hAnsiTheme="minorEastAsia" w:eastAsiaTheme="minorEastAsia" w:cstheme="minorEastAsia"/>
          <w:sz w:val="24"/>
        </w:rPr>
        <w:t>中标</w:t>
      </w:r>
      <w:r>
        <w:rPr>
          <w:rFonts w:hint="eastAsia" w:asciiTheme="minorEastAsia" w:hAnsiTheme="minorEastAsia" w:eastAsiaTheme="minorEastAsia" w:cstheme="minorEastAsia"/>
          <w:bCs/>
          <w:sz w:val="24"/>
          <w:lang w:eastAsia="zh-CN"/>
        </w:rPr>
        <w:t>投标人</w:t>
      </w:r>
      <w:r>
        <w:rPr>
          <w:rFonts w:hint="eastAsia" w:asciiTheme="minorEastAsia" w:hAnsiTheme="minorEastAsia" w:eastAsiaTheme="minorEastAsia" w:cstheme="minorEastAsia"/>
          <w:bCs/>
          <w:sz w:val="24"/>
        </w:rPr>
        <w:t>与采购人共同协商后签订。）</w:t>
      </w:r>
    </w:p>
    <w:p w14:paraId="5FD045F1">
      <w:pPr>
        <w:pStyle w:val="3"/>
        <w:rPr>
          <w:rFonts w:asciiTheme="minorEastAsia" w:hAnsiTheme="minorEastAsia" w:eastAsiaTheme="minorEastAsia" w:cstheme="minorEastAsia"/>
        </w:rPr>
      </w:pPr>
    </w:p>
    <w:p w14:paraId="1B50EE4B"/>
    <w:p w14:paraId="7111767A">
      <w:pPr>
        <w:pageBreakBefore w:val="0"/>
        <w:kinsoku/>
        <w:wordWrap/>
        <w:overflowPunct/>
        <w:topLinePunct w:val="0"/>
        <w:bidi w:val="0"/>
        <w:snapToGrid/>
        <w:spacing w:line="336" w:lineRule="auto"/>
        <w:ind w:firstLine="472" w:firstLineChars="196"/>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1、定义</w:t>
      </w:r>
    </w:p>
    <w:p w14:paraId="74D9F49E">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1.1“合同”系指甲乙双方共同签署的、合同中载明的甲乙双方所达成的协议，包括：</w:t>
      </w:r>
      <w:r>
        <w:rPr>
          <w:rFonts w:hint="eastAsia" w:ascii="宋体" w:hAnsi="宋体" w:eastAsia="宋体" w:cs="宋体"/>
          <w:color w:val="auto"/>
          <w:sz w:val="24"/>
          <w:szCs w:val="24"/>
          <w:highlight w:val="none"/>
          <w:lang w:eastAsia="zh-CN"/>
        </w:rPr>
        <w:t>中标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成交通知书；合同条款；</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及承诺；项目采购</w:t>
      </w:r>
      <w:r>
        <w:rPr>
          <w:rFonts w:hint="eastAsia" w:ascii="宋体" w:hAnsi="宋体" w:eastAsia="宋体" w:cs="宋体"/>
          <w:color w:val="auto"/>
          <w:sz w:val="24"/>
          <w:szCs w:val="24"/>
          <w:highlight w:val="none"/>
          <w:lang w:val="en-US" w:eastAsia="zh-CN"/>
        </w:rPr>
        <w:t>需求；</w:t>
      </w:r>
      <w:r>
        <w:rPr>
          <w:rFonts w:hint="eastAsia" w:ascii="宋体" w:hAnsi="宋体" w:cs="宋体"/>
          <w:color w:val="auto"/>
          <w:sz w:val="24"/>
          <w:szCs w:val="24"/>
          <w:highlight w:val="none"/>
          <w:lang w:val="en-US" w:eastAsia="zh-CN"/>
        </w:rPr>
        <w:t>磋商文件</w:t>
      </w:r>
      <w:r>
        <w:rPr>
          <w:rFonts w:hint="eastAsia" w:ascii="宋体" w:hAnsi="宋体" w:eastAsia="宋体" w:cs="宋体"/>
          <w:color w:val="auto"/>
          <w:sz w:val="24"/>
          <w:szCs w:val="24"/>
          <w:highlight w:val="none"/>
        </w:rPr>
        <w:t>（含补充文件、修改文件）及答疑纪要；双方约定的其他所有文件等构成合同的所有文件的总称。</w:t>
      </w:r>
    </w:p>
    <w:p w14:paraId="5D5EF043">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1.2“甲方”系指。</w:t>
      </w:r>
    </w:p>
    <w:p w14:paraId="294C00E5">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1.3“乙方”系指取得成交资格，提供合同服务的</w:t>
      </w:r>
      <w:r>
        <w:rPr>
          <w:rFonts w:hint="eastAsia" w:ascii="宋体" w:hAnsi="宋体" w:eastAsia="宋体" w:cs="宋体"/>
          <w:color w:val="auto"/>
          <w:sz w:val="24"/>
          <w:szCs w:val="24"/>
          <w:highlight w:val="none"/>
          <w:lang w:eastAsia="zh-CN"/>
        </w:rPr>
        <w:t>中标单位</w:t>
      </w:r>
      <w:r>
        <w:rPr>
          <w:rFonts w:hint="eastAsia" w:ascii="宋体" w:hAnsi="宋体" w:eastAsia="宋体" w:cs="宋体"/>
          <w:color w:val="auto"/>
          <w:sz w:val="24"/>
          <w:szCs w:val="24"/>
          <w:highlight w:val="none"/>
        </w:rPr>
        <w:t>。</w:t>
      </w:r>
    </w:p>
    <w:p w14:paraId="135E43A7">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1.4“合同价款”系指根据合同条款、技术规范及标准、项目采购需求、本</w:t>
      </w:r>
      <w:r>
        <w:rPr>
          <w:rFonts w:hint="eastAsia" w:ascii="宋体" w:hAnsi="宋体" w:cs="宋体"/>
          <w:color w:val="auto"/>
          <w:sz w:val="24"/>
          <w:szCs w:val="24"/>
          <w:highlight w:val="none"/>
          <w:lang w:val="en-US" w:eastAsia="zh-CN"/>
        </w:rPr>
        <w:t>磋商文件</w:t>
      </w:r>
      <w:r>
        <w:rPr>
          <w:rFonts w:hint="eastAsia" w:ascii="宋体" w:hAnsi="宋体" w:eastAsia="宋体" w:cs="宋体"/>
          <w:color w:val="auto"/>
          <w:sz w:val="24"/>
          <w:szCs w:val="24"/>
          <w:highlight w:val="none"/>
        </w:rPr>
        <w:t>的规定，</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在正确、完整地履行合同义务后，</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应支付给</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实际所供合同货物的金额。</w:t>
      </w:r>
    </w:p>
    <w:p w14:paraId="63AF6666">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1.5“合同货物”系指</w:t>
      </w:r>
      <w:r>
        <w:rPr>
          <w:rFonts w:hint="eastAsia" w:ascii="宋体" w:hAnsi="宋体" w:cs="宋体"/>
          <w:b w:val="0"/>
          <w:bCs w:val="0"/>
          <w:sz w:val="24"/>
          <w:lang w:eastAsia="zh-CN"/>
        </w:rPr>
        <w:t>林草业务专项-城市绿色生态质量提升工程（克拉玛依市人与自然和谐共生生态保护项目）设备采购</w:t>
      </w:r>
      <w:r>
        <w:rPr>
          <w:rFonts w:hint="eastAsia" w:ascii="宋体" w:hAnsi="宋体" w:cs="宋体"/>
          <w:b w:val="0"/>
          <w:bCs w:val="0"/>
          <w:sz w:val="24"/>
        </w:rPr>
        <w:t>的供应、保险、税费、仓储运输、现场保管及装卸（卸至需方指定地点）、现场搬运（含二次搬运），安装调试、运行、检验及验收、移交、原有设备拆除并运至指定地点等工作，向采购人提交技术参数、技术资料（包括操作手册、维修手册及其他相关资料等）、技术咨询、用户人员培训、缺陷修补、质量保修期内的维保、售后服务等保证项目验收合格并能正常交付使用以及合同条款、项目采购需求、本招标文件约定的全部内容及保修责任和义务。</w:t>
      </w:r>
    </w:p>
    <w:p w14:paraId="0A974A8D">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1.6“服务”系指合同条款、技术规范及标准、项目采购需求、本</w:t>
      </w:r>
      <w:r>
        <w:rPr>
          <w:rFonts w:hint="eastAsia" w:ascii="宋体" w:hAnsi="宋体" w:cs="宋体"/>
          <w:color w:val="auto"/>
          <w:sz w:val="24"/>
          <w:szCs w:val="24"/>
          <w:highlight w:val="none"/>
          <w:lang w:val="en-US" w:eastAsia="zh-CN"/>
        </w:rPr>
        <w:t>磋商文件</w:t>
      </w:r>
      <w:r>
        <w:rPr>
          <w:rFonts w:hint="eastAsia" w:ascii="宋体" w:hAnsi="宋体" w:eastAsia="宋体" w:cs="宋体"/>
          <w:color w:val="auto"/>
          <w:sz w:val="24"/>
          <w:szCs w:val="24"/>
          <w:highlight w:val="none"/>
        </w:rPr>
        <w:t>规定，中标单位为保证</w:t>
      </w:r>
      <w:r>
        <w:rPr>
          <w:rFonts w:hint="eastAsia" w:ascii="宋体" w:hAnsi="宋体" w:eastAsia="宋体" w:cs="宋体"/>
          <w:b w:val="0"/>
          <w:bCs/>
          <w:color w:val="auto"/>
          <w:sz w:val="24"/>
          <w:szCs w:val="24"/>
          <w:highlight w:val="none"/>
          <w:lang w:eastAsia="zh-CN"/>
        </w:rPr>
        <w:t>完成</w:t>
      </w:r>
      <w:r>
        <w:rPr>
          <w:rFonts w:hint="eastAsia" w:ascii="宋体" w:hAnsi="宋体" w:cs="宋体"/>
          <w:b w:val="0"/>
          <w:bCs/>
          <w:color w:val="auto"/>
          <w:sz w:val="24"/>
          <w:szCs w:val="24"/>
          <w:highlight w:val="none"/>
          <w:lang w:eastAsia="zh-CN"/>
        </w:rPr>
        <w:t>林草业务专项-城市绿色生态质量提升工程（克拉玛依市人与自然和谐共生生态保护项目）设备采购项目</w:t>
      </w:r>
      <w:r>
        <w:rPr>
          <w:rFonts w:hint="eastAsia" w:ascii="宋体" w:hAnsi="宋体" w:eastAsia="宋体" w:cs="宋体"/>
          <w:b w:val="0"/>
          <w:bCs/>
          <w:color w:val="auto"/>
          <w:sz w:val="24"/>
          <w:szCs w:val="24"/>
          <w:highlight w:val="none"/>
          <w:lang w:eastAsia="zh-CN"/>
        </w:rPr>
        <w:t>应承担的所有工作，配合招标人完成与此服务相关的合同条款、技术规范及标准、项目采购需求、</w:t>
      </w:r>
      <w:r>
        <w:rPr>
          <w:rFonts w:hint="eastAsia" w:ascii="宋体" w:hAnsi="宋体" w:cs="宋体"/>
          <w:b w:val="0"/>
          <w:bCs/>
          <w:color w:val="auto"/>
          <w:sz w:val="24"/>
          <w:szCs w:val="24"/>
          <w:highlight w:val="none"/>
          <w:lang w:eastAsia="zh-CN"/>
        </w:rPr>
        <w:t>磋商文件</w:t>
      </w:r>
      <w:r>
        <w:rPr>
          <w:rFonts w:hint="eastAsia" w:ascii="宋体" w:hAnsi="宋体" w:eastAsia="宋体" w:cs="宋体"/>
          <w:b w:val="0"/>
          <w:bCs/>
          <w:color w:val="auto"/>
          <w:sz w:val="24"/>
          <w:szCs w:val="24"/>
          <w:highlight w:val="none"/>
          <w:lang w:eastAsia="zh-CN"/>
        </w:rPr>
        <w:t>约定的全部内容及责任和义务。</w:t>
      </w:r>
    </w:p>
    <w:p w14:paraId="2F876ED0">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凡提及的“天、日期、星期、月份和年份”系指公历日历的日历天、日期、星期、月份和年份。</w:t>
      </w:r>
    </w:p>
    <w:p w14:paraId="464DE450">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26" w:name="_Toc246216233"/>
      <w:r>
        <w:rPr>
          <w:rFonts w:hint="eastAsia" w:ascii="宋体" w:hAnsi="宋体" w:eastAsia="宋体" w:cs="宋体"/>
          <w:b/>
          <w:color w:val="auto"/>
          <w:sz w:val="24"/>
          <w:szCs w:val="24"/>
          <w:highlight w:val="none"/>
        </w:rPr>
        <w:t>2、适用范围</w:t>
      </w:r>
      <w:bookmarkEnd w:id="226"/>
    </w:p>
    <w:p w14:paraId="5AE67AD3">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本合同条款适用于本次</w:t>
      </w:r>
      <w:r>
        <w:rPr>
          <w:rFonts w:hint="eastAsia" w:ascii="宋体" w:hAnsi="宋体" w:cs="宋体"/>
          <w:color w:val="auto"/>
          <w:sz w:val="24"/>
          <w:szCs w:val="24"/>
          <w:highlight w:val="none"/>
          <w:lang w:eastAsia="zh-CN"/>
        </w:rPr>
        <w:t>林草业务专项-城市绿色生态质量提升工程（克拉玛依市人与自然和谐共生生态保护项目）设备采购</w:t>
      </w:r>
      <w:r>
        <w:rPr>
          <w:rFonts w:hint="eastAsia" w:ascii="宋体" w:hAnsi="宋体" w:cs="宋体"/>
          <w:color w:val="auto"/>
          <w:sz w:val="24"/>
          <w:szCs w:val="24"/>
          <w:highlight w:val="none"/>
          <w:lang w:val="en-US" w:eastAsia="zh-CN"/>
        </w:rPr>
        <w:t>项目</w:t>
      </w:r>
      <w:r>
        <w:rPr>
          <w:rFonts w:hint="eastAsia" w:ascii="宋体" w:hAnsi="宋体" w:eastAsia="宋体" w:cs="宋体"/>
          <w:color w:val="auto"/>
          <w:sz w:val="24"/>
          <w:szCs w:val="24"/>
          <w:highlight w:val="none"/>
        </w:rPr>
        <w:t>。</w:t>
      </w:r>
    </w:p>
    <w:p w14:paraId="4D790E46">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27" w:name="_Toc246216234"/>
      <w:r>
        <w:rPr>
          <w:rFonts w:hint="eastAsia" w:ascii="宋体" w:hAnsi="宋体" w:eastAsia="宋体" w:cs="宋体"/>
          <w:b/>
          <w:color w:val="auto"/>
          <w:sz w:val="24"/>
          <w:szCs w:val="24"/>
          <w:highlight w:val="none"/>
        </w:rPr>
        <w:t>3、合同价格</w:t>
      </w:r>
      <w:bookmarkEnd w:id="227"/>
    </w:p>
    <w:p w14:paraId="78BD7B33">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3.1合同价款为：人民币元(大写：人民币    )。</w:t>
      </w:r>
    </w:p>
    <w:p w14:paraId="0A62945F">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3.2合同价</w:t>
      </w:r>
      <w:r>
        <w:rPr>
          <w:rFonts w:hint="eastAsia" w:ascii="宋体" w:hAnsi="宋体" w:eastAsia="宋体" w:cs="宋体"/>
          <w:b w:val="0"/>
          <w:bCs w:val="0"/>
          <w:color w:val="auto"/>
          <w:sz w:val="24"/>
          <w:szCs w:val="24"/>
          <w:highlight w:val="none"/>
        </w:rPr>
        <w:t>款：</w:t>
      </w:r>
    </w:p>
    <w:p w14:paraId="32AC1FA1">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28" w:name="_Toc260247209"/>
      <w:bookmarkStart w:id="229" w:name="_Toc260246971"/>
      <w:bookmarkStart w:id="230" w:name="_Toc260247210"/>
      <w:bookmarkStart w:id="231" w:name="_Toc231451677"/>
      <w:bookmarkStart w:id="232" w:name="_Toc260246972"/>
      <w:bookmarkStart w:id="233" w:name="_Toc246216237"/>
      <w:r>
        <w:rPr>
          <w:rFonts w:hint="eastAsia" w:ascii="宋体" w:hAnsi="宋体" w:eastAsia="宋体" w:cs="宋体"/>
          <w:b/>
          <w:color w:val="auto"/>
          <w:sz w:val="24"/>
          <w:szCs w:val="24"/>
          <w:highlight w:val="none"/>
        </w:rPr>
        <w:t>4、支付条款</w:t>
      </w:r>
      <w:bookmarkEnd w:id="228"/>
      <w:bookmarkEnd w:id="229"/>
    </w:p>
    <w:bookmarkEnd w:id="230"/>
    <w:bookmarkEnd w:id="231"/>
    <w:bookmarkEnd w:id="232"/>
    <w:bookmarkEnd w:id="233"/>
    <w:p w14:paraId="005CA0BD">
      <w:pPr>
        <w:pageBreakBefore w:val="0"/>
        <w:widowControl w:val="0"/>
        <w:kinsoku/>
        <w:wordWrap/>
        <w:overflowPunct/>
        <w:topLinePunct w:val="0"/>
        <w:autoSpaceDE w:val="0"/>
        <w:autoSpaceDN w:val="0"/>
        <w:bidi w:val="0"/>
        <w:adjustRightInd w:val="0"/>
        <w:snapToGrid/>
        <w:spacing w:line="336" w:lineRule="auto"/>
        <w:ind w:firstLine="470" w:firstLineChars="196"/>
        <w:textAlignment w:val="auto"/>
        <w:rPr>
          <w:rFonts w:hint="eastAsia" w:ascii="宋体" w:hAnsi="宋体" w:eastAsia="宋体" w:cs="宋体"/>
          <w:b w:val="0"/>
          <w:bCs/>
          <w:color w:val="auto"/>
          <w:kern w:val="2"/>
          <w:sz w:val="24"/>
          <w:szCs w:val="24"/>
          <w:highlight w:val="none"/>
          <w:lang w:val="en-US" w:eastAsia="zh-CN" w:bidi="ar-SA"/>
        </w:rPr>
      </w:pPr>
      <w:bookmarkStart w:id="234" w:name="_Toc258681731"/>
      <w:r>
        <w:rPr>
          <w:rFonts w:hint="eastAsia" w:ascii="宋体" w:hAnsi="宋体" w:eastAsia="宋体" w:cs="宋体"/>
          <w:b w:val="0"/>
          <w:bCs/>
          <w:color w:val="auto"/>
          <w:kern w:val="2"/>
          <w:sz w:val="24"/>
          <w:szCs w:val="24"/>
          <w:highlight w:val="none"/>
          <w:lang w:val="en-US" w:eastAsia="zh-CN" w:bidi="ar-SA"/>
        </w:rPr>
        <w:t>4.1 本合同的支付币种为人民币。由甲乙双方签订合同时自行约定。</w:t>
      </w:r>
    </w:p>
    <w:p w14:paraId="6B5512CF">
      <w:pPr>
        <w:pageBreakBefore w:val="0"/>
        <w:kinsoku/>
        <w:wordWrap/>
        <w:overflowPunct/>
        <w:topLinePunct w:val="0"/>
        <w:bidi w:val="0"/>
        <w:snapToGrid/>
        <w:spacing w:line="336" w:lineRule="auto"/>
        <w:ind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5、</w:t>
      </w:r>
      <w:r>
        <w:rPr>
          <w:rFonts w:hint="eastAsia" w:ascii="宋体" w:hAnsi="宋体" w:eastAsia="宋体" w:cs="宋体"/>
          <w:b/>
          <w:color w:val="auto"/>
          <w:sz w:val="24"/>
          <w:szCs w:val="24"/>
          <w:highlight w:val="none"/>
          <w:lang w:eastAsia="zh-CN"/>
        </w:rPr>
        <w:t>服务期：</w:t>
      </w:r>
    </w:p>
    <w:bookmarkEnd w:id="234"/>
    <w:p w14:paraId="5F291E43">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35" w:name="_Toc260246981"/>
      <w:bookmarkStart w:id="236" w:name="_Toc260247219"/>
      <w:r>
        <w:rPr>
          <w:rFonts w:hint="eastAsia" w:ascii="宋体" w:hAnsi="宋体" w:eastAsia="宋体" w:cs="宋体"/>
          <w:b/>
          <w:color w:val="auto"/>
          <w:sz w:val="24"/>
          <w:szCs w:val="24"/>
          <w:highlight w:val="none"/>
        </w:rPr>
        <w:t>6、技术资料</w:t>
      </w:r>
    </w:p>
    <w:p w14:paraId="0559D771">
      <w:pPr>
        <w:pageBreakBefore w:val="0"/>
        <w:kinsoku/>
        <w:wordWrap/>
        <w:overflowPunct/>
        <w:topLinePunct w:val="0"/>
        <w:bidi w:val="0"/>
        <w:snapToGrid/>
        <w:spacing w:line="336" w:lineRule="auto"/>
        <w:ind w:firstLine="481"/>
        <w:textAlignment w:val="auto"/>
        <w:rPr>
          <w:rFonts w:hint="eastAsia" w:ascii="宋体" w:hAnsi="宋体" w:eastAsia="宋体" w:cs="宋体"/>
          <w:color w:val="auto"/>
          <w:sz w:val="24"/>
          <w:szCs w:val="24"/>
          <w:highlight w:val="none"/>
        </w:rPr>
      </w:pPr>
      <w:bookmarkStart w:id="237" w:name="_Toc258681733"/>
      <w:r>
        <w:rPr>
          <w:rFonts w:hint="eastAsia" w:ascii="宋体" w:hAnsi="宋体" w:eastAsia="宋体" w:cs="宋体"/>
          <w:color w:val="auto"/>
          <w:sz w:val="24"/>
          <w:szCs w:val="24"/>
          <w:highlight w:val="none"/>
        </w:rPr>
        <w:t>6.1乙方应准备与服务相符的技术资料，并于合同生效后七日内送（或寄）至甲方，例如：手册、标准和服务手册等。如本条款所述资料有不完整或丢失，乙方应在收到甲方通知后3日内免费另寄（送）。</w:t>
      </w:r>
    </w:p>
    <w:bookmarkEnd w:id="237"/>
    <w:p w14:paraId="22B4BE19">
      <w:pPr>
        <w:pageBreakBefore w:val="0"/>
        <w:kinsoku/>
        <w:wordWrap/>
        <w:overflowPunct/>
        <w:topLinePunct w:val="0"/>
        <w:bidi w:val="0"/>
        <w:snapToGrid/>
        <w:spacing w:line="336" w:lineRule="auto"/>
        <w:ind w:firstLine="480"/>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7、乙方人员</w:t>
      </w:r>
      <w:bookmarkEnd w:id="235"/>
      <w:bookmarkEnd w:id="236"/>
    </w:p>
    <w:p w14:paraId="0810F119">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7.1乙方应委派有经验的技术人员进行</w:t>
      </w:r>
      <w:r>
        <w:rPr>
          <w:rFonts w:hint="eastAsia" w:ascii="宋体" w:hAnsi="宋体" w:cs="宋体"/>
          <w:color w:val="auto"/>
          <w:sz w:val="24"/>
          <w:szCs w:val="24"/>
          <w:highlight w:val="none"/>
          <w:lang w:eastAsia="zh-CN"/>
        </w:rPr>
        <w:t>林草业务专项-城市绿色生态质量提升工程（克拉玛依市人与自然和谐共生生态保护项目）设备采购项目</w:t>
      </w:r>
      <w:r>
        <w:rPr>
          <w:rFonts w:hint="eastAsia" w:ascii="宋体" w:hAnsi="宋体" w:eastAsia="宋体" w:cs="宋体"/>
          <w:color w:val="auto"/>
          <w:sz w:val="24"/>
          <w:szCs w:val="24"/>
          <w:highlight w:val="none"/>
        </w:rPr>
        <w:t>相关等服务。乙方应对</w:t>
      </w:r>
      <w:r>
        <w:rPr>
          <w:rFonts w:hint="eastAsia" w:ascii="宋体" w:hAnsi="宋体" w:cs="宋体"/>
          <w:color w:val="auto"/>
          <w:sz w:val="24"/>
          <w:szCs w:val="24"/>
          <w:highlight w:val="none"/>
          <w:lang w:eastAsia="zh-CN"/>
        </w:rPr>
        <w:t>林草业务专项-城市绿色生态质量提升工程（克拉玛依市人与自然和谐共生生态保护项目）设备采购项目</w:t>
      </w:r>
      <w:r>
        <w:rPr>
          <w:rFonts w:hint="eastAsia" w:ascii="宋体" w:hAnsi="宋体" w:eastAsia="宋体" w:cs="宋体"/>
          <w:color w:val="auto"/>
          <w:sz w:val="24"/>
          <w:szCs w:val="24"/>
          <w:highlight w:val="none"/>
        </w:rPr>
        <w:t>相关的质量负责，使其符合技术规范和有关标准的要求。</w:t>
      </w:r>
    </w:p>
    <w:p w14:paraId="431F5043">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7.2如果甲方认为乙方派遣的执行本项目的有关人员不称职，将有权要求乙方更换，乙方对于甲方的此类要求应予以满足。</w:t>
      </w:r>
    </w:p>
    <w:p w14:paraId="11A98D94">
      <w:pPr>
        <w:pageBreakBefore w:val="0"/>
        <w:kinsoku/>
        <w:wordWrap/>
        <w:overflowPunct/>
        <w:topLinePunct w:val="0"/>
        <w:bidi w:val="0"/>
        <w:snapToGrid/>
        <w:spacing w:line="336" w:lineRule="auto"/>
        <w:ind w:left="2" w:firstLine="482" w:firstLineChars="200"/>
        <w:textAlignment w:val="auto"/>
        <w:outlineLvl w:val="2"/>
        <w:rPr>
          <w:rFonts w:hint="eastAsia" w:ascii="宋体" w:hAnsi="宋体" w:eastAsia="宋体" w:cs="宋体"/>
          <w:b/>
          <w:color w:val="auto"/>
          <w:sz w:val="24"/>
          <w:szCs w:val="24"/>
          <w:highlight w:val="none"/>
        </w:rPr>
      </w:pPr>
      <w:bookmarkStart w:id="238" w:name="_Toc258681749"/>
      <w:r>
        <w:rPr>
          <w:rFonts w:hint="eastAsia" w:ascii="宋体" w:hAnsi="宋体" w:eastAsia="宋体" w:cs="宋体"/>
          <w:b/>
          <w:color w:val="auto"/>
          <w:sz w:val="24"/>
          <w:szCs w:val="24"/>
          <w:highlight w:val="none"/>
        </w:rPr>
        <w:t>8、乙方履约延误和延期赔偿</w:t>
      </w:r>
      <w:bookmarkEnd w:id="238"/>
    </w:p>
    <w:p w14:paraId="5D16A5D0">
      <w:pPr>
        <w:pageBreakBefore w:val="0"/>
        <w:kinsoku/>
        <w:wordWrap/>
        <w:overflowPunct/>
        <w:topLinePunct w:val="0"/>
        <w:bidi w:val="0"/>
        <w:snapToGrid/>
        <w:spacing w:line="336" w:lineRule="auto"/>
        <w:ind w:left="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 如果乙方未能按合同规定的时间按期提供服务，将加收延期赔偿或终止合同。</w:t>
      </w:r>
    </w:p>
    <w:p w14:paraId="03A85D05">
      <w:pPr>
        <w:pageBreakBefore w:val="0"/>
        <w:kinsoku/>
        <w:wordWrap/>
        <w:overflowPunct/>
        <w:topLinePunct w:val="0"/>
        <w:bidi w:val="0"/>
        <w:snapToGrid/>
        <w:spacing w:line="336" w:lineRule="auto"/>
        <w:ind w:left="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在履约过程中，如果乙方可能遇到妨碍按时提供服务的情况时，应及时以书面形式将迟延的事实、可能迟延的期限和原因通知甲方。甲方在收到乙方通知后，应尽快对情况进行分析，并确定是否同意延长交货时间以及是否收取误期赔偿费。延期应通过修改合同的方式由乙方认可。如乙方在原定提供服务期限后7天未提供服务，则甲方有权终止合同。</w:t>
      </w:r>
    </w:p>
    <w:p w14:paraId="69E6B4F1">
      <w:pPr>
        <w:pageBreakBefore w:val="0"/>
        <w:kinsoku/>
        <w:wordWrap/>
        <w:overflowPunct/>
        <w:topLinePunct w:val="0"/>
        <w:bidi w:val="0"/>
        <w:snapToGrid/>
        <w:spacing w:line="336" w:lineRule="auto"/>
        <w:ind w:left="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 如乙方未能就合理提供服务日期达成一致意见，甲方有权将服务价降低到双方同意的水平，并由乙方赔偿由此造成的所有损失。</w:t>
      </w:r>
    </w:p>
    <w:p w14:paraId="6173392D">
      <w:pPr>
        <w:pageBreakBefore w:val="0"/>
        <w:kinsoku/>
        <w:wordWrap/>
        <w:overflowPunct/>
        <w:topLinePunct w:val="0"/>
        <w:bidi w:val="0"/>
        <w:snapToGrid/>
        <w:spacing w:line="336" w:lineRule="auto"/>
        <w:ind w:firstLine="480"/>
        <w:textAlignment w:val="auto"/>
        <w:outlineLvl w:val="2"/>
        <w:rPr>
          <w:rFonts w:hint="eastAsia" w:ascii="宋体" w:hAnsi="宋体" w:eastAsia="宋体" w:cs="宋体"/>
          <w:b/>
          <w:color w:val="auto"/>
          <w:sz w:val="24"/>
          <w:szCs w:val="24"/>
          <w:highlight w:val="none"/>
        </w:rPr>
      </w:pPr>
      <w:bookmarkStart w:id="239" w:name="_Toc258681751"/>
      <w:r>
        <w:rPr>
          <w:rFonts w:hint="eastAsia" w:ascii="宋体" w:hAnsi="宋体" w:eastAsia="宋体" w:cs="宋体"/>
          <w:b/>
          <w:color w:val="auto"/>
          <w:sz w:val="24"/>
          <w:szCs w:val="24"/>
          <w:highlight w:val="none"/>
          <w:lang w:val="en-US" w:eastAsia="zh-CN"/>
        </w:rPr>
        <w:t>9</w:t>
      </w:r>
      <w:r>
        <w:rPr>
          <w:rFonts w:hint="eastAsia" w:ascii="宋体" w:hAnsi="宋体" w:eastAsia="宋体" w:cs="宋体"/>
          <w:b/>
          <w:color w:val="auto"/>
          <w:sz w:val="24"/>
          <w:szCs w:val="24"/>
          <w:highlight w:val="none"/>
        </w:rPr>
        <w:t>、违约责任</w:t>
      </w:r>
      <w:bookmarkEnd w:id="239"/>
      <w:bookmarkStart w:id="240" w:name="_Toc258681752"/>
    </w:p>
    <w:p w14:paraId="6DE7BF83">
      <w:pPr>
        <w:pageBreakBefore w:val="0"/>
        <w:kinsoku/>
        <w:wordWrap/>
        <w:overflowPunct/>
        <w:topLinePunct w:val="0"/>
        <w:bidi w:val="0"/>
        <w:snapToGrid/>
        <w:spacing w:line="336"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lang w:val="en-US" w:eastAsia="zh-CN"/>
        </w:rPr>
        <w:t>9</w:t>
      </w:r>
      <w:r>
        <w:rPr>
          <w:rFonts w:hint="eastAsia" w:ascii="宋体" w:hAnsi="宋体" w:eastAsia="宋体" w:cs="宋体"/>
          <w:b/>
          <w:color w:val="auto"/>
          <w:kern w:val="0"/>
          <w:sz w:val="24"/>
          <w:szCs w:val="24"/>
          <w:highlight w:val="none"/>
        </w:rPr>
        <w:t>.1若乙方未按本项目采购需求承担相关工作，由此造成的责任和损失由乙方自行承担。</w:t>
      </w:r>
    </w:p>
    <w:p w14:paraId="1B193430">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、不可抗力</w:t>
      </w:r>
      <w:bookmarkEnd w:id="240"/>
    </w:p>
    <w:p w14:paraId="52CE26E5">
      <w:pPr>
        <w:pageBreakBefore w:val="0"/>
        <w:kinsoku/>
        <w:wordWrap/>
        <w:overflowPunct/>
        <w:topLinePunct w:val="0"/>
        <w:bidi w:val="0"/>
        <w:snapToGrid/>
        <w:spacing w:line="336" w:lineRule="auto"/>
        <w:ind w:firstLine="480"/>
        <w:textAlignment w:val="auto"/>
        <w:rPr>
          <w:rFonts w:hint="eastAsia" w:ascii="宋体" w:hAnsi="宋体" w:eastAsia="宋体" w:cs="宋体"/>
          <w:color w:val="auto"/>
          <w:sz w:val="24"/>
          <w:szCs w:val="24"/>
          <w:highlight w:val="none"/>
        </w:rPr>
      </w:pPr>
      <w:bookmarkStart w:id="241" w:name="_Toc258681753"/>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甲乙双方任一方由于受不可抗力事件的影响而不能履行合同时，履行合同的期限应予以延长，其延长的期限应相当于事件所影响的时间。不可抗力事件系指甲乙双方在缔结合同时所不能预见的，并且它的发生及其后果是无法避免和无法克服的事件，诸如战争、严重火灾、洪水、台风以及其他双方商定的事件。但不包括违约或疏忽。</w:t>
      </w:r>
    </w:p>
    <w:p w14:paraId="4AD9B63C">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在不可抗力事件发生后，受不可抗力影响的一方应尽快以书面形式（如电报、传真或电传）将不可抗力的情况和原因通知对方，并于事件发生后14天内将有关当局出具的证明文件用特快专递或挂号信寄给对方审阅确认。除对方书面另行要求外，受不可抗力影响的一方应尽实际可能继续履行合同义务，并积极寻求采取合理的方案履行未受不可抗力影响的其他合同事项。</w:t>
      </w:r>
    </w:p>
    <w:p w14:paraId="4C34B31C">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.3如果不可抗力事件的影响持续45天以上，双方应通过友好协商在合理的时间内达成进一步履行合同的协议。</w:t>
      </w:r>
    </w:p>
    <w:p w14:paraId="7EC56E9B">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.4如果因不可抗力而导致合同实施延误或不能履行合同义务的，受不可抗力影响的一方不应承担违约责任。</w:t>
      </w:r>
    </w:p>
    <w:p w14:paraId="3D9D6B06">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、税费</w:t>
      </w:r>
      <w:bookmarkEnd w:id="241"/>
    </w:p>
    <w:p w14:paraId="36499856">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.1根据国家现行税法规定对与本合同有关的一切税费，包括按税法规定应由甲方承担的税费，均已包括在合同总价款之中，甲方不再与乙方另行结算税费。</w:t>
      </w:r>
    </w:p>
    <w:p w14:paraId="5065379F">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42" w:name="_Toc243904847"/>
      <w:bookmarkStart w:id="243" w:name="_Toc243905150"/>
      <w:bookmarkStart w:id="244" w:name="_Toc258681754"/>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rPr>
        <w:t>、争端的解决</w:t>
      </w:r>
      <w:bookmarkEnd w:id="242"/>
      <w:bookmarkEnd w:id="243"/>
      <w:bookmarkEnd w:id="244"/>
    </w:p>
    <w:p w14:paraId="2A4406C6">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.1甲乙双方应通过友好协商，解决在执行本合同过程中所发生的或与本合同有关的一切争端。当事人不愿和解、调解或者和解、调解不成，向项目所在地人民法院提出诉讼。</w:t>
      </w:r>
    </w:p>
    <w:p w14:paraId="574753A7">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在双方之间的争议尚未解决之前，如甲方以书面形式坚持要求乙方按其意见行事，则乙方应按甲方的意见执行，但由此产生的一切不良后果和责任均应有乙方承担。但乙方不能因此而故意采取可能导致不良后果的行为。</w:t>
      </w:r>
    </w:p>
    <w:p w14:paraId="19FBB69A">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45" w:name="_Toc258681755"/>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、违约终止合同</w:t>
      </w:r>
      <w:bookmarkEnd w:id="245"/>
    </w:p>
    <w:p w14:paraId="237F919B">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.1在甲方对乙方违约而采取的任何补救措施不受影响的情况下，甲方可在下列情况下向乙方发出书面通知书，提出终止部分或全部合同：</w:t>
      </w:r>
    </w:p>
    <w:p w14:paraId="2E32D68C">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(1)乙方未能在合同规定的限期或甲方同意延长的限期内提供服务。</w:t>
      </w:r>
    </w:p>
    <w:p w14:paraId="5CFF04F3">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(2)乙方未能履行合同规定的其他任何义务。</w:t>
      </w:r>
    </w:p>
    <w:p w14:paraId="60A804AA">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.2如果甲方根据上述第13.1条的规定，终止了部分或全部合同，乙方除应退还终止的部分或全部合同价款外，还应按本合同第9.1条的规定承担的违约责任。同时，乙方仍应继续执行合同中未终止的部分。</w:t>
      </w:r>
    </w:p>
    <w:p w14:paraId="03D25A97">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.3在终止合同后，甲方有权按下面方式对乙方进行处置；</w:t>
      </w:r>
    </w:p>
    <w:p w14:paraId="325E33E6">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(1)赔偿设备、材料损失和因乙方违约而造成的维护管理期延期的损失；</w:t>
      </w:r>
    </w:p>
    <w:p w14:paraId="25D637C9">
      <w:pPr>
        <w:pageBreakBefore w:val="0"/>
        <w:kinsoku/>
        <w:wordWrap/>
        <w:overflowPunct/>
        <w:topLinePunct w:val="0"/>
        <w:bidi w:val="0"/>
        <w:snapToGrid/>
        <w:spacing w:line="336" w:lineRule="auto"/>
        <w:ind w:left="2" w:leftChars="1"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(2)乙方退场，并向甲方赔偿因乙方违约而造成的维护管理期延期的损失，以及甲方更换新单位所发生的一切费用。</w:t>
      </w:r>
    </w:p>
    <w:p w14:paraId="7E1E56D0">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46" w:name="_Toc258681756"/>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、破产终止合同</w:t>
      </w:r>
      <w:bookmarkEnd w:id="246"/>
    </w:p>
    <w:p w14:paraId="3ADF2F76">
      <w:pPr>
        <w:pageBreakBefore w:val="0"/>
        <w:kinsoku/>
        <w:wordWrap/>
        <w:overflowPunct/>
        <w:topLinePunct w:val="0"/>
        <w:bidi w:val="0"/>
        <w:snapToGrid/>
        <w:spacing w:line="336" w:lineRule="auto"/>
        <w:ind w:left="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.1当乙方破产或丧失清偿能力，甲方可在任何时候以书面形式通知乙方终止合同而不给乙方补偿。该终止合同的行为将不损害或影响甲方在本合同项下已经或将要采取的任何其他行动或补救措施的权力。</w:t>
      </w:r>
    </w:p>
    <w:p w14:paraId="3F470C24">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47" w:name="_Toc258681758"/>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、合同修改</w:t>
      </w:r>
      <w:bookmarkEnd w:id="247"/>
    </w:p>
    <w:p w14:paraId="25739270">
      <w:pPr>
        <w:pageBreakBefore w:val="0"/>
        <w:kinsoku/>
        <w:wordWrap/>
        <w:overflowPunct/>
        <w:topLinePunct w:val="0"/>
        <w:bidi w:val="0"/>
        <w:snapToGrid/>
        <w:spacing w:line="336" w:lineRule="auto"/>
        <w:ind w:firstLine="436" w:firstLineChars="1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.1欲对合同条款作出任何改动，均须由甲乙双方签署书面的合同修改书。</w:t>
      </w:r>
    </w:p>
    <w:p w14:paraId="6A19B3C3">
      <w:pPr>
        <w:pageBreakBefore w:val="0"/>
        <w:kinsoku/>
        <w:wordWrap/>
        <w:overflowPunct/>
        <w:topLinePunct w:val="0"/>
        <w:bidi w:val="0"/>
        <w:snapToGrid/>
        <w:spacing w:line="336" w:lineRule="auto"/>
        <w:ind w:left="479" w:leftChars="22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 乙方的书面承诺被甲方接受后视作合同附件，与合同具有同等法律效力</w:t>
      </w:r>
      <w:bookmarkStart w:id="248" w:name="_Toc258681759"/>
      <w:r>
        <w:rPr>
          <w:rFonts w:hint="eastAsia" w:ascii="宋体" w:hAnsi="宋体" w:eastAsia="宋体" w:cs="宋体"/>
          <w:color w:val="auto"/>
          <w:sz w:val="24"/>
          <w:szCs w:val="24"/>
          <w:highlight w:val="none"/>
        </w:rPr>
        <w:t>。</w:t>
      </w:r>
    </w:p>
    <w:p w14:paraId="33A0803B">
      <w:pPr>
        <w:pageBreakBefore w:val="0"/>
        <w:kinsoku/>
        <w:wordWrap/>
        <w:overflowPunct/>
        <w:topLinePunct w:val="0"/>
        <w:bidi w:val="0"/>
        <w:snapToGrid/>
        <w:spacing w:line="336" w:lineRule="auto"/>
        <w:ind w:left="479" w:leftChars="228"/>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、转让和分包</w:t>
      </w:r>
      <w:bookmarkEnd w:id="248"/>
    </w:p>
    <w:p w14:paraId="3E779E59">
      <w:pPr>
        <w:pageBreakBefore w:val="0"/>
        <w:kinsoku/>
        <w:wordWrap/>
        <w:overflowPunct/>
        <w:topLinePunct w:val="0"/>
        <w:bidi w:val="0"/>
        <w:snapToGrid/>
        <w:spacing w:line="336" w:lineRule="auto"/>
        <w:ind w:firstLine="480" w:firstLineChars="200"/>
        <w:textAlignment w:val="auto"/>
        <w:outlineLvl w:val="2"/>
        <w:rPr>
          <w:rFonts w:hint="eastAsia" w:ascii="宋体" w:hAnsi="宋体" w:eastAsia="宋体" w:cs="宋体"/>
          <w:color w:val="auto"/>
          <w:sz w:val="24"/>
          <w:szCs w:val="24"/>
          <w:highlight w:val="none"/>
        </w:rPr>
      </w:pPr>
      <w:bookmarkStart w:id="249" w:name="_Toc258681760"/>
      <w:r>
        <w:rPr>
          <w:rFonts w:hint="eastAsia" w:ascii="宋体" w:hAnsi="宋体" w:eastAsia="宋体" w:cs="宋体"/>
          <w:color w:val="auto"/>
          <w:sz w:val="24"/>
          <w:szCs w:val="24"/>
          <w:highlight w:val="none"/>
        </w:rPr>
        <w:t>16.1本项目不允许以任何形式的转让和分包。</w:t>
      </w:r>
    </w:p>
    <w:bookmarkEnd w:id="249"/>
    <w:p w14:paraId="47443178">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、适用法律</w:t>
      </w:r>
    </w:p>
    <w:p w14:paraId="440ACEE4">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.1本合同的适用法律为中华人民共和国的现行法律和地方法规。</w:t>
      </w:r>
    </w:p>
    <w:p w14:paraId="45D6309E">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50" w:name="_Toc243905151"/>
      <w:bookmarkStart w:id="251" w:name="_Toc258681761"/>
      <w:bookmarkStart w:id="252" w:name="_Toc243904848"/>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8</w:t>
      </w:r>
      <w:r>
        <w:rPr>
          <w:rFonts w:hint="eastAsia" w:ascii="宋体" w:hAnsi="宋体" w:eastAsia="宋体" w:cs="宋体"/>
          <w:b/>
          <w:color w:val="auto"/>
          <w:sz w:val="24"/>
          <w:szCs w:val="24"/>
          <w:highlight w:val="none"/>
        </w:rPr>
        <w:t>、适用语言和计量单位</w:t>
      </w:r>
      <w:bookmarkEnd w:id="250"/>
      <w:bookmarkEnd w:id="251"/>
      <w:bookmarkEnd w:id="252"/>
    </w:p>
    <w:p w14:paraId="23CCB74B">
      <w:pPr>
        <w:pageBreakBefore w:val="0"/>
        <w:kinsoku/>
        <w:wordWrap/>
        <w:overflowPunct/>
        <w:topLinePunct w:val="0"/>
        <w:bidi w:val="0"/>
        <w:snapToGrid/>
        <w:spacing w:line="336"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.1本合同的适用语言为中文，所有与本合同有关的来往函件、通知及其他文件均应使用中文。</w:t>
      </w:r>
    </w:p>
    <w:p w14:paraId="78702336">
      <w:pPr>
        <w:pageBreakBefore w:val="0"/>
        <w:kinsoku/>
        <w:wordWrap/>
        <w:overflowPunct/>
        <w:topLinePunct w:val="0"/>
        <w:bidi w:val="0"/>
        <w:snapToGrid/>
        <w:spacing w:line="336" w:lineRule="auto"/>
        <w:ind w:firstLine="120" w:firstLine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.2乙方可以提交用其他语言(原文)打印的资料，但必须翻译成中文，当原文和译文(中文)之间存有差异和/或矛盾时，以中文为准。</w:t>
      </w:r>
    </w:p>
    <w:p w14:paraId="484B58A4">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.3除“项目采购需求”另有规定外，计量单位应使用国家标准规定的法定计量单位。</w:t>
      </w:r>
    </w:p>
    <w:p w14:paraId="589879CF">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53" w:name="_Toc258681763"/>
      <w:r>
        <w:rPr>
          <w:rFonts w:hint="eastAsia" w:ascii="宋体" w:hAnsi="宋体" w:eastAsia="宋体" w:cs="宋体"/>
          <w:b/>
          <w:color w:val="auto"/>
          <w:sz w:val="24"/>
          <w:szCs w:val="24"/>
          <w:highlight w:val="none"/>
          <w:lang w:val="en-US" w:eastAsia="zh-CN"/>
        </w:rPr>
        <w:t>19</w:t>
      </w:r>
      <w:r>
        <w:rPr>
          <w:rFonts w:hint="eastAsia" w:ascii="宋体" w:hAnsi="宋体" w:eastAsia="宋体" w:cs="宋体"/>
          <w:b/>
          <w:color w:val="auto"/>
          <w:sz w:val="24"/>
          <w:szCs w:val="24"/>
          <w:highlight w:val="none"/>
        </w:rPr>
        <w:t>、通知</w:t>
      </w:r>
      <w:bookmarkEnd w:id="253"/>
    </w:p>
    <w:p w14:paraId="7ECBFB57">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.1本合同一方给另一方的通知均应以书面或电报、电传或传真的形式发送，而另一方应以书面形式确认并送到对方明确的地址。</w:t>
      </w:r>
    </w:p>
    <w:p w14:paraId="5C39C28D">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.2通知以送到日期或通知书的生效日期为生效日期，两者中以晚的一个日期为准。</w:t>
      </w:r>
    </w:p>
    <w:p w14:paraId="1281C309">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54" w:name="_Toc258681764"/>
      <w:r>
        <w:rPr>
          <w:rFonts w:hint="eastAsia" w:ascii="宋体" w:hAnsi="宋体" w:eastAsia="宋体" w:cs="宋体"/>
          <w:b/>
          <w:color w:val="auto"/>
          <w:sz w:val="24"/>
          <w:szCs w:val="24"/>
          <w:highlight w:val="none"/>
          <w:lang w:val="en-US" w:eastAsia="zh-CN"/>
        </w:rPr>
        <w:t>20</w:t>
      </w:r>
      <w:r>
        <w:rPr>
          <w:rFonts w:hint="eastAsia" w:ascii="宋体" w:hAnsi="宋体" w:eastAsia="宋体" w:cs="宋体"/>
          <w:b/>
          <w:color w:val="auto"/>
          <w:sz w:val="24"/>
          <w:szCs w:val="24"/>
          <w:highlight w:val="none"/>
        </w:rPr>
        <w:t>、合同文件及资料的使用</w:t>
      </w:r>
      <w:bookmarkEnd w:id="254"/>
    </w:p>
    <w:p w14:paraId="36816691">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除了乙方执行合同人员外，在未经甲方同意的情况下，乙方不得将合同、合同中规定、规格、计划、或乙方为上述内容向甲方提供的资料透露给任何人。乙方须在对外保密的前提下，对其工作人员提供有关情况，所提供情况仅限于执行合同必不可少的范围内。</w:t>
      </w:r>
    </w:p>
    <w:p w14:paraId="06653A1D">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.2除非执行合同需要，在事先未得到甲方书面同意的情况下，乙方不得使用第21.1款所列的任何文件和资料。</w:t>
      </w:r>
    </w:p>
    <w:p w14:paraId="1C708F5E">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.3除合同本身以外列明的所有资料始终为甲方财产，若甲方要求，乙方应于其合同义务履行完毕后将这些资料（包括所有副本）退还甲方。</w:t>
      </w:r>
    </w:p>
    <w:p w14:paraId="3FA8C2F2">
      <w:pPr>
        <w:pageBreakBefore w:val="0"/>
        <w:kinsoku/>
        <w:wordWrap/>
        <w:overflowPunct/>
        <w:topLinePunct w:val="0"/>
        <w:bidi w:val="0"/>
        <w:snapToGrid/>
        <w:spacing w:line="336" w:lineRule="auto"/>
        <w:ind w:firstLine="482" w:firstLineChars="200"/>
        <w:textAlignment w:val="auto"/>
        <w:outlineLvl w:val="2"/>
        <w:rPr>
          <w:rFonts w:hint="eastAsia" w:ascii="宋体" w:hAnsi="宋体" w:eastAsia="宋体" w:cs="宋体"/>
          <w:b/>
          <w:color w:val="auto"/>
          <w:sz w:val="24"/>
          <w:szCs w:val="24"/>
          <w:highlight w:val="none"/>
        </w:rPr>
      </w:pPr>
      <w:bookmarkStart w:id="255" w:name="_Toc258681765"/>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、合同生效及其它</w:t>
      </w:r>
      <w:bookmarkEnd w:id="255"/>
    </w:p>
    <w:p w14:paraId="48A4F537">
      <w:pPr>
        <w:pageBreakBefore w:val="0"/>
        <w:kinsoku/>
        <w:wordWrap/>
        <w:overflowPunct/>
        <w:topLinePunct w:val="0"/>
        <w:bidi w:val="0"/>
        <w:snapToGrid/>
        <w:spacing w:line="336"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.1合同正本一式贰份，甲乙双方各执壹份；副本一式陆份，以满足甲乙双方及相关备案部门的需求。本合同经双方法定代表人或其授权的委托代理人签署并加盖法人公章后生效。</w:t>
      </w:r>
    </w:p>
    <w:p w14:paraId="76152B12"/>
    <w:p w14:paraId="069DBEE3"/>
    <w:p w14:paraId="1495D673"/>
    <w:p w14:paraId="729A4270"/>
    <w:p w14:paraId="02C031AD"/>
    <w:p w14:paraId="4434E2C3"/>
    <w:p w14:paraId="06C988B9"/>
    <w:p w14:paraId="08B37646"/>
    <w:p w14:paraId="0B2E5EF5"/>
    <w:p w14:paraId="59D2A7E8">
      <w:pPr>
        <w:pStyle w:val="5"/>
        <w:numPr>
          <w:ilvl w:val="0"/>
          <w:numId w:val="0"/>
        </w:numPr>
        <w:bidi w:val="0"/>
        <w:ind w:leftChars="0"/>
        <w:jc w:val="center"/>
      </w:pPr>
      <w:bookmarkStart w:id="256" w:name="_Toc15921"/>
      <w:r>
        <w:rPr>
          <w:rFonts w:hint="eastAsia"/>
        </w:rPr>
        <w:t>第五章  投标文件格式</w:t>
      </w:r>
      <w:bookmarkEnd w:id="256"/>
    </w:p>
    <w:p w14:paraId="257FA3DA">
      <w:pPr>
        <w:spacing w:line="360" w:lineRule="auto"/>
        <w:jc w:val="left"/>
        <w:rPr>
          <w:rFonts w:ascii="宋体" w:hAnsi="宋体" w:cs="宋体"/>
          <w:sz w:val="24"/>
        </w:rPr>
      </w:pPr>
    </w:p>
    <w:p w14:paraId="1FEF2D06">
      <w:pPr>
        <w:pStyle w:val="6"/>
        <w:spacing w:before="0" w:after="0" w:line="360" w:lineRule="auto"/>
        <w:ind w:firstLine="482" w:firstLineChars="200"/>
        <w:rPr>
          <w:rFonts w:ascii="宋体" w:hAnsi="宋体" w:eastAsia="宋体" w:cs="宋体"/>
          <w:sz w:val="24"/>
        </w:rPr>
      </w:pPr>
      <w:r>
        <w:rPr>
          <w:rFonts w:hint="eastAsia" w:ascii="宋体" w:hAnsi="宋体" w:eastAsia="宋体" w:cs="宋体"/>
          <w:sz w:val="24"/>
        </w:rPr>
        <w:t>投标文件封面</w:t>
      </w:r>
    </w:p>
    <w:p w14:paraId="6915ABFA">
      <w:pPr>
        <w:spacing w:line="360" w:lineRule="auto"/>
        <w:ind w:firstLine="480" w:firstLineChars="200"/>
      </w:pPr>
      <w:r>
        <w:rPr>
          <w:rFonts w:hint="eastAsia" w:ascii="宋体" w:hAnsi="宋体" w:cs="宋体"/>
          <w:sz w:val="24"/>
        </w:rPr>
        <w:t xml:space="preserve">格式1   </w:t>
      </w:r>
      <w:r>
        <w:rPr>
          <w:rFonts w:hint="eastAsia" w:ascii="宋体" w:hAnsi="宋体" w:cs="宋体"/>
          <w:bCs/>
          <w:sz w:val="24"/>
        </w:rPr>
        <w:t>资格性/符合性自查表</w:t>
      </w:r>
    </w:p>
    <w:p w14:paraId="3845B896">
      <w:pPr>
        <w:spacing w:line="360" w:lineRule="auto"/>
        <w:ind w:firstLine="480" w:firstLineChars="200"/>
        <w:rPr>
          <w:rFonts w:ascii="宋体" w:hAnsi="宋体" w:cs="宋体"/>
          <w:sz w:val="24"/>
        </w:rPr>
      </w:pPr>
      <w:r>
        <w:rPr>
          <w:rFonts w:hint="eastAsia" w:ascii="宋体" w:hAnsi="宋体" w:cs="宋体"/>
          <w:sz w:val="24"/>
        </w:rPr>
        <w:t>格式2   法定代表人资格证明书</w:t>
      </w:r>
    </w:p>
    <w:p w14:paraId="283E9368">
      <w:pPr>
        <w:spacing w:line="360" w:lineRule="auto"/>
        <w:ind w:firstLine="480" w:firstLineChars="200"/>
        <w:rPr>
          <w:rFonts w:ascii="宋体" w:hAnsi="宋体" w:cs="宋体"/>
          <w:sz w:val="24"/>
        </w:rPr>
      </w:pPr>
      <w:r>
        <w:rPr>
          <w:rFonts w:hint="eastAsia" w:ascii="宋体" w:hAnsi="宋体" w:cs="宋体"/>
          <w:sz w:val="24"/>
        </w:rPr>
        <w:t>格式3   法定代表人授权委托书</w:t>
      </w:r>
    </w:p>
    <w:p w14:paraId="2AC50D6C">
      <w:pPr>
        <w:spacing w:line="360" w:lineRule="auto"/>
        <w:ind w:firstLine="480" w:firstLineChars="200"/>
        <w:rPr>
          <w:rFonts w:ascii="宋体" w:hAnsi="宋体" w:cs="宋体"/>
          <w:bCs/>
          <w:sz w:val="24"/>
        </w:rPr>
      </w:pPr>
      <w:r>
        <w:rPr>
          <w:rFonts w:hint="eastAsia" w:ascii="宋体" w:hAnsi="宋体" w:cs="宋体"/>
          <w:bCs/>
          <w:sz w:val="24"/>
        </w:rPr>
        <w:t>格式4   投标人基本情况表</w:t>
      </w:r>
    </w:p>
    <w:p w14:paraId="70D86CFC">
      <w:pPr>
        <w:spacing w:line="360" w:lineRule="auto"/>
        <w:ind w:firstLine="480" w:firstLineChars="200"/>
        <w:rPr>
          <w:rFonts w:hint="eastAsia" w:ascii="宋体" w:hAnsi="宋体" w:cs="宋体"/>
          <w:bCs/>
          <w:sz w:val="24"/>
        </w:rPr>
      </w:pPr>
      <w:r>
        <w:rPr>
          <w:rFonts w:hint="eastAsia" w:ascii="宋体" w:hAnsi="宋体" w:cs="宋体"/>
          <w:bCs/>
          <w:sz w:val="24"/>
        </w:rPr>
        <w:t>格式5   诚信声明</w:t>
      </w:r>
    </w:p>
    <w:p w14:paraId="62A11780">
      <w:pPr>
        <w:spacing w:line="360" w:lineRule="auto"/>
        <w:ind w:firstLine="480" w:firstLineChars="200"/>
        <w:rPr>
          <w:rFonts w:hint="eastAsia" w:ascii="宋体" w:hAnsi="宋体" w:cs="宋体"/>
          <w:bCs/>
          <w:sz w:val="24"/>
        </w:rPr>
      </w:pPr>
      <w:r>
        <w:rPr>
          <w:rFonts w:hint="eastAsia" w:ascii="宋体" w:hAnsi="宋体" w:cs="宋体"/>
          <w:bCs/>
          <w:sz w:val="24"/>
        </w:rPr>
        <w:t xml:space="preserve">格式6 </w:t>
      </w:r>
      <w:r>
        <w:rPr>
          <w:rFonts w:hint="eastAsia" w:ascii="宋体" w:hAnsi="宋体" w:cs="宋体"/>
          <w:bCs/>
          <w:sz w:val="24"/>
          <w:lang w:val="en-US" w:eastAsia="zh-CN"/>
        </w:rPr>
        <w:t xml:space="preserve">  </w:t>
      </w:r>
      <w:r>
        <w:rPr>
          <w:rFonts w:hint="eastAsia" w:ascii="宋体" w:hAnsi="宋体" w:cs="宋体"/>
          <w:bCs/>
          <w:sz w:val="24"/>
        </w:rPr>
        <w:t>无重大违法记录承诺书</w:t>
      </w:r>
    </w:p>
    <w:p w14:paraId="0CE0BE57">
      <w:pPr>
        <w:spacing w:line="360" w:lineRule="auto"/>
        <w:ind w:firstLine="480" w:firstLineChars="200"/>
        <w:rPr>
          <w:rFonts w:ascii="宋体" w:hAnsi="宋体" w:cs="宋体"/>
          <w:bCs/>
          <w:sz w:val="24"/>
        </w:rPr>
      </w:pPr>
      <w:r>
        <w:rPr>
          <w:rFonts w:hint="eastAsia" w:ascii="宋体" w:hAnsi="宋体" w:cs="宋体"/>
          <w:bCs/>
          <w:sz w:val="24"/>
        </w:rPr>
        <w:t xml:space="preserve">格式7 </w:t>
      </w:r>
      <w:r>
        <w:rPr>
          <w:rFonts w:hint="eastAsia" w:ascii="宋体" w:hAnsi="宋体" w:cs="宋体"/>
          <w:bCs/>
          <w:sz w:val="24"/>
          <w:lang w:val="en-US" w:eastAsia="zh-CN"/>
        </w:rPr>
        <w:t xml:space="preserve">  </w:t>
      </w:r>
      <w:r>
        <w:rPr>
          <w:rFonts w:hint="eastAsia" w:ascii="宋体" w:hAnsi="宋体" w:cs="宋体"/>
          <w:bCs/>
          <w:sz w:val="24"/>
        </w:rPr>
        <w:t>具有履行合同所必需的设备和专业技术能力的承诺书</w:t>
      </w:r>
    </w:p>
    <w:p w14:paraId="0E84378A">
      <w:pPr>
        <w:spacing w:line="360" w:lineRule="auto"/>
        <w:ind w:firstLine="480" w:firstLineChars="200"/>
        <w:rPr>
          <w:rFonts w:ascii="宋体" w:hAnsi="宋体" w:cs="宋体"/>
          <w:sz w:val="24"/>
        </w:rPr>
      </w:pPr>
      <w:r>
        <w:rPr>
          <w:rFonts w:hint="eastAsia" w:ascii="宋体" w:hAnsi="宋体" w:cs="宋体"/>
          <w:bCs/>
          <w:sz w:val="24"/>
        </w:rPr>
        <w:t>格式</w:t>
      </w:r>
      <w:r>
        <w:rPr>
          <w:rFonts w:hint="eastAsia" w:ascii="宋体" w:hAnsi="宋体" w:cs="宋体"/>
          <w:bCs/>
          <w:sz w:val="24"/>
          <w:lang w:val="en-US" w:eastAsia="zh-CN"/>
        </w:rPr>
        <w:t>8</w:t>
      </w:r>
      <w:r>
        <w:rPr>
          <w:rFonts w:hint="eastAsia" w:ascii="宋体" w:hAnsi="宋体" w:cs="宋体"/>
          <w:bCs/>
          <w:sz w:val="24"/>
        </w:rPr>
        <w:t xml:space="preserve">   </w:t>
      </w:r>
      <w:r>
        <w:rPr>
          <w:rFonts w:hint="eastAsia" w:ascii="宋体" w:hAnsi="宋体" w:cs="宋体"/>
          <w:sz w:val="24"/>
        </w:rPr>
        <w:t>投标函</w:t>
      </w:r>
    </w:p>
    <w:p w14:paraId="43F98F86">
      <w:pPr>
        <w:spacing w:line="360" w:lineRule="auto"/>
        <w:ind w:firstLine="480" w:firstLineChars="200"/>
        <w:rPr>
          <w:rFonts w:ascii="宋体" w:hAnsi="宋体" w:cs="宋体"/>
          <w:bCs/>
          <w:sz w:val="24"/>
        </w:rPr>
      </w:pPr>
      <w:r>
        <w:rPr>
          <w:rFonts w:hint="eastAsia" w:ascii="宋体" w:hAnsi="宋体" w:cs="宋体"/>
          <w:bCs/>
          <w:sz w:val="24"/>
        </w:rPr>
        <w:t>格式</w:t>
      </w:r>
      <w:r>
        <w:rPr>
          <w:rFonts w:hint="eastAsia" w:ascii="宋体" w:hAnsi="宋体" w:cs="宋体"/>
          <w:bCs/>
          <w:sz w:val="24"/>
          <w:lang w:val="en-US" w:eastAsia="zh-CN"/>
        </w:rPr>
        <w:t>9</w:t>
      </w:r>
      <w:r>
        <w:rPr>
          <w:rFonts w:hint="eastAsia" w:ascii="宋体" w:hAnsi="宋体" w:cs="宋体"/>
          <w:bCs/>
          <w:sz w:val="24"/>
        </w:rPr>
        <w:t xml:space="preserve">   开标一览表</w:t>
      </w:r>
    </w:p>
    <w:p w14:paraId="630B84FE">
      <w:pPr>
        <w:spacing w:line="360" w:lineRule="auto"/>
        <w:ind w:firstLine="480" w:firstLineChars="200"/>
        <w:rPr>
          <w:rFonts w:ascii="宋体" w:hAnsi="宋体" w:cs="宋体"/>
          <w:sz w:val="24"/>
        </w:rPr>
      </w:pPr>
      <w:r>
        <w:rPr>
          <w:rFonts w:hint="eastAsia" w:ascii="宋体" w:hAnsi="宋体" w:cs="宋体"/>
          <w:sz w:val="24"/>
        </w:rPr>
        <w:t>格式</w:t>
      </w:r>
      <w:r>
        <w:rPr>
          <w:rFonts w:hint="eastAsia" w:ascii="宋体" w:hAnsi="宋体" w:cs="宋体"/>
          <w:sz w:val="24"/>
          <w:lang w:val="en-US" w:eastAsia="zh-CN"/>
        </w:rPr>
        <w:t>10</w:t>
      </w:r>
      <w:r>
        <w:rPr>
          <w:rFonts w:hint="eastAsia" w:ascii="宋体" w:hAnsi="宋体" w:cs="宋体"/>
          <w:sz w:val="24"/>
        </w:rPr>
        <w:t xml:space="preserve">   商务条款偏离表</w:t>
      </w:r>
    </w:p>
    <w:p w14:paraId="2A93182B">
      <w:pPr>
        <w:spacing w:line="360" w:lineRule="auto"/>
        <w:ind w:firstLine="480" w:firstLineChars="200"/>
        <w:rPr>
          <w:rFonts w:ascii="宋体" w:hAnsi="宋体" w:cs="宋体"/>
          <w:sz w:val="24"/>
        </w:rPr>
      </w:pPr>
      <w:r>
        <w:rPr>
          <w:rFonts w:hint="eastAsia" w:ascii="宋体" w:hAnsi="宋体" w:cs="宋体"/>
          <w:bCs/>
          <w:sz w:val="24"/>
        </w:rPr>
        <w:t>格式1</w:t>
      </w:r>
      <w:r>
        <w:rPr>
          <w:rFonts w:hint="eastAsia" w:ascii="宋体" w:hAnsi="宋体" w:cs="宋体"/>
          <w:bCs/>
          <w:sz w:val="24"/>
          <w:lang w:val="en-US" w:eastAsia="zh-CN"/>
        </w:rPr>
        <w:t>1</w:t>
      </w:r>
      <w:r>
        <w:rPr>
          <w:rFonts w:hint="eastAsia" w:ascii="宋体" w:hAnsi="宋体" w:cs="宋体"/>
          <w:bCs/>
          <w:sz w:val="24"/>
        </w:rPr>
        <w:t xml:space="preserve">  近三年（20</w:t>
      </w:r>
      <w:r>
        <w:rPr>
          <w:rFonts w:hint="eastAsia" w:ascii="宋体" w:hAnsi="宋体" w:cs="宋体"/>
          <w:bCs/>
          <w:sz w:val="24"/>
          <w:lang w:val="en-US" w:eastAsia="zh-CN"/>
        </w:rPr>
        <w:t>22</w:t>
      </w:r>
      <w:r>
        <w:rPr>
          <w:rFonts w:hint="eastAsia" w:ascii="宋体" w:hAnsi="宋体" w:cs="宋体"/>
          <w:bCs/>
          <w:sz w:val="24"/>
        </w:rPr>
        <w:t>年1月1日至今）同类项目业绩表</w:t>
      </w:r>
    </w:p>
    <w:p w14:paraId="2ADB681C">
      <w:pPr>
        <w:spacing w:line="360" w:lineRule="auto"/>
        <w:ind w:firstLine="480" w:firstLineChars="200"/>
        <w:jc w:val="left"/>
        <w:rPr>
          <w:rFonts w:ascii="宋体" w:hAnsi="宋体" w:cs="宋体"/>
          <w:bCs/>
          <w:sz w:val="24"/>
        </w:rPr>
      </w:pPr>
      <w:r>
        <w:rPr>
          <w:rFonts w:hint="eastAsia" w:ascii="宋体" w:hAnsi="宋体" w:cs="宋体"/>
          <w:bCs/>
          <w:sz w:val="24"/>
        </w:rPr>
        <w:t>格式1</w:t>
      </w:r>
      <w:r>
        <w:rPr>
          <w:rFonts w:hint="eastAsia" w:ascii="宋体" w:hAnsi="宋体" w:cs="宋体"/>
          <w:bCs/>
          <w:sz w:val="24"/>
          <w:lang w:val="en-US" w:eastAsia="zh-CN"/>
        </w:rPr>
        <w:t>2</w:t>
      </w:r>
      <w:r>
        <w:rPr>
          <w:rFonts w:hint="eastAsia" w:ascii="宋体" w:hAnsi="宋体" w:cs="宋体"/>
          <w:bCs/>
          <w:sz w:val="24"/>
        </w:rPr>
        <w:t xml:space="preserve">  技术规格响应偏离表</w:t>
      </w:r>
    </w:p>
    <w:p w14:paraId="6809FF57">
      <w:pPr>
        <w:spacing w:line="360" w:lineRule="auto"/>
        <w:ind w:firstLine="480" w:firstLineChars="200"/>
        <w:jc w:val="left"/>
        <w:rPr>
          <w:rFonts w:hint="eastAsia" w:ascii="宋体" w:hAnsi="宋体" w:cs="宋体"/>
          <w:bCs/>
          <w:sz w:val="24"/>
        </w:rPr>
      </w:pPr>
      <w:r>
        <w:rPr>
          <w:rFonts w:hint="eastAsia" w:ascii="宋体" w:hAnsi="宋体" w:cs="宋体"/>
          <w:bCs/>
          <w:sz w:val="24"/>
        </w:rPr>
        <w:t>格式</w:t>
      </w:r>
      <w:r>
        <w:rPr>
          <w:rFonts w:hint="eastAsia" w:ascii="宋体" w:hAnsi="宋体" w:cs="宋体"/>
          <w:bCs/>
          <w:sz w:val="24"/>
          <w:lang w:val="en-US" w:eastAsia="zh-CN"/>
        </w:rPr>
        <w:t xml:space="preserve">13  </w:t>
      </w:r>
      <w:r>
        <w:rPr>
          <w:rFonts w:hint="eastAsia" w:ascii="宋体" w:hAnsi="宋体" w:cs="宋体"/>
          <w:bCs/>
          <w:sz w:val="24"/>
        </w:rPr>
        <w:t>中小企业声明函（货物）</w:t>
      </w:r>
    </w:p>
    <w:p w14:paraId="7D5A3406">
      <w:pPr>
        <w:spacing w:line="360" w:lineRule="auto"/>
        <w:jc w:val="center"/>
        <w:rPr>
          <w:rFonts w:ascii="宋体" w:hAnsi="宋体" w:cs="宋体"/>
          <w:b/>
          <w:bCs/>
          <w:sz w:val="36"/>
          <w:szCs w:val="36"/>
        </w:rPr>
      </w:pPr>
    </w:p>
    <w:p w14:paraId="6332E972">
      <w:pPr>
        <w:spacing w:line="360" w:lineRule="auto"/>
        <w:jc w:val="center"/>
        <w:rPr>
          <w:rFonts w:ascii="宋体" w:hAnsi="宋体" w:cs="宋体"/>
          <w:b/>
          <w:bCs/>
          <w:sz w:val="36"/>
          <w:szCs w:val="36"/>
        </w:rPr>
      </w:pPr>
    </w:p>
    <w:p w14:paraId="070D17ED">
      <w:pPr>
        <w:spacing w:line="360" w:lineRule="auto"/>
        <w:jc w:val="center"/>
        <w:rPr>
          <w:rFonts w:ascii="宋体" w:hAnsi="宋体" w:cs="宋体"/>
          <w:b/>
          <w:bCs/>
          <w:sz w:val="36"/>
          <w:szCs w:val="36"/>
        </w:rPr>
      </w:pPr>
    </w:p>
    <w:p w14:paraId="63E01CCC">
      <w:pPr>
        <w:spacing w:line="360" w:lineRule="auto"/>
        <w:jc w:val="center"/>
        <w:rPr>
          <w:rFonts w:ascii="宋体" w:hAnsi="宋体" w:cs="宋体"/>
          <w:b/>
          <w:bCs/>
          <w:sz w:val="36"/>
          <w:szCs w:val="36"/>
        </w:rPr>
      </w:pPr>
    </w:p>
    <w:p w14:paraId="5DDC32C7">
      <w:pPr>
        <w:spacing w:line="360" w:lineRule="auto"/>
        <w:jc w:val="center"/>
        <w:rPr>
          <w:rFonts w:ascii="宋体" w:hAnsi="宋体" w:cs="宋体"/>
          <w:b/>
          <w:bCs/>
          <w:sz w:val="36"/>
          <w:szCs w:val="36"/>
        </w:rPr>
      </w:pPr>
    </w:p>
    <w:p w14:paraId="36A1A9CD">
      <w:pPr>
        <w:spacing w:line="360" w:lineRule="auto"/>
        <w:jc w:val="center"/>
        <w:rPr>
          <w:rFonts w:ascii="宋体" w:hAnsi="宋体" w:cs="宋体"/>
          <w:b/>
          <w:bCs/>
          <w:sz w:val="36"/>
          <w:szCs w:val="36"/>
        </w:rPr>
      </w:pPr>
    </w:p>
    <w:p w14:paraId="07FF8C86">
      <w:pPr>
        <w:spacing w:line="360" w:lineRule="auto"/>
        <w:jc w:val="center"/>
        <w:rPr>
          <w:rFonts w:ascii="宋体" w:hAnsi="宋体" w:cs="宋体"/>
          <w:b/>
          <w:bCs/>
          <w:sz w:val="36"/>
          <w:szCs w:val="36"/>
        </w:rPr>
      </w:pPr>
    </w:p>
    <w:p w14:paraId="071FA191">
      <w:pPr>
        <w:spacing w:line="480" w:lineRule="auto"/>
        <w:jc w:val="both"/>
        <w:rPr>
          <w:rFonts w:hint="eastAsia" w:ascii="宋体" w:hAnsi="宋体" w:cs="宋体"/>
          <w:b/>
          <w:sz w:val="52"/>
          <w:szCs w:val="52"/>
          <w:lang w:eastAsia="zh-CN"/>
        </w:rPr>
      </w:pPr>
    </w:p>
    <w:p w14:paraId="711B1E71">
      <w:pPr>
        <w:spacing w:line="480" w:lineRule="auto"/>
        <w:jc w:val="center"/>
        <w:rPr>
          <w:rFonts w:hint="eastAsia" w:ascii="宋体" w:hAnsi="宋体" w:cs="宋体"/>
          <w:b/>
          <w:sz w:val="44"/>
          <w:szCs w:val="44"/>
          <w:lang w:eastAsia="zh-CN"/>
        </w:rPr>
      </w:pPr>
    </w:p>
    <w:p w14:paraId="626A9346">
      <w:pPr>
        <w:spacing w:line="480" w:lineRule="auto"/>
        <w:jc w:val="center"/>
        <w:rPr>
          <w:rFonts w:hint="eastAsia" w:ascii="宋体" w:hAnsi="宋体" w:cs="宋体"/>
          <w:b/>
          <w:sz w:val="44"/>
          <w:szCs w:val="44"/>
          <w:lang w:eastAsia="zh-CN"/>
        </w:rPr>
      </w:pPr>
      <w:r>
        <w:rPr>
          <w:rFonts w:hint="eastAsia" w:ascii="宋体" w:hAnsi="宋体" w:cs="宋体"/>
          <w:b/>
          <w:sz w:val="44"/>
          <w:szCs w:val="44"/>
          <w:lang w:eastAsia="zh-CN"/>
        </w:rPr>
        <w:t>林草业务专项-城市绿色生态质量提升工程（克拉玛依市人与自然和谐共生生态保护项目）设备采购</w:t>
      </w:r>
    </w:p>
    <w:p w14:paraId="4432D178">
      <w:pPr>
        <w:jc w:val="center"/>
        <w:rPr>
          <w:rFonts w:hint="eastAsia" w:ascii="宋体" w:hAnsi="宋体" w:cs="宋体"/>
          <w:b/>
          <w:sz w:val="72"/>
          <w:szCs w:val="72"/>
        </w:rPr>
      </w:pPr>
    </w:p>
    <w:p w14:paraId="3B2BD256">
      <w:pPr>
        <w:jc w:val="center"/>
        <w:rPr>
          <w:rFonts w:ascii="宋体" w:hAnsi="宋体" w:cs="宋体"/>
          <w:b/>
          <w:sz w:val="72"/>
          <w:szCs w:val="72"/>
        </w:rPr>
      </w:pPr>
      <w:r>
        <w:rPr>
          <w:rFonts w:hint="eastAsia" w:ascii="宋体" w:hAnsi="宋体" w:cs="宋体"/>
          <w:b/>
          <w:sz w:val="72"/>
          <w:szCs w:val="72"/>
        </w:rPr>
        <w:t>投  标  文  件</w:t>
      </w:r>
    </w:p>
    <w:p w14:paraId="0D74E1F4">
      <w:pPr>
        <w:overflowPunct w:val="0"/>
        <w:spacing w:line="500" w:lineRule="exact"/>
        <w:jc w:val="center"/>
        <w:rPr>
          <w:rFonts w:ascii="宋体" w:hAnsi="宋体" w:cs="宋体"/>
          <w:b/>
          <w:kern w:val="0"/>
          <w:sz w:val="30"/>
          <w:szCs w:val="30"/>
        </w:rPr>
      </w:pPr>
    </w:p>
    <w:p w14:paraId="3D5D05B6">
      <w:pPr>
        <w:jc w:val="center"/>
        <w:rPr>
          <w:rFonts w:ascii="宋体" w:hAnsi="宋体" w:cs="宋体"/>
          <w:b/>
          <w:sz w:val="30"/>
          <w:szCs w:val="30"/>
        </w:rPr>
      </w:pPr>
      <w:r>
        <w:rPr>
          <w:rFonts w:hint="eastAsia" w:ascii="宋体" w:hAnsi="宋体" w:cs="宋体"/>
          <w:b/>
          <w:sz w:val="30"/>
          <w:szCs w:val="30"/>
        </w:rPr>
        <w:t>（招标文件编号：</w:t>
      </w:r>
      <w:r>
        <w:rPr>
          <w:rFonts w:hint="eastAsia" w:ascii="仿宋" w:hAnsi="仿宋" w:eastAsia="仿宋" w:cs="仿宋"/>
          <w:b/>
          <w:sz w:val="30"/>
          <w:szCs w:val="30"/>
          <w:highlight w:val="none"/>
          <w:lang w:eastAsia="zh-CN"/>
        </w:rPr>
        <w:t>XZZB-FW-202500</w:t>
      </w:r>
      <w:r>
        <w:rPr>
          <w:rFonts w:hint="eastAsia" w:ascii="仿宋" w:hAnsi="仿宋" w:eastAsia="仿宋" w:cs="仿宋"/>
          <w:b/>
          <w:sz w:val="30"/>
          <w:szCs w:val="30"/>
          <w:highlight w:val="none"/>
          <w:lang w:val="en-US" w:eastAsia="zh-CN"/>
        </w:rPr>
        <w:t>2</w:t>
      </w:r>
      <w:r>
        <w:rPr>
          <w:rFonts w:hint="eastAsia" w:ascii="宋体" w:hAnsi="宋体" w:cs="宋体"/>
          <w:b/>
          <w:sz w:val="30"/>
          <w:szCs w:val="30"/>
        </w:rPr>
        <w:t>）</w:t>
      </w:r>
    </w:p>
    <w:p w14:paraId="23876091">
      <w:pPr>
        <w:pStyle w:val="8"/>
        <w:jc w:val="center"/>
        <w:outlineLvl w:val="9"/>
        <w:rPr>
          <w:rFonts w:ascii="宋体" w:hAnsi="宋体" w:cs="宋体"/>
          <w:bCs w:val="0"/>
          <w:sz w:val="30"/>
          <w:szCs w:val="30"/>
        </w:rPr>
      </w:pPr>
    </w:p>
    <w:p w14:paraId="2B91DF10">
      <w:pPr>
        <w:pStyle w:val="8"/>
        <w:outlineLvl w:val="9"/>
        <w:rPr>
          <w:rFonts w:hint="eastAsia" w:ascii="宋体" w:hAnsi="宋体" w:cs="宋体"/>
        </w:rPr>
      </w:pPr>
    </w:p>
    <w:p w14:paraId="163CE229">
      <w:pPr>
        <w:rPr>
          <w:rFonts w:hint="eastAsia"/>
        </w:rPr>
      </w:pPr>
    </w:p>
    <w:p w14:paraId="3198512D">
      <w:pPr>
        <w:pStyle w:val="8"/>
        <w:outlineLvl w:val="9"/>
      </w:pPr>
    </w:p>
    <w:p w14:paraId="6036B5EA"/>
    <w:p w14:paraId="10A29A0E">
      <w:pPr>
        <w:spacing w:line="360" w:lineRule="auto"/>
        <w:ind w:firstLine="602"/>
        <w:rPr>
          <w:rFonts w:ascii="宋体" w:hAnsi="宋体" w:cs="宋体"/>
          <w:b/>
          <w:sz w:val="30"/>
          <w:szCs w:val="30"/>
        </w:rPr>
      </w:pPr>
      <w:r>
        <w:rPr>
          <w:rFonts w:hint="eastAsia" w:ascii="宋体" w:hAnsi="宋体" w:cs="宋体"/>
          <w:b/>
          <w:sz w:val="30"/>
          <w:szCs w:val="30"/>
        </w:rPr>
        <w:t>投标人： （单位名称）盖章</w:t>
      </w:r>
    </w:p>
    <w:p w14:paraId="7EEBA581">
      <w:pPr>
        <w:spacing w:line="360" w:lineRule="auto"/>
        <w:rPr>
          <w:rFonts w:ascii="宋体" w:hAnsi="宋体" w:cs="宋体"/>
          <w:b/>
          <w:sz w:val="30"/>
          <w:szCs w:val="30"/>
        </w:rPr>
      </w:pPr>
    </w:p>
    <w:p w14:paraId="63E1C159">
      <w:pPr>
        <w:spacing w:line="360" w:lineRule="auto"/>
        <w:ind w:firstLine="602"/>
        <w:rPr>
          <w:rFonts w:ascii="宋体" w:hAnsi="宋体" w:cs="宋体"/>
          <w:b/>
          <w:sz w:val="30"/>
          <w:szCs w:val="30"/>
        </w:rPr>
      </w:pPr>
      <w:r>
        <w:rPr>
          <w:rFonts w:hint="eastAsia" w:ascii="宋体" w:hAnsi="宋体" w:cs="宋体"/>
          <w:b/>
          <w:sz w:val="30"/>
          <w:szCs w:val="30"/>
        </w:rPr>
        <w:t>单位地址：</w:t>
      </w:r>
    </w:p>
    <w:p w14:paraId="2CAD03E8">
      <w:pPr>
        <w:spacing w:line="360" w:lineRule="auto"/>
        <w:ind w:firstLine="602"/>
        <w:rPr>
          <w:rFonts w:ascii="宋体" w:hAnsi="宋体" w:cs="宋体"/>
          <w:b/>
          <w:sz w:val="30"/>
          <w:szCs w:val="30"/>
        </w:rPr>
      </w:pPr>
    </w:p>
    <w:p w14:paraId="116C5DF8">
      <w:pPr>
        <w:pStyle w:val="12"/>
        <w:ind w:firstLine="602" w:firstLineChars="200"/>
        <w:outlineLvl w:val="0"/>
      </w:pPr>
      <w:bookmarkStart w:id="257" w:name="_Toc14422"/>
      <w:r>
        <w:rPr>
          <w:rFonts w:hint="eastAsia" w:hAnsi="宋体" w:cs="宋体"/>
          <w:b/>
          <w:sz w:val="30"/>
          <w:szCs w:val="30"/>
        </w:rPr>
        <w:t>联系人：                   联系电话：</w:t>
      </w:r>
      <w:bookmarkEnd w:id="257"/>
    </w:p>
    <w:p w14:paraId="021C3A2D">
      <w:pPr>
        <w:spacing w:line="360" w:lineRule="auto"/>
        <w:ind w:left="812" w:hanging="812" w:hangingChars="337"/>
        <w:jc w:val="center"/>
        <w:rPr>
          <w:rFonts w:hint="eastAsia" w:ascii="宋体" w:hAnsi="宋体" w:cs="宋体"/>
          <w:b/>
          <w:bCs/>
          <w:sz w:val="24"/>
        </w:rPr>
      </w:pPr>
    </w:p>
    <w:p w14:paraId="763828BE">
      <w:pPr>
        <w:spacing w:line="360" w:lineRule="auto"/>
        <w:ind w:left="812" w:hanging="812" w:hangingChars="337"/>
        <w:jc w:val="center"/>
        <w:rPr>
          <w:rFonts w:hint="eastAsia" w:ascii="宋体" w:hAnsi="宋体" w:cs="宋体"/>
          <w:b/>
          <w:bCs/>
          <w:sz w:val="24"/>
        </w:rPr>
      </w:pPr>
    </w:p>
    <w:p w14:paraId="38E75AC9">
      <w:pPr>
        <w:spacing w:line="360" w:lineRule="auto"/>
        <w:jc w:val="center"/>
        <w:rPr>
          <w:rFonts w:ascii="宋体" w:hAnsi="宋体" w:cs="宋体"/>
          <w:bCs/>
          <w:sz w:val="32"/>
          <w:szCs w:val="32"/>
        </w:rPr>
      </w:pPr>
      <w:r>
        <w:rPr>
          <w:rFonts w:hint="eastAsia" w:ascii="宋体" w:hAnsi="宋体" w:cs="宋体"/>
          <w:b/>
          <w:bCs/>
          <w:sz w:val="24"/>
        </w:rPr>
        <w:t xml:space="preserve">格式1 </w:t>
      </w:r>
      <w:r>
        <w:rPr>
          <w:rFonts w:hint="eastAsia" w:ascii="宋体" w:hAnsi="宋体" w:cs="宋体"/>
          <w:b/>
          <w:sz w:val="24"/>
        </w:rPr>
        <w:t>资格性/符合性自查表</w:t>
      </w:r>
    </w:p>
    <w:tbl>
      <w:tblPr>
        <w:tblStyle w:val="21"/>
        <w:tblW w:w="0" w:type="auto"/>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1734"/>
        <w:gridCol w:w="3295"/>
        <w:gridCol w:w="2106"/>
        <w:gridCol w:w="2533"/>
      </w:tblGrid>
      <w:tr w14:paraId="7F152EB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843" w:hRule="atLeast"/>
          <w:jc w:val="center"/>
        </w:trPr>
        <w:tc>
          <w:tcPr>
            <w:tcW w:w="1734" w:type="dxa"/>
            <w:tcBorders>
              <w:top w:val="outset" w:color="111111" w:sz="6" w:space="0"/>
              <w:left w:val="outset" w:color="111111" w:sz="6" w:space="0"/>
              <w:bottom w:val="outset" w:color="111111" w:sz="6" w:space="0"/>
              <w:right w:val="outset" w:color="111111" w:sz="6" w:space="0"/>
            </w:tcBorders>
            <w:vAlign w:val="center"/>
          </w:tcPr>
          <w:p w14:paraId="31A0BD0A">
            <w:pPr>
              <w:jc w:val="center"/>
              <w:rPr>
                <w:rFonts w:ascii="宋体" w:hAnsi="宋体" w:cs="宋体"/>
                <w:sz w:val="24"/>
              </w:rPr>
            </w:pPr>
            <w:r>
              <w:rPr>
                <w:rFonts w:hint="eastAsia" w:ascii="宋体" w:hAnsi="宋体" w:cs="宋体"/>
                <w:b/>
                <w:bCs/>
                <w:spacing w:val="10"/>
                <w:sz w:val="24"/>
              </w:rPr>
              <w:t>评审内容</w:t>
            </w:r>
          </w:p>
        </w:tc>
        <w:tc>
          <w:tcPr>
            <w:tcW w:w="3295" w:type="dxa"/>
            <w:tcBorders>
              <w:top w:val="outset" w:color="111111" w:sz="6" w:space="0"/>
              <w:left w:val="outset" w:color="111111" w:sz="6" w:space="0"/>
              <w:bottom w:val="outset" w:color="111111" w:sz="6" w:space="0"/>
              <w:right w:val="outset" w:color="111111" w:sz="6" w:space="0"/>
            </w:tcBorders>
            <w:vAlign w:val="center"/>
          </w:tcPr>
          <w:p w14:paraId="16E15BB3">
            <w:pPr>
              <w:jc w:val="center"/>
              <w:rPr>
                <w:rFonts w:ascii="宋体" w:hAnsi="宋体" w:cs="宋体"/>
                <w:b/>
                <w:bCs/>
                <w:spacing w:val="10"/>
                <w:sz w:val="24"/>
              </w:rPr>
            </w:pPr>
            <w:r>
              <w:rPr>
                <w:rFonts w:hint="eastAsia" w:ascii="宋体" w:hAnsi="宋体" w:cs="宋体"/>
                <w:b/>
                <w:bCs/>
                <w:spacing w:val="10"/>
                <w:sz w:val="24"/>
              </w:rPr>
              <w:t>招标文件要求</w:t>
            </w:r>
          </w:p>
          <w:p w14:paraId="4869BD2C">
            <w:pPr>
              <w:jc w:val="center"/>
              <w:rPr>
                <w:rFonts w:ascii="宋体" w:hAnsi="宋体" w:cs="宋体"/>
                <w:sz w:val="24"/>
              </w:rPr>
            </w:pPr>
            <w:r>
              <w:rPr>
                <w:rFonts w:hint="eastAsia" w:ascii="宋体" w:hAnsi="宋体" w:cs="宋体"/>
                <w:sz w:val="24"/>
              </w:rPr>
              <w:t>（详见《资格性和符合性审查表》各项）</w:t>
            </w:r>
          </w:p>
        </w:tc>
        <w:tc>
          <w:tcPr>
            <w:tcW w:w="2106" w:type="dxa"/>
            <w:tcBorders>
              <w:top w:val="outset" w:color="111111" w:sz="6" w:space="0"/>
              <w:left w:val="outset" w:color="111111" w:sz="6" w:space="0"/>
              <w:bottom w:val="outset" w:color="111111" w:sz="6" w:space="0"/>
              <w:right w:val="outset" w:color="111111" w:sz="6" w:space="0"/>
            </w:tcBorders>
            <w:vAlign w:val="center"/>
          </w:tcPr>
          <w:p w14:paraId="1773F289">
            <w:pPr>
              <w:jc w:val="center"/>
              <w:rPr>
                <w:rFonts w:ascii="宋体" w:hAnsi="宋体" w:cs="宋体"/>
                <w:sz w:val="24"/>
              </w:rPr>
            </w:pPr>
            <w:r>
              <w:rPr>
                <w:rFonts w:hint="eastAsia" w:ascii="宋体" w:hAnsi="宋体" w:cs="宋体"/>
                <w:b/>
                <w:bCs/>
                <w:spacing w:val="10"/>
                <w:sz w:val="24"/>
              </w:rPr>
              <w:t>自查结论</w:t>
            </w:r>
          </w:p>
        </w:tc>
        <w:tc>
          <w:tcPr>
            <w:tcW w:w="2533" w:type="dxa"/>
            <w:tcBorders>
              <w:top w:val="outset" w:color="111111" w:sz="6" w:space="0"/>
              <w:left w:val="outset" w:color="111111" w:sz="6" w:space="0"/>
              <w:bottom w:val="outset" w:color="111111" w:sz="6" w:space="0"/>
              <w:right w:val="outset" w:color="111111" w:sz="6" w:space="0"/>
            </w:tcBorders>
            <w:vAlign w:val="center"/>
          </w:tcPr>
          <w:p w14:paraId="4B63F5D3">
            <w:pPr>
              <w:jc w:val="center"/>
              <w:rPr>
                <w:rFonts w:ascii="宋体" w:hAnsi="宋体" w:cs="宋体"/>
                <w:sz w:val="24"/>
              </w:rPr>
            </w:pPr>
            <w:r>
              <w:rPr>
                <w:rFonts w:hint="eastAsia" w:ascii="宋体" w:hAnsi="宋体" w:cs="宋体"/>
                <w:b/>
                <w:bCs/>
                <w:spacing w:val="10"/>
                <w:sz w:val="24"/>
              </w:rPr>
              <w:t>证明材料</w:t>
            </w:r>
          </w:p>
        </w:tc>
      </w:tr>
      <w:tr w14:paraId="2228F963">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restart"/>
            <w:tcBorders>
              <w:top w:val="outset" w:color="111111" w:sz="6" w:space="0"/>
              <w:left w:val="outset" w:color="111111" w:sz="6" w:space="0"/>
              <w:right w:val="outset" w:color="111111" w:sz="6" w:space="0"/>
            </w:tcBorders>
            <w:vAlign w:val="center"/>
          </w:tcPr>
          <w:p w14:paraId="0822BD11">
            <w:pPr>
              <w:widowControl/>
              <w:spacing w:line="360" w:lineRule="auto"/>
              <w:jc w:val="center"/>
              <w:rPr>
                <w:rFonts w:ascii="宋体" w:hAnsi="宋体" w:cs="宋体"/>
                <w:kern w:val="0"/>
                <w:sz w:val="24"/>
              </w:rPr>
            </w:pPr>
            <w:r>
              <w:rPr>
                <w:rFonts w:hint="eastAsia" w:ascii="宋体" w:hAnsi="宋体" w:cs="宋体"/>
                <w:kern w:val="0"/>
                <w:sz w:val="24"/>
              </w:rPr>
              <w:t>资格性审查</w:t>
            </w:r>
          </w:p>
        </w:tc>
        <w:tc>
          <w:tcPr>
            <w:tcW w:w="3295" w:type="dxa"/>
            <w:tcBorders>
              <w:top w:val="outset" w:color="111111" w:sz="6" w:space="0"/>
              <w:left w:val="outset" w:color="111111" w:sz="6" w:space="0"/>
              <w:bottom w:val="outset" w:color="111111" w:sz="6" w:space="0"/>
              <w:right w:val="outset" w:color="111111" w:sz="6" w:space="0"/>
            </w:tcBorders>
            <w:vAlign w:val="center"/>
          </w:tcPr>
          <w:p w14:paraId="22F174A8">
            <w:pPr>
              <w:spacing w:line="360" w:lineRule="auto"/>
              <w:rPr>
                <w:rFonts w:ascii="宋体" w:hAnsi="宋体" w:cs="宋体"/>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63223E53">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5BB033AC">
            <w:pPr>
              <w:spacing w:line="360" w:lineRule="auto"/>
              <w:rPr>
                <w:rFonts w:ascii="宋体" w:hAnsi="宋体" w:cs="宋体"/>
                <w:sz w:val="24"/>
              </w:rPr>
            </w:pPr>
            <w:r>
              <w:rPr>
                <w:rFonts w:hint="eastAsia" w:ascii="宋体" w:hAnsi="宋体" w:cs="宋体"/>
              </w:rPr>
              <w:t>见投标文件第（）页</w:t>
            </w:r>
          </w:p>
        </w:tc>
      </w:tr>
      <w:tr w14:paraId="0A3A758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21CA6D96">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639DB564">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5EA7A97B">
            <w:pPr>
              <w:spacing w:line="360" w:lineRule="auto"/>
              <w:rPr>
                <w:rFonts w:ascii="宋体" w:hAnsi="宋体" w:cs="宋体"/>
                <w:sz w:val="24"/>
              </w:rPr>
            </w:pPr>
            <w:r>
              <w:rPr>
                <w:rFonts w:hint="eastAsia" w:ascii="宋体" w:hAnsi="宋体" w:cs="宋体"/>
              </w:rPr>
              <w:sym w:font="Wingdings 2" w:char="00A3"/>
            </w: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269F85DA">
            <w:pPr>
              <w:spacing w:line="360" w:lineRule="auto"/>
              <w:rPr>
                <w:rFonts w:ascii="宋体" w:hAnsi="宋体" w:cs="宋体"/>
                <w:sz w:val="24"/>
              </w:rPr>
            </w:pPr>
            <w:r>
              <w:rPr>
                <w:rFonts w:hint="eastAsia" w:ascii="宋体" w:hAnsi="宋体" w:cs="宋体"/>
              </w:rPr>
              <w:t>见投标文件第（）页</w:t>
            </w:r>
          </w:p>
        </w:tc>
      </w:tr>
      <w:tr w14:paraId="3F83CEE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206E8C9A">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790A90E0">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4080B732">
            <w:pPr>
              <w:spacing w:line="360" w:lineRule="auto"/>
              <w:rPr>
                <w:rFonts w:ascii="宋体" w:hAnsi="宋体" w:cs="宋体"/>
              </w:rPr>
            </w:pPr>
            <w:r>
              <w:rPr>
                <w:rFonts w:hint="eastAsia" w:ascii="宋体" w:hAnsi="宋体" w:cs="宋体"/>
              </w:rPr>
              <w:sym w:font="Wingdings 2" w:char="00A3"/>
            </w: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51DFD993">
            <w:pPr>
              <w:spacing w:line="360" w:lineRule="auto"/>
              <w:rPr>
                <w:rFonts w:ascii="宋体" w:hAnsi="宋体" w:cs="宋体"/>
              </w:rPr>
            </w:pPr>
            <w:r>
              <w:rPr>
                <w:rFonts w:hint="eastAsia" w:ascii="宋体" w:hAnsi="宋体" w:cs="宋体"/>
              </w:rPr>
              <w:t>见投标文件第（）页</w:t>
            </w:r>
          </w:p>
        </w:tc>
      </w:tr>
      <w:tr w14:paraId="705AC713">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2CD023BD">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66A880B0">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46F56764">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141E2034">
            <w:pPr>
              <w:spacing w:line="360" w:lineRule="auto"/>
              <w:rPr>
                <w:rFonts w:ascii="宋体" w:hAnsi="宋体" w:cs="宋体"/>
                <w:sz w:val="24"/>
              </w:rPr>
            </w:pPr>
            <w:r>
              <w:rPr>
                <w:rFonts w:hint="eastAsia" w:ascii="宋体" w:hAnsi="宋体" w:cs="宋体"/>
              </w:rPr>
              <w:t>见投标文件第（）页</w:t>
            </w:r>
          </w:p>
        </w:tc>
      </w:tr>
      <w:tr w14:paraId="76A1FCC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restart"/>
            <w:tcBorders>
              <w:top w:val="outset" w:color="111111" w:sz="6" w:space="0"/>
              <w:left w:val="outset" w:color="111111" w:sz="6" w:space="0"/>
              <w:right w:val="outset" w:color="111111" w:sz="6" w:space="0"/>
            </w:tcBorders>
            <w:vAlign w:val="center"/>
          </w:tcPr>
          <w:p w14:paraId="13EFAB3D">
            <w:pPr>
              <w:widowControl/>
              <w:spacing w:line="360" w:lineRule="auto"/>
              <w:jc w:val="center"/>
              <w:rPr>
                <w:rFonts w:ascii="宋体" w:hAnsi="宋体" w:cs="宋体"/>
                <w:kern w:val="0"/>
                <w:sz w:val="24"/>
              </w:rPr>
            </w:pPr>
            <w:r>
              <w:rPr>
                <w:rFonts w:hint="eastAsia" w:ascii="宋体" w:hAnsi="宋体" w:cs="宋体"/>
                <w:kern w:val="0"/>
                <w:sz w:val="24"/>
              </w:rPr>
              <w:t>符合性审查</w:t>
            </w:r>
          </w:p>
        </w:tc>
        <w:tc>
          <w:tcPr>
            <w:tcW w:w="3295" w:type="dxa"/>
            <w:tcBorders>
              <w:top w:val="outset" w:color="111111" w:sz="6" w:space="0"/>
              <w:left w:val="outset" w:color="111111" w:sz="6" w:space="0"/>
              <w:bottom w:val="outset" w:color="111111" w:sz="6" w:space="0"/>
              <w:right w:val="outset" w:color="111111" w:sz="6" w:space="0"/>
            </w:tcBorders>
            <w:vAlign w:val="center"/>
          </w:tcPr>
          <w:p w14:paraId="749B66E8">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4CE679E2">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58C8BC34">
            <w:pPr>
              <w:spacing w:line="360" w:lineRule="auto"/>
              <w:rPr>
                <w:rFonts w:ascii="宋体" w:hAnsi="宋体" w:cs="宋体"/>
                <w:sz w:val="24"/>
              </w:rPr>
            </w:pPr>
            <w:r>
              <w:rPr>
                <w:rFonts w:hint="eastAsia" w:ascii="宋体" w:hAnsi="宋体" w:cs="宋体"/>
              </w:rPr>
              <w:t>见投标文件第（）页</w:t>
            </w:r>
          </w:p>
        </w:tc>
      </w:tr>
      <w:tr w14:paraId="0B5A83BF">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1D4E86D6">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15D591F3">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34873F9B">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4E8A673A">
            <w:pPr>
              <w:spacing w:line="360" w:lineRule="auto"/>
              <w:rPr>
                <w:rFonts w:ascii="宋体" w:hAnsi="宋体" w:cs="宋体"/>
                <w:sz w:val="24"/>
              </w:rPr>
            </w:pPr>
            <w:r>
              <w:rPr>
                <w:rFonts w:hint="eastAsia" w:ascii="宋体" w:hAnsi="宋体" w:cs="宋体"/>
              </w:rPr>
              <w:t>见投标文件第（）页</w:t>
            </w:r>
          </w:p>
        </w:tc>
      </w:tr>
      <w:tr w14:paraId="6F7C20DE">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268B9705">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3F65423F">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72AF53AC">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187EC8BE">
            <w:pPr>
              <w:spacing w:line="360" w:lineRule="auto"/>
              <w:rPr>
                <w:rFonts w:ascii="宋体" w:hAnsi="宋体" w:cs="宋体"/>
                <w:sz w:val="24"/>
              </w:rPr>
            </w:pPr>
            <w:r>
              <w:rPr>
                <w:rFonts w:hint="eastAsia" w:ascii="宋体" w:hAnsi="宋体" w:cs="宋体"/>
              </w:rPr>
              <w:t>见投标文件第（）页</w:t>
            </w:r>
          </w:p>
        </w:tc>
      </w:tr>
      <w:tr w14:paraId="0818B8FE">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323E9901">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086FD23A">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0F912F7F">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1B9B4189">
            <w:pPr>
              <w:spacing w:line="360" w:lineRule="auto"/>
              <w:rPr>
                <w:rFonts w:ascii="宋体" w:hAnsi="宋体" w:cs="宋体"/>
                <w:sz w:val="24"/>
              </w:rPr>
            </w:pPr>
            <w:r>
              <w:rPr>
                <w:rFonts w:hint="eastAsia" w:ascii="宋体" w:hAnsi="宋体" w:cs="宋体"/>
              </w:rPr>
              <w:t>见投标文件第（）页</w:t>
            </w:r>
          </w:p>
        </w:tc>
      </w:tr>
      <w:tr w14:paraId="4F6CC217">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63A28BEB">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2F5CFF28">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037657FD">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343D9C4C">
            <w:pPr>
              <w:spacing w:line="360" w:lineRule="auto"/>
              <w:rPr>
                <w:rFonts w:ascii="宋体" w:hAnsi="宋体" w:cs="宋体"/>
                <w:sz w:val="24"/>
              </w:rPr>
            </w:pPr>
            <w:r>
              <w:rPr>
                <w:rFonts w:hint="eastAsia" w:ascii="宋体" w:hAnsi="宋体" w:cs="宋体"/>
              </w:rPr>
              <w:t>见投标文件第（）页</w:t>
            </w:r>
          </w:p>
        </w:tc>
      </w:tr>
      <w:tr w14:paraId="41E0FF92">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jc w:val="center"/>
        </w:trPr>
        <w:tc>
          <w:tcPr>
            <w:tcW w:w="1734" w:type="dxa"/>
            <w:vMerge w:val="continue"/>
            <w:tcBorders>
              <w:left w:val="outset" w:color="111111" w:sz="6" w:space="0"/>
              <w:right w:val="outset" w:color="111111" w:sz="6" w:space="0"/>
            </w:tcBorders>
            <w:vAlign w:val="center"/>
          </w:tcPr>
          <w:p w14:paraId="597FEA24">
            <w:pPr>
              <w:spacing w:line="360" w:lineRule="auto"/>
              <w:rPr>
                <w:rFonts w:ascii="宋体" w:hAnsi="宋体" w:cs="宋体"/>
                <w:sz w:val="24"/>
              </w:rPr>
            </w:pPr>
          </w:p>
        </w:tc>
        <w:tc>
          <w:tcPr>
            <w:tcW w:w="3295" w:type="dxa"/>
            <w:tcBorders>
              <w:top w:val="outset" w:color="111111" w:sz="6" w:space="0"/>
              <w:left w:val="outset" w:color="111111" w:sz="6" w:space="0"/>
              <w:bottom w:val="outset" w:color="111111" w:sz="6" w:space="0"/>
              <w:right w:val="outset" w:color="111111" w:sz="6" w:space="0"/>
            </w:tcBorders>
            <w:vAlign w:val="center"/>
          </w:tcPr>
          <w:p w14:paraId="288CAD1E">
            <w:pPr>
              <w:spacing w:line="360" w:lineRule="auto"/>
              <w:rPr>
                <w:rFonts w:ascii="宋体" w:hAnsi="宋体" w:cs="宋体"/>
                <w:sz w:val="24"/>
              </w:rPr>
            </w:pPr>
          </w:p>
        </w:tc>
        <w:tc>
          <w:tcPr>
            <w:tcW w:w="2106" w:type="dxa"/>
            <w:tcBorders>
              <w:top w:val="outset" w:color="111111" w:sz="6" w:space="0"/>
              <w:left w:val="outset" w:color="111111" w:sz="6" w:space="0"/>
              <w:bottom w:val="outset" w:color="111111" w:sz="6" w:space="0"/>
              <w:right w:val="outset" w:color="111111" w:sz="6" w:space="0"/>
            </w:tcBorders>
            <w:vAlign w:val="center"/>
          </w:tcPr>
          <w:p w14:paraId="38ADA449">
            <w:pPr>
              <w:spacing w:line="360" w:lineRule="auto"/>
              <w:rPr>
                <w:rFonts w:ascii="宋体" w:hAnsi="宋体" w:cs="宋体"/>
                <w:sz w:val="24"/>
              </w:rPr>
            </w:pPr>
            <w:r>
              <w:rPr>
                <w:rFonts w:hint="eastAsia" w:ascii="宋体" w:hAnsi="宋体" w:cs="宋体"/>
              </w:rPr>
              <w:t>□通过 □不通过</w:t>
            </w:r>
          </w:p>
        </w:tc>
        <w:tc>
          <w:tcPr>
            <w:tcW w:w="2533" w:type="dxa"/>
            <w:tcBorders>
              <w:top w:val="outset" w:color="111111" w:sz="6" w:space="0"/>
              <w:left w:val="outset" w:color="111111" w:sz="6" w:space="0"/>
              <w:bottom w:val="outset" w:color="111111" w:sz="6" w:space="0"/>
              <w:right w:val="outset" w:color="111111" w:sz="6" w:space="0"/>
            </w:tcBorders>
            <w:vAlign w:val="center"/>
          </w:tcPr>
          <w:p w14:paraId="12E6E1D5">
            <w:pPr>
              <w:spacing w:line="360" w:lineRule="auto"/>
              <w:rPr>
                <w:rFonts w:ascii="宋体" w:hAnsi="宋体" w:cs="宋体"/>
                <w:sz w:val="24"/>
              </w:rPr>
            </w:pPr>
            <w:r>
              <w:rPr>
                <w:rFonts w:hint="eastAsia" w:ascii="宋体" w:hAnsi="宋体" w:cs="宋体"/>
              </w:rPr>
              <w:t>见投标文件第（）页</w:t>
            </w:r>
          </w:p>
        </w:tc>
      </w:tr>
    </w:tbl>
    <w:p w14:paraId="7F82888C">
      <w:pPr>
        <w:pStyle w:val="7"/>
        <w:spacing w:line="360" w:lineRule="auto"/>
        <w:ind w:firstLine="0"/>
        <w:rPr>
          <w:rFonts w:ascii="宋体" w:hAnsi="宋体" w:cs="宋体"/>
          <w:b/>
          <w:sz w:val="24"/>
          <w:szCs w:val="24"/>
        </w:rPr>
      </w:pPr>
      <w:r>
        <w:rPr>
          <w:rFonts w:hint="eastAsia" w:ascii="宋体" w:hAnsi="宋体" w:cs="宋体"/>
          <w:b/>
          <w:sz w:val="24"/>
          <w:szCs w:val="24"/>
        </w:rPr>
        <w:t>注：1、以上材料将作为投标人有效性审核的重要内容之一，投标人必须严格按照其内容及序列要求在投标文件中对应如实提供，对资格性和符合性证明文件的任何缺漏和不符合项将会直接导致投标文件无效！投标人根据自查结论在对应的□打“√”。</w:t>
      </w:r>
    </w:p>
    <w:p w14:paraId="2AA47BEC">
      <w:pPr>
        <w:pStyle w:val="7"/>
        <w:numPr>
          <w:ilvl w:val="0"/>
          <w:numId w:val="10"/>
        </w:numPr>
        <w:spacing w:line="360" w:lineRule="auto"/>
        <w:ind w:firstLine="0"/>
        <w:rPr>
          <w:rFonts w:ascii="宋体" w:hAnsi="宋体" w:cs="宋体"/>
          <w:b/>
          <w:sz w:val="24"/>
          <w:szCs w:val="24"/>
        </w:rPr>
      </w:pPr>
      <w:r>
        <w:rPr>
          <w:rFonts w:hint="eastAsia" w:ascii="宋体" w:hAnsi="宋体" w:cs="宋体"/>
          <w:b/>
          <w:sz w:val="24"/>
          <w:szCs w:val="24"/>
        </w:rPr>
        <w:t>各投标人按此表格式填写，表格不够时可自行添加。</w:t>
      </w:r>
    </w:p>
    <w:p w14:paraId="145C7940"/>
    <w:p w14:paraId="31CCC640">
      <w:pPr>
        <w:pStyle w:val="8"/>
        <w:outlineLvl w:val="9"/>
      </w:pPr>
    </w:p>
    <w:p w14:paraId="5DFDAF3A"/>
    <w:p w14:paraId="011FAD70">
      <w:pPr>
        <w:pStyle w:val="9"/>
      </w:pPr>
    </w:p>
    <w:p w14:paraId="751D3BF5">
      <w:pPr>
        <w:tabs>
          <w:tab w:val="left" w:pos="360"/>
          <w:tab w:val="left" w:pos="1800"/>
        </w:tabs>
        <w:spacing w:line="360" w:lineRule="auto"/>
        <w:jc w:val="both"/>
        <w:rPr>
          <w:rFonts w:hint="eastAsia" w:ascii="宋体" w:hAnsi="宋体" w:cs="宋体"/>
          <w:b/>
          <w:bCs/>
          <w:sz w:val="24"/>
        </w:rPr>
      </w:pPr>
    </w:p>
    <w:p w14:paraId="18F8E70E">
      <w:pPr>
        <w:tabs>
          <w:tab w:val="left" w:pos="360"/>
          <w:tab w:val="left" w:pos="1800"/>
        </w:tabs>
        <w:spacing w:line="360" w:lineRule="auto"/>
        <w:jc w:val="center"/>
        <w:rPr>
          <w:rFonts w:ascii="宋体" w:hAnsi="宋体" w:cs="宋体"/>
          <w:bCs/>
          <w:sz w:val="24"/>
        </w:rPr>
      </w:pPr>
      <w:r>
        <w:rPr>
          <w:rFonts w:hint="eastAsia" w:ascii="宋体" w:hAnsi="宋体" w:cs="宋体"/>
          <w:b/>
          <w:bCs/>
          <w:sz w:val="24"/>
        </w:rPr>
        <w:t>格式2 法定代表人资格证明书</w:t>
      </w:r>
    </w:p>
    <w:p w14:paraId="63D92014">
      <w:pPr>
        <w:shd w:val="clear" w:color="auto" w:fill="FFFFFF"/>
        <w:spacing w:line="480" w:lineRule="auto"/>
        <w:ind w:firstLine="480" w:firstLineChars="200"/>
        <w:rPr>
          <w:rFonts w:ascii="宋体" w:hAnsi="宋体"/>
          <w:sz w:val="24"/>
        </w:rPr>
      </w:pPr>
      <w:r>
        <w:rPr>
          <w:rFonts w:hint="eastAsia" w:ascii="宋体" w:hAnsi="宋体"/>
          <w:sz w:val="24"/>
        </w:rPr>
        <w:t>单位名称：</w:t>
      </w:r>
    </w:p>
    <w:p w14:paraId="11BFADBC">
      <w:pPr>
        <w:shd w:val="clear" w:color="auto" w:fill="FFFFFF"/>
        <w:spacing w:line="480" w:lineRule="auto"/>
        <w:ind w:firstLine="480" w:firstLineChars="200"/>
        <w:rPr>
          <w:rFonts w:ascii="宋体" w:hAnsi="宋体"/>
          <w:sz w:val="24"/>
        </w:rPr>
      </w:pPr>
      <w:r>
        <w:rPr>
          <w:rFonts w:hint="eastAsia" w:ascii="宋体" w:hAnsi="宋体"/>
          <w:sz w:val="24"/>
        </w:rPr>
        <w:t>所属行业：</w:t>
      </w:r>
    </w:p>
    <w:p w14:paraId="69699F3E">
      <w:pPr>
        <w:shd w:val="clear" w:color="auto" w:fill="FFFFFF"/>
        <w:spacing w:line="480" w:lineRule="auto"/>
        <w:ind w:firstLine="480" w:firstLineChars="200"/>
        <w:rPr>
          <w:rFonts w:ascii="宋体" w:hAnsi="宋体"/>
          <w:sz w:val="24"/>
        </w:rPr>
      </w:pPr>
      <w:r>
        <w:rPr>
          <w:rFonts w:hint="eastAsia" w:ascii="宋体" w:hAnsi="宋体"/>
          <w:sz w:val="24"/>
        </w:rPr>
        <w:t>地址：</w:t>
      </w:r>
    </w:p>
    <w:p w14:paraId="3A1E02DA">
      <w:pPr>
        <w:shd w:val="clear" w:color="auto" w:fill="FFFFFF"/>
        <w:spacing w:line="480" w:lineRule="auto"/>
        <w:ind w:firstLine="480" w:firstLineChars="200"/>
        <w:rPr>
          <w:rFonts w:ascii="宋体" w:hAnsi="宋体"/>
          <w:sz w:val="24"/>
        </w:rPr>
      </w:pPr>
      <w:r>
        <w:rPr>
          <w:rFonts w:hint="eastAsia" w:ascii="宋体" w:hAnsi="宋体"/>
          <w:sz w:val="24"/>
        </w:rPr>
        <w:t>营业期限：</w:t>
      </w:r>
    </w:p>
    <w:p w14:paraId="429FC57D">
      <w:pPr>
        <w:shd w:val="clear" w:color="auto" w:fill="FFFFFF"/>
        <w:spacing w:line="480" w:lineRule="auto"/>
        <w:ind w:firstLine="480" w:firstLineChars="200"/>
        <w:rPr>
          <w:rFonts w:ascii="宋体" w:hAnsi="宋体"/>
          <w:sz w:val="24"/>
        </w:rPr>
      </w:pPr>
      <w:r>
        <w:rPr>
          <w:rFonts w:hint="eastAsia" w:ascii="宋体" w:hAnsi="宋体"/>
          <w:sz w:val="24"/>
        </w:rPr>
        <w:t>成立时间：</w:t>
      </w:r>
    </w:p>
    <w:p w14:paraId="05FB3371">
      <w:pPr>
        <w:shd w:val="clear" w:color="auto" w:fill="FFFFFF"/>
        <w:spacing w:line="480" w:lineRule="auto"/>
        <w:ind w:firstLine="480" w:firstLineChars="200"/>
        <w:rPr>
          <w:rFonts w:ascii="宋体" w:hAnsi="宋体"/>
          <w:sz w:val="24"/>
        </w:rPr>
      </w:pPr>
      <w:r>
        <w:rPr>
          <w:rFonts w:hint="eastAsia" w:ascii="宋体" w:hAnsi="宋体"/>
          <w:sz w:val="24"/>
        </w:rPr>
        <w:t>经营范围：</w:t>
      </w:r>
    </w:p>
    <w:p w14:paraId="2139E8CF">
      <w:pPr>
        <w:tabs>
          <w:tab w:val="left" w:pos="360"/>
          <w:tab w:val="left" w:pos="720"/>
          <w:tab w:val="left" w:pos="900"/>
          <w:tab w:val="left" w:pos="1800"/>
        </w:tabs>
        <w:spacing w:line="480" w:lineRule="auto"/>
        <w:ind w:firstLine="480" w:firstLineChars="200"/>
        <w:rPr>
          <w:rFonts w:ascii="宋体" w:hAnsi="宋体" w:cs="宋体"/>
          <w:sz w:val="24"/>
        </w:rPr>
      </w:pPr>
      <w:r>
        <w:rPr>
          <w:rFonts w:hint="eastAsia" w:ascii="宋体" w:hAnsi="宋体" w:cs="宋体"/>
          <w:sz w:val="24"/>
        </w:rPr>
        <w:t xml:space="preserve">姓名：        性别：       年龄：         职务： </w:t>
      </w:r>
    </w:p>
    <w:p w14:paraId="77610ACF">
      <w:pPr>
        <w:tabs>
          <w:tab w:val="left" w:pos="360"/>
          <w:tab w:val="left" w:pos="1800"/>
        </w:tabs>
        <w:spacing w:line="480" w:lineRule="auto"/>
        <w:ind w:firstLine="480" w:firstLineChars="200"/>
        <w:jc w:val="left"/>
      </w:pPr>
      <w:r>
        <w:rPr>
          <w:rFonts w:hint="eastAsia" w:ascii="宋体" w:hAnsi="宋体" w:cs="宋体"/>
          <w:sz w:val="24"/>
        </w:rPr>
        <w:t>系</w:t>
      </w:r>
      <w:r>
        <w:rPr>
          <w:rFonts w:hint="eastAsia" w:ascii="宋体" w:hAnsi="宋体" w:cs="宋体"/>
          <w:sz w:val="24"/>
          <w:u w:val="single"/>
        </w:rPr>
        <w:t xml:space="preserve">             （</w:t>
      </w:r>
      <w:r>
        <w:rPr>
          <w:rFonts w:hint="eastAsia" w:ascii="宋体" w:hAnsi="宋体" w:cs="宋体"/>
          <w:sz w:val="24"/>
        </w:rPr>
        <w:t>投标人名称）的法定代表。</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80"/>
      </w:tblGrid>
      <w:tr w14:paraId="1684C9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1" w:hRule="atLeast"/>
          <w:jc w:val="center"/>
        </w:trPr>
        <w:tc>
          <w:tcPr>
            <w:tcW w:w="8580" w:type="dxa"/>
          </w:tcPr>
          <w:p w14:paraId="1449A701">
            <w:pPr>
              <w:tabs>
                <w:tab w:val="left" w:pos="360"/>
                <w:tab w:val="left" w:pos="1800"/>
              </w:tabs>
              <w:spacing w:line="480" w:lineRule="auto"/>
              <w:jc w:val="center"/>
              <w:rPr>
                <w:rFonts w:ascii="宋体" w:hAnsi="宋体" w:cs="宋体"/>
                <w:sz w:val="24"/>
              </w:rPr>
            </w:pPr>
          </w:p>
          <w:p w14:paraId="02C7A678">
            <w:pPr>
              <w:tabs>
                <w:tab w:val="left" w:pos="360"/>
                <w:tab w:val="left" w:pos="1800"/>
              </w:tabs>
              <w:spacing w:line="480" w:lineRule="auto"/>
              <w:jc w:val="center"/>
              <w:rPr>
                <w:rFonts w:ascii="宋体" w:hAnsi="宋体" w:cs="宋体"/>
                <w:sz w:val="24"/>
              </w:rPr>
            </w:pPr>
          </w:p>
          <w:p w14:paraId="3953776B">
            <w:pPr>
              <w:tabs>
                <w:tab w:val="left" w:pos="360"/>
                <w:tab w:val="left" w:pos="1800"/>
              </w:tabs>
              <w:spacing w:line="480" w:lineRule="auto"/>
              <w:jc w:val="center"/>
              <w:rPr>
                <w:rFonts w:ascii="宋体" w:hAnsi="宋体" w:cs="宋体"/>
                <w:sz w:val="24"/>
              </w:rPr>
            </w:pPr>
            <w:r>
              <w:rPr>
                <w:rFonts w:hint="eastAsia" w:ascii="宋体" w:hAnsi="宋体" w:cs="宋体"/>
                <w:sz w:val="24"/>
              </w:rPr>
              <w:t>法定代表人身份证复印件或扫描件（正、反两面）</w:t>
            </w:r>
          </w:p>
        </w:tc>
      </w:tr>
    </w:tbl>
    <w:p w14:paraId="40EDBADE">
      <w:pPr>
        <w:tabs>
          <w:tab w:val="left" w:pos="360"/>
          <w:tab w:val="left" w:pos="1800"/>
        </w:tabs>
        <w:spacing w:line="480" w:lineRule="auto"/>
        <w:ind w:firstLine="720" w:firstLineChars="300"/>
        <w:rPr>
          <w:rFonts w:ascii="宋体" w:hAnsi="宋体" w:cs="宋体"/>
          <w:sz w:val="24"/>
        </w:rPr>
      </w:pPr>
    </w:p>
    <w:p w14:paraId="6E72BB76">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特此证明。</w:t>
      </w:r>
    </w:p>
    <w:p w14:paraId="745DC291">
      <w:pPr>
        <w:tabs>
          <w:tab w:val="left" w:pos="360"/>
          <w:tab w:val="left" w:pos="1800"/>
        </w:tabs>
        <w:spacing w:line="480" w:lineRule="auto"/>
        <w:ind w:firstLine="480" w:firstLineChars="200"/>
        <w:rPr>
          <w:rFonts w:ascii="宋体" w:hAnsi="宋体" w:cs="宋体"/>
          <w:sz w:val="24"/>
        </w:rPr>
      </w:pPr>
    </w:p>
    <w:p w14:paraId="4A25D110">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投标人：（盖章）</w:t>
      </w:r>
    </w:p>
    <w:p w14:paraId="41A8D1D2">
      <w:pPr>
        <w:shd w:val="clear" w:color="auto" w:fill="FFFFFF"/>
        <w:tabs>
          <w:tab w:val="left" w:pos="3780"/>
        </w:tabs>
        <w:spacing w:line="480" w:lineRule="auto"/>
        <w:ind w:firstLine="480" w:firstLineChars="200"/>
        <w:rPr>
          <w:rFonts w:ascii="宋体" w:hAnsi="宋体" w:cs="宋体"/>
          <w:sz w:val="24"/>
        </w:rPr>
      </w:pPr>
      <w:r>
        <w:rPr>
          <w:rFonts w:ascii="宋体" w:hAnsi="宋体"/>
          <w:sz w:val="24"/>
        </w:rPr>
        <w:t>法定代表人（签字</w:t>
      </w:r>
      <w:r>
        <w:rPr>
          <w:rFonts w:hint="eastAsia" w:ascii="宋体" w:hAnsi="宋体"/>
          <w:sz w:val="24"/>
        </w:rPr>
        <w:t>或盖章</w:t>
      </w:r>
      <w:r>
        <w:rPr>
          <w:rFonts w:ascii="宋体" w:hAnsi="宋体"/>
          <w:sz w:val="24"/>
        </w:rPr>
        <w:t>）：</w:t>
      </w:r>
    </w:p>
    <w:p w14:paraId="70F699A1">
      <w:pPr>
        <w:tabs>
          <w:tab w:val="left" w:pos="360"/>
          <w:tab w:val="left" w:pos="1800"/>
        </w:tabs>
        <w:spacing w:line="480" w:lineRule="auto"/>
        <w:ind w:firstLine="480" w:firstLineChars="200"/>
      </w:pPr>
      <w:r>
        <w:rPr>
          <w:rFonts w:hint="eastAsia" w:ascii="宋体" w:hAnsi="宋体" w:cs="宋体"/>
          <w:sz w:val="24"/>
        </w:rPr>
        <w:t>日期：    年   月   日</w:t>
      </w:r>
    </w:p>
    <w:p w14:paraId="33565A18">
      <w:pPr>
        <w:tabs>
          <w:tab w:val="left" w:pos="360"/>
          <w:tab w:val="left" w:pos="1800"/>
        </w:tabs>
        <w:spacing w:line="360" w:lineRule="auto"/>
        <w:jc w:val="center"/>
        <w:rPr>
          <w:rFonts w:hint="eastAsia" w:ascii="宋体" w:hAnsi="宋体" w:cs="宋体"/>
          <w:b/>
          <w:bCs/>
          <w:sz w:val="24"/>
        </w:rPr>
      </w:pPr>
    </w:p>
    <w:p w14:paraId="525122BD">
      <w:pPr>
        <w:tabs>
          <w:tab w:val="left" w:pos="360"/>
          <w:tab w:val="left" w:pos="1800"/>
        </w:tabs>
        <w:spacing w:line="360" w:lineRule="auto"/>
        <w:jc w:val="center"/>
        <w:rPr>
          <w:rFonts w:hint="eastAsia" w:ascii="宋体" w:hAnsi="宋体" w:cs="宋体"/>
          <w:b/>
          <w:bCs/>
          <w:sz w:val="24"/>
        </w:rPr>
      </w:pPr>
    </w:p>
    <w:p w14:paraId="53FD946F">
      <w:pPr>
        <w:tabs>
          <w:tab w:val="left" w:pos="360"/>
          <w:tab w:val="left" w:pos="1800"/>
        </w:tabs>
        <w:spacing w:line="360" w:lineRule="auto"/>
        <w:jc w:val="center"/>
        <w:rPr>
          <w:rFonts w:ascii="宋体" w:hAnsi="宋体" w:cs="宋体"/>
          <w:b/>
          <w:bCs/>
          <w:sz w:val="24"/>
        </w:rPr>
      </w:pPr>
      <w:r>
        <w:rPr>
          <w:rFonts w:hint="eastAsia" w:ascii="宋体" w:hAnsi="宋体" w:cs="宋体"/>
          <w:b/>
          <w:bCs/>
          <w:sz w:val="24"/>
        </w:rPr>
        <w:t>格式3  法定代表人授权委托书</w:t>
      </w:r>
    </w:p>
    <w:p w14:paraId="2928DBAE">
      <w:pPr>
        <w:tabs>
          <w:tab w:val="left" w:pos="360"/>
          <w:tab w:val="left" w:pos="1800"/>
        </w:tabs>
        <w:spacing w:line="480" w:lineRule="auto"/>
        <w:ind w:left="19" w:leftChars="9" w:firstLine="458" w:firstLineChars="191"/>
        <w:rPr>
          <w:rFonts w:ascii="宋体" w:hAnsi="宋体" w:cs="宋体"/>
          <w:sz w:val="24"/>
        </w:rPr>
      </w:pPr>
    </w:p>
    <w:p w14:paraId="3344F2BF">
      <w:pPr>
        <w:tabs>
          <w:tab w:val="left" w:pos="360"/>
          <w:tab w:val="left" w:pos="1800"/>
        </w:tabs>
        <w:spacing w:line="480" w:lineRule="auto"/>
        <w:ind w:left="19" w:leftChars="9" w:firstLine="458" w:firstLineChars="191"/>
        <w:rPr>
          <w:rFonts w:ascii="宋体" w:hAnsi="宋体" w:cs="宋体"/>
          <w:sz w:val="24"/>
        </w:rPr>
      </w:pPr>
      <w:r>
        <w:rPr>
          <w:rFonts w:hint="eastAsia" w:ascii="宋体" w:hAnsi="宋体" w:cs="宋体"/>
          <w:sz w:val="24"/>
        </w:rPr>
        <w:t>本授权委托书声明：我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（投标人名称）的法定代表人，现授权委托</w:t>
      </w:r>
      <w:r>
        <w:rPr>
          <w:rFonts w:hint="eastAsia" w:ascii="宋体" w:hAnsi="宋体" w:cs="宋体"/>
          <w:sz w:val="24"/>
          <w:u w:val="single"/>
        </w:rPr>
        <w:t xml:space="preserve">        </w:t>
      </w:r>
      <w:r>
        <w:rPr>
          <w:rFonts w:hint="eastAsia" w:ascii="宋体" w:hAnsi="宋体" w:cs="宋体"/>
          <w:sz w:val="24"/>
        </w:rPr>
        <w:t>（投标人名称）的</w:t>
      </w:r>
      <w:r>
        <w:rPr>
          <w:rFonts w:hint="eastAsia" w:ascii="宋体" w:hAnsi="宋体" w:cs="宋体"/>
          <w:sz w:val="24"/>
          <w:u w:val="single"/>
        </w:rPr>
        <w:t xml:space="preserve">          </w:t>
      </w:r>
      <w:r>
        <w:rPr>
          <w:rFonts w:hint="eastAsia" w:ascii="宋体" w:hAnsi="宋体" w:cs="宋体"/>
          <w:sz w:val="24"/>
        </w:rPr>
        <w:t>（姓名）为我公司代理人，以本公司的名义参加</w:t>
      </w:r>
    </w:p>
    <w:p w14:paraId="5C4161A4">
      <w:pPr>
        <w:tabs>
          <w:tab w:val="left" w:pos="360"/>
          <w:tab w:val="left" w:pos="1800"/>
        </w:tabs>
        <w:spacing w:line="480" w:lineRule="auto"/>
        <w:rPr>
          <w:rFonts w:ascii="宋体" w:hAnsi="宋体" w:cs="宋体"/>
          <w:sz w:val="24"/>
          <w:u w:val="single"/>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（采购人</w:t>
      </w:r>
      <w:r>
        <w:rPr>
          <w:rFonts w:hint="eastAsia" w:ascii="宋体" w:hAnsi="宋体" w:cs="宋体"/>
          <w:sz w:val="24"/>
          <w:u w:val="single"/>
        </w:rPr>
        <w:t xml:space="preserve">）        </w:t>
      </w:r>
      <w:r>
        <w:rPr>
          <w:rFonts w:hint="eastAsia" w:ascii="宋体" w:hAnsi="宋体" w:cs="宋体"/>
          <w:sz w:val="24"/>
        </w:rPr>
        <w:t>（项目名称）的投标活动。代理人在参加整个招标投标活动所签署的一切文件和处理与之相关的一切事物，我均予承认。</w:t>
      </w:r>
    </w:p>
    <w:p w14:paraId="491D557E">
      <w:pPr>
        <w:tabs>
          <w:tab w:val="left" w:pos="360"/>
          <w:tab w:val="left" w:pos="1800"/>
        </w:tabs>
        <w:spacing w:line="480" w:lineRule="auto"/>
        <w:ind w:firstLine="480" w:firstLineChars="200"/>
        <w:rPr>
          <w:rFonts w:ascii="宋体" w:hAnsi="宋体" w:cs="宋体"/>
          <w:sz w:val="24"/>
          <w:u w:val="single"/>
        </w:rPr>
      </w:pPr>
      <w:r>
        <w:rPr>
          <w:rFonts w:hint="eastAsia" w:ascii="宋体" w:hAnsi="宋体" w:cs="宋体"/>
          <w:sz w:val="24"/>
        </w:rPr>
        <w:t>本授权委托书期限自</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日起至</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日止。被授权人在授权书有效期内签署的所有文件不因授权期限的终止而失效。</w:t>
      </w:r>
    </w:p>
    <w:p w14:paraId="0BF81BFA">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委托代理人无转委权。特此委托。</w:t>
      </w:r>
    </w:p>
    <w:p w14:paraId="60DC17F9">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委托代理人：            性别：           年龄：</w:t>
      </w:r>
    </w:p>
    <w:p w14:paraId="48D29946">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单位：                  部门：           职务：</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760"/>
      </w:tblGrid>
      <w:tr w14:paraId="1AB30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1" w:hRule="atLeast"/>
          <w:jc w:val="center"/>
        </w:trPr>
        <w:tc>
          <w:tcPr>
            <w:tcW w:w="8760" w:type="dxa"/>
          </w:tcPr>
          <w:p w14:paraId="72867AD4">
            <w:pPr>
              <w:tabs>
                <w:tab w:val="left" w:pos="360"/>
                <w:tab w:val="left" w:pos="1800"/>
              </w:tabs>
              <w:spacing w:line="360" w:lineRule="auto"/>
              <w:jc w:val="center"/>
              <w:rPr>
                <w:rFonts w:ascii="宋体" w:hAnsi="宋体" w:cs="宋体"/>
                <w:sz w:val="24"/>
              </w:rPr>
            </w:pPr>
          </w:p>
          <w:p w14:paraId="4EA58B68">
            <w:pPr>
              <w:tabs>
                <w:tab w:val="left" w:pos="360"/>
                <w:tab w:val="left" w:pos="1800"/>
              </w:tabs>
              <w:spacing w:line="360" w:lineRule="auto"/>
              <w:jc w:val="center"/>
              <w:rPr>
                <w:rFonts w:ascii="宋体" w:hAnsi="宋体" w:cs="宋体"/>
                <w:sz w:val="24"/>
              </w:rPr>
            </w:pPr>
          </w:p>
          <w:p w14:paraId="21CE9F17">
            <w:pPr>
              <w:tabs>
                <w:tab w:val="left" w:pos="360"/>
                <w:tab w:val="left" w:pos="1800"/>
              </w:tabs>
              <w:spacing w:line="360" w:lineRule="auto"/>
              <w:jc w:val="center"/>
              <w:rPr>
                <w:rFonts w:ascii="宋体" w:hAnsi="宋体" w:cs="宋体"/>
                <w:sz w:val="24"/>
              </w:rPr>
            </w:pPr>
            <w:r>
              <w:rPr>
                <w:rFonts w:hint="eastAsia" w:ascii="宋体" w:hAnsi="宋体" w:cs="宋体"/>
                <w:sz w:val="24"/>
              </w:rPr>
              <w:t>委托代理人身份证复印件或扫描件（正、反两面）</w:t>
            </w:r>
          </w:p>
        </w:tc>
      </w:tr>
    </w:tbl>
    <w:p w14:paraId="6D9CC2FD">
      <w:pPr>
        <w:tabs>
          <w:tab w:val="left" w:pos="360"/>
          <w:tab w:val="left" w:pos="1800"/>
        </w:tabs>
        <w:spacing w:line="360" w:lineRule="auto"/>
        <w:ind w:firstLine="3600"/>
        <w:rPr>
          <w:rFonts w:ascii="宋体" w:hAnsi="宋体" w:cs="宋体"/>
          <w:sz w:val="24"/>
        </w:rPr>
      </w:pPr>
    </w:p>
    <w:p w14:paraId="5F6812EF">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投标人：（盖章）</w:t>
      </w:r>
    </w:p>
    <w:p w14:paraId="1B521537">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法定代表：（签字或盖章）</w:t>
      </w:r>
    </w:p>
    <w:p w14:paraId="555F511E">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委托代理人：（签字或盖章）</w:t>
      </w:r>
    </w:p>
    <w:p w14:paraId="0347CE4C">
      <w:pPr>
        <w:tabs>
          <w:tab w:val="left" w:pos="360"/>
          <w:tab w:val="left" w:pos="1800"/>
        </w:tabs>
        <w:spacing w:line="480" w:lineRule="auto"/>
        <w:ind w:firstLine="480" w:firstLineChars="200"/>
        <w:rPr>
          <w:rFonts w:ascii="宋体" w:hAnsi="宋体" w:cs="宋体"/>
          <w:sz w:val="24"/>
        </w:rPr>
      </w:pPr>
      <w:r>
        <w:rPr>
          <w:rFonts w:hint="eastAsia" w:ascii="宋体" w:hAnsi="宋体" w:cs="宋体"/>
          <w:sz w:val="24"/>
        </w:rPr>
        <w:t>日期：      年     月     日</w:t>
      </w:r>
    </w:p>
    <w:p w14:paraId="7BB5C1B0">
      <w:pPr>
        <w:pStyle w:val="8"/>
        <w:spacing w:before="0" w:after="0" w:line="360" w:lineRule="auto"/>
        <w:jc w:val="center"/>
        <w:rPr>
          <w:rFonts w:ascii="宋体" w:hAnsi="宋体" w:cs="宋体"/>
          <w:b w:val="0"/>
          <w:bCs w:val="0"/>
          <w:sz w:val="24"/>
          <w:szCs w:val="24"/>
        </w:rPr>
      </w:pPr>
      <w:r>
        <w:rPr>
          <w:rFonts w:hint="eastAsia" w:ascii="宋体" w:hAnsi="宋体" w:cs="宋体"/>
          <w:sz w:val="24"/>
          <w:szCs w:val="24"/>
        </w:rPr>
        <w:t>格式4  投标人基本情况表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380"/>
        <w:gridCol w:w="1549"/>
        <w:gridCol w:w="1549"/>
        <w:gridCol w:w="1583"/>
        <w:gridCol w:w="1607"/>
      </w:tblGrid>
      <w:tr w14:paraId="150F5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jc w:val="center"/>
        </w:trPr>
        <w:tc>
          <w:tcPr>
            <w:tcW w:w="1728" w:type="dxa"/>
            <w:vAlign w:val="center"/>
          </w:tcPr>
          <w:p w14:paraId="661DEC1C">
            <w:pPr>
              <w:spacing w:line="360" w:lineRule="auto"/>
              <w:jc w:val="center"/>
              <w:rPr>
                <w:rFonts w:ascii="宋体" w:hAnsi="宋体" w:cs="宋体"/>
                <w:bCs/>
                <w:sz w:val="24"/>
              </w:rPr>
            </w:pPr>
            <w:r>
              <w:rPr>
                <w:rFonts w:hint="eastAsia" w:ascii="宋体" w:hAnsi="宋体" w:cs="宋体"/>
                <w:bCs/>
                <w:sz w:val="24"/>
              </w:rPr>
              <w:t>投标人名称</w:t>
            </w:r>
          </w:p>
        </w:tc>
        <w:tc>
          <w:tcPr>
            <w:tcW w:w="7668" w:type="dxa"/>
            <w:gridSpan w:val="5"/>
            <w:vAlign w:val="center"/>
          </w:tcPr>
          <w:p w14:paraId="1B4911E0">
            <w:pPr>
              <w:spacing w:line="360" w:lineRule="auto"/>
              <w:jc w:val="center"/>
              <w:rPr>
                <w:rFonts w:ascii="宋体" w:hAnsi="宋体" w:cs="宋体"/>
                <w:bCs/>
                <w:sz w:val="24"/>
              </w:rPr>
            </w:pPr>
          </w:p>
        </w:tc>
      </w:tr>
      <w:tr w14:paraId="72EA4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1728" w:type="dxa"/>
            <w:vAlign w:val="center"/>
          </w:tcPr>
          <w:p w14:paraId="0E4A79EC">
            <w:pPr>
              <w:spacing w:line="360" w:lineRule="auto"/>
              <w:ind w:firstLine="240" w:firstLineChars="100"/>
              <w:jc w:val="center"/>
              <w:rPr>
                <w:rFonts w:ascii="宋体" w:hAnsi="宋体" w:cs="宋体"/>
                <w:bCs/>
                <w:sz w:val="24"/>
              </w:rPr>
            </w:pPr>
            <w:r>
              <w:rPr>
                <w:rFonts w:hint="eastAsia" w:ascii="宋体" w:hAnsi="宋体" w:cs="宋体"/>
                <w:bCs/>
                <w:sz w:val="24"/>
              </w:rPr>
              <w:t>地 址</w:t>
            </w:r>
          </w:p>
        </w:tc>
        <w:tc>
          <w:tcPr>
            <w:tcW w:w="7668" w:type="dxa"/>
            <w:gridSpan w:val="5"/>
            <w:vAlign w:val="center"/>
          </w:tcPr>
          <w:p w14:paraId="4D439100">
            <w:pPr>
              <w:spacing w:line="360" w:lineRule="auto"/>
              <w:jc w:val="center"/>
              <w:rPr>
                <w:rFonts w:ascii="宋体" w:hAnsi="宋体" w:cs="宋体"/>
                <w:bCs/>
                <w:sz w:val="24"/>
              </w:rPr>
            </w:pPr>
          </w:p>
        </w:tc>
      </w:tr>
      <w:tr w14:paraId="74C38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728" w:type="dxa"/>
            <w:vAlign w:val="center"/>
          </w:tcPr>
          <w:p w14:paraId="3270E572">
            <w:pPr>
              <w:spacing w:line="360" w:lineRule="auto"/>
              <w:jc w:val="center"/>
              <w:rPr>
                <w:rFonts w:ascii="宋体" w:hAnsi="宋体" w:cs="宋体"/>
                <w:bCs/>
                <w:sz w:val="24"/>
              </w:rPr>
            </w:pPr>
            <w:r>
              <w:rPr>
                <w:rFonts w:hint="eastAsia" w:ascii="宋体" w:hAnsi="宋体" w:cs="宋体"/>
                <w:bCs/>
                <w:sz w:val="24"/>
              </w:rPr>
              <w:t>主管部门</w:t>
            </w:r>
          </w:p>
        </w:tc>
        <w:tc>
          <w:tcPr>
            <w:tcW w:w="1380" w:type="dxa"/>
            <w:vAlign w:val="center"/>
          </w:tcPr>
          <w:p w14:paraId="40B08715">
            <w:pPr>
              <w:spacing w:line="360" w:lineRule="auto"/>
              <w:jc w:val="center"/>
              <w:rPr>
                <w:rFonts w:ascii="宋体" w:hAnsi="宋体" w:cs="宋体"/>
                <w:bCs/>
                <w:sz w:val="24"/>
              </w:rPr>
            </w:pPr>
          </w:p>
        </w:tc>
        <w:tc>
          <w:tcPr>
            <w:tcW w:w="1549" w:type="dxa"/>
            <w:vAlign w:val="center"/>
          </w:tcPr>
          <w:p w14:paraId="44A60805">
            <w:pPr>
              <w:spacing w:line="360" w:lineRule="auto"/>
              <w:jc w:val="center"/>
              <w:rPr>
                <w:rFonts w:ascii="宋体" w:hAnsi="宋体" w:cs="宋体"/>
                <w:bCs/>
                <w:sz w:val="24"/>
              </w:rPr>
            </w:pPr>
            <w:r>
              <w:rPr>
                <w:rFonts w:hint="eastAsia" w:ascii="宋体" w:hAnsi="宋体" w:cs="宋体"/>
                <w:bCs/>
                <w:sz w:val="24"/>
              </w:rPr>
              <w:t>法定代表人</w:t>
            </w:r>
          </w:p>
        </w:tc>
        <w:tc>
          <w:tcPr>
            <w:tcW w:w="1549" w:type="dxa"/>
            <w:vAlign w:val="center"/>
          </w:tcPr>
          <w:p w14:paraId="01039A4C">
            <w:pPr>
              <w:spacing w:line="360" w:lineRule="auto"/>
              <w:jc w:val="center"/>
              <w:rPr>
                <w:rFonts w:ascii="宋体" w:hAnsi="宋体" w:cs="宋体"/>
                <w:bCs/>
                <w:sz w:val="24"/>
              </w:rPr>
            </w:pPr>
          </w:p>
        </w:tc>
        <w:tc>
          <w:tcPr>
            <w:tcW w:w="1583" w:type="dxa"/>
            <w:vAlign w:val="center"/>
          </w:tcPr>
          <w:p w14:paraId="35586583">
            <w:pPr>
              <w:spacing w:line="360" w:lineRule="auto"/>
              <w:ind w:firstLine="240" w:firstLineChars="100"/>
              <w:jc w:val="center"/>
              <w:rPr>
                <w:rFonts w:ascii="宋体" w:hAnsi="宋体" w:cs="宋体"/>
                <w:bCs/>
                <w:sz w:val="24"/>
              </w:rPr>
            </w:pPr>
            <w:r>
              <w:rPr>
                <w:rFonts w:hint="eastAsia" w:ascii="宋体" w:hAnsi="宋体" w:cs="宋体"/>
                <w:bCs/>
                <w:sz w:val="24"/>
              </w:rPr>
              <w:t>职 务</w:t>
            </w:r>
          </w:p>
        </w:tc>
        <w:tc>
          <w:tcPr>
            <w:tcW w:w="1607" w:type="dxa"/>
            <w:vAlign w:val="center"/>
          </w:tcPr>
          <w:p w14:paraId="267476CD">
            <w:pPr>
              <w:spacing w:line="360" w:lineRule="auto"/>
              <w:jc w:val="center"/>
              <w:rPr>
                <w:rFonts w:ascii="宋体" w:hAnsi="宋体" w:cs="宋体"/>
                <w:bCs/>
                <w:sz w:val="24"/>
              </w:rPr>
            </w:pPr>
          </w:p>
        </w:tc>
      </w:tr>
      <w:tr w14:paraId="1B7EF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728" w:type="dxa"/>
            <w:vAlign w:val="center"/>
          </w:tcPr>
          <w:p w14:paraId="43D11849">
            <w:pPr>
              <w:spacing w:line="360" w:lineRule="auto"/>
              <w:jc w:val="center"/>
              <w:rPr>
                <w:rFonts w:ascii="宋体" w:hAnsi="宋体" w:cs="宋体"/>
                <w:bCs/>
                <w:sz w:val="24"/>
              </w:rPr>
            </w:pPr>
            <w:r>
              <w:rPr>
                <w:rFonts w:hint="eastAsia" w:ascii="宋体" w:hAnsi="宋体" w:cs="宋体"/>
                <w:bCs/>
                <w:sz w:val="24"/>
              </w:rPr>
              <w:t>注册时间</w:t>
            </w:r>
          </w:p>
        </w:tc>
        <w:tc>
          <w:tcPr>
            <w:tcW w:w="2929" w:type="dxa"/>
            <w:gridSpan w:val="2"/>
            <w:vAlign w:val="center"/>
          </w:tcPr>
          <w:p w14:paraId="6595F224">
            <w:pPr>
              <w:spacing w:line="360" w:lineRule="auto"/>
              <w:jc w:val="center"/>
              <w:rPr>
                <w:rFonts w:ascii="宋体" w:hAnsi="宋体" w:cs="宋体"/>
                <w:bCs/>
                <w:sz w:val="24"/>
              </w:rPr>
            </w:pPr>
          </w:p>
        </w:tc>
        <w:tc>
          <w:tcPr>
            <w:tcW w:w="1549" w:type="dxa"/>
            <w:vAlign w:val="center"/>
          </w:tcPr>
          <w:p w14:paraId="60B81CDD">
            <w:pPr>
              <w:spacing w:line="360" w:lineRule="auto"/>
              <w:jc w:val="center"/>
              <w:rPr>
                <w:rFonts w:ascii="宋体" w:hAnsi="宋体" w:cs="宋体"/>
                <w:bCs/>
                <w:sz w:val="24"/>
              </w:rPr>
            </w:pPr>
            <w:r>
              <w:rPr>
                <w:rFonts w:hint="eastAsia" w:ascii="宋体" w:hAnsi="宋体" w:cs="宋体"/>
                <w:bCs/>
                <w:sz w:val="24"/>
              </w:rPr>
              <w:t>经济类型</w:t>
            </w:r>
          </w:p>
        </w:tc>
        <w:tc>
          <w:tcPr>
            <w:tcW w:w="3190" w:type="dxa"/>
            <w:gridSpan w:val="2"/>
            <w:vAlign w:val="center"/>
          </w:tcPr>
          <w:p w14:paraId="2F1532CB">
            <w:pPr>
              <w:spacing w:line="360" w:lineRule="auto"/>
              <w:jc w:val="center"/>
              <w:rPr>
                <w:rFonts w:ascii="宋体" w:hAnsi="宋体" w:cs="宋体"/>
                <w:bCs/>
                <w:sz w:val="24"/>
              </w:rPr>
            </w:pPr>
          </w:p>
        </w:tc>
      </w:tr>
      <w:tr w14:paraId="70439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4657" w:type="dxa"/>
            <w:gridSpan w:val="3"/>
            <w:vAlign w:val="center"/>
          </w:tcPr>
          <w:p w14:paraId="21B3A7D1">
            <w:pPr>
              <w:spacing w:line="360" w:lineRule="auto"/>
              <w:jc w:val="center"/>
              <w:rPr>
                <w:rFonts w:ascii="宋体" w:hAnsi="宋体" w:cs="宋体"/>
                <w:bCs/>
                <w:sz w:val="24"/>
              </w:rPr>
            </w:pPr>
            <w:r>
              <w:rPr>
                <w:rFonts w:hint="eastAsia" w:ascii="宋体" w:hAnsi="宋体" w:cs="宋体"/>
                <w:bCs/>
                <w:sz w:val="24"/>
              </w:rPr>
              <w:t>营业执照号</w:t>
            </w:r>
          </w:p>
        </w:tc>
        <w:tc>
          <w:tcPr>
            <w:tcW w:w="4739" w:type="dxa"/>
            <w:gridSpan w:val="3"/>
            <w:vAlign w:val="center"/>
          </w:tcPr>
          <w:p w14:paraId="5E285569">
            <w:pPr>
              <w:spacing w:line="360" w:lineRule="auto"/>
              <w:jc w:val="center"/>
              <w:rPr>
                <w:rFonts w:ascii="宋体" w:hAnsi="宋体" w:cs="宋体"/>
                <w:bCs/>
                <w:sz w:val="24"/>
              </w:rPr>
            </w:pPr>
          </w:p>
        </w:tc>
      </w:tr>
      <w:tr w14:paraId="1061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4657" w:type="dxa"/>
            <w:gridSpan w:val="3"/>
            <w:vAlign w:val="center"/>
          </w:tcPr>
          <w:p w14:paraId="41343831">
            <w:pPr>
              <w:spacing w:line="360" w:lineRule="auto"/>
              <w:jc w:val="center"/>
              <w:rPr>
                <w:rFonts w:ascii="宋体" w:hAnsi="宋体" w:cs="宋体"/>
                <w:bCs/>
                <w:sz w:val="24"/>
              </w:rPr>
            </w:pPr>
            <w:r>
              <w:rPr>
                <w:rFonts w:hint="eastAsia" w:ascii="宋体" w:hAnsi="宋体" w:cs="宋体"/>
                <w:bCs/>
                <w:sz w:val="24"/>
              </w:rPr>
              <w:t>近三年内（20</w:t>
            </w:r>
            <w:r>
              <w:rPr>
                <w:rFonts w:hint="eastAsia" w:ascii="宋体" w:hAnsi="宋体" w:cs="宋体"/>
                <w:bCs/>
                <w:sz w:val="24"/>
                <w:lang w:val="en-US" w:eastAsia="zh-CN"/>
              </w:rPr>
              <w:t>22</w:t>
            </w:r>
            <w:r>
              <w:rPr>
                <w:rFonts w:hint="eastAsia" w:ascii="宋体" w:hAnsi="宋体" w:cs="宋体"/>
                <w:bCs/>
                <w:sz w:val="24"/>
              </w:rPr>
              <w:t>年1月1日至今）经营活动中有无重大违法纪录</w:t>
            </w:r>
          </w:p>
        </w:tc>
        <w:tc>
          <w:tcPr>
            <w:tcW w:w="4739" w:type="dxa"/>
            <w:gridSpan w:val="3"/>
            <w:vAlign w:val="center"/>
          </w:tcPr>
          <w:p w14:paraId="60C21B42">
            <w:pPr>
              <w:spacing w:line="360" w:lineRule="auto"/>
              <w:jc w:val="center"/>
              <w:rPr>
                <w:rFonts w:ascii="宋体" w:hAnsi="宋体" w:cs="宋体"/>
                <w:bCs/>
                <w:sz w:val="24"/>
              </w:rPr>
            </w:pPr>
          </w:p>
        </w:tc>
      </w:tr>
      <w:tr w14:paraId="6B56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jc w:val="center"/>
        </w:trPr>
        <w:tc>
          <w:tcPr>
            <w:tcW w:w="1728" w:type="dxa"/>
            <w:vAlign w:val="center"/>
          </w:tcPr>
          <w:p w14:paraId="12F3F2FE">
            <w:pPr>
              <w:spacing w:line="360" w:lineRule="auto"/>
              <w:jc w:val="center"/>
              <w:rPr>
                <w:rFonts w:ascii="宋体" w:hAnsi="宋体" w:cs="宋体"/>
                <w:bCs/>
                <w:sz w:val="24"/>
              </w:rPr>
            </w:pPr>
            <w:r>
              <w:rPr>
                <w:rFonts w:hint="eastAsia" w:ascii="宋体" w:hAnsi="宋体" w:cs="宋体"/>
                <w:bCs/>
                <w:sz w:val="24"/>
              </w:rPr>
              <w:t>是否依法缴纳税收</w:t>
            </w:r>
          </w:p>
        </w:tc>
        <w:tc>
          <w:tcPr>
            <w:tcW w:w="2929" w:type="dxa"/>
            <w:gridSpan w:val="2"/>
            <w:vAlign w:val="center"/>
          </w:tcPr>
          <w:p w14:paraId="4B85C001">
            <w:pPr>
              <w:spacing w:line="360" w:lineRule="auto"/>
              <w:jc w:val="center"/>
              <w:rPr>
                <w:rFonts w:ascii="宋体" w:hAnsi="宋体" w:cs="宋体"/>
                <w:bCs/>
                <w:sz w:val="24"/>
              </w:rPr>
            </w:pPr>
          </w:p>
        </w:tc>
        <w:tc>
          <w:tcPr>
            <w:tcW w:w="1549" w:type="dxa"/>
            <w:vAlign w:val="center"/>
          </w:tcPr>
          <w:p w14:paraId="7610FA33">
            <w:pPr>
              <w:spacing w:line="360" w:lineRule="auto"/>
              <w:jc w:val="center"/>
              <w:rPr>
                <w:rFonts w:ascii="宋体" w:hAnsi="宋体" w:cs="宋体"/>
                <w:bCs/>
                <w:sz w:val="24"/>
              </w:rPr>
            </w:pPr>
            <w:r>
              <w:rPr>
                <w:rFonts w:hint="eastAsia" w:ascii="宋体" w:hAnsi="宋体" w:cs="宋体"/>
                <w:bCs/>
                <w:sz w:val="24"/>
              </w:rPr>
              <w:t>是否依法缴纳社会保障资金</w:t>
            </w:r>
          </w:p>
        </w:tc>
        <w:tc>
          <w:tcPr>
            <w:tcW w:w="3190" w:type="dxa"/>
            <w:gridSpan w:val="2"/>
            <w:vAlign w:val="center"/>
          </w:tcPr>
          <w:p w14:paraId="569DC32F">
            <w:pPr>
              <w:spacing w:line="360" w:lineRule="auto"/>
              <w:jc w:val="center"/>
              <w:rPr>
                <w:rFonts w:ascii="宋体" w:hAnsi="宋体" w:cs="宋体"/>
                <w:bCs/>
                <w:sz w:val="24"/>
              </w:rPr>
            </w:pPr>
          </w:p>
        </w:tc>
      </w:tr>
      <w:tr w14:paraId="2B270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1728" w:type="dxa"/>
            <w:vMerge w:val="restart"/>
            <w:vAlign w:val="center"/>
          </w:tcPr>
          <w:p w14:paraId="6B8036FA">
            <w:pPr>
              <w:spacing w:line="360" w:lineRule="auto"/>
              <w:jc w:val="center"/>
              <w:rPr>
                <w:rFonts w:ascii="宋体" w:hAnsi="宋体" w:cs="宋体"/>
                <w:bCs/>
                <w:sz w:val="24"/>
              </w:rPr>
            </w:pPr>
            <w:r>
              <w:rPr>
                <w:rFonts w:hint="eastAsia" w:ascii="宋体" w:hAnsi="宋体" w:cs="宋体"/>
                <w:bCs/>
                <w:sz w:val="24"/>
              </w:rPr>
              <w:t>单</w:t>
            </w:r>
          </w:p>
          <w:p w14:paraId="3C6DEABC">
            <w:pPr>
              <w:spacing w:line="360" w:lineRule="auto"/>
              <w:jc w:val="center"/>
              <w:rPr>
                <w:rFonts w:ascii="宋体" w:hAnsi="宋体" w:cs="宋体"/>
                <w:bCs/>
                <w:sz w:val="24"/>
              </w:rPr>
            </w:pPr>
            <w:r>
              <w:rPr>
                <w:rFonts w:hint="eastAsia" w:ascii="宋体" w:hAnsi="宋体" w:cs="宋体"/>
                <w:bCs/>
                <w:sz w:val="24"/>
              </w:rPr>
              <w:t>位</w:t>
            </w:r>
          </w:p>
          <w:p w14:paraId="44986766">
            <w:pPr>
              <w:spacing w:line="360" w:lineRule="auto"/>
              <w:jc w:val="center"/>
              <w:rPr>
                <w:rFonts w:ascii="宋体" w:hAnsi="宋体" w:cs="宋体"/>
                <w:bCs/>
                <w:sz w:val="24"/>
              </w:rPr>
            </w:pPr>
            <w:r>
              <w:rPr>
                <w:rFonts w:hint="eastAsia" w:ascii="宋体" w:hAnsi="宋体" w:cs="宋体"/>
                <w:bCs/>
                <w:sz w:val="24"/>
              </w:rPr>
              <w:t>概</w:t>
            </w:r>
          </w:p>
          <w:p w14:paraId="4BD3DA14">
            <w:pPr>
              <w:spacing w:line="360" w:lineRule="auto"/>
              <w:jc w:val="center"/>
              <w:rPr>
                <w:rFonts w:ascii="宋体" w:hAnsi="宋体" w:cs="宋体"/>
                <w:bCs/>
                <w:sz w:val="24"/>
              </w:rPr>
            </w:pPr>
            <w:r>
              <w:rPr>
                <w:rFonts w:hint="eastAsia" w:ascii="宋体" w:hAnsi="宋体" w:cs="宋体"/>
                <w:bCs/>
                <w:sz w:val="24"/>
              </w:rPr>
              <w:t>况</w:t>
            </w:r>
          </w:p>
        </w:tc>
        <w:tc>
          <w:tcPr>
            <w:tcW w:w="1380" w:type="dxa"/>
            <w:vAlign w:val="center"/>
          </w:tcPr>
          <w:p w14:paraId="590A8069">
            <w:pPr>
              <w:spacing w:line="360" w:lineRule="auto"/>
              <w:jc w:val="center"/>
              <w:rPr>
                <w:rFonts w:ascii="宋体" w:hAnsi="宋体" w:cs="宋体"/>
                <w:bCs/>
                <w:sz w:val="24"/>
              </w:rPr>
            </w:pPr>
            <w:r>
              <w:rPr>
                <w:rFonts w:hint="eastAsia" w:ascii="宋体" w:hAnsi="宋体" w:cs="宋体"/>
                <w:bCs/>
                <w:sz w:val="24"/>
              </w:rPr>
              <w:t>注册资本</w:t>
            </w:r>
          </w:p>
        </w:tc>
        <w:tc>
          <w:tcPr>
            <w:tcW w:w="1549" w:type="dxa"/>
            <w:vAlign w:val="center"/>
          </w:tcPr>
          <w:p w14:paraId="6C8CB6C9">
            <w:pPr>
              <w:spacing w:line="360" w:lineRule="auto"/>
              <w:jc w:val="center"/>
              <w:rPr>
                <w:rFonts w:ascii="宋体" w:hAnsi="宋体" w:cs="宋体"/>
                <w:bCs/>
                <w:sz w:val="24"/>
              </w:rPr>
            </w:pPr>
            <w:r>
              <w:rPr>
                <w:rFonts w:hint="eastAsia" w:ascii="宋体" w:hAnsi="宋体" w:cs="宋体"/>
                <w:bCs/>
                <w:sz w:val="24"/>
              </w:rPr>
              <w:t>万元</w:t>
            </w:r>
          </w:p>
        </w:tc>
        <w:tc>
          <w:tcPr>
            <w:tcW w:w="1549" w:type="dxa"/>
            <w:vAlign w:val="center"/>
          </w:tcPr>
          <w:p w14:paraId="48FF0682">
            <w:pPr>
              <w:spacing w:line="360" w:lineRule="auto"/>
              <w:jc w:val="center"/>
              <w:rPr>
                <w:rFonts w:ascii="宋体" w:hAnsi="宋体" w:cs="宋体"/>
                <w:bCs/>
                <w:sz w:val="24"/>
              </w:rPr>
            </w:pPr>
            <w:r>
              <w:rPr>
                <w:rFonts w:hint="eastAsia" w:ascii="宋体" w:hAnsi="宋体" w:cs="宋体"/>
                <w:bCs/>
                <w:sz w:val="24"/>
              </w:rPr>
              <w:t>占地面积</w:t>
            </w:r>
          </w:p>
        </w:tc>
        <w:tc>
          <w:tcPr>
            <w:tcW w:w="3190" w:type="dxa"/>
            <w:gridSpan w:val="2"/>
            <w:vAlign w:val="center"/>
          </w:tcPr>
          <w:p w14:paraId="06E33CA0">
            <w:pPr>
              <w:spacing w:line="360" w:lineRule="auto"/>
              <w:jc w:val="center"/>
              <w:rPr>
                <w:rFonts w:ascii="宋体" w:hAnsi="宋体" w:cs="宋体"/>
                <w:bCs/>
                <w:sz w:val="24"/>
              </w:rPr>
            </w:pPr>
            <w:r>
              <w:rPr>
                <w:rFonts w:hint="eastAsia" w:ascii="宋体" w:hAnsi="宋体" w:cs="宋体"/>
                <w:bCs/>
                <w:sz w:val="24"/>
              </w:rPr>
              <w:t>平方米</w:t>
            </w:r>
          </w:p>
        </w:tc>
      </w:tr>
      <w:tr w14:paraId="101B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1728" w:type="dxa"/>
            <w:vMerge w:val="continue"/>
            <w:vAlign w:val="center"/>
          </w:tcPr>
          <w:p w14:paraId="51350196">
            <w:pPr>
              <w:spacing w:line="360" w:lineRule="auto"/>
              <w:jc w:val="center"/>
              <w:rPr>
                <w:rFonts w:ascii="宋体" w:hAnsi="宋体" w:cs="宋体"/>
                <w:bCs/>
                <w:sz w:val="24"/>
              </w:rPr>
            </w:pPr>
          </w:p>
        </w:tc>
        <w:tc>
          <w:tcPr>
            <w:tcW w:w="1380" w:type="dxa"/>
            <w:vAlign w:val="center"/>
          </w:tcPr>
          <w:p w14:paraId="57C5A838">
            <w:pPr>
              <w:spacing w:line="360" w:lineRule="auto"/>
              <w:jc w:val="center"/>
              <w:rPr>
                <w:rFonts w:ascii="宋体" w:hAnsi="宋体" w:cs="宋体"/>
                <w:bCs/>
                <w:sz w:val="24"/>
              </w:rPr>
            </w:pPr>
            <w:r>
              <w:rPr>
                <w:rFonts w:hint="eastAsia" w:ascii="宋体" w:hAnsi="宋体" w:cs="宋体"/>
                <w:bCs/>
                <w:sz w:val="24"/>
              </w:rPr>
              <w:t>职工总数</w:t>
            </w:r>
          </w:p>
        </w:tc>
        <w:tc>
          <w:tcPr>
            <w:tcW w:w="1549" w:type="dxa"/>
            <w:vAlign w:val="center"/>
          </w:tcPr>
          <w:p w14:paraId="5C197F84">
            <w:pPr>
              <w:spacing w:line="360" w:lineRule="auto"/>
              <w:jc w:val="center"/>
              <w:rPr>
                <w:rFonts w:ascii="宋体" w:hAnsi="宋体" w:cs="宋体"/>
                <w:bCs/>
                <w:sz w:val="24"/>
              </w:rPr>
            </w:pPr>
            <w:r>
              <w:rPr>
                <w:rFonts w:hint="eastAsia" w:ascii="宋体" w:hAnsi="宋体" w:cs="宋体"/>
                <w:bCs/>
                <w:sz w:val="24"/>
              </w:rPr>
              <w:t>人</w:t>
            </w:r>
          </w:p>
        </w:tc>
        <w:tc>
          <w:tcPr>
            <w:tcW w:w="1549" w:type="dxa"/>
            <w:vAlign w:val="center"/>
          </w:tcPr>
          <w:p w14:paraId="3FCFE811">
            <w:pPr>
              <w:spacing w:line="360" w:lineRule="auto"/>
              <w:jc w:val="center"/>
              <w:rPr>
                <w:rFonts w:ascii="宋体" w:hAnsi="宋体" w:cs="宋体"/>
                <w:bCs/>
                <w:sz w:val="24"/>
              </w:rPr>
            </w:pPr>
            <w:r>
              <w:rPr>
                <w:rFonts w:hint="eastAsia" w:ascii="宋体" w:hAnsi="宋体" w:cs="宋体"/>
                <w:bCs/>
                <w:sz w:val="24"/>
              </w:rPr>
              <w:t>建筑面积</w:t>
            </w:r>
          </w:p>
        </w:tc>
        <w:tc>
          <w:tcPr>
            <w:tcW w:w="3190" w:type="dxa"/>
            <w:gridSpan w:val="2"/>
            <w:vAlign w:val="center"/>
          </w:tcPr>
          <w:p w14:paraId="77881D9B">
            <w:pPr>
              <w:spacing w:line="360" w:lineRule="auto"/>
              <w:ind w:firstLine="1800" w:firstLineChars="750"/>
              <w:jc w:val="center"/>
              <w:rPr>
                <w:rFonts w:ascii="宋体" w:hAnsi="宋体" w:cs="宋体"/>
                <w:bCs/>
                <w:sz w:val="24"/>
              </w:rPr>
            </w:pPr>
            <w:r>
              <w:rPr>
                <w:rFonts w:hint="eastAsia" w:ascii="宋体" w:hAnsi="宋体" w:cs="宋体"/>
                <w:bCs/>
                <w:sz w:val="24"/>
              </w:rPr>
              <w:t>平方米</w:t>
            </w:r>
          </w:p>
        </w:tc>
      </w:tr>
      <w:tr w14:paraId="46054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1728" w:type="dxa"/>
            <w:vMerge w:val="continue"/>
            <w:vAlign w:val="center"/>
          </w:tcPr>
          <w:p w14:paraId="7D619CA9">
            <w:pPr>
              <w:spacing w:line="360" w:lineRule="auto"/>
              <w:jc w:val="center"/>
              <w:rPr>
                <w:rFonts w:ascii="宋体" w:hAnsi="宋体" w:cs="宋体"/>
                <w:bCs/>
                <w:sz w:val="24"/>
              </w:rPr>
            </w:pPr>
          </w:p>
        </w:tc>
        <w:tc>
          <w:tcPr>
            <w:tcW w:w="1380" w:type="dxa"/>
            <w:vMerge w:val="restart"/>
            <w:vAlign w:val="center"/>
          </w:tcPr>
          <w:p w14:paraId="3EDC5E8B">
            <w:pPr>
              <w:spacing w:line="360" w:lineRule="auto"/>
              <w:ind w:firstLine="240" w:firstLineChars="100"/>
              <w:jc w:val="center"/>
              <w:rPr>
                <w:rFonts w:ascii="宋体" w:hAnsi="宋体" w:cs="宋体"/>
                <w:bCs/>
                <w:sz w:val="24"/>
              </w:rPr>
            </w:pPr>
            <w:r>
              <w:rPr>
                <w:rFonts w:hint="eastAsia" w:ascii="宋体" w:hAnsi="宋体" w:cs="宋体"/>
                <w:bCs/>
                <w:sz w:val="24"/>
              </w:rPr>
              <w:t>资产</w:t>
            </w:r>
          </w:p>
          <w:p w14:paraId="538E5576">
            <w:pPr>
              <w:spacing w:line="360" w:lineRule="auto"/>
              <w:ind w:firstLine="240" w:firstLineChars="100"/>
              <w:jc w:val="center"/>
              <w:rPr>
                <w:rFonts w:ascii="宋体" w:hAnsi="宋体" w:cs="宋体"/>
                <w:bCs/>
                <w:sz w:val="24"/>
              </w:rPr>
            </w:pPr>
            <w:r>
              <w:rPr>
                <w:rFonts w:hint="eastAsia" w:ascii="宋体" w:hAnsi="宋体" w:cs="宋体"/>
                <w:bCs/>
                <w:sz w:val="24"/>
              </w:rPr>
              <w:t>情况</w:t>
            </w:r>
          </w:p>
        </w:tc>
        <w:tc>
          <w:tcPr>
            <w:tcW w:w="3098" w:type="dxa"/>
            <w:gridSpan w:val="2"/>
            <w:vAlign w:val="center"/>
          </w:tcPr>
          <w:p w14:paraId="5186F5C4">
            <w:pPr>
              <w:spacing w:line="360" w:lineRule="auto"/>
              <w:jc w:val="center"/>
              <w:rPr>
                <w:rFonts w:ascii="宋体" w:hAnsi="宋体" w:cs="宋体"/>
                <w:bCs/>
                <w:sz w:val="24"/>
              </w:rPr>
            </w:pPr>
            <w:r>
              <w:rPr>
                <w:rFonts w:hint="eastAsia" w:ascii="宋体" w:hAnsi="宋体" w:cs="宋体"/>
                <w:bCs/>
                <w:sz w:val="24"/>
              </w:rPr>
              <w:t>净资产：        万元</w:t>
            </w:r>
          </w:p>
        </w:tc>
        <w:tc>
          <w:tcPr>
            <w:tcW w:w="3190" w:type="dxa"/>
            <w:gridSpan w:val="2"/>
            <w:vMerge w:val="restart"/>
            <w:vAlign w:val="center"/>
          </w:tcPr>
          <w:p w14:paraId="334959E6">
            <w:pPr>
              <w:spacing w:line="360" w:lineRule="auto"/>
              <w:jc w:val="center"/>
              <w:rPr>
                <w:rFonts w:ascii="宋体" w:hAnsi="宋体" w:cs="宋体"/>
                <w:bCs/>
                <w:sz w:val="24"/>
              </w:rPr>
            </w:pPr>
            <w:r>
              <w:rPr>
                <w:rFonts w:hint="eastAsia" w:ascii="宋体" w:hAnsi="宋体" w:cs="宋体"/>
                <w:bCs/>
                <w:sz w:val="24"/>
              </w:rPr>
              <w:t>固定资产原值 ：      万元</w:t>
            </w:r>
          </w:p>
          <w:p w14:paraId="47C58823">
            <w:pPr>
              <w:spacing w:line="360" w:lineRule="auto"/>
              <w:jc w:val="center"/>
              <w:rPr>
                <w:rFonts w:ascii="宋体" w:hAnsi="宋体" w:cs="宋体"/>
                <w:bCs/>
                <w:sz w:val="24"/>
              </w:rPr>
            </w:pPr>
            <w:r>
              <w:rPr>
                <w:rFonts w:hint="eastAsia" w:ascii="宋体" w:hAnsi="宋体" w:cs="宋体"/>
                <w:bCs/>
                <w:sz w:val="24"/>
              </w:rPr>
              <w:t>固定资产净值：       万元</w:t>
            </w:r>
          </w:p>
        </w:tc>
      </w:tr>
      <w:tr w14:paraId="06496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jc w:val="center"/>
        </w:trPr>
        <w:tc>
          <w:tcPr>
            <w:tcW w:w="1728" w:type="dxa"/>
            <w:vMerge w:val="continue"/>
            <w:vAlign w:val="center"/>
          </w:tcPr>
          <w:p w14:paraId="0ABAE170">
            <w:pPr>
              <w:spacing w:line="360" w:lineRule="auto"/>
              <w:jc w:val="center"/>
              <w:rPr>
                <w:rFonts w:ascii="宋体" w:hAnsi="宋体" w:cs="宋体"/>
                <w:bCs/>
                <w:sz w:val="24"/>
              </w:rPr>
            </w:pPr>
          </w:p>
        </w:tc>
        <w:tc>
          <w:tcPr>
            <w:tcW w:w="1380" w:type="dxa"/>
            <w:vMerge w:val="continue"/>
            <w:vAlign w:val="center"/>
          </w:tcPr>
          <w:p w14:paraId="08727B8B">
            <w:pPr>
              <w:spacing w:line="360" w:lineRule="auto"/>
              <w:jc w:val="center"/>
              <w:rPr>
                <w:rFonts w:ascii="宋体" w:hAnsi="宋体" w:cs="宋体"/>
                <w:bCs/>
                <w:sz w:val="24"/>
              </w:rPr>
            </w:pPr>
          </w:p>
        </w:tc>
        <w:tc>
          <w:tcPr>
            <w:tcW w:w="3098" w:type="dxa"/>
            <w:gridSpan w:val="2"/>
            <w:vAlign w:val="center"/>
          </w:tcPr>
          <w:p w14:paraId="1663B54D">
            <w:pPr>
              <w:spacing w:line="360" w:lineRule="auto"/>
              <w:jc w:val="center"/>
              <w:rPr>
                <w:rFonts w:ascii="宋体" w:hAnsi="宋体" w:cs="宋体"/>
                <w:bCs/>
                <w:sz w:val="24"/>
              </w:rPr>
            </w:pPr>
            <w:r>
              <w:rPr>
                <w:rFonts w:hint="eastAsia" w:ascii="宋体" w:hAnsi="宋体" w:cs="宋体"/>
                <w:bCs/>
                <w:sz w:val="24"/>
              </w:rPr>
              <w:t>负 债：         万元</w:t>
            </w:r>
          </w:p>
        </w:tc>
        <w:tc>
          <w:tcPr>
            <w:tcW w:w="3190" w:type="dxa"/>
            <w:gridSpan w:val="2"/>
            <w:vMerge w:val="continue"/>
            <w:vAlign w:val="center"/>
          </w:tcPr>
          <w:p w14:paraId="7FEB159D">
            <w:pPr>
              <w:spacing w:line="360" w:lineRule="auto"/>
              <w:jc w:val="center"/>
              <w:rPr>
                <w:rFonts w:ascii="宋体" w:hAnsi="宋体" w:cs="宋体"/>
                <w:bCs/>
                <w:sz w:val="24"/>
              </w:rPr>
            </w:pPr>
          </w:p>
        </w:tc>
      </w:tr>
      <w:tr w14:paraId="34F6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1728" w:type="dxa"/>
            <w:vMerge w:val="restart"/>
            <w:vAlign w:val="center"/>
          </w:tcPr>
          <w:p w14:paraId="1CE3E77F">
            <w:pPr>
              <w:spacing w:line="360" w:lineRule="auto"/>
              <w:ind w:firstLine="120" w:firstLineChars="50"/>
              <w:jc w:val="center"/>
              <w:rPr>
                <w:rFonts w:ascii="宋体" w:hAnsi="宋体" w:cs="宋体"/>
                <w:bCs/>
                <w:sz w:val="24"/>
              </w:rPr>
            </w:pPr>
            <w:r>
              <w:rPr>
                <w:rFonts w:hint="eastAsia" w:ascii="宋体" w:hAnsi="宋体" w:cs="宋体"/>
                <w:bCs/>
                <w:sz w:val="24"/>
              </w:rPr>
              <w:t>财务状况</w:t>
            </w:r>
          </w:p>
          <w:p w14:paraId="4E56DB85">
            <w:pPr>
              <w:spacing w:line="360" w:lineRule="auto"/>
              <w:jc w:val="center"/>
              <w:rPr>
                <w:rFonts w:ascii="宋体" w:hAnsi="宋体" w:cs="宋体"/>
                <w:bCs/>
                <w:sz w:val="24"/>
              </w:rPr>
            </w:pPr>
            <w:r>
              <w:rPr>
                <w:rFonts w:hint="eastAsia" w:ascii="宋体" w:hAnsi="宋体" w:cs="宋体"/>
                <w:bCs/>
                <w:sz w:val="24"/>
              </w:rPr>
              <w:t>（最近三年20</w:t>
            </w:r>
            <w:r>
              <w:rPr>
                <w:rFonts w:hint="eastAsia" w:ascii="宋体" w:hAnsi="宋体" w:cs="宋体"/>
                <w:bCs/>
                <w:sz w:val="24"/>
                <w:lang w:val="en-US" w:eastAsia="zh-CN"/>
              </w:rPr>
              <w:t>22</w:t>
            </w:r>
            <w:r>
              <w:rPr>
                <w:rFonts w:hint="eastAsia" w:ascii="宋体" w:hAnsi="宋体" w:cs="宋体"/>
                <w:bCs/>
                <w:sz w:val="24"/>
              </w:rPr>
              <w:t>年至202</w:t>
            </w:r>
            <w:r>
              <w:rPr>
                <w:rFonts w:hint="eastAsia" w:ascii="宋体" w:hAnsi="宋体" w:cs="宋体"/>
                <w:bCs/>
                <w:sz w:val="24"/>
                <w:lang w:val="en-US" w:eastAsia="zh-CN"/>
              </w:rPr>
              <w:t>4</w:t>
            </w:r>
            <w:r>
              <w:rPr>
                <w:rFonts w:hint="eastAsia" w:ascii="宋体" w:hAnsi="宋体" w:cs="宋体"/>
                <w:bCs/>
                <w:sz w:val="24"/>
              </w:rPr>
              <w:t>年）</w:t>
            </w:r>
          </w:p>
        </w:tc>
        <w:tc>
          <w:tcPr>
            <w:tcW w:w="1380" w:type="dxa"/>
            <w:vAlign w:val="center"/>
          </w:tcPr>
          <w:p w14:paraId="11E90974">
            <w:pPr>
              <w:spacing w:line="360" w:lineRule="auto"/>
              <w:jc w:val="center"/>
              <w:rPr>
                <w:rFonts w:ascii="宋体" w:hAnsi="宋体" w:cs="宋体"/>
                <w:bCs/>
                <w:sz w:val="24"/>
              </w:rPr>
            </w:pPr>
            <w:r>
              <w:rPr>
                <w:rFonts w:hint="eastAsia" w:ascii="宋体" w:hAnsi="宋体" w:cs="宋体"/>
                <w:bCs/>
                <w:sz w:val="24"/>
              </w:rPr>
              <w:t>年份</w:t>
            </w:r>
          </w:p>
        </w:tc>
        <w:tc>
          <w:tcPr>
            <w:tcW w:w="1549" w:type="dxa"/>
            <w:vAlign w:val="center"/>
          </w:tcPr>
          <w:p w14:paraId="31275640">
            <w:pPr>
              <w:spacing w:line="360" w:lineRule="auto"/>
              <w:jc w:val="center"/>
              <w:rPr>
                <w:rFonts w:ascii="宋体" w:hAnsi="宋体" w:cs="宋体"/>
                <w:bCs/>
                <w:sz w:val="24"/>
              </w:rPr>
            </w:pPr>
            <w:r>
              <w:rPr>
                <w:rFonts w:hint="eastAsia" w:ascii="宋体" w:hAnsi="宋体" w:cs="宋体"/>
                <w:bCs/>
                <w:sz w:val="24"/>
              </w:rPr>
              <w:t>主营收入</w:t>
            </w:r>
          </w:p>
          <w:p w14:paraId="5338DA0D">
            <w:pPr>
              <w:spacing w:line="360" w:lineRule="auto"/>
              <w:jc w:val="center"/>
              <w:rPr>
                <w:rFonts w:ascii="宋体" w:hAnsi="宋体" w:cs="宋体"/>
                <w:bCs/>
                <w:sz w:val="24"/>
              </w:rPr>
            </w:pPr>
            <w:r>
              <w:rPr>
                <w:rFonts w:hint="eastAsia" w:ascii="宋体" w:hAnsi="宋体" w:cs="宋体"/>
                <w:bCs/>
                <w:sz w:val="24"/>
              </w:rPr>
              <w:t>（万元）</w:t>
            </w:r>
          </w:p>
        </w:tc>
        <w:tc>
          <w:tcPr>
            <w:tcW w:w="1549" w:type="dxa"/>
            <w:vAlign w:val="center"/>
          </w:tcPr>
          <w:p w14:paraId="6021987C">
            <w:pPr>
              <w:spacing w:line="360" w:lineRule="auto"/>
              <w:jc w:val="center"/>
              <w:rPr>
                <w:rFonts w:ascii="宋体" w:hAnsi="宋体" w:cs="宋体"/>
                <w:bCs/>
                <w:sz w:val="24"/>
              </w:rPr>
            </w:pPr>
            <w:r>
              <w:rPr>
                <w:rFonts w:hint="eastAsia" w:ascii="宋体" w:hAnsi="宋体" w:cs="宋体"/>
                <w:bCs/>
                <w:sz w:val="24"/>
              </w:rPr>
              <w:t>收入总额</w:t>
            </w:r>
          </w:p>
          <w:p w14:paraId="7F649889">
            <w:pPr>
              <w:spacing w:line="360" w:lineRule="auto"/>
              <w:jc w:val="center"/>
              <w:rPr>
                <w:rFonts w:ascii="宋体" w:hAnsi="宋体" w:cs="宋体"/>
                <w:bCs/>
                <w:sz w:val="24"/>
              </w:rPr>
            </w:pPr>
            <w:r>
              <w:rPr>
                <w:rFonts w:hint="eastAsia" w:ascii="宋体" w:hAnsi="宋体" w:cs="宋体"/>
                <w:bCs/>
                <w:sz w:val="24"/>
              </w:rPr>
              <w:t>（万元）</w:t>
            </w:r>
          </w:p>
        </w:tc>
        <w:tc>
          <w:tcPr>
            <w:tcW w:w="1583" w:type="dxa"/>
            <w:vAlign w:val="center"/>
          </w:tcPr>
          <w:p w14:paraId="2461E0D0">
            <w:pPr>
              <w:spacing w:line="360" w:lineRule="auto"/>
              <w:jc w:val="center"/>
              <w:rPr>
                <w:rFonts w:ascii="宋体" w:hAnsi="宋体" w:cs="宋体"/>
                <w:bCs/>
                <w:sz w:val="24"/>
              </w:rPr>
            </w:pPr>
            <w:r>
              <w:rPr>
                <w:rFonts w:hint="eastAsia" w:ascii="宋体" w:hAnsi="宋体" w:cs="宋体"/>
                <w:bCs/>
                <w:sz w:val="24"/>
              </w:rPr>
              <w:t>利润总额</w:t>
            </w:r>
          </w:p>
          <w:p w14:paraId="64754BC7">
            <w:pPr>
              <w:spacing w:line="360" w:lineRule="auto"/>
              <w:jc w:val="center"/>
              <w:rPr>
                <w:rFonts w:ascii="宋体" w:hAnsi="宋体" w:cs="宋体"/>
                <w:bCs/>
                <w:sz w:val="24"/>
              </w:rPr>
            </w:pPr>
            <w:r>
              <w:rPr>
                <w:rFonts w:hint="eastAsia" w:ascii="宋体" w:hAnsi="宋体" w:cs="宋体"/>
                <w:bCs/>
                <w:sz w:val="24"/>
              </w:rPr>
              <w:t>（万元）</w:t>
            </w:r>
          </w:p>
        </w:tc>
        <w:tc>
          <w:tcPr>
            <w:tcW w:w="1607" w:type="dxa"/>
            <w:vAlign w:val="center"/>
          </w:tcPr>
          <w:p w14:paraId="61A1A331">
            <w:pPr>
              <w:spacing w:line="360" w:lineRule="auto"/>
              <w:ind w:firstLine="240" w:firstLineChars="100"/>
              <w:jc w:val="center"/>
              <w:rPr>
                <w:rFonts w:ascii="宋体" w:hAnsi="宋体" w:cs="宋体"/>
                <w:bCs/>
                <w:sz w:val="24"/>
              </w:rPr>
            </w:pPr>
            <w:r>
              <w:rPr>
                <w:rFonts w:hint="eastAsia" w:ascii="宋体" w:hAnsi="宋体" w:cs="宋体"/>
                <w:bCs/>
                <w:sz w:val="24"/>
              </w:rPr>
              <w:t>净利润</w:t>
            </w:r>
          </w:p>
          <w:p w14:paraId="57236E4E">
            <w:pPr>
              <w:spacing w:line="360" w:lineRule="auto"/>
              <w:ind w:firstLine="240" w:firstLineChars="100"/>
              <w:jc w:val="center"/>
              <w:rPr>
                <w:rFonts w:ascii="宋体" w:hAnsi="宋体" w:cs="宋体"/>
                <w:bCs/>
                <w:sz w:val="24"/>
              </w:rPr>
            </w:pPr>
            <w:r>
              <w:rPr>
                <w:rFonts w:hint="eastAsia" w:ascii="宋体" w:hAnsi="宋体" w:cs="宋体"/>
                <w:bCs/>
                <w:sz w:val="24"/>
              </w:rPr>
              <w:t>（万元）</w:t>
            </w:r>
          </w:p>
        </w:tc>
      </w:tr>
      <w:tr w14:paraId="1DD09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1728" w:type="dxa"/>
            <w:vMerge w:val="continue"/>
            <w:vAlign w:val="center"/>
          </w:tcPr>
          <w:p w14:paraId="3FC3718E">
            <w:pPr>
              <w:spacing w:line="360" w:lineRule="auto"/>
              <w:jc w:val="center"/>
              <w:rPr>
                <w:rFonts w:ascii="宋体" w:hAnsi="宋体" w:cs="宋体"/>
                <w:bCs/>
                <w:sz w:val="24"/>
              </w:rPr>
            </w:pPr>
          </w:p>
        </w:tc>
        <w:tc>
          <w:tcPr>
            <w:tcW w:w="1380" w:type="dxa"/>
            <w:vAlign w:val="center"/>
          </w:tcPr>
          <w:p w14:paraId="27FA47B4">
            <w:pPr>
              <w:spacing w:line="360" w:lineRule="auto"/>
              <w:jc w:val="center"/>
              <w:rPr>
                <w:rFonts w:ascii="宋体" w:hAnsi="宋体" w:cs="宋体"/>
                <w:bCs/>
                <w:sz w:val="24"/>
              </w:rPr>
            </w:pPr>
          </w:p>
        </w:tc>
        <w:tc>
          <w:tcPr>
            <w:tcW w:w="1549" w:type="dxa"/>
            <w:vAlign w:val="center"/>
          </w:tcPr>
          <w:p w14:paraId="01DA65E1">
            <w:pPr>
              <w:spacing w:line="360" w:lineRule="auto"/>
              <w:jc w:val="center"/>
              <w:rPr>
                <w:rFonts w:ascii="宋体" w:hAnsi="宋体" w:cs="宋体"/>
                <w:bCs/>
                <w:sz w:val="24"/>
              </w:rPr>
            </w:pPr>
          </w:p>
        </w:tc>
        <w:tc>
          <w:tcPr>
            <w:tcW w:w="1549" w:type="dxa"/>
            <w:vAlign w:val="center"/>
          </w:tcPr>
          <w:p w14:paraId="6923CAAA">
            <w:pPr>
              <w:spacing w:line="360" w:lineRule="auto"/>
              <w:jc w:val="center"/>
              <w:rPr>
                <w:rFonts w:ascii="宋体" w:hAnsi="宋体" w:cs="宋体"/>
                <w:bCs/>
                <w:sz w:val="24"/>
              </w:rPr>
            </w:pPr>
          </w:p>
        </w:tc>
        <w:tc>
          <w:tcPr>
            <w:tcW w:w="1583" w:type="dxa"/>
            <w:vAlign w:val="center"/>
          </w:tcPr>
          <w:p w14:paraId="04264205">
            <w:pPr>
              <w:spacing w:line="360" w:lineRule="auto"/>
              <w:jc w:val="center"/>
              <w:rPr>
                <w:rFonts w:ascii="宋体" w:hAnsi="宋体" w:cs="宋体"/>
                <w:bCs/>
                <w:sz w:val="24"/>
              </w:rPr>
            </w:pPr>
          </w:p>
        </w:tc>
        <w:tc>
          <w:tcPr>
            <w:tcW w:w="1607" w:type="dxa"/>
            <w:vAlign w:val="center"/>
          </w:tcPr>
          <w:p w14:paraId="3BC78F17">
            <w:pPr>
              <w:spacing w:line="360" w:lineRule="auto"/>
              <w:jc w:val="center"/>
              <w:rPr>
                <w:rFonts w:ascii="宋体" w:hAnsi="宋体" w:cs="宋体"/>
                <w:bCs/>
                <w:sz w:val="24"/>
              </w:rPr>
            </w:pPr>
          </w:p>
        </w:tc>
      </w:tr>
      <w:tr w14:paraId="62536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728" w:type="dxa"/>
            <w:vMerge w:val="continue"/>
            <w:vAlign w:val="center"/>
          </w:tcPr>
          <w:p w14:paraId="39647CD7">
            <w:pPr>
              <w:spacing w:line="360" w:lineRule="auto"/>
              <w:jc w:val="center"/>
              <w:rPr>
                <w:rFonts w:ascii="宋体" w:hAnsi="宋体" w:cs="宋体"/>
                <w:bCs/>
                <w:sz w:val="24"/>
              </w:rPr>
            </w:pPr>
          </w:p>
        </w:tc>
        <w:tc>
          <w:tcPr>
            <w:tcW w:w="1380" w:type="dxa"/>
            <w:vAlign w:val="center"/>
          </w:tcPr>
          <w:p w14:paraId="347F4AAE">
            <w:pPr>
              <w:spacing w:line="360" w:lineRule="auto"/>
              <w:jc w:val="center"/>
              <w:rPr>
                <w:rFonts w:ascii="宋体" w:hAnsi="宋体" w:cs="宋体"/>
                <w:bCs/>
                <w:sz w:val="24"/>
              </w:rPr>
            </w:pPr>
          </w:p>
        </w:tc>
        <w:tc>
          <w:tcPr>
            <w:tcW w:w="1549" w:type="dxa"/>
            <w:vAlign w:val="center"/>
          </w:tcPr>
          <w:p w14:paraId="42309E68">
            <w:pPr>
              <w:spacing w:line="360" w:lineRule="auto"/>
              <w:jc w:val="center"/>
              <w:rPr>
                <w:rFonts w:ascii="宋体" w:hAnsi="宋体" w:cs="宋体"/>
                <w:bCs/>
                <w:sz w:val="24"/>
              </w:rPr>
            </w:pPr>
          </w:p>
        </w:tc>
        <w:tc>
          <w:tcPr>
            <w:tcW w:w="1549" w:type="dxa"/>
            <w:vAlign w:val="center"/>
          </w:tcPr>
          <w:p w14:paraId="553DC356">
            <w:pPr>
              <w:spacing w:line="360" w:lineRule="auto"/>
              <w:jc w:val="center"/>
              <w:rPr>
                <w:rFonts w:ascii="宋体" w:hAnsi="宋体" w:cs="宋体"/>
                <w:bCs/>
                <w:sz w:val="24"/>
              </w:rPr>
            </w:pPr>
          </w:p>
        </w:tc>
        <w:tc>
          <w:tcPr>
            <w:tcW w:w="1583" w:type="dxa"/>
            <w:vAlign w:val="center"/>
          </w:tcPr>
          <w:p w14:paraId="389707B1">
            <w:pPr>
              <w:spacing w:line="360" w:lineRule="auto"/>
              <w:jc w:val="center"/>
              <w:rPr>
                <w:rFonts w:ascii="宋体" w:hAnsi="宋体" w:cs="宋体"/>
                <w:bCs/>
                <w:sz w:val="24"/>
              </w:rPr>
            </w:pPr>
          </w:p>
        </w:tc>
        <w:tc>
          <w:tcPr>
            <w:tcW w:w="1607" w:type="dxa"/>
            <w:vAlign w:val="center"/>
          </w:tcPr>
          <w:p w14:paraId="794E8163">
            <w:pPr>
              <w:spacing w:line="360" w:lineRule="auto"/>
              <w:jc w:val="center"/>
              <w:rPr>
                <w:rFonts w:ascii="宋体" w:hAnsi="宋体" w:cs="宋体"/>
                <w:bCs/>
                <w:sz w:val="24"/>
              </w:rPr>
            </w:pPr>
          </w:p>
        </w:tc>
      </w:tr>
      <w:tr w14:paraId="48AB0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jc w:val="center"/>
        </w:trPr>
        <w:tc>
          <w:tcPr>
            <w:tcW w:w="1728" w:type="dxa"/>
            <w:vMerge w:val="continue"/>
            <w:vAlign w:val="center"/>
          </w:tcPr>
          <w:p w14:paraId="3496CCFA">
            <w:pPr>
              <w:spacing w:line="360" w:lineRule="auto"/>
              <w:jc w:val="center"/>
              <w:rPr>
                <w:rFonts w:ascii="宋体" w:hAnsi="宋体" w:cs="宋体"/>
                <w:bCs/>
                <w:sz w:val="24"/>
              </w:rPr>
            </w:pPr>
          </w:p>
        </w:tc>
        <w:tc>
          <w:tcPr>
            <w:tcW w:w="1380" w:type="dxa"/>
            <w:vAlign w:val="center"/>
          </w:tcPr>
          <w:p w14:paraId="663D836D">
            <w:pPr>
              <w:spacing w:line="360" w:lineRule="auto"/>
              <w:jc w:val="center"/>
              <w:rPr>
                <w:rFonts w:ascii="宋体" w:hAnsi="宋体" w:cs="宋体"/>
                <w:bCs/>
                <w:sz w:val="24"/>
              </w:rPr>
            </w:pPr>
          </w:p>
        </w:tc>
        <w:tc>
          <w:tcPr>
            <w:tcW w:w="1549" w:type="dxa"/>
            <w:vAlign w:val="center"/>
          </w:tcPr>
          <w:p w14:paraId="4E0AB476">
            <w:pPr>
              <w:spacing w:line="360" w:lineRule="auto"/>
              <w:jc w:val="center"/>
              <w:rPr>
                <w:rFonts w:ascii="宋体" w:hAnsi="宋体" w:cs="宋体"/>
                <w:bCs/>
                <w:sz w:val="24"/>
              </w:rPr>
            </w:pPr>
          </w:p>
        </w:tc>
        <w:tc>
          <w:tcPr>
            <w:tcW w:w="1549" w:type="dxa"/>
            <w:vAlign w:val="center"/>
          </w:tcPr>
          <w:p w14:paraId="699804FD">
            <w:pPr>
              <w:spacing w:line="360" w:lineRule="auto"/>
              <w:jc w:val="center"/>
              <w:rPr>
                <w:rFonts w:ascii="宋体" w:hAnsi="宋体" w:cs="宋体"/>
                <w:bCs/>
                <w:sz w:val="24"/>
              </w:rPr>
            </w:pPr>
          </w:p>
        </w:tc>
        <w:tc>
          <w:tcPr>
            <w:tcW w:w="1583" w:type="dxa"/>
            <w:vAlign w:val="center"/>
          </w:tcPr>
          <w:p w14:paraId="7C7C24B9">
            <w:pPr>
              <w:spacing w:line="360" w:lineRule="auto"/>
              <w:jc w:val="center"/>
              <w:rPr>
                <w:rFonts w:ascii="宋体" w:hAnsi="宋体" w:cs="宋体"/>
                <w:bCs/>
                <w:sz w:val="24"/>
              </w:rPr>
            </w:pPr>
          </w:p>
        </w:tc>
        <w:tc>
          <w:tcPr>
            <w:tcW w:w="1607" w:type="dxa"/>
            <w:vAlign w:val="center"/>
          </w:tcPr>
          <w:p w14:paraId="2F94C83E">
            <w:pPr>
              <w:spacing w:line="360" w:lineRule="auto"/>
              <w:jc w:val="center"/>
              <w:rPr>
                <w:rFonts w:ascii="宋体" w:hAnsi="宋体" w:cs="宋体"/>
                <w:bCs/>
                <w:sz w:val="24"/>
              </w:rPr>
            </w:pPr>
          </w:p>
        </w:tc>
      </w:tr>
      <w:tr w14:paraId="64A8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1728" w:type="dxa"/>
            <w:vAlign w:val="center"/>
          </w:tcPr>
          <w:p w14:paraId="3A224418">
            <w:pPr>
              <w:spacing w:line="360" w:lineRule="auto"/>
              <w:jc w:val="center"/>
              <w:rPr>
                <w:rFonts w:ascii="宋体" w:hAnsi="宋体" w:cs="宋体"/>
                <w:bCs/>
                <w:sz w:val="24"/>
              </w:rPr>
            </w:pPr>
            <w:r>
              <w:rPr>
                <w:rFonts w:hint="eastAsia" w:ascii="宋体" w:hAnsi="宋体" w:cs="宋体"/>
                <w:bCs/>
                <w:sz w:val="24"/>
              </w:rPr>
              <w:t>经营范围</w:t>
            </w:r>
          </w:p>
        </w:tc>
        <w:tc>
          <w:tcPr>
            <w:tcW w:w="7668" w:type="dxa"/>
            <w:gridSpan w:val="5"/>
            <w:vAlign w:val="center"/>
          </w:tcPr>
          <w:p w14:paraId="211C09F2">
            <w:pPr>
              <w:spacing w:line="360" w:lineRule="auto"/>
              <w:jc w:val="center"/>
              <w:rPr>
                <w:rFonts w:ascii="宋体" w:hAnsi="宋体" w:cs="宋体"/>
                <w:bCs/>
                <w:sz w:val="24"/>
              </w:rPr>
            </w:pPr>
          </w:p>
        </w:tc>
      </w:tr>
      <w:tr w14:paraId="0AC9F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1728" w:type="dxa"/>
            <w:vAlign w:val="center"/>
          </w:tcPr>
          <w:p w14:paraId="3C1FC2E7">
            <w:pPr>
              <w:spacing w:line="360" w:lineRule="auto"/>
              <w:jc w:val="center"/>
              <w:rPr>
                <w:rFonts w:ascii="宋体" w:hAnsi="宋体" w:cs="宋体"/>
                <w:bCs/>
                <w:sz w:val="24"/>
              </w:rPr>
            </w:pPr>
            <w:r>
              <w:rPr>
                <w:rFonts w:hint="eastAsia" w:ascii="宋体" w:hAnsi="宋体" w:cs="宋体"/>
                <w:bCs/>
                <w:sz w:val="24"/>
              </w:rPr>
              <w:t>备注</w:t>
            </w:r>
          </w:p>
        </w:tc>
        <w:tc>
          <w:tcPr>
            <w:tcW w:w="7668" w:type="dxa"/>
            <w:gridSpan w:val="5"/>
            <w:vAlign w:val="center"/>
          </w:tcPr>
          <w:p w14:paraId="4ED36CD8">
            <w:pPr>
              <w:spacing w:line="360" w:lineRule="auto"/>
              <w:jc w:val="center"/>
              <w:rPr>
                <w:rFonts w:ascii="宋体" w:hAnsi="宋体" w:cs="宋体"/>
                <w:bCs/>
                <w:sz w:val="24"/>
              </w:rPr>
            </w:pPr>
          </w:p>
        </w:tc>
      </w:tr>
    </w:tbl>
    <w:p w14:paraId="228CD709">
      <w:pPr>
        <w:spacing w:line="480" w:lineRule="auto"/>
        <w:ind w:firstLine="480" w:firstLineChars="200"/>
        <w:rPr>
          <w:rFonts w:ascii="宋体" w:hAnsi="宋体" w:cs="宋体"/>
          <w:bCs/>
          <w:sz w:val="24"/>
        </w:rPr>
      </w:pPr>
      <w:r>
        <w:rPr>
          <w:rFonts w:hint="eastAsia" w:ascii="宋体" w:hAnsi="宋体" w:cs="宋体"/>
          <w:bCs/>
          <w:sz w:val="24"/>
        </w:rPr>
        <w:t>我们保证上述声明中的资料和数据是真实的、正确的，我们同意如贵方要求，可以出示相关证明文件。</w:t>
      </w:r>
    </w:p>
    <w:p w14:paraId="161350C7">
      <w:pPr>
        <w:spacing w:line="480" w:lineRule="auto"/>
        <w:ind w:firstLine="480" w:firstLineChars="200"/>
        <w:rPr>
          <w:rFonts w:ascii="宋体" w:hAnsi="宋体" w:cs="宋体"/>
          <w:bCs/>
          <w:sz w:val="24"/>
        </w:rPr>
      </w:pPr>
      <w:r>
        <w:rPr>
          <w:rFonts w:hint="eastAsia" w:ascii="宋体" w:hAnsi="宋体" w:cs="宋体"/>
          <w:bCs/>
          <w:sz w:val="24"/>
        </w:rPr>
        <w:t>投标人（盖章）：</w:t>
      </w:r>
    </w:p>
    <w:p w14:paraId="4FA3503E">
      <w:pPr>
        <w:spacing w:line="480" w:lineRule="auto"/>
        <w:ind w:firstLine="480" w:firstLineChars="200"/>
        <w:rPr>
          <w:rFonts w:hint="eastAsia" w:ascii="宋体" w:hAnsi="宋体" w:cs="宋体"/>
          <w:b/>
          <w:sz w:val="24"/>
        </w:rPr>
      </w:pPr>
      <w:r>
        <w:rPr>
          <w:rFonts w:hint="eastAsia" w:ascii="宋体" w:hAnsi="宋体" w:cs="宋体"/>
          <w:bCs/>
          <w:sz w:val="24"/>
        </w:rPr>
        <w:t>法定代表人或委托代理人（签字或盖章）：</w:t>
      </w:r>
    </w:p>
    <w:p w14:paraId="4EB2E108">
      <w:pPr>
        <w:tabs>
          <w:tab w:val="left" w:pos="6300"/>
        </w:tabs>
        <w:snapToGrid w:val="0"/>
        <w:spacing w:line="500" w:lineRule="exact"/>
        <w:jc w:val="center"/>
        <w:rPr>
          <w:rFonts w:hint="eastAsia" w:ascii="宋体" w:hAnsi="宋体" w:eastAsia="宋体" w:cs="宋体"/>
          <w:b/>
          <w:bCs/>
          <w:sz w:val="24"/>
        </w:rPr>
      </w:pPr>
      <w:r>
        <w:rPr>
          <w:rFonts w:hint="eastAsia" w:ascii="宋体" w:hAnsi="宋体" w:eastAsia="宋体" w:cs="宋体"/>
          <w:b/>
          <w:sz w:val="24"/>
        </w:rPr>
        <w:t xml:space="preserve">格式5  </w:t>
      </w:r>
      <w:r>
        <w:rPr>
          <w:rFonts w:hint="eastAsia" w:ascii="宋体" w:hAnsi="宋体" w:eastAsia="宋体" w:cs="宋体"/>
          <w:b/>
          <w:bCs/>
          <w:sz w:val="24"/>
        </w:rPr>
        <w:t xml:space="preserve"> 诚信声明</w:t>
      </w:r>
    </w:p>
    <w:p w14:paraId="0A1D93B1">
      <w:pPr>
        <w:tabs>
          <w:tab w:val="left" w:pos="6300"/>
        </w:tabs>
        <w:snapToGrid w:val="0"/>
        <w:spacing w:line="500" w:lineRule="exact"/>
        <w:ind w:firstLine="570"/>
        <w:rPr>
          <w:rFonts w:ascii="仿宋" w:hAnsi="仿宋" w:eastAsia="仿宋"/>
          <w:sz w:val="24"/>
        </w:rPr>
      </w:pPr>
    </w:p>
    <w:p w14:paraId="6B740490">
      <w:pPr>
        <w:spacing w:line="480" w:lineRule="auto"/>
        <w:ind w:firstLine="480" w:firstLineChars="200"/>
        <w:rPr>
          <w:rFonts w:ascii="宋体" w:hAnsi="宋体" w:cs="宋体"/>
          <w:bCs/>
          <w:sz w:val="24"/>
        </w:rPr>
      </w:pPr>
      <w:r>
        <w:rPr>
          <w:rFonts w:hint="eastAsia" w:ascii="宋体" w:hAnsi="宋体" w:cs="宋体"/>
          <w:bCs/>
          <w:sz w:val="24"/>
        </w:rPr>
        <w:t xml:space="preserve">采购项目名称：                 </w:t>
      </w:r>
    </w:p>
    <w:p w14:paraId="69861988">
      <w:pPr>
        <w:spacing w:line="480" w:lineRule="auto"/>
        <w:ind w:firstLine="480" w:firstLineChars="200"/>
        <w:rPr>
          <w:rFonts w:ascii="宋体" w:hAnsi="宋体" w:cs="宋体"/>
          <w:bCs/>
          <w:sz w:val="24"/>
        </w:rPr>
      </w:pPr>
    </w:p>
    <w:p w14:paraId="2874189D">
      <w:pPr>
        <w:spacing w:line="480" w:lineRule="auto"/>
        <w:ind w:firstLine="480" w:firstLineChars="200"/>
        <w:rPr>
          <w:rFonts w:ascii="宋体" w:hAnsi="宋体" w:cs="宋体"/>
          <w:bCs/>
          <w:sz w:val="24"/>
        </w:rPr>
      </w:pPr>
      <w:r>
        <w:rPr>
          <w:rFonts w:hint="eastAsia" w:ascii="宋体" w:hAnsi="宋体" w:cs="宋体"/>
          <w:bCs/>
          <w:sz w:val="24"/>
        </w:rPr>
        <w:t>致：（</w:t>
      </w:r>
      <w:r>
        <w:rPr>
          <w:rFonts w:hint="eastAsia" w:asciiTheme="minorEastAsia" w:hAnsiTheme="minorEastAsia" w:eastAsiaTheme="minorEastAsia" w:cstheme="minorEastAsia"/>
          <w:sz w:val="24"/>
          <w:szCs w:val="24"/>
          <w:u w:val="single"/>
          <w:lang w:bidi="ar"/>
        </w:rPr>
        <w:t>采购人和采购代理机构</w:t>
      </w:r>
      <w:r>
        <w:rPr>
          <w:rFonts w:hint="eastAsia" w:ascii="宋体" w:hAnsi="宋体" w:cs="宋体"/>
          <w:bCs/>
          <w:sz w:val="24"/>
        </w:rPr>
        <w:t>）</w:t>
      </w:r>
    </w:p>
    <w:p w14:paraId="21A52C84">
      <w:pPr>
        <w:spacing w:line="480" w:lineRule="auto"/>
        <w:ind w:firstLine="480" w:firstLineChars="200"/>
        <w:rPr>
          <w:rFonts w:ascii="宋体" w:hAnsi="宋体" w:cs="宋体"/>
          <w:bCs/>
          <w:sz w:val="24"/>
        </w:rPr>
      </w:pPr>
      <w:r>
        <w:rPr>
          <w:rFonts w:hint="eastAsia" w:ascii="宋体" w:hAnsi="宋体" w:cs="宋体"/>
          <w:bCs/>
          <w:sz w:val="24"/>
        </w:rPr>
        <w:t>（投标人名称）郑重声明，我公司具有良好的商业信誉和健全的财务会计制度，具有履行合同所必需的设备和专业技术能力，在合同签订前后随时愿意提供相关证明材料；我公司还同时声明参加本项目采购活动前三年内无重大违法活动记录，符合《政府采购法》规定的投标人资格条件。我方对以上声明负全部法律责任。</w:t>
      </w:r>
    </w:p>
    <w:p w14:paraId="7B98FD6B">
      <w:pPr>
        <w:spacing w:line="480" w:lineRule="auto"/>
        <w:ind w:firstLine="480" w:firstLineChars="200"/>
        <w:rPr>
          <w:rFonts w:ascii="宋体" w:hAnsi="宋体" w:cs="宋体"/>
          <w:bCs/>
          <w:sz w:val="24"/>
        </w:rPr>
      </w:pPr>
      <w:r>
        <w:rPr>
          <w:rFonts w:hint="eastAsia" w:ascii="宋体" w:hAnsi="宋体" w:cs="宋体"/>
          <w:bCs/>
          <w:sz w:val="24"/>
        </w:rPr>
        <w:t>特此声明。</w:t>
      </w:r>
    </w:p>
    <w:p w14:paraId="6F1C2DAA">
      <w:pPr>
        <w:spacing w:line="480" w:lineRule="auto"/>
        <w:ind w:firstLine="480" w:firstLineChars="200"/>
        <w:rPr>
          <w:rFonts w:ascii="宋体" w:hAnsi="宋体" w:cs="宋体"/>
          <w:bCs/>
          <w:sz w:val="24"/>
        </w:rPr>
      </w:pPr>
    </w:p>
    <w:p w14:paraId="3A155861">
      <w:pPr>
        <w:spacing w:line="480" w:lineRule="auto"/>
        <w:ind w:firstLine="480" w:firstLineChars="200"/>
        <w:rPr>
          <w:rFonts w:ascii="宋体" w:hAnsi="宋体" w:cs="宋体"/>
          <w:bCs/>
          <w:sz w:val="24"/>
        </w:rPr>
      </w:pPr>
    </w:p>
    <w:p w14:paraId="2E77C650">
      <w:pPr>
        <w:spacing w:line="480" w:lineRule="auto"/>
        <w:ind w:firstLine="480" w:firstLineChars="200"/>
        <w:rPr>
          <w:rFonts w:ascii="宋体" w:hAnsi="宋体" w:cs="宋体"/>
          <w:bCs/>
          <w:sz w:val="24"/>
        </w:rPr>
      </w:pPr>
    </w:p>
    <w:p w14:paraId="5E469FEE">
      <w:pPr>
        <w:spacing w:line="480" w:lineRule="auto"/>
        <w:ind w:firstLine="480" w:firstLineChars="200"/>
        <w:rPr>
          <w:rFonts w:ascii="宋体" w:hAnsi="宋体" w:cs="宋体"/>
          <w:bCs/>
          <w:sz w:val="24"/>
        </w:rPr>
      </w:pPr>
      <w:r>
        <w:rPr>
          <w:rFonts w:hint="eastAsia" w:ascii="宋体" w:hAnsi="宋体" w:cs="宋体"/>
          <w:bCs/>
          <w:sz w:val="24"/>
        </w:rPr>
        <w:t xml:space="preserve">                                                       （投标人公章）</w:t>
      </w:r>
    </w:p>
    <w:p w14:paraId="52FA8263">
      <w:pPr>
        <w:spacing w:line="480" w:lineRule="auto"/>
        <w:ind w:firstLine="480" w:firstLineChars="200"/>
        <w:rPr>
          <w:rFonts w:ascii="宋体" w:hAnsi="宋体" w:cs="宋体"/>
          <w:bCs/>
          <w:sz w:val="24"/>
        </w:rPr>
      </w:pPr>
      <w:r>
        <w:rPr>
          <w:rFonts w:hint="eastAsia" w:ascii="宋体" w:hAnsi="宋体" w:cs="宋体"/>
          <w:bCs/>
          <w:sz w:val="24"/>
        </w:rPr>
        <w:t xml:space="preserve">                                                          年   月   日</w:t>
      </w:r>
    </w:p>
    <w:p w14:paraId="6D8375A7">
      <w:pPr>
        <w:tabs>
          <w:tab w:val="left" w:pos="6300"/>
        </w:tabs>
        <w:snapToGrid w:val="0"/>
        <w:spacing w:line="360" w:lineRule="auto"/>
        <w:ind w:firstLine="570"/>
        <w:rPr>
          <w:rFonts w:ascii="宋体" w:hAnsi="宋体" w:cs="宋体"/>
          <w:sz w:val="24"/>
        </w:rPr>
      </w:pPr>
      <w:r>
        <w:rPr>
          <w:rFonts w:hint="eastAsia" w:ascii="仿宋_GB2312" w:hAnsi="仿宋_GB2312" w:eastAsia="仿宋_GB2312" w:cs="仿宋_GB2312"/>
          <w:sz w:val="24"/>
        </w:rPr>
        <w:br w:type="page"/>
      </w:r>
    </w:p>
    <w:p w14:paraId="6B0333CA">
      <w:pPr>
        <w:pStyle w:val="38"/>
        <w:widowControl/>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sz w:val="24"/>
          <w:szCs w:val="24"/>
        </w:rPr>
        <w:t>格式6 无重大违法记录承诺书</w:t>
      </w:r>
    </w:p>
    <w:p w14:paraId="2383CC5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Theme="minorEastAsia" w:hAnsiTheme="minorEastAsia" w:eastAsiaTheme="minorEastAsia" w:cstheme="minorEastAsia"/>
          <w:sz w:val="24"/>
          <w:szCs w:val="24"/>
        </w:rPr>
      </w:pPr>
    </w:p>
    <w:p w14:paraId="628FD3B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致</w:t>
      </w:r>
      <w:r>
        <w:rPr>
          <w:rFonts w:hint="eastAsia" w:asciiTheme="minorEastAsia" w:hAnsiTheme="minorEastAsia" w:eastAsiaTheme="minorEastAsia" w:cstheme="minorEastAsia"/>
          <w:sz w:val="24"/>
          <w:szCs w:val="24"/>
          <w:u w:val="single"/>
          <w:lang w:bidi="ar"/>
        </w:rPr>
        <w:t>（采购人和采购代理机构）：</w:t>
      </w:r>
    </w:p>
    <w:p w14:paraId="67F1067F">
      <w:pPr>
        <w:widowControl/>
        <w:spacing w:line="360" w:lineRule="auto"/>
        <w:ind w:firstLine="480" w:firstLineChars="200"/>
        <w:jc w:val="left"/>
        <w:rPr>
          <w:rFonts w:hint="eastAsia" w:asciiTheme="minorEastAsia" w:hAnsiTheme="minorEastAsia" w:eastAsiaTheme="minorEastAsia" w:cstheme="minorEastAsia"/>
          <w:sz w:val="24"/>
          <w:szCs w:val="24"/>
        </w:rPr>
      </w:pPr>
    </w:p>
    <w:p w14:paraId="1A73A665">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在参加本次投标截止之日起前三年内，我公司未因违法经营受到刑事处罚或者责令停产停业、吊销许可证或者执照、较大数额罚款等行政处罚。</w:t>
      </w:r>
    </w:p>
    <w:p w14:paraId="4E30CCA7">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 特此声明。</w:t>
      </w:r>
    </w:p>
    <w:p w14:paraId="00C25382">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 </w:t>
      </w:r>
    </w:p>
    <w:p w14:paraId="303C2BEB">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bidi="ar"/>
        </w:rPr>
        <w:t>投标人</w:t>
      </w:r>
      <w:r>
        <w:rPr>
          <w:rFonts w:hint="eastAsia" w:asciiTheme="minorEastAsia" w:hAnsiTheme="minorEastAsia" w:eastAsiaTheme="minorEastAsia" w:cstheme="minorEastAsia"/>
          <w:sz w:val="24"/>
          <w:szCs w:val="24"/>
          <w:lang w:bidi="ar"/>
        </w:rPr>
        <w:t>全称（加盖公章）：</w:t>
      </w:r>
      <w:r>
        <w:rPr>
          <w:rFonts w:hint="eastAsia" w:asciiTheme="minorEastAsia" w:hAnsiTheme="minorEastAsia" w:eastAsiaTheme="minorEastAsia" w:cstheme="minorEastAsia"/>
          <w:spacing w:val="4"/>
          <w:sz w:val="24"/>
          <w:szCs w:val="24"/>
          <w:u w:val="single"/>
          <w:lang w:bidi="ar"/>
        </w:rPr>
        <w:t xml:space="preserve">                   </w:t>
      </w:r>
      <w:r>
        <w:rPr>
          <w:rFonts w:hint="eastAsia" w:asciiTheme="minorEastAsia" w:hAnsiTheme="minorEastAsia" w:eastAsiaTheme="minorEastAsia" w:cstheme="minorEastAsia"/>
          <w:sz w:val="24"/>
          <w:szCs w:val="24"/>
          <w:u w:val="single"/>
          <w:lang w:bidi="ar"/>
        </w:rPr>
        <w:t> </w:t>
      </w:r>
    </w:p>
    <w:p w14:paraId="61ACEB8D">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bidi="ar"/>
        </w:rPr>
        <w:t>投标人</w:t>
      </w:r>
      <w:r>
        <w:rPr>
          <w:rFonts w:hint="eastAsia" w:asciiTheme="minorEastAsia" w:hAnsiTheme="minorEastAsia" w:eastAsiaTheme="minorEastAsia" w:cstheme="minorEastAsia"/>
          <w:sz w:val="24"/>
          <w:szCs w:val="24"/>
          <w:lang w:bidi="ar"/>
        </w:rPr>
        <w:t>地址：</w:t>
      </w:r>
      <w:r>
        <w:rPr>
          <w:rFonts w:hint="eastAsia" w:asciiTheme="minorEastAsia" w:hAnsiTheme="minorEastAsia" w:eastAsiaTheme="minorEastAsia" w:cstheme="minorEastAsia"/>
          <w:sz w:val="24"/>
          <w:szCs w:val="24"/>
          <w:u w:val="single"/>
          <w:lang w:bidi="ar"/>
        </w:rPr>
        <w:t> </w:t>
      </w:r>
      <w:r>
        <w:rPr>
          <w:rFonts w:hint="eastAsia" w:asciiTheme="minorEastAsia" w:hAnsiTheme="minorEastAsia" w:eastAsiaTheme="minorEastAsia" w:cstheme="minorEastAsia"/>
          <w:spacing w:val="4"/>
          <w:sz w:val="24"/>
          <w:szCs w:val="24"/>
          <w:u w:val="single"/>
          <w:lang w:bidi="ar"/>
        </w:rPr>
        <w:t xml:space="preserve">                            </w:t>
      </w:r>
      <w:r>
        <w:rPr>
          <w:rFonts w:hint="eastAsia" w:asciiTheme="minorEastAsia" w:hAnsiTheme="minorEastAsia" w:eastAsiaTheme="minorEastAsia" w:cstheme="minorEastAsia"/>
          <w:sz w:val="24"/>
          <w:szCs w:val="24"/>
          <w:u w:val="single"/>
          <w:lang w:bidi="ar"/>
        </w:rPr>
        <w:t> </w:t>
      </w:r>
    </w:p>
    <w:p w14:paraId="691646D8">
      <w:pPr>
        <w:widowControl/>
        <w:spacing w:line="360" w:lineRule="auto"/>
        <w:ind w:firstLine="480" w:firstLineChars="200"/>
        <w:jc w:val="left"/>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lang w:bidi="ar"/>
        </w:rPr>
        <w:t>法定代表人（签字或盖章）：</w:t>
      </w:r>
      <w:r>
        <w:rPr>
          <w:rFonts w:hint="eastAsia" w:asciiTheme="minorEastAsia" w:hAnsiTheme="minorEastAsia" w:eastAsiaTheme="minorEastAsia" w:cstheme="minorEastAsia"/>
          <w:sz w:val="24"/>
          <w:szCs w:val="24"/>
          <w:u w:val="single"/>
          <w:lang w:bidi="ar"/>
        </w:rPr>
        <w:t>           </w:t>
      </w:r>
    </w:p>
    <w:p w14:paraId="6D621FA4">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被授权人（签字或盖章）：</w:t>
      </w:r>
      <w:r>
        <w:rPr>
          <w:rFonts w:hint="eastAsia" w:asciiTheme="minorEastAsia" w:hAnsiTheme="minorEastAsia" w:eastAsiaTheme="minorEastAsia" w:cstheme="minorEastAsia"/>
          <w:sz w:val="24"/>
          <w:szCs w:val="24"/>
          <w:u w:val="single"/>
          <w:lang w:bidi="ar"/>
        </w:rPr>
        <w:t>            </w:t>
      </w:r>
    </w:p>
    <w:p w14:paraId="4C657E15">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手机：</w:t>
      </w:r>
      <w:r>
        <w:rPr>
          <w:rFonts w:hint="eastAsia" w:asciiTheme="minorEastAsia" w:hAnsiTheme="minorEastAsia" w:eastAsiaTheme="minorEastAsia" w:cstheme="minorEastAsia"/>
          <w:sz w:val="24"/>
          <w:szCs w:val="24"/>
          <w:u w:val="single"/>
          <w:lang w:bidi="ar"/>
        </w:rPr>
        <w:t>   </w:t>
      </w:r>
      <w:r>
        <w:rPr>
          <w:rFonts w:hint="eastAsia" w:asciiTheme="minorEastAsia" w:hAnsiTheme="minorEastAsia" w:eastAsiaTheme="minorEastAsia" w:cstheme="minorEastAsia"/>
          <w:spacing w:val="4"/>
          <w:sz w:val="24"/>
          <w:szCs w:val="24"/>
          <w:u w:val="single"/>
          <w:lang w:bidi="ar"/>
        </w:rPr>
        <w:t xml:space="preserve">             </w:t>
      </w:r>
      <w:r>
        <w:rPr>
          <w:rFonts w:hint="eastAsia" w:asciiTheme="minorEastAsia" w:hAnsiTheme="minorEastAsia" w:eastAsiaTheme="minorEastAsia" w:cstheme="minorEastAsia"/>
          <w:sz w:val="24"/>
          <w:szCs w:val="24"/>
          <w:u w:val="single"/>
          <w:lang w:bidi="ar"/>
        </w:rPr>
        <w:t>           </w:t>
      </w:r>
      <w:r>
        <w:rPr>
          <w:rFonts w:hint="eastAsia" w:asciiTheme="minorEastAsia" w:hAnsiTheme="minorEastAsia" w:eastAsiaTheme="minorEastAsia" w:cstheme="minorEastAsia"/>
          <w:sz w:val="24"/>
          <w:szCs w:val="24"/>
          <w:lang w:bidi="ar"/>
        </w:rPr>
        <w:t> </w:t>
      </w:r>
    </w:p>
    <w:p w14:paraId="2E4CC668">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bidi="ar"/>
        </w:rPr>
        <w:t>                                                                       年  月   日</w:t>
      </w:r>
    </w:p>
    <w:p w14:paraId="3A6B88AA">
      <w:pPr>
        <w:pStyle w:val="19"/>
        <w:spacing w:before="75" w:beforeAutospacing="0" w:after="75" w:afterAutospacing="0" w:line="360" w:lineRule="auto"/>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b/>
          <w:color w:val="auto"/>
          <w:sz w:val="24"/>
          <w:szCs w:val="24"/>
        </w:rPr>
        <w:t>说明：投标截止前3年内</w:t>
      </w:r>
      <w:r>
        <w:rPr>
          <w:rFonts w:hint="eastAsia" w:asciiTheme="minorEastAsia" w:hAnsiTheme="minorEastAsia" w:eastAsiaTheme="minorEastAsia" w:cstheme="minorEastAsia"/>
          <w:b/>
          <w:color w:val="auto"/>
          <w:sz w:val="24"/>
          <w:szCs w:val="24"/>
          <w:lang w:eastAsia="zh-CN"/>
        </w:rPr>
        <w:t>投标人</w:t>
      </w:r>
      <w:r>
        <w:rPr>
          <w:rFonts w:hint="eastAsia" w:asciiTheme="minorEastAsia" w:hAnsiTheme="minorEastAsia" w:eastAsiaTheme="minorEastAsia" w:cstheme="minorEastAsia"/>
          <w:b/>
          <w:color w:val="auto"/>
          <w:sz w:val="24"/>
          <w:szCs w:val="24"/>
        </w:rPr>
        <w:t>的信用记录若存在受到罚款的行政处罚且未显示具体数额时，应提供行政处罚决定书或书面说明其罚款数额。</w:t>
      </w:r>
    </w:p>
    <w:p w14:paraId="12CC50A6">
      <w:pP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br w:type="page"/>
      </w:r>
    </w:p>
    <w:p w14:paraId="1928D7DE">
      <w:pPr>
        <w:widowControl/>
        <w:spacing w:line="360" w:lineRule="auto"/>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格式7 具有履行合同所必需的设备和专业技术能力的承诺书</w:t>
      </w:r>
    </w:p>
    <w:p w14:paraId="5CB9BFD6">
      <w:pPr>
        <w:widowControl/>
        <w:spacing w:line="360" w:lineRule="auto"/>
        <w:jc w:val="left"/>
        <w:rPr>
          <w:rFonts w:hint="eastAsia" w:asciiTheme="minorEastAsia" w:hAnsiTheme="minorEastAsia" w:eastAsiaTheme="minorEastAsia" w:cstheme="minorEastAsia"/>
          <w:kern w:val="0"/>
          <w:sz w:val="24"/>
          <w:szCs w:val="24"/>
          <w:lang w:bidi="ar"/>
        </w:rPr>
      </w:pPr>
    </w:p>
    <w:p w14:paraId="490B0A0C">
      <w:pPr>
        <w:widowControl/>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致（</w:t>
      </w:r>
      <w:r>
        <w:rPr>
          <w:rFonts w:hint="eastAsia" w:asciiTheme="minorEastAsia" w:hAnsiTheme="minorEastAsia" w:eastAsiaTheme="minorEastAsia" w:cstheme="minorEastAsia"/>
          <w:sz w:val="24"/>
          <w:szCs w:val="24"/>
          <w:u w:val="single"/>
          <w:lang w:bidi="ar"/>
        </w:rPr>
        <w:t>采购人和采购代理机构</w:t>
      </w:r>
      <w:r>
        <w:rPr>
          <w:rFonts w:hint="eastAsia" w:asciiTheme="minorEastAsia" w:hAnsiTheme="minorEastAsia" w:eastAsiaTheme="minorEastAsia" w:cstheme="minorEastAsia"/>
          <w:kern w:val="0"/>
          <w:sz w:val="24"/>
          <w:szCs w:val="24"/>
          <w:lang w:bidi="ar"/>
        </w:rPr>
        <w:t xml:space="preserve">)： </w:t>
      </w:r>
    </w:p>
    <w:p w14:paraId="02B6F758">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我公司自愿参加由贵公司组织的</w:t>
      </w:r>
      <w:r>
        <w:rPr>
          <w:rFonts w:hint="eastAsia" w:asciiTheme="minorEastAsia" w:hAnsiTheme="minorEastAsia" w:eastAsiaTheme="minorEastAsia" w:cstheme="minorEastAsia"/>
          <w:kern w:val="0"/>
          <w:sz w:val="24"/>
          <w:szCs w:val="24"/>
          <w:u w:val="single"/>
          <w:lang w:bidi="ar"/>
        </w:rPr>
        <w:t xml:space="preserve"> 采购文件编号    </w:t>
      </w:r>
      <w:r>
        <w:rPr>
          <w:rFonts w:hint="eastAsia" w:asciiTheme="minorEastAsia" w:hAnsiTheme="minorEastAsia" w:eastAsiaTheme="minorEastAsia" w:cstheme="minorEastAsia"/>
          <w:kern w:val="0"/>
          <w:sz w:val="24"/>
          <w:szCs w:val="24"/>
          <w:u w:val="single"/>
          <w:lang w:val="en-US" w:eastAsia="zh-CN" w:bidi="ar"/>
        </w:rPr>
        <w:t xml:space="preserve"> </w:t>
      </w:r>
      <w:r>
        <w:rPr>
          <w:rFonts w:hint="eastAsia" w:asciiTheme="minorEastAsia" w:hAnsiTheme="minorEastAsia" w:eastAsiaTheme="minorEastAsia" w:cstheme="minorEastAsia"/>
          <w:kern w:val="0"/>
          <w:sz w:val="24"/>
          <w:szCs w:val="24"/>
          <w:u w:val="single"/>
          <w:lang w:bidi="ar"/>
        </w:rPr>
        <w:t xml:space="preserve">  采购项目名称</w:t>
      </w:r>
      <w:r>
        <w:rPr>
          <w:rFonts w:hint="eastAsia" w:asciiTheme="minorEastAsia" w:hAnsiTheme="minorEastAsia" w:eastAsiaTheme="minorEastAsia" w:cstheme="minorEastAsia"/>
          <w:kern w:val="0"/>
          <w:sz w:val="24"/>
          <w:szCs w:val="24"/>
          <w:lang w:bidi="ar"/>
        </w:rPr>
        <w:t xml:space="preserve">采购活动，在此郑重承诺： </w:t>
      </w:r>
    </w:p>
    <w:p w14:paraId="446B17CD">
      <w:pPr>
        <w:widowControl/>
        <w:spacing w:line="360" w:lineRule="auto"/>
        <w:ind w:firstLine="480" w:firstLineChars="200"/>
        <w:jc w:val="left"/>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 xml:space="preserve">我公司完全理解本项目采购的技术要求、商务条款及其他内容，决定参与该项目的投标活动。并承诺，如成交我公司将提供足够的产品和专业技术能力保证本合同履行。 </w:t>
      </w:r>
    </w:p>
    <w:p w14:paraId="6A475C90">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 xml:space="preserve">本公司对以上承诺的真实性负责。如有虚假，我公司同意按我方合同违约处理，并依法承担相应的法律责任。 </w:t>
      </w:r>
    </w:p>
    <w:p w14:paraId="70378B48">
      <w:pPr>
        <w:widowControl/>
        <w:spacing w:line="360" w:lineRule="auto"/>
        <w:jc w:val="left"/>
        <w:rPr>
          <w:rFonts w:hint="eastAsia" w:asciiTheme="minorEastAsia" w:hAnsiTheme="minorEastAsia" w:eastAsiaTheme="minorEastAsia" w:cstheme="minorEastAsia"/>
          <w:kern w:val="0"/>
          <w:sz w:val="24"/>
          <w:szCs w:val="24"/>
          <w:lang w:bidi="ar"/>
        </w:rPr>
      </w:pPr>
    </w:p>
    <w:p w14:paraId="17DBC18E">
      <w:pPr>
        <w:pStyle w:val="15"/>
        <w:ind w:left="1117" w:leftChars="532" w:firstLine="240" w:firstLineChars="100"/>
        <w:jc w:val="right"/>
        <w:rPr>
          <w:rFonts w:hint="eastAsia" w:asciiTheme="minorEastAsia" w:hAnsiTheme="minorEastAsia" w:eastAsiaTheme="minorEastAsia" w:cstheme="minorEastAsia"/>
          <w:b w:val="0"/>
          <w:bCs/>
          <w:szCs w:val="24"/>
        </w:rPr>
      </w:pPr>
      <w:r>
        <w:rPr>
          <w:rFonts w:hint="eastAsia" w:asciiTheme="minorEastAsia" w:hAnsiTheme="minorEastAsia" w:eastAsiaTheme="minorEastAsia" w:cstheme="minorEastAsia"/>
          <w:b w:val="0"/>
          <w:bCs/>
          <w:szCs w:val="24"/>
          <w:lang w:eastAsia="zh-CN"/>
        </w:rPr>
        <w:t>投标人</w:t>
      </w:r>
      <w:r>
        <w:rPr>
          <w:rFonts w:hint="eastAsia" w:asciiTheme="minorEastAsia" w:hAnsiTheme="minorEastAsia" w:eastAsiaTheme="minorEastAsia" w:cstheme="minorEastAsia"/>
          <w:b w:val="0"/>
          <w:bCs/>
          <w:szCs w:val="24"/>
        </w:rPr>
        <w:t>名称：</w:t>
      </w:r>
      <w:r>
        <w:rPr>
          <w:rFonts w:hint="eastAsia" w:asciiTheme="minorEastAsia" w:hAnsiTheme="minorEastAsia" w:eastAsiaTheme="minorEastAsia" w:cstheme="minorEastAsia"/>
          <w:b w:val="0"/>
          <w:bCs/>
          <w:szCs w:val="24"/>
          <w:u w:val="single"/>
        </w:rPr>
        <w:t xml:space="preserve">               </w:t>
      </w:r>
      <w:r>
        <w:rPr>
          <w:rFonts w:hint="eastAsia" w:asciiTheme="minorEastAsia" w:hAnsiTheme="minorEastAsia" w:eastAsiaTheme="minorEastAsia" w:cstheme="minorEastAsia"/>
          <w:b w:val="0"/>
          <w:bCs/>
          <w:szCs w:val="24"/>
        </w:rPr>
        <w:t>（盖章）</w:t>
      </w:r>
    </w:p>
    <w:p w14:paraId="31912EDA">
      <w:pPr>
        <w:spacing w:line="480" w:lineRule="auto"/>
        <w:ind w:firstLine="480" w:firstLineChars="200"/>
        <w:jc w:val="righ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 xml:space="preserve">                   日   期： </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 xml:space="preserve">月 </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日</w:t>
      </w:r>
    </w:p>
    <w:p w14:paraId="6FDA1C03">
      <w:pP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br w:type="page"/>
      </w:r>
    </w:p>
    <w:p w14:paraId="0FD8CFD9">
      <w:pPr>
        <w:pStyle w:val="6"/>
        <w:jc w:val="center"/>
        <w:rPr>
          <w:rFonts w:ascii="宋体" w:hAnsi="宋体" w:eastAsia="宋体" w:cs="宋体"/>
          <w:sz w:val="24"/>
        </w:rPr>
      </w:pPr>
      <w:r>
        <w:rPr>
          <w:rFonts w:hint="eastAsia" w:ascii="宋体" w:hAnsi="宋体" w:eastAsia="宋体" w:cs="宋体"/>
          <w:sz w:val="24"/>
        </w:rPr>
        <w:t>格式</w:t>
      </w:r>
      <w:r>
        <w:rPr>
          <w:rFonts w:hint="eastAsia" w:ascii="宋体" w:hAnsi="宋体" w:eastAsia="宋体" w:cs="宋体"/>
          <w:sz w:val="24"/>
          <w:lang w:val="en-US" w:eastAsia="zh-CN"/>
        </w:rPr>
        <w:t>8</w:t>
      </w:r>
      <w:r>
        <w:rPr>
          <w:rFonts w:hint="eastAsia" w:ascii="宋体" w:hAnsi="宋体" w:eastAsia="宋体" w:cs="宋体"/>
          <w:sz w:val="24"/>
        </w:rPr>
        <w:t xml:space="preserve"> 投标函</w:t>
      </w:r>
    </w:p>
    <w:p w14:paraId="41E23F5D">
      <w:pPr>
        <w:spacing w:line="360" w:lineRule="auto"/>
        <w:ind w:firstLine="482" w:firstLineChars="200"/>
        <w:rPr>
          <w:rFonts w:hint="eastAsia" w:ascii="宋体" w:hAnsi="宋体" w:eastAsia="宋体" w:cs="宋体"/>
          <w:sz w:val="24"/>
          <w:lang w:eastAsia="zh-CN"/>
        </w:rPr>
      </w:pPr>
      <w:r>
        <w:rPr>
          <w:rFonts w:hint="eastAsia" w:ascii="宋体" w:hAnsi="宋体" w:cs="宋体"/>
          <w:b/>
          <w:kern w:val="0"/>
          <w:sz w:val="24"/>
        </w:rPr>
        <w:t>致：</w:t>
      </w:r>
      <w:r>
        <w:rPr>
          <w:rFonts w:hint="eastAsia" w:ascii="宋体" w:hAnsi="宋体" w:cs="宋体"/>
          <w:b/>
          <w:kern w:val="0"/>
          <w:sz w:val="24"/>
          <w:u w:val="single"/>
          <w:lang w:eastAsia="zh-CN"/>
        </w:rPr>
        <w:t>克拉玛依市林业和草原局</w:t>
      </w:r>
    </w:p>
    <w:p w14:paraId="5EDA40EF">
      <w:pPr>
        <w:pStyle w:val="15"/>
        <w:ind w:left="0" w:firstLine="480" w:firstLineChars="200"/>
        <w:rPr>
          <w:rFonts w:ascii="宋体" w:hAnsi="宋体" w:cs="宋体"/>
          <w:b w:val="0"/>
          <w:bCs/>
        </w:rPr>
      </w:pPr>
      <w:r>
        <w:rPr>
          <w:rFonts w:hint="eastAsia" w:ascii="宋体" w:hAnsi="宋体" w:cs="宋体"/>
          <w:b w:val="0"/>
          <w:bCs/>
        </w:rPr>
        <w:t>我方全面研究了</w:t>
      </w:r>
      <w:r>
        <w:rPr>
          <w:rFonts w:hint="eastAsia" w:ascii="宋体" w:hAnsi="宋体" w:cs="宋体"/>
          <w:bCs/>
        </w:rPr>
        <w:t>“</w:t>
      </w:r>
      <w:r>
        <w:rPr>
          <w:rFonts w:hint="eastAsia" w:ascii="宋体" w:hAnsi="宋体" w:cs="宋体"/>
          <w:bCs/>
          <w:u w:val="single"/>
        </w:rPr>
        <w:t xml:space="preserve">           </w:t>
      </w:r>
      <w:r>
        <w:rPr>
          <w:rFonts w:hint="eastAsia" w:ascii="宋体" w:hAnsi="宋体" w:cs="宋体"/>
          <w:bCs/>
        </w:rPr>
        <w:t>”</w:t>
      </w:r>
      <w:r>
        <w:rPr>
          <w:rFonts w:hint="eastAsia" w:ascii="宋体" w:hAnsi="宋体" w:cs="宋体"/>
          <w:b w:val="0"/>
          <w:bCs/>
        </w:rPr>
        <w:t>项目招标文件（招标文件编号：</w:t>
      </w:r>
      <w:r>
        <w:rPr>
          <w:rFonts w:hint="eastAsia" w:ascii="宋体" w:hAnsi="宋体" w:cs="宋体"/>
          <w:b w:val="0"/>
          <w:bCs/>
          <w:u w:val="single"/>
        </w:rPr>
        <w:t xml:space="preserve">        </w:t>
      </w:r>
      <w:r>
        <w:rPr>
          <w:rFonts w:hint="eastAsia" w:ascii="宋体" w:hAnsi="宋体" w:cs="宋体"/>
          <w:b w:val="0"/>
          <w:bCs/>
        </w:rPr>
        <w:t>），决定参加本项目投标。我方授权</w:t>
      </w:r>
      <w:r>
        <w:rPr>
          <w:rFonts w:hint="eastAsia" w:ascii="宋体" w:hAnsi="宋体" w:cs="宋体"/>
          <w:b w:val="0"/>
          <w:bCs/>
          <w:u w:val="single"/>
        </w:rPr>
        <w:t xml:space="preserve">        </w:t>
      </w:r>
      <w:r>
        <w:rPr>
          <w:rFonts w:hint="eastAsia" w:ascii="宋体" w:hAnsi="宋体" w:cs="宋体"/>
          <w:b w:val="0"/>
          <w:bCs/>
        </w:rPr>
        <w:t>（姓名、职务）代表我方</w:t>
      </w:r>
      <w:r>
        <w:rPr>
          <w:rFonts w:hint="eastAsia" w:ascii="宋体" w:hAnsi="宋体" w:cs="宋体"/>
          <w:b w:val="0"/>
          <w:bCs/>
          <w:u w:val="single"/>
        </w:rPr>
        <w:t xml:space="preserve">                 </w:t>
      </w:r>
      <w:r>
        <w:rPr>
          <w:rFonts w:hint="eastAsia" w:ascii="宋体" w:hAnsi="宋体" w:cs="宋体"/>
          <w:b w:val="0"/>
          <w:bCs/>
        </w:rPr>
        <w:t>全权处理本项目投标的有关事宜。</w:t>
      </w:r>
    </w:p>
    <w:p w14:paraId="4306D1DF">
      <w:pPr>
        <w:pStyle w:val="15"/>
        <w:numPr>
          <w:ilvl w:val="0"/>
          <w:numId w:val="11"/>
        </w:numPr>
        <w:ind w:left="0" w:firstLine="480" w:firstLineChars="200"/>
        <w:rPr>
          <w:rFonts w:ascii="宋体" w:hAnsi="宋体" w:cs="宋体"/>
          <w:b w:val="0"/>
          <w:bCs/>
        </w:rPr>
      </w:pPr>
      <w:r>
        <w:rPr>
          <w:rFonts w:hint="eastAsia" w:ascii="宋体" w:hAnsi="宋体" w:cs="宋体"/>
          <w:b w:val="0"/>
          <w:bCs/>
        </w:rPr>
        <w:t>我方自愿按照招标文件规定的各项要求向采购人提供所需货物和服务。商务报价为￥</w:t>
      </w:r>
      <w:r>
        <w:rPr>
          <w:rFonts w:hint="eastAsia" w:ascii="宋体" w:hAnsi="宋体" w:cs="宋体"/>
          <w:b w:val="0"/>
          <w:bCs/>
          <w:u w:val="single"/>
        </w:rPr>
        <w:t xml:space="preserve">   </w:t>
      </w:r>
      <w:r>
        <w:rPr>
          <w:rFonts w:hint="eastAsia" w:ascii="宋体" w:hAnsi="宋体" w:cs="宋体"/>
          <w:b w:val="0"/>
          <w:bCs/>
        </w:rPr>
        <w:t>万元（大写：人民币</w:t>
      </w:r>
      <w:r>
        <w:rPr>
          <w:rFonts w:hint="eastAsia" w:ascii="宋体" w:hAnsi="宋体" w:cs="宋体"/>
          <w:b w:val="0"/>
          <w:bCs/>
          <w:u w:val="single"/>
        </w:rPr>
        <w:t xml:space="preserve">        </w:t>
      </w:r>
      <w:r>
        <w:rPr>
          <w:rFonts w:hint="eastAsia" w:ascii="宋体" w:hAnsi="宋体" w:cs="宋体"/>
          <w:b w:val="0"/>
          <w:bCs/>
        </w:rPr>
        <w:t>）。</w:t>
      </w:r>
    </w:p>
    <w:p w14:paraId="134C090D">
      <w:pPr>
        <w:pStyle w:val="15"/>
        <w:numPr>
          <w:ilvl w:val="0"/>
          <w:numId w:val="11"/>
        </w:numPr>
        <w:ind w:left="0" w:firstLine="480" w:firstLineChars="200"/>
        <w:rPr>
          <w:rFonts w:ascii="宋体" w:hAnsi="宋体" w:cs="宋体"/>
          <w:b w:val="0"/>
          <w:bCs/>
        </w:rPr>
      </w:pPr>
      <w:r>
        <w:rPr>
          <w:rFonts w:hint="eastAsia" w:ascii="宋体" w:hAnsi="宋体" w:cs="宋体"/>
          <w:b w:val="0"/>
          <w:bCs/>
        </w:rPr>
        <w:t>我方承诺本项目投标有效期：递交投标文件截止日起</w:t>
      </w:r>
      <w:r>
        <w:rPr>
          <w:rFonts w:hint="eastAsia" w:ascii="宋体" w:hAnsi="宋体" w:cs="宋体"/>
          <w:b w:val="0"/>
          <w:bCs/>
          <w:u w:val="single"/>
        </w:rPr>
        <w:t>90</w:t>
      </w:r>
      <w:r>
        <w:rPr>
          <w:rFonts w:hint="eastAsia" w:ascii="宋体" w:hAnsi="宋体" w:cs="宋体"/>
          <w:b w:val="0"/>
          <w:bCs/>
        </w:rPr>
        <w:t>天（日历日）。</w:t>
      </w:r>
    </w:p>
    <w:p w14:paraId="347C1CC5">
      <w:pPr>
        <w:pStyle w:val="15"/>
        <w:numPr>
          <w:ilvl w:val="0"/>
          <w:numId w:val="11"/>
        </w:numPr>
        <w:ind w:left="0" w:firstLine="480" w:firstLineChars="200"/>
        <w:rPr>
          <w:rFonts w:ascii="宋体" w:hAnsi="宋体" w:cs="宋体"/>
          <w:b w:val="0"/>
          <w:bCs/>
        </w:rPr>
      </w:pPr>
      <w:r>
        <w:rPr>
          <w:rFonts w:hint="eastAsia" w:ascii="宋体" w:hAnsi="宋体" w:cs="宋体"/>
          <w:b w:val="0"/>
          <w:bCs/>
        </w:rPr>
        <w:t>一旦我方中标，我方将严格履行合同规定的责任和义务，保证按采购人要求及我方承诺完成所需服务及应尽义务。</w:t>
      </w:r>
    </w:p>
    <w:p w14:paraId="22F8643B">
      <w:pPr>
        <w:pStyle w:val="15"/>
        <w:numPr>
          <w:ilvl w:val="0"/>
          <w:numId w:val="11"/>
        </w:numPr>
        <w:ind w:left="0" w:firstLine="480" w:firstLineChars="200"/>
        <w:rPr>
          <w:rFonts w:ascii="宋体" w:hAnsi="宋体" w:cs="宋体"/>
          <w:b w:val="0"/>
          <w:bCs/>
        </w:rPr>
      </w:pPr>
      <w:r>
        <w:rPr>
          <w:rFonts w:hint="eastAsia" w:ascii="宋体" w:hAnsi="宋体" w:cs="宋体"/>
          <w:b w:val="0"/>
          <w:bCs/>
        </w:rPr>
        <w:t>我方愿意提供采购人可能另外要求的，与公开有关的文件资料，并保证我方已提供和将要提供的文件资料是真实、准确的。</w:t>
      </w:r>
    </w:p>
    <w:p w14:paraId="7ED68BBF">
      <w:pPr>
        <w:pStyle w:val="15"/>
        <w:numPr>
          <w:ilvl w:val="0"/>
          <w:numId w:val="11"/>
        </w:numPr>
        <w:ind w:left="0" w:firstLine="480" w:firstLineChars="200"/>
        <w:rPr>
          <w:rFonts w:ascii="宋体" w:hAnsi="宋体" w:cs="宋体"/>
          <w:b w:val="0"/>
          <w:bCs/>
        </w:rPr>
      </w:pPr>
      <w:r>
        <w:rPr>
          <w:rFonts w:hint="eastAsia" w:ascii="宋体" w:hAnsi="宋体" w:cs="宋体"/>
          <w:b w:val="0"/>
          <w:bCs/>
        </w:rPr>
        <w:t>我方完全理解你们将不受必须接受你们所收到的最低投标价及其它任何投标文件的约束。</w:t>
      </w:r>
    </w:p>
    <w:p w14:paraId="0722AE34">
      <w:pPr>
        <w:spacing w:line="360" w:lineRule="auto"/>
        <w:ind w:firstLine="480" w:firstLineChars="200"/>
        <w:rPr>
          <w:rFonts w:ascii="宋体" w:hAnsi="宋体" w:cs="宋体"/>
          <w:bCs/>
          <w:sz w:val="24"/>
        </w:rPr>
      </w:pPr>
    </w:p>
    <w:p w14:paraId="25D4DE63">
      <w:pPr>
        <w:pStyle w:val="15"/>
        <w:ind w:left="0" w:firstLine="480" w:firstLineChars="200"/>
        <w:rPr>
          <w:rFonts w:ascii="宋体" w:hAnsi="宋体" w:cs="宋体"/>
          <w:b w:val="0"/>
          <w:bCs/>
        </w:rPr>
      </w:pPr>
      <w:r>
        <w:rPr>
          <w:rFonts w:hint="eastAsia" w:ascii="宋体" w:hAnsi="宋体" w:cs="宋体"/>
          <w:b w:val="0"/>
          <w:bCs/>
        </w:rPr>
        <w:t>投标人名称（盖章）：</w:t>
      </w:r>
    </w:p>
    <w:p w14:paraId="3D45B8A8">
      <w:pPr>
        <w:pStyle w:val="15"/>
        <w:ind w:left="0" w:firstLine="480" w:firstLineChars="200"/>
        <w:rPr>
          <w:rFonts w:ascii="宋体" w:hAnsi="宋体" w:cs="宋体"/>
          <w:b w:val="0"/>
          <w:bCs/>
        </w:rPr>
      </w:pPr>
      <w:r>
        <w:rPr>
          <w:rFonts w:hint="eastAsia" w:ascii="宋体" w:hAnsi="宋体" w:cs="宋体"/>
          <w:b w:val="0"/>
          <w:bCs/>
        </w:rPr>
        <w:t>法人代表人或委托代理人签字或盖章：</w:t>
      </w:r>
    </w:p>
    <w:p w14:paraId="2ED8DEA8">
      <w:pPr>
        <w:pStyle w:val="15"/>
        <w:ind w:left="0" w:firstLine="480" w:firstLineChars="200"/>
        <w:rPr>
          <w:rFonts w:ascii="宋体" w:hAnsi="宋体" w:cs="宋体"/>
          <w:b w:val="0"/>
          <w:bCs/>
        </w:rPr>
      </w:pPr>
      <w:r>
        <w:rPr>
          <w:rFonts w:hint="eastAsia" w:ascii="宋体" w:hAnsi="宋体" w:cs="宋体"/>
          <w:b w:val="0"/>
          <w:bCs/>
        </w:rPr>
        <w:t>通讯地址：</w:t>
      </w:r>
    </w:p>
    <w:p w14:paraId="4718165D">
      <w:pPr>
        <w:pStyle w:val="15"/>
        <w:ind w:left="0" w:firstLine="480" w:firstLineChars="200"/>
        <w:rPr>
          <w:rFonts w:ascii="宋体" w:hAnsi="宋体" w:cs="宋体"/>
          <w:b w:val="0"/>
          <w:bCs/>
        </w:rPr>
      </w:pPr>
      <w:r>
        <w:rPr>
          <w:rFonts w:hint="eastAsia" w:ascii="宋体" w:hAnsi="宋体" w:cs="宋体"/>
          <w:b w:val="0"/>
          <w:bCs/>
        </w:rPr>
        <w:t>邮政编码：</w:t>
      </w:r>
    </w:p>
    <w:p w14:paraId="4E4AA9F9">
      <w:pPr>
        <w:pStyle w:val="15"/>
        <w:ind w:left="0" w:firstLine="480" w:firstLineChars="200"/>
        <w:rPr>
          <w:rFonts w:ascii="宋体" w:hAnsi="宋体" w:cs="宋体"/>
          <w:b w:val="0"/>
          <w:bCs/>
        </w:rPr>
      </w:pPr>
      <w:r>
        <w:rPr>
          <w:rFonts w:hint="eastAsia" w:ascii="宋体" w:hAnsi="宋体" w:cs="宋体"/>
          <w:b w:val="0"/>
          <w:bCs/>
        </w:rPr>
        <w:t>联系电话：</w:t>
      </w:r>
    </w:p>
    <w:p w14:paraId="6267B561">
      <w:pPr>
        <w:pStyle w:val="15"/>
        <w:ind w:left="0" w:firstLine="480" w:firstLineChars="200"/>
        <w:rPr>
          <w:rFonts w:ascii="宋体" w:hAnsi="宋体" w:cs="宋体"/>
          <w:b w:val="0"/>
          <w:bCs/>
        </w:rPr>
      </w:pPr>
      <w:r>
        <w:rPr>
          <w:rFonts w:hint="eastAsia" w:ascii="宋体" w:hAnsi="宋体" w:cs="宋体"/>
          <w:b w:val="0"/>
          <w:bCs/>
        </w:rPr>
        <w:t>传    真：</w:t>
      </w:r>
    </w:p>
    <w:p w14:paraId="36A9C1F3">
      <w:pPr>
        <w:pStyle w:val="15"/>
        <w:ind w:left="0" w:firstLine="480" w:firstLineChars="200"/>
        <w:rPr>
          <w:rFonts w:ascii="宋体" w:hAnsi="宋体" w:cs="宋体"/>
          <w:b w:val="0"/>
          <w:bCs/>
        </w:rPr>
      </w:pPr>
      <w:r>
        <w:rPr>
          <w:rFonts w:hint="eastAsia" w:ascii="宋体" w:hAnsi="宋体" w:cs="宋体"/>
          <w:b w:val="0"/>
          <w:bCs/>
        </w:rPr>
        <w:t>日    期：   年    月    日</w:t>
      </w:r>
    </w:p>
    <w:p w14:paraId="5A3E4323">
      <w:pPr>
        <w:pStyle w:val="7"/>
        <w:spacing w:line="360" w:lineRule="auto"/>
        <w:ind w:firstLine="0"/>
        <w:jc w:val="both"/>
        <w:rPr>
          <w:rFonts w:ascii="宋体" w:hAnsi="宋体" w:cs="宋体"/>
        </w:rPr>
      </w:pPr>
    </w:p>
    <w:p w14:paraId="2F90E5E1">
      <w:pPr>
        <w:spacing w:line="360" w:lineRule="auto"/>
        <w:jc w:val="center"/>
        <w:rPr>
          <w:rFonts w:ascii="宋体" w:hAnsi="宋体" w:cs="宋体"/>
          <w:b/>
          <w:sz w:val="24"/>
        </w:rPr>
      </w:pPr>
    </w:p>
    <w:p w14:paraId="208AE402">
      <w:pPr>
        <w:spacing w:line="360" w:lineRule="auto"/>
        <w:jc w:val="center"/>
        <w:rPr>
          <w:rFonts w:ascii="宋体" w:hAnsi="宋体" w:cs="宋体"/>
          <w:b/>
          <w:sz w:val="24"/>
        </w:rPr>
      </w:pPr>
    </w:p>
    <w:p w14:paraId="5B9CF72B">
      <w:pPr>
        <w:spacing w:line="360" w:lineRule="auto"/>
        <w:rPr>
          <w:rFonts w:ascii="宋体" w:hAnsi="宋体" w:cs="宋体"/>
          <w:b/>
          <w:sz w:val="24"/>
        </w:rPr>
      </w:pPr>
    </w:p>
    <w:p w14:paraId="6EC5CB45">
      <w:pPr>
        <w:pStyle w:val="6"/>
        <w:spacing w:line="240" w:lineRule="auto"/>
        <w:jc w:val="center"/>
        <w:rPr>
          <w:rFonts w:ascii="宋体" w:hAnsi="宋体" w:eastAsia="宋体" w:cs="宋体"/>
          <w:sz w:val="24"/>
        </w:rPr>
      </w:pPr>
      <w:r>
        <w:rPr>
          <w:rFonts w:hint="eastAsia" w:ascii="宋体" w:hAnsi="宋体" w:eastAsia="宋体" w:cs="宋体"/>
          <w:sz w:val="24"/>
        </w:rPr>
        <w:t>格式</w:t>
      </w:r>
      <w:r>
        <w:rPr>
          <w:rFonts w:hint="eastAsia" w:ascii="宋体" w:hAnsi="宋体" w:eastAsia="宋体" w:cs="宋体"/>
          <w:sz w:val="24"/>
          <w:lang w:val="en-US" w:eastAsia="zh-CN"/>
        </w:rPr>
        <w:t>9</w:t>
      </w:r>
      <w:r>
        <w:rPr>
          <w:rFonts w:hint="eastAsia" w:ascii="宋体" w:hAnsi="宋体" w:eastAsia="宋体" w:cs="宋体"/>
          <w:sz w:val="24"/>
        </w:rPr>
        <w:t xml:space="preserve"> 开标一览表</w:t>
      </w:r>
    </w:p>
    <w:p w14:paraId="1D7CA8F5">
      <w:pPr>
        <w:pStyle w:val="6"/>
        <w:spacing w:line="240" w:lineRule="auto"/>
        <w:jc w:val="left"/>
        <w:rPr>
          <w:rFonts w:ascii="宋体" w:hAnsi="宋体" w:eastAsia="宋体" w:cs="宋体"/>
          <w:sz w:val="24"/>
          <w:szCs w:val="24"/>
        </w:rPr>
      </w:pPr>
      <w:r>
        <w:rPr>
          <w:rFonts w:hint="eastAsia" w:ascii="宋体" w:hAnsi="宋体" w:eastAsia="宋体" w:cs="宋体"/>
          <w:sz w:val="24"/>
          <w:szCs w:val="24"/>
        </w:rPr>
        <w:t xml:space="preserve">项目名称：                     标项：                             </w:t>
      </w:r>
      <w:r>
        <w:rPr>
          <w:rFonts w:hint="eastAsia" w:ascii="宋体" w:hAnsi="宋体" w:eastAsia="宋体" w:cs="宋体"/>
          <w:b w:val="0"/>
          <w:bCs w:val="0"/>
          <w:sz w:val="24"/>
          <w:szCs w:val="24"/>
        </w:rPr>
        <w:t xml:space="preserve">币种：人民币 </w:t>
      </w:r>
      <w:r>
        <w:rPr>
          <w:rFonts w:hint="eastAsia" w:ascii="宋体" w:hAnsi="宋体" w:eastAsia="宋体" w:cs="宋体"/>
          <w:sz w:val="24"/>
          <w:szCs w:val="24"/>
        </w:rPr>
        <w:t xml:space="preserve">                                                </w:t>
      </w:r>
    </w:p>
    <w:tbl>
      <w:tblPr>
        <w:tblStyle w:val="21"/>
        <w:tblW w:w="10675" w:type="dxa"/>
        <w:tblInd w:w="-4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35"/>
        <w:gridCol w:w="3004"/>
        <w:gridCol w:w="681"/>
        <w:gridCol w:w="700"/>
        <w:gridCol w:w="1308"/>
        <w:gridCol w:w="1513"/>
        <w:gridCol w:w="1513"/>
        <w:gridCol w:w="1321"/>
      </w:tblGrid>
      <w:tr w14:paraId="0875D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5" w:hRule="atLeast"/>
        </w:trPr>
        <w:tc>
          <w:tcPr>
            <w:tcW w:w="635" w:type="dxa"/>
            <w:tcBorders>
              <w:top w:val="single" w:color="000000" w:sz="2" w:space="0"/>
              <w:left w:val="single" w:color="000000" w:sz="2" w:space="0"/>
              <w:right w:val="single" w:color="000000" w:sz="2" w:space="0"/>
            </w:tcBorders>
            <w:vAlign w:val="center"/>
          </w:tcPr>
          <w:p w14:paraId="1B54D82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3004" w:type="dxa"/>
            <w:tcBorders>
              <w:top w:val="single" w:color="000000" w:sz="2" w:space="0"/>
              <w:left w:val="single" w:color="auto" w:sz="4" w:space="0"/>
              <w:right w:val="single" w:color="000000" w:sz="2" w:space="0"/>
            </w:tcBorders>
            <w:vAlign w:val="center"/>
          </w:tcPr>
          <w:p w14:paraId="731F0AA5">
            <w:pPr>
              <w:widowControl/>
              <w:spacing w:line="360" w:lineRule="auto"/>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名称</w:t>
            </w:r>
          </w:p>
        </w:tc>
        <w:tc>
          <w:tcPr>
            <w:tcW w:w="681" w:type="dxa"/>
            <w:tcBorders>
              <w:top w:val="single" w:color="000000" w:sz="2" w:space="0"/>
              <w:left w:val="single" w:color="auto" w:sz="4" w:space="0"/>
              <w:right w:val="single" w:color="auto" w:sz="4" w:space="0"/>
            </w:tcBorders>
            <w:vAlign w:val="center"/>
          </w:tcPr>
          <w:p w14:paraId="337323F5">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数量</w:t>
            </w:r>
          </w:p>
        </w:tc>
        <w:tc>
          <w:tcPr>
            <w:tcW w:w="700" w:type="dxa"/>
            <w:tcBorders>
              <w:top w:val="single" w:color="000000" w:sz="2" w:space="0"/>
              <w:left w:val="single" w:color="auto" w:sz="4" w:space="0"/>
              <w:right w:val="single" w:color="auto" w:sz="4" w:space="0"/>
            </w:tcBorders>
            <w:vAlign w:val="center"/>
          </w:tcPr>
          <w:p w14:paraId="721625B2">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tc>
        <w:tc>
          <w:tcPr>
            <w:tcW w:w="1308" w:type="dxa"/>
            <w:tcBorders>
              <w:top w:val="single" w:color="000000" w:sz="2" w:space="0"/>
              <w:left w:val="single" w:color="auto" w:sz="4" w:space="0"/>
              <w:right w:val="single" w:color="auto" w:sz="4" w:space="0"/>
            </w:tcBorders>
            <w:vAlign w:val="center"/>
          </w:tcPr>
          <w:p w14:paraId="0A1331D4">
            <w:pPr>
              <w:widowControl/>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单价（元）</w:t>
            </w:r>
          </w:p>
        </w:tc>
        <w:tc>
          <w:tcPr>
            <w:tcW w:w="1513" w:type="dxa"/>
            <w:tcBorders>
              <w:top w:val="single" w:color="000000" w:sz="2" w:space="0"/>
              <w:left w:val="single" w:color="auto" w:sz="4" w:space="0"/>
              <w:right w:val="single" w:color="auto" w:sz="4" w:space="0"/>
            </w:tcBorders>
            <w:vAlign w:val="center"/>
          </w:tcPr>
          <w:p w14:paraId="299F0C1C">
            <w:pPr>
              <w:widowControl/>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 xml:space="preserve"> </w:t>
            </w:r>
            <w:r>
              <w:rPr>
                <w:rFonts w:hint="eastAsia" w:asciiTheme="minorEastAsia" w:hAnsiTheme="minorEastAsia" w:eastAsiaTheme="minorEastAsia" w:cstheme="minorEastAsia"/>
                <w:sz w:val="24"/>
              </w:rPr>
              <w:t>金额（元）</w:t>
            </w:r>
          </w:p>
        </w:tc>
        <w:tc>
          <w:tcPr>
            <w:tcW w:w="1513" w:type="dxa"/>
            <w:tcBorders>
              <w:top w:val="single" w:color="000000" w:sz="2" w:space="0"/>
              <w:left w:val="single" w:color="auto" w:sz="4" w:space="0"/>
              <w:right w:val="single" w:color="auto" w:sz="4" w:space="0"/>
            </w:tcBorders>
            <w:vAlign w:val="center"/>
          </w:tcPr>
          <w:p w14:paraId="37E52A8C">
            <w:pPr>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rPr>
              <w:t>品牌</w:t>
            </w:r>
            <w:r>
              <w:rPr>
                <w:rFonts w:hint="eastAsia" w:asciiTheme="minorEastAsia" w:hAnsiTheme="minorEastAsia" w:eastAsiaTheme="minorEastAsia" w:cstheme="minorEastAsia"/>
                <w:sz w:val="24"/>
                <w:lang w:eastAsia="zh-CN"/>
              </w:rPr>
              <w:t>、</w:t>
            </w:r>
            <w:r>
              <w:rPr>
                <w:rFonts w:hint="eastAsia" w:asciiTheme="minorEastAsia" w:hAnsiTheme="minorEastAsia" w:eastAsiaTheme="minorEastAsia" w:cstheme="minorEastAsia"/>
                <w:sz w:val="24"/>
                <w:lang w:val="en-US" w:eastAsia="zh-CN"/>
              </w:rPr>
              <w:t>产地</w:t>
            </w:r>
          </w:p>
        </w:tc>
        <w:tc>
          <w:tcPr>
            <w:tcW w:w="1321" w:type="dxa"/>
            <w:tcBorders>
              <w:top w:val="single" w:color="000000" w:sz="2" w:space="0"/>
              <w:left w:val="single" w:color="auto" w:sz="4" w:space="0"/>
              <w:right w:val="single" w:color="000000" w:sz="2" w:space="0"/>
            </w:tcBorders>
            <w:vAlign w:val="center"/>
          </w:tcPr>
          <w:p w14:paraId="2D655871">
            <w:pPr>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型号、规格</w:t>
            </w:r>
          </w:p>
        </w:tc>
      </w:tr>
      <w:tr w14:paraId="219F3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right w:val="single" w:color="000000" w:sz="2" w:space="0"/>
            </w:tcBorders>
            <w:vAlign w:val="center"/>
          </w:tcPr>
          <w:p w14:paraId="28315E4C">
            <w:pPr>
              <w:jc w:val="center"/>
              <w:rPr>
                <w:rFonts w:hint="eastAsia" w:asciiTheme="minorEastAsia" w:hAnsiTheme="minorEastAsia" w:eastAsiaTheme="minorEastAsia" w:cstheme="minorEastAsia"/>
                <w:sz w:val="24"/>
              </w:rPr>
            </w:pPr>
            <w:r>
              <w:rPr>
                <w:rFonts w:hint="eastAsia"/>
                <w:sz w:val="24"/>
                <w:szCs w:val="24"/>
              </w:rPr>
              <w:t>1</w:t>
            </w:r>
          </w:p>
        </w:tc>
        <w:tc>
          <w:tcPr>
            <w:tcW w:w="3004" w:type="dxa"/>
            <w:tcBorders>
              <w:top w:val="single" w:color="auto" w:sz="4" w:space="0"/>
              <w:left w:val="single" w:color="auto" w:sz="4" w:space="0"/>
              <w:right w:val="single" w:color="000000" w:sz="2" w:space="0"/>
            </w:tcBorders>
            <w:vAlign w:val="center"/>
          </w:tcPr>
          <w:p w14:paraId="72D113B6">
            <w:pPr>
              <w:widowControl/>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固定式观鸟望远镜</w:t>
            </w:r>
          </w:p>
        </w:tc>
        <w:tc>
          <w:tcPr>
            <w:tcW w:w="681" w:type="dxa"/>
            <w:tcBorders>
              <w:left w:val="single" w:color="auto" w:sz="4" w:space="0"/>
              <w:right w:val="single" w:color="auto" w:sz="4" w:space="0"/>
            </w:tcBorders>
            <w:vAlign w:val="center"/>
          </w:tcPr>
          <w:p w14:paraId="0B47D718">
            <w:pPr>
              <w:widowControl/>
              <w:jc w:val="center"/>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kern w:val="0"/>
                <w:sz w:val="24"/>
                <w:szCs w:val="24"/>
                <w:lang w:val="en-US" w:eastAsia="zh-CN"/>
              </w:rPr>
              <w:t>4</w:t>
            </w:r>
          </w:p>
        </w:tc>
        <w:tc>
          <w:tcPr>
            <w:tcW w:w="700" w:type="dxa"/>
            <w:tcBorders>
              <w:left w:val="single" w:color="auto" w:sz="4" w:space="0"/>
              <w:right w:val="single" w:color="auto" w:sz="4" w:space="0"/>
            </w:tcBorders>
            <w:vAlign w:val="center"/>
          </w:tcPr>
          <w:p w14:paraId="457F8A58">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szCs w:val="24"/>
              </w:rPr>
              <w:t>套</w:t>
            </w:r>
          </w:p>
        </w:tc>
        <w:tc>
          <w:tcPr>
            <w:tcW w:w="1308" w:type="dxa"/>
            <w:tcBorders>
              <w:left w:val="single" w:color="auto" w:sz="4" w:space="0"/>
              <w:right w:val="single" w:color="auto" w:sz="4" w:space="0"/>
            </w:tcBorders>
            <w:vAlign w:val="center"/>
          </w:tcPr>
          <w:p w14:paraId="072F4103">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6F350097">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23002A6E">
            <w:pPr>
              <w:spacing w:line="360" w:lineRule="auto"/>
              <w:jc w:val="left"/>
              <w:rPr>
                <w:rFonts w:hint="eastAsia" w:asciiTheme="minorEastAsia" w:hAnsiTheme="minorEastAsia" w:eastAsiaTheme="minorEastAsia" w:cstheme="minorEastAsia"/>
                <w:sz w:val="24"/>
              </w:rPr>
            </w:pPr>
          </w:p>
        </w:tc>
        <w:tc>
          <w:tcPr>
            <w:tcW w:w="1321" w:type="dxa"/>
            <w:tcBorders>
              <w:left w:val="single" w:color="auto" w:sz="4" w:space="0"/>
              <w:right w:val="single" w:color="000000" w:sz="2" w:space="0"/>
            </w:tcBorders>
            <w:vAlign w:val="center"/>
          </w:tcPr>
          <w:p w14:paraId="0D7681D3">
            <w:pPr>
              <w:spacing w:line="360" w:lineRule="auto"/>
              <w:jc w:val="left"/>
              <w:rPr>
                <w:rFonts w:hint="eastAsia" w:asciiTheme="minorEastAsia" w:hAnsiTheme="minorEastAsia" w:eastAsiaTheme="minorEastAsia" w:cstheme="minorEastAsia"/>
                <w:sz w:val="24"/>
              </w:rPr>
            </w:pPr>
          </w:p>
        </w:tc>
      </w:tr>
      <w:tr w14:paraId="36390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right w:val="single" w:color="000000" w:sz="2" w:space="0"/>
            </w:tcBorders>
            <w:vAlign w:val="center"/>
          </w:tcPr>
          <w:p w14:paraId="395AE097">
            <w:pPr>
              <w:jc w:val="center"/>
              <w:rPr>
                <w:rFonts w:hint="eastAsia" w:asciiTheme="minorEastAsia" w:hAnsiTheme="minorEastAsia" w:eastAsiaTheme="minorEastAsia" w:cstheme="minorEastAsia"/>
                <w:sz w:val="24"/>
              </w:rPr>
            </w:pPr>
            <w:r>
              <w:rPr>
                <w:rFonts w:hint="eastAsia"/>
                <w:sz w:val="24"/>
                <w:szCs w:val="24"/>
              </w:rPr>
              <w:t>2</w:t>
            </w:r>
          </w:p>
        </w:tc>
        <w:tc>
          <w:tcPr>
            <w:tcW w:w="3004" w:type="dxa"/>
            <w:tcBorders>
              <w:top w:val="single" w:color="auto" w:sz="4" w:space="0"/>
              <w:left w:val="single" w:color="auto" w:sz="4" w:space="0"/>
              <w:right w:val="single" w:color="000000" w:sz="2" w:space="0"/>
            </w:tcBorders>
            <w:vAlign w:val="center"/>
          </w:tcPr>
          <w:p w14:paraId="66208D07">
            <w:pPr>
              <w:widowControl/>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太阳能动物监控摄像头</w:t>
            </w:r>
          </w:p>
        </w:tc>
        <w:tc>
          <w:tcPr>
            <w:tcW w:w="681" w:type="dxa"/>
            <w:tcBorders>
              <w:left w:val="single" w:color="auto" w:sz="4" w:space="0"/>
              <w:right w:val="single" w:color="auto" w:sz="4" w:space="0"/>
            </w:tcBorders>
            <w:vAlign w:val="center"/>
          </w:tcPr>
          <w:p w14:paraId="166E537F">
            <w:pPr>
              <w:widowControl/>
              <w:jc w:val="center"/>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kern w:val="0"/>
                <w:sz w:val="24"/>
                <w:szCs w:val="24"/>
                <w:lang w:val="en-US" w:eastAsia="zh-CN"/>
              </w:rPr>
              <w:t>38</w:t>
            </w:r>
          </w:p>
        </w:tc>
        <w:tc>
          <w:tcPr>
            <w:tcW w:w="700" w:type="dxa"/>
            <w:tcBorders>
              <w:left w:val="single" w:color="auto" w:sz="4" w:space="0"/>
              <w:right w:val="single" w:color="auto" w:sz="4" w:space="0"/>
            </w:tcBorders>
            <w:vAlign w:val="center"/>
          </w:tcPr>
          <w:p w14:paraId="47507FB3">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szCs w:val="24"/>
              </w:rPr>
              <w:t>套</w:t>
            </w:r>
          </w:p>
        </w:tc>
        <w:tc>
          <w:tcPr>
            <w:tcW w:w="1308" w:type="dxa"/>
            <w:tcBorders>
              <w:left w:val="single" w:color="auto" w:sz="4" w:space="0"/>
              <w:right w:val="single" w:color="auto" w:sz="4" w:space="0"/>
            </w:tcBorders>
            <w:vAlign w:val="center"/>
          </w:tcPr>
          <w:p w14:paraId="7D9B87EA">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4C3F517A">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26BF028F">
            <w:pPr>
              <w:spacing w:line="360" w:lineRule="auto"/>
              <w:jc w:val="left"/>
              <w:rPr>
                <w:rFonts w:hint="eastAsia" w:asciiTheme="minorEastAsia" w:hAnsiTheme="minorEastAsia" w:eastAsiaTheme="minorEastAsia" w:cstheme="minorEastAsia"/>
                <w:sz w:val="24"/>
              </w:rPr>
            </w:pPr>
          </w:p>
        </w:tc>
        <w:tc>
          <w:tcPr>
            <w:tcW w:w="1321" w:type="dxa"/>
            <w:tcBorders>
              <w:left w:val="single" w:color="auto" w:sz="4" w:space="0"/>
              <w:right w:val="single" w:color="000000" w:sz="2" w:space="0"/>
            </w:tcBorders>
            <w:vAlign w:val="center"/>
          </w:tcPr>
          <w:p w14:paraId="264759E9">
            <w:pPr>
              <w:spacing w:line="360" w:lineRule="auto"/>
              <w:jc w:val="left"/>
              <w:rPr>
                <w:rFonts w:hint="eastAsia" w:asciiTheme="minorEastAsia" w:hAnsiTheme="minorEastAsia" w:eastAsiaTheme="minorEastAsia" w:cstheme="minorEastAsia"/>
                <w:sz w:val="24"/>
              </w:rPr>
            </w:pPr>
          </w:p>
        </w:tc>
      </w:tr>
      <w:tr w14:paraId="12F96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trPr>
        <w:tc>
          <w:tcPr>
            <w:tcW w:w="635" w:type="dxa"/>
            <w:tcBorders>
              <w:top w:val="single" w:color="auto" w:sz="4" w:space="0"/>
              <w:left w:val="single" w:color="000000" w:sz="2" w:space="0"/>
              <w:right w:val="single" w:color="000000" w:sz="2" w:space="0"/>
            </w:tcBorders>
            <w:vAlign w:val="center"/>
          </w:tcPr>
          <w:p w14:paraId="65A92D31">
            <w:pPr>
              <w:jc w:val="center"/>
              <w:rPr>
                <w:rFonts w:hint="eastAsia" w:asciiTheme="minorEastAsia" w:hAnsiTheme="minorEastAsia" w:eastAsiaTheme="minorEastAsia" w:cstheme="minorEastAsia"/>
                <w:sz w:val="24"/>
              </w:rPr>
            </w:pPr>
            <w:r>
              <w:rPr>
                <w:rFonts w:hint="eastAsia"/>
                <w:sz w:val="24"/>
                <w:szCs w:val="24"/>
              </w:rPr>
              <w:t>3</w:t>
            </w:r>
          </w:p>
        </w:tc>
        <w:tc>
          <w:tcPr>
            <w:tcW w:w="3004" w:type="dxa"/>
            <w:tcBorders>
              <w:top w:val="single" w:color="auto" w:sz="4" w:space="0"/>
              <w:left w:val="single" w:color="auto" w:sz="4" w:space="0"/>
              <w:right w:val="single" w:color="000000" w:sz="2" w:space="0"/>
            </w:tcBorders>
            <w:vAlign w:val="center"/>
          </w:tcPr>
          <w:p w14:paraId="697E8DDD">
            <w:pPr>
              <w:widowControl/>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太阳能治安摄像头</w:t>
            </w:r>
          </w:p>
        </w:tc>
        <w:tc>
          <w:tcPr>
            <w:tcW w:w="681" w:type="dxa"/>
            <w:tcBorders>
              <w:left w:val="single" w:color="auto" w:sz="4" w:space="0"/>
              <w:right w:val="single" w:color="auto" w:sz="4" w:space="0"/>
            </w:tcBorders>
            <w:vAlign w:val="center"/>
          </w:tcPr>
          <w:p w14:paraId="55233E7C">
            <w:pPr>
              <w:widowControl/>
              <w:jc w:val="center"/>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kern w:val="0"/>
                <w:sz w:val="24"/>
                <w:szCs w:val="24"/>
                <w:lang w:val="en-US" w:eastAsia="zh-CN"/>
              </w:rPr>
              <w:t>14</w:t>
            </w:r>
          </w:p>
        </w:tc>
        <w:tc>
          <w:tcPr>
            <w:tcW w:w="700" w:type="dxa"/>
            <w:tcBorders>
              <w:left w:val="single" w:color="auto" w:sz="4" w:space="0"/>
              <w:right w:val="single" w:color="auto" w:sz="4" w:space="0"/>
            </w:tcBorders>
            <w:vAlign w:val="center"/>
          </w:tcPr>
          <w:p w14:paraId="13537878">
            <w:pPr>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szCs w:val="24"/>
              </w:rPr>
              <w:t>套</w:t>
            </w:r>
          </w:p>
        </w:tc>
        <w:tc>
          <w:tcPr>
            <w:tcW w:w="1308" w:type="dxa"/>
            <w:tcBorders>
              <w:left w:val="single" w:color="auto" w:sz="4" w:space="0"/>
              <w:right w:val="single" w:color="auto" w:sz="4" w:space="0"/>
            </w:tcBorders>
            <w:vAlign w:val="center"/>
          </w:tcPr>
          <w:p w14:paraId="20A9678D">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3EB618C1">
            <w:pPr>
              <w:spacing w:line="360" w:lineRule="auto"/>
              <w:jc w:val="center"/>
              <w:rPr>
                <w:rFonts w:hint="eastAsia" w:asciiTheme="minorEastAsia" w:hAnsiTheme="minorEastAsia" w:eastAsiaTheme="minorEastAsia" w:cstheme="minorEastAsia"/>
                <w:sz w:val="24"/>
              </w:rPr>
            </w:pPr>
          </w:p>
        </w:tc>
        <w:tc>
          <w:tcPr>
            <w:tcW w:w="1513" w:type="dxa"/>
            <w:tcBorders>
              <w:left w:val="single" w:color="auto" w:sz="4" w:space="0"/>
              <w:right w:val="single" w:color="auto" w:sz="4" w:space="0"/>
            </w:tcBorders>
            <w:vAlign w:val="center"/>
          </w:tcPr>
          <w:p w14:paraId="5D2A3560">
            <w:pPr>
              <w:spacing w:line="360" w:lineRule="auto"/>
              <w:jc w:val="left"/>
              <w:rPr>
                <w:rFonts w:hint="eastAsia" w:asciiTheme="minorEastAsia" w:hAnsiTheme="minorEastAsia" w:eastAsiaTheme="minorEastAsia" w:cstheme="minorEastAsia"/>
                <w:sz w:val="24"/>
              </w:rPr>
            </w:pPr>
          </w:p>
        </w:tc>
        <w:tc>
          <w:tcPr>
            <w:tcW w:w="1321" w:type="dxa"/>
            <w:tcBorders>
              <w:left w:val="single" w:color="auto" w:sz="4" w:space="0"/>
              <w:right w:val="single" w:color="000000" w:sz="2" w:space="0"/>
            </w:tcBorders>
            <w:vAlign w:val="center"/>
          </w:tcPr>
          <w:p w14:paraId="1DE78E18">
            <w:pPr>
              <w:spacing w:line="360" w:lineRule="auto"/>
              <w:jc w:val="left"/>
              <w:rPr>
                <w:rFonts w:hint="eastAsia" w:asciiTheme="minorEastAsia" w:hAnsiTheme="minorEastAsia" w:eastAsiaTheme="minorEastAsia" w:cstheme="minorEastAsia"/>
                <w:sz w:val="24"/>
              </w:rPr>
            </w:pPr>
          </w:p>
        </w:tc>
      </w:tr>
      <w:tr w14:paraId="00347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right w:val="single" w:color="000000" w:sz="2" w:space="0"/>
            </w:tcBorders>
            <w:vAlign w:val="center"/>
          </w:tcPr>
          <w:p w14:paraId="04273BD9">
            <w:pPr>
              <w:jc w:val="center"/>
              <w:rPr>
                <w:rFonts w:hint="eastAsia" w:ascii="宋体" w:hAnsi="宋体" w:cs="宋体"/>
                <w:sz w:val="24"/>
              </w:rPr>
            </w:pPr>
            <w:r>
              <w:rPr>
                <w:rFonts w:hint="eastAsia"/>
                <w:sz w:val="24"/>
                <w:szCs w:val="24"/>
              </w:rPr>
              <w:t>4</w:t>
            </w:r>
          </w:p>
        </w:tc>
        <w:tc>
          <w:tcPr>
            <w:tcW w:w="3004" w:type="dxa"/>
            <w:tcBorders>
              <w:top w:val="single" w:color="auto" w:sz="4" w:space="0"/>
              <w:left w:val="single" w:color="auto" w:sz="4" w:space="0"/>
              <w:right w:val="single" w:color="000000" w:sz="2" w:space="0"/>
            </w:tcBorders>
            <w:vAlign w:val="center"/>
          </w:tcPr>
          <w:p w14:paraId="7B0BB910">
            <w:pPr>
              <w:widowControl/>
              <w:jc w:val="center"/>
              <w:rPr>
                <w:rFonts w:ascii="宋体" w:hAnsi="宋体" w:cs="宋体"/>
                <w:kern w:val="0"/>
                <w:sz w:val="24"/>
              </w:rPr>
            </w:pPr>
            <w:r>
              <w:rPr>
                <w:rFonts w:hint="eastAsia" w:ascii="宋体" w:hAnsi="宋体" w:cs="宋体"/>
                <w:kern w:val="0"/>
                <w:sz w:val="24"/>
                <w:lang w:val="en-US" w:eastAsia="zh-CN"/>
              </w:rPr>
              <w:t>红外相机</w:t>
            </w:r>
          </w:p>
        </w:tc>
        <w:tc>
          <w:tcPr>
            <w:tcW w:w="681" w:type="dxa"/>
            <w:tcBorders>
              <w:left w:val="single" w:color="auto" w:sz="4" w:space="0"/>
              <w:right w:val="single" w:color="auto" w:sz="4" w:space="0"/>
            </w:tcBorders>
            <w:vAlign w:val="center"/>
          </w:tcPr>
          <w:p w14:paraId="4A33696C">
            <w:pPr>
              <w:widowControl/>
              <w:jc w:val="center"/>
              <w:rPr>
                <w:rFonts w:hint="default" w:ascii="宋体" w:hAnsi="宋体" w:eastAsia="宋体" w:cs="宋体"/>
                <w:sz w:val="24"/>
                <w:lang w:val="en-US" w:eastAsia="zh-CN"/>
              </w:rPr>
            </w:pPr>
            <w:r>
              <w:rPr>
                <w:rFonts w:hint="eastAsia" w:asciiTheme="minorEastAsia" w:hAnsiTheme="minorEastAsia" w:eastAsiaTheme="minorEastAsia" w:cstheme="minorEastAsia"/>
                <w:kern w:val="0"/>
                <w:sz w:val="24"/>
                <w:szCs w:val="24"/>
                <w:lang w:val="en-US" w:eastAsia="zh-CN"/>
              </w:rPr>
              <w:t>200</w:t>
            </w:r>
          </w:p>
        </w:tc>
        <w:tc>
          <w:tcPr>
            <w:tcW w:w="700" w:type="dxa"/>
            <w:tcBorders>
              <w:left w:val="single" w:color="auto" w:sz="4" w:space="0"/>
              <w:right w:val="single" w:color="auto" w:sz="4" w:space="0"/>
            </w:tcBorders>
            <w:vAlign w:val="center"/>
          </w:tcPr>
          <w:p w14:paraId="20EAE939">
            <w:pPr>
              <w:jc w:val="center"/>
              <w:rPr>
                <w:rFonts w:hint="eastAsia" w:ascii="宋体" w:hAnsi="宋体" w:cs="宋体"/>
                <w:sz w:val="24"/>
              </w:rPr>
            </w:pPr>
            <w:r>
              <w:rPr>
                <w:rFonts w:hint="eastAsia" w:asciiTheme="minorEastAsia" w:hAnsiTheme="minorEastAsia" w:eastAsiaTheme="minorEastAsia" w:cstheme="minorEastAsia"/>
                <w:kern w:val="0"/>
                <w:sz w:val="24"/>
                <w:szCs w:val="24"/>
              </w:rPr>
              <w:t>套</w:t>
            </w:r>
          </w:p>
        </w:tc>
        <w:tc>
          <w:tcPr>
            <w:tcW w:w="1308" w:type="dxa"/>
            <w:tcBorders>
              <w:left w:val="single" w:color="auto" w:sz="4" w:space="0"/>
              <w:right w:val="single" w:color="auto" w:sz="4" w:space="0"/>
            </w:tcBorders>
            <w:vAlign w:val="center"/>
          </w:tcPr>
          <w:p w14:paraId="66FF5B7F">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103B3DDF">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20F9B897">
            <w:pPr>
              <w:spacing w:line="360" w:lineRule="auto"/>
              <w:jc w:val="left"/>
              <w:rPr>
                <w:rFonts w:ascii="宋体" w:hAnsi="宋体" w:cs="宋体"/>
                <w:sz w:val="24"/>
              </w:rPr>
            </w:pPr>
          </w:p>
        </w:tc>
        <w:tc>
          <w:tcPr>
            <w:tcW w:w="1321" w:type="dxa"/>
            <w:tcBorders>
              <w:left w:val="single" w:color="auto" w:sz="4" w:space="0"/>
              <w:right w:val="single" w:color="000000" w:sz="2" w:space="0"/>
            </w:tcBorders>
            <w:vAlign w:val="center"/>
          </w:tcPr>
          <w:p w14:paraId="3233AC5A">
            <w:pPr>
              <w:spacing w:line="360" w:lineRule="auto"/>
              <w:jc w:val="left"/>
              <w:rPr>
                <w:rFonts w:ascii="宋体" w:hAnsi="宋体" w:cs="宋体"/>
                <w:sz w:val="24"/>
              </w:rPr>
            </w:pPr>
          </w:p>
        </w:tc>
      </w:tr>
      <w:tr w14:paraId="4AB08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right w:val="single" w:color="000000" w:sz="2" w:space="0"/>
            </w:tcBorders>
            <w:vAlign w:val="center"/>
          </w:tcPr>
          <w:p w14:paraId="46F05902">
            <w:pPr>
              <w:jc w:val="center"/>
              <w:rPr>
                <w:rFonts w:hint="eastAsia" w:ascii="宋体" w:hAnsi="宋体" w:cs="宋体"/>
                <w:sz w:val="24"/>
              </w:rPr>
            </w:pPr>
            <w:r>
              <w:rPr>
                <w:rFonts w:hint="eastAsia"/>
                <w:sz w:val="24"/>
                <w:szCs w:val="24"/>
              </w:rPr>
              <w:t>5</w:t>
            </w:r>
          </w:p>
        </w:tc>
        <w:tc>
          <w:tcPr>
            <w:tcW w:w="3004" w:type="dxa"/>
            <w:tcBorders>
              <w:top w:val="single" w:color="auto" w:sz="4" w:space="0"/>
              <w:left w:val="single" w:color="auto" w:sz="4" w:space="0"/>
              <w:right w:val="single" w:color="000000" w:sz="2" w:space="0"/>
            </w:tcBorders>
            <w:vAlign w:val="center"/>
          </w:tcPr>
          <w:p w14:paraId="14DC9FCA">
            <w:pPr>
              <w:widowControl/>
              <w:jc w:val="center"/>
              <w:rPr>
                <w:rFonts w:ascii="宋体" w:hAnsi="宋体" w:cs="宋体"/>
                <w:kern w:val="0"/>
                <w:sz w:val="24"/>
              </w:rPr>
            </w:pPr>
            <w:r>
              <w:rPr>
                <w:rFonts w:hint="eastAsia" w:ascii="宋体" w:hAnsi="宋体" w:cs="宋体"/>
                <w:kern w:val="0"/>
                <w:sz w:val="24"/>
                <w:lang w:val="en-US" w:eastAsia="zh-CN"/>
              </w:rPr>
              <w:t>人工浮岛</w:t>
            </w:r>
          </w:p>
        </w:tc>
        <w:tc>
          <w:tcPr>
            <w:tcW w:w="681" w:type="dxa"/>
            <w:tcBorders>
              <w:left w:val="single" w:color="auto" w:sz="4" w:space="0"/>
              <w:right w:val="single" w:color="auto" w:sz="4" w:space="0"/>
            </w:tcBorders>
            <w:vAlign w:val="center"/>
          </w:tcPr>
          <w:p w14:paraId="0D33D850">
            <w:pPr>
              <w:widowControl/>
              <w:jc w:val="center"/>
              <w:rPr>
                <w:rFonts w:hint="eastAsia" w:ascii="宋体" w:hAnsi="宋体" w:eastAsia="宋体" w:cs="宋体"/>
                <w:sz w:val="24"/>
                <w:lang w:eastAsia="zh-CN"/>
              </w:rPr>
            </w:pPr>
            <w:r>
              <w:rPr>
                <w:rFonts w:hint="eastAsia" w:asciiTheme="minorEastAsia" w:hAnsiTheme="minorEastAsia" w:eastAsiaTheme="minorEastAsia" w:cstheme="minorEastAsia"/>
                <w:kern w:val="0"/>
                <w:sz w:val="24"/>
                <w:szCs w:val="24"/>
                <w:lang w:val="en-US" w:eastAsia="zh-CN"/>
              </w:rPr>
              <w:t>6</w:t>
            </w:r>
          </w:p>
        </w:tc>
        <w:tc>
          <w:tcPr>
            <w:tcW w:w="700" w:type="dxa"/>
            <w:tcBorders>
              <w:left w:val="single" w:color="auto" w:sz="4" w:space="0"/>
              <w:right w:val="single" w:color="auto" w:sz="4" w:space="0"/>
            </w:tcBorders>
            <w:vAlign w:val="center"/>
          </w:tcPr>
          <w:p w14:paraId="4037F130">
            <w:pPr>
              <w:jc w:val="center"/>
              <w:rPr>
                <w:rFonts w:hint="eastAsia" w:ascii="宋体" w:hAnsi="宋体" w:eastAsia="宋体" w:cs="宋体"/>
                <w:sz w:val="24"/>
                <w:lang w:eastAsia="zh-CN"/>
              </w:rPr>
            </w:pPr>
            <w:r>
              <w:rPr>
                <w:rFonts w:hint="eastAsia" w:asciiTheme="minorEastAsia" w:hAnsiTheme="minorEastAsia" w:eastAsiaTheme="minorEastAsia" w:cstheme="minorEastAsia"/>
                <w:kern w:val="0"/>
                <w:sz w:val="24"/>
                <w:szCs w:val="24"/>
                <w:lang w:val="en-US" w:eastAsia="zh-CN"/>
              </w:rPr>
              <w:t>座</w:t>
            </w:r>
          </w:p>
        </w:tc>
        <w:tc>
          <w:tcPr>
            <w:tcW w:w="1308" w:type="dxa"/>
            <w:tcBorders>
              <w:left w:val="single" w:color="auto" w:sz="4" w:space="0"/>
              <w:right w:val="single" w:color="auto" w:sz="4" w:space="0"/>
            </w:tcBorders>
            <w:vAlign w:val="center"/>
          </w:tcPr>
          <w:p w14:paraId="3676B476">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4094FD43">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67C449A8">
            <w:pPr>
              <w:spacing w:line="360" w:lineRule="auto"/>
              <w:jc w:val="left"/>
              <w:rPr>
                <w:rFonts w:ascii="宋体" w:hAnsi="宋体" w:cs="宋体"/>
                <w:sz w:val="24"/>
              </w:rPr>
            </w:pPr>
          </w:p>
        </w:tc>
        <w:tc>
          <w:tcPr>
            <w:tcW w:w="1321" w:type="dxa"/>
            <w:tcBorders>
              <w:left w:val="single" w:color="auto" w:sz="4" w:space="0"/>
              <w:right w:val="single" w:color="000000" w:sz="2" w:space="0"/>
            </w:tcBorders>
            <w:vAlign w:val="center"/>
          </w:tcPr>
          <w:p w14:paraId="0101E813">
            <w:pPr>
              <w:spacing w:line="360" w:lineRule="auto"/>
              <w:jc w:val="left"/>
              <w:rPr>
                <w:rFonts w:ascii="宋体" w:hAnsi="宋体" w:cs="宋体"/>
                <w:sz w:val="24"/>
              </w:rPr>
            </w:pPr>
          </w:p>
        </w:tc>
      </w:tr>
      <w:tr w14:paraId="12A57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right w:val="single" w:color="000000" w:sz="2" w:space="0"/>
            </w:tcBorders>
            <w:vAlign w:val="center"/>
          </w:tcPr>
          <w:p w14:paraId="1AD2B8C6">
            <w:pPr>
              <w:jc w:val="center"/>
              <w:rPr>
                <w:rFonts w:hint="eastAsia" w:ascii="宋体" w:hAnsi="宋体" w:cs="宋体"/>
                <w:sz w:val="24"/>
              </w:rPr>
            </w:pPr>
            <w:r>
              <w:rPr>
                <w:rFonts w:hint="eastAsia"/>
                <w:sz w:val="24"/>
                <w:szCs w:val="24"/>
              </w:rPr>
              <w:t>6</w:t>
            </w:r>
          </w:p>
        </w:tc>
        <w:tc>
          <w:tcPr>
            <w:tcW w:w="3004" w:type="dxa"/>
            <w:tcBorders>
              <w:top w:val="single" w:color="auto" w:sz="4" w:space="0"/>
              <w:left w:val="single" w:color="auto" w:sz="4" w:space="0"/>
              <w:right w:val="single" w:color="000000" w:sz="2" w:space="0"/>
            </w:tcBorders>
            <w:vAlign w:val="center"/>
          </w:tcPr>
          <w:p w14:paraId="6FE4FF83">
            <w:pPr>
              <w:widowControl/>
              <w:jc w:val="center"/>
              <w:rPr>
                <w:rFonts w:ascii="宋体" w:hAnsi="宋体" w:cs="宋体"/>
                <w:kern w:val="0"/>
                <w:sz w:val="24"/>
              </w:rPr>
            </w:pPr>
            <w:r>
              <w:rPr>
                <w:rFonts w:hint="eastAsia" w:ascii="宋体" w:hAnsi="宋体" w:cs="宋体"/>
                <w:kern w:val="0"/>
                <w:sz w:val="24"/>
                <w:lang w:val="en-US" w:eastAsia="zh-CN"/>
              </w:rPr>
              <w:t>大型水鸟巢招引架</w:t>
            </w:r>
          </w:p>
        </w:tc>
        <w:tc>
          <w:tcPr>
            <w:tcW w:w="681" w:type="dxa"/>
            <w:tcBorders>
              <w:left w:val="single" w:color="auto" w:sz="4" w:space="0"/>
              <w:right w:val="single" w:color="auto" w:sz="4" w:space="0"/>
            </w:tcBorders>
            <w:vAlign w:val="center"/>
          </w:tcPr>
          <w:p w14:paraId="660F2CB0">
            <w:pPr>
              <w:widowControl/>
              <w:jc w:val="center"/>
              <w:rPr>
                <w:rFonts w:hint="eastAsia" w:ascii="宋体" w:hAnsi="宋体" w:eastAsia="宋体" w:cs="宋体"/>
                <w:sz w:val="24"/>
                <w:lang w:eastAsia="zh-CN"/>
              </w:rPr>
            </w:pPr>
            <w:r>
              <w:rPr>
                <w:rFonts w:hint="eastAsia" w:asciiTheme="minorEastAsia" w:hAnsiTheme="minorEastAsia" w:eastAsiaTheme="minorEastAsia" w:cstheme="minorEastAsia"/>
                <w:kern w:val="0"/>
                <w:sz w:val="24"/>
                <w:szCs w:val="24"/>
                <w:lang w:val="en-US" w:eastAsia="zh-CN"/>
              </w:rPr>
              <w:t>3</w:t>
            </w:r>
          </w:p>
        </w:tc>
        <w:tc>
          <w:tcPr>
            <w:tcW w:w="700" w:type="dxa"/>
            <w:tcBorders>
              <w:left w:val="single" w:color="auto" w:sz="4" w:space="0"/>
              <w:right w:val="single" w:color="auto" w:sz="4" w:space="0"/>
            </w:tcBorders>
            <w:vAlign w:val="center"/>
          </w:tcPr>
          <w:p w14:paraId="39F48EDA">
            <w:pPr>
              <w:jc w:val="center"/>
              <w:rPr>
                <w:rFonts w:hint="eastAsia" w:ascii="宋体" w:hAnsi="宋体" w:cs="宋体"/>
                <w:sz w:val="24"/>
              </w:rPr>
            </w:pPr>
            <w:r>
              <w:rPr>
                <w:rFonts w:hint="eastAsia" w:asciiTheme="minorEastAsia" w:hAnsiTheme="minorEastAsia" w:eastAsiaTheme="minorEastAsia" w:cstheme="minorEastAsia"/>
                <w:kern w:val="0"/>
                <w:sz w:val="24"/>
                <w:szCs w:val="24"/>
              </w:rPr>
              <w:t>套</w:t>
            </w:r>
          </w:p>
        </w:tc>
        <w:tc>
          <w:tcPr>
            <w:tcW w:w="1308" w:type="dxa"/>
            <w:tcBorders>
              <w:left w:val="single" w:color="auto" w:sz="4" w:space="0"/>
              <w:right w:val="single" w:color="auto" w:sz="4" w:space="0"/>
            </w:tcBorders>
            <w:vAlign w:val="center"/>
          </w:tcPr>
          <w:p w14:paraId="1156FF70">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388AA37D">
            <w:pPr>
              <w:spacing w:line="360" w:lineRule="auto"/>
              <w:jc w:val="center"/>
              <w:rPr>
                <w:rFonts w:ascii="宋体" w:hAnsi="宋体" w:cs="宋体"/>
                <w:sz w:val="24"/>
              </w:rPr>
            </w:pPr>
          </w:p>
        </w:tc>
        <w:tc>
          <w:tcPr>
            <w:tcW w:w="1513" w:type="dxa"/>
            <w:tcBorders>
              <w:left w:val="single" w:color="auto" w:sz="4" w:space="0"/>
              <w:right w:val="single" w:color="auto" w:sz="4" w:space="0"/>
            </w:tcBorders>
            <w:vAlign w:val="center"/>
          </w:tcPr>
          <w:p w14:paraId="2DCF1F05">
            <w:pPr>
              <w:spacing w:line="360" w:lineRule="auto"/>
              <w:jc w:val="left"/>
              <w:rPr>
                <w:rFonts w:ascii="宋体" w:hAnsi="宋体" w:cs="宋体"/>
                <w:sz w:val="24"/>
              </w:rPr>
            </w:pPr>
          </w:p>
        </w:tc>
        <w:tc>
          <w:tcPr>
            <w:tcW w:w="1321" w:type="dxa"/>
            <w:tcBorders>
              <w:left w:val="single" w:color="auto" w:sz="4" w:space="0"/>
              <w:right w:val="single" w:color="000000" w:sz="2" w:space="0"/>
            </w:tcBorders>
            <w:vAlign w:val="center"/>
          </w:tcPr>
          <w:p w14:paraId="04C78682">
            <w:pPr>
              <w:spacing w:line="360" w:lineRule="auto"/>
              <w:jc w:val="left"/>
              <w:rPr>
                <w:rFonts w:ascii="宋体" w:hAnsi="宋体" w:cs="宋体"/>
                <w:sz w:val="24"/>
              </w:rPr>
            </w:pPr>
          </w:p>
        </w:tc>
      </w:tr>
      <w:tr w14:paraId="60784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0" w:hRule="atLeast"/>
        </w:trPr>
        <w:tc>
          <w:tcPr>
            <w:tcW w:w="635" w:type="dxa"/>
            <w:vMerge w:val="restart"/>
            <w:tcBorders>
              <w:top w:val="single" w:color="auto" w:sz="4" w:space="0"/>
              <w:left w:val="single" w:color="000000" w:sz="2" w:space="0"/>
              <w:right w:val="single" w:color="000000" w:sz="2" w:space="0"/>
            </w:tcBorders>
            <w:vAlign w:val="center"/>
          </w:tcPr>
          <w:p w14:paraId="2D07021B">
            <w:pPr>
              <w:spacing w:line="288" w:lineRule="auto"/>
              <w:jc w:val="center"/>
              <w:rPr>
                <w:rFonts w:hint="default" w:ascii="宋体" w:hAnsi="宋体" w:eastAsia="宋体" w:cs="宋体"/>
                <w:sz w:val="24"/>
                <w:lang w:val="en-US" w:eastAsia="zh-CN"/>
              </w:rPr>
            </w:pPr>
            <w:r>
              <w:rPr>
                <w:rFonts w:hint="eastAsia" w:ascii="宋体" w:hAnsi="宋体" w:cs="宋体"/>
                <w:sz w:val="24"/>
                <w:lang w:val="en-US" w:eastAsia="zh-CN"/>
              </w:rPr>
              <w:t>7</w:t>
            </w:r>
          </w:p>
        </w:tc>
        <w:tc>
          <w:tcPr>
            <w:tcW w:w="3004" w:type="dxa"/>
            <w:vMerge w:val="restart"/>
            <w:tcBorders>
              <w:top w:val="single" w:color="auto" w:sz="4" w:space="0"/>
              <w:left w:val="single" w:color="auto" w:sz="4" w:space="0"/>
              <w:right w:val="single" w:color="auto" w:sz="4" w:space="0"/>
            </w:tcBorders>
            <w:vAlign w:val="center"/>
          </w:tcPr>
          <w:p w14:paraId="169332EA">
            <w:pPr>
              <w:spacing w:line="288" w:lineRule="auto"/>
              <w:jc w:val="center"/>
              <w:rPr>
                <w:rFonts w:ascii="宋体" w:hAnsi="宋体" w:cs="宋体"/>
                <w:sz w:val="24"/>
              </w:rPr>
            </w:pPr>
            <w:r>
              <w:rPr>
                <w:rFonts w:hint="eastAsia" w:ascii="宋体" w:hAnsi="宋体" w:cs="宋体"/>
                <w:sz w:val="24"/>
              </w:rPr>
              <w:t>合计</w:t>
            </w:r>
          </w:p>
        </w:tc>
        <w:tc>
          <w:tcPr>
            <w:tcW w:w="5715" w:type="dxa"/>
            <w:gridSpan w:val="5"/>
            <w:tcBorders>
              <w:top w:val="single" w:color="auto" w:sz="4" w:space="0"/>
              <w:left w:val="single" w:color="auto" w:sz="4" w:space="0"/>
              <w:bottom w:val="single" w:color="auto" w:sz="4" w:space="0"/>
              <w:right w:val="single" w:color="000000" w:sz="2" w:space="0"/>
            </w:tcBorders>
            <w:vAlign w:val="center"/>
          </w:tcPr>
          <w:p w14:paraId="7E5CB2C7">
            <w:pPr>
              <w:pStyle w:val="30"/>
              <w:spacing w:line="288" w:lineRule="auto"/>
              <w:ind w:firstLine="0" w:firstLineChars="0"/>
              <w:jc w:val="left"/>
              <w:rPr>
                <w:rFonts w:ascii="宋体" w:hAnsi="宋体" w:eastAsia="宋体" w:cs="宋体"/>
              </w:rPr>
            </w:pPr>
            <w:r>
              <w:rPr>
                <w:rFonts w:hint="eastAsia" w:ascii="宋体" w:hAnsi="宋体" w:eastAsia="宋体" w:cs="宋体"/>
              </w:rPr>
              <w:t>小写：￥</w:t>
            </w:r>
          </w:p>
        </w:tc>
        <w:tc>
          <w:tcPr>
            <w:tcW w:w="1321" w:type="dxa"/>
            <w:tcBorders>
              <w:top w:val="single" w:color="auto" w:sz="4" w:space="0"/>
              <w:left w:val="single" w:color="auto" w:sz="4" w:space="0"/>
              <w:bottom w:val="single" w:color="auto" w:sz="4" w:space="0"/>
              <w:right w:val="single" w:color="000000" w:sz="2" w:space="0"/>
            </w:tcBorders>
            <w:vAlign w:val="center"/>
          </w:tcPr>
          <w:p w14:paraId="1A320E1C">
            <w:pPr>
              <w:pStyle w:val="30"/>
              <w:spacing w:line="288" w:lineRule="auto"/>
              <w:ind w:firstLine="0" w:firstLineChars="0"/>
              <w:jc w:val="left"/>
              <w:rPr>
                <w:rFonts w:hint="eastAsia" w:ascii="宋体" w:hAnsi="宋体" w:eastAsia="宋体" w:cs="宋体"/>
              </w:rPr>
            </w:pPr>
          </w:p>
        </w:tc>
      </w:tr>
      <w:tr w14:paraId="7745D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6" w:hRule="atLeast"/>
        </w:trPr>
        <w:tc>
          <w:tcPr>
            <w:tcW w:w="635" w:type="dxa"/>
            <w:vMerge w:val="continue"/>
            <w:tcBorders>
              <w:left w:val="single" w:color="000000" w:sz="2" w:space="0"/>
              <w:bottom w:val="single" w:color="auto" w:sz="4" w:space="0"/>
              <w:right w:val="single" w:color="000000" w:sz="2" w:space="0"/>
            </w:tcBorders>
            <w:vAlign w:val="center"/>
          </w:tcPr>
          <w:p w14:paraId="59A040E5">
            <w:pPr>
              <w:spacing w:line="288" w:lineRule="auto"/>
              <w:jc w:val="center"/>
              <w:rPr>
                <w:rFonts w:ascii="宋体" w:hAnsi="宋体" w:cs="宋体"/>
                <w:sz w:val="24"/>
              </w:rPr>
            </w:pPr>
          </w:p>
        </w:tc>
        <w:tc>
          <w:tcPr>
            <w:tcW w:w="3004" w:type="dxa"/>
            <w:vMerge w:val="continue"/>
            <w:tcBorders>
              <w:left w:val="single" w:color="auto" w:sz="4" w:space="0"/>
              <w:bottom w:val="single" w:color="auto" w:sz="4" w:space="0"/>
              <w:right w:val="single" w:color="auto" w:sz="4" w:space="0"/>
            </w:tcBorders>
            <w:vAlign w:val="center"/>
          </w:tcPr>
          <w:p w14:paraId="4E5F49AE">
            <w:pPr>
              <w:spacing w:line="288" w:lineRule="auto"/>
              <w:jc w:val="center"/>
              <w:rPr>
                <w:rFonts w:ascii="宋体" w:hAnsi="宋体" w:cs="宋体"/>
                <w:sz w:val="24"/>
              </w:rPr>
            </w:pPr>
          </w:p>
        </w:tc>
        <w:tc>
          <w:tcPr>
            <w:tcW w:w="5715" w:type="dxa"/>
            <w:gridSpan w:val="5"/>
            <w:tcBorders>
              <w:top w:val="single" w:color="auto" w:sz="4" w:space="0"/>
              <w:left w:val="single" w:color="auto" w:sz="4" w:space="0"/>
              <w:bottom w:val="single" w:color="auto" w:sz="4" w:space="0"/>
              <w:right w:val="single" w:color="000000" w:sz="2" w:space="0"/>
            </w:tcBorders>
            <w:vAlign w:val="center"/>
          </w:tcPr>
          <w:p w14:paraId="3385C779">
            <w:pPr>
              <w:pStyle w:val="30"/>
              <w:spacing w:line="288" w:lineRule="auto"/>
              <w:ind w:firstLine="0" w:firstLineChars="0"/>
              <w:jc w:val="left"/>
              <w:rPr>
                <w:rFonts w:ascii="宋体" w:hAnsi="宋体" w:eastAsia="宋体" w:cs="宋体"/>
              </w:rPr>
            </w:pPr>
            <w:r>
              <w:rPr>
                <w:rFonts w:hint="eastAsia" w:ascii="宋体" w:hAnsi="宋体" w:eastAsia="宋体" w:cs="宋体"/>
              </w:rPr>
              <w:t>大写：</w:t>
            </w:r>
          </w:p>
        </w:tc>
        <w:tc>
          <w:tcPr>
            <w:tcW w:w="1321" w:type="dxa"/>
            <w:tcBorders>
              <w:top w:val="single" w:color="auto" w:sz="4" w:space="0"/>
              <w:left w:val="single" w:color="auto" w:sz="4" w:space="0"/>
              <w:bottom w:val="single" w:color="auto" w:sz="4" w:space="0"/>
              <w:right w:val="single" w:color="000000" w:sz="2" w:space="0"/>
            </w:tcBorders>
            <w:vAlign w:val="center"/>
          </w:tcPr>
          <w:p w14:paraId="4297D2E3">
            <w:pPr>
              <w:pStyle w:val="30"/>
              <w:spacing w:line="288" w:lineRule="auto"/>
              <w:ind w:firstLine="0" w:firstLineChars="0"/>
              <w:jc w:val="left"/>
              <w:rPr>
                <w:rFonts w:hint="eastAsia" w:ascii="宋体" w:hAnsi="宋体" w:eastAsia="宋体" w:cs="宋体"/>
              </w:rPr>
            </w:pPr>
          </w:p>
        </w:tc>
      </w:tr>
      <w:tr w14:paraId="77A1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0" w:hRule="atLeast"/>
        </w:trPr>
        <w:tc>
          <w:tcPr>
            <w:tcW w:w="635" w:type="dxa"/>
            <w:tcBorders>
              <w:top w:val="single" w:color="auto" w:sz="4" w:space="0"/>
              <w:left w:val="single" w:color="000000" w:sz="2" w:space="0"/>
              <w:bottom w:val="single" w:color="000000" w:sz="2" w:space="0"/>
              <w:right w:val="single" w:color="000000" w:sz="2" w:space="0"/>
            </w:tcBorders>
            <w:vAlign w:val="center"/>
          </w:tcPr>
          <w:p w14:paraId="40A0A9EE">
            <w:pPr>
              <w:spacing w:line="288" w:lineRule="auto"/>
              <w:jc w:val="center"/>
              <w:rPr>
                <w:rFonts w:hint="default" w:ascii="宋体" w:hAnsi="宋体" w:eastAsia="宋体" w:cs="宋体"/>
                <w:sz w:val="24"/>
                <w:lang w:val="en-US" w:eastAsia="zh-CN"/>
              </w:rPr>
            </w:pPr>
            <w:r>
              <w:rPr>
                <w:rFonts w:hint="eastAsia" w:ascii="宋体" w:hAnsi="宋体" w:cs="宋体"/>
                <w:sz w:val="24"/>
                <w:lang w:val="en-US" w:eastAsia="zh-CN"/>
              </w:rPr>
              <w:t>8</w:t>
            </w:r>
          </w:p>
        </w:tc>
        <w:tc>
          <w:tcPr>
            <w:tcW w:w="3004" w:type="dxa"/>
            <w:tcBorders>
              <w:top w:val="single" w:color="auto" w:sz="4" w:space="0"/>
              <w:left w:val="single" w:color="auto" w:sz="4" w:space="0"/>
              <w:bottom w:val="single" w:color="000000" w:sz="2" w:space="0"/>
              <w:right w:val="single" w:color="auto" w:sz="4" w:space="0"/>
            </w:tcBorders>
            <w:vAlign w:val="center"/>
          </w:tcPr>
          <w:p w14:paraId="34B38C60">
            <w:pPr>
              <w:spacing w:line="288" w:lineRule="auto"/>
              <w:jc w:val="center"/>
              <w:rPr>
                <w:rFonts w:ascii="宋体" w:hAnsi="宋体" w:cs="宋体"/>
                <w:sz w:val="24"/>
              </w:rPr>
            </w:pPr>
            <w:r>
              <w:rPr>
                <w:rFonts w:hint="eastAsia" w:ascii="宋体" w:hAnsi="宋体" w:cs="宋体"/>
                <w:sz w:val="24"/>
              </w:rPr>
              <w:t>供货期</w:t>
            </w:r>
          </w:p>
        </w:tc>
        <w:tc>
          <w:tcPr>
            <w:tcW w:w="5715" w:type="dxa"/>
            <w:gridSpan w:val="5"/>
            <w:tcBorders>
              <w:top w:val="single" w:color="auto" w:sz="4" w:space="0"/>
              <w:left w:val="single" w:color="auto" w:sz="4" w:space="0"/>
              <w:bottom w:val="single" w:color="000000" w:sz="2" w:space="0"/>
              <w:right w:val="single" w:color="000000" w:sz="2" w:space="0"/>
            </w:tcBorders>
            <w:vAlign w:val="center"/>
          </w:tcPr>
          <w:p w14:paraId="69C6424B">
            <w:pPr>
              <w:pStyle w:val="30"/>
              <w:spacing w:line="288" w:lineRule="auto"/>
              <w:jc w:val="left"/>
              <w:rPr>
                <w:rFonts w:ascii="宋体" w:hAnsi="宋体" w:eastAsia="宋体" w:cs="宋体"/>
                <w:kern w:val="2"/>
              </w:rPr>
            </w:pPr>
            <w:r>
              <w:rPr>
                <w:rFonts w:hint="eastAsia" w:ascii="宋体" w:hAnsi="宋体" w:eastAsia="宋体" w:cs="宋体"/>
                <w:kern w:val="2"/>
                <w:lang w:val="en-US" w:eastAsia="zh-CN"/>
              </w:rPr>
              <w:t>2025年4月至5月期间</w:t>
            </w:r>
          </w:p>
        </w:tc>
        <w:tc>
          <w:tcPr>
            <w:tcW w:w="1321" w:type="dxa"/>
            <w:tcBorders>
              <w:top w:val="single" w:color="auto" w:sz="4" w:space="0"/>
              <w:left w:val="single" w:color="auto" w:sz="4" w:space="0"/>
              <w:bottom w:val="single" w:color="000000" w:sz="2" w:space="0"/>
              <w:right w:val="single" w:color="000000" w:sz="2" w:space="0"/>
            </w:tcBorders>
            <w:vAlign w:val="center"/>
          </w:tcPr>
          <w:p w14:paraId="3B0C0653">
            <w:pPr>
              <w:pStyle w:val="30"/>
              <w:spacing w:line="288" w:lineRule="auto"/>
              <w:jc w:val="left"/>
              <w:rPr>
                <w:rFonts w:hint="eastAsia" w:ascii="宋体" w:hAnsi="宋体" w:eastAsia="宋体" w:cs="宋体"/>
                <w:kern w:val="2"/>
                <w:lang w:val="en-US" w:eastAsia="zh-CN"/>
              </w:rPr>
            </w:pPr>
          </w:p>
        </w:tc>
      </w:tr>
      <w:tr w14:paraId="417B1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0" w:hRule="atLeast"/>
        </w:trPr>
        <w:tc>
          <w:tcPr>
            <w:tcW w:w="635" w:type="dxa"/>
            <w:tcBorders>
              <w:top w:val="single" w:color="auto" w:sz="4" w:space="0"/>
              <w:left w:val="single" w:color="000000" w:sz="2" w:space="0"/>
              <w:bottom w:val="single" w:color="000000" w:sz="2" w:space="0"/>
              <w:right w:val="single" w:color="000000" w:sz="2" w:space="0"/>
            </w:tcBorders>
            <w:vAlign w:val="center"/>
          </w:tcPr>
          <w:p w14:paraId="22049D33">
            <w:pPr>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9</w:t>
            </w:r>
          </w:p>
        </w:tc>
        <w:tc>
          <w:tcPr>
            <w:tcW w:w="3004" w:type="dxa"/>
            <w:tcBorders>
              <w:top w:val="single" w:color="auto" w:sz="4" w:space="0"/>
              <w:left w:val="single" w:color="auto" w:sz="4" w:space="0"/>
              <w:bottom w:val="single" w:color="000000" w:sz="2" w:space="0"/>
              <w:right w:val="single" w:color="auto" w:sz="4" w:space="0"/>
            </w:tcBorders>
            <w:vAlign w:val="center"/>
          </w:tcPr>
          <w:p w14:paraId="01569975">
            <w:pPr>
              <w:spacing w:line="288" w:lineRule="auto"/>
              <w:jc w:val="center"/>
              <w:rPr>
                <w:rFonts w:ascii="宋体" w:hAnsi="宋体" w:cs="宋体"/>
                <w:sz w:val="24"/>
              </w:rPr>
            </w:pPr>
            <w:r>
              <w:rPr>
                <w:rFonts w:hint="eastAsia" w:ascii="宋体" w:hAnsi="宋体" w:cs="宋体"/>
                <w:sz w:val="24"/>
              </w:rPr>
              <w:t>质量保修期</w:t>
            </w:r>
          </w:p>
        </w:tc>
        <w:tc>
          <w:tcPr>
            <w:tcW w:w="5715" w:type="dxa"/>
            <w:gridSpan w:val="5"/>
            <w:tcBorders>
              <w:top w:val="single" w:color="auto" w:sz="4" w:space="0"/>
              <w:left w:val="single" w:color="auto" w:sz="4" w:space="0"/>
              <w:bottom w:val="single" w:color="000000" w:sz="2" w:space="0"/>
              <w:right w:val="single" w:color="000000" w:sz="2" w:space="0"/>
            </w:tcBorders>
            <w:vAlign w:val="center"/>
          </w:tcPr>
          <w:p w14:paraId="1740FE6E">
            <w:pPr>
              <w:pStyle w:val="30"/>
              <w:spacing w:line="288" w:lineRule="auto"/>
              <w:ind w:firstLine="482"/>
              <w:jc w:val="left"/>
              <w:rPr>
                <w:rFonts w:ascii="宋体" w:hAnsi="宋体" w:eastAsia="宋体" w:cs="宋体"/>
                <w:b/>
              </w:rPr>
            </w:pPr>
            <w:r>
              <w:rPr>
                <w:rFonts w:hint="eastAsia" w:ascii="宋体" w:hAnsi="宋体" w:eastAsia="宋体" w:cs="宋体"/>
                <w:b/>
              </w:rPr>
              <w:t>自项目</w:t>
            </w:r>
            <w:r>
              <w:rPr>
                <w:rFonts w:hint="eastAsia" w:ascii="宋体" w:hAnsi="宋体" w:eastAsia="宋体" w:cs="宋体"/>
                <w:b/>
                <w:lang w:val="en-US" w:eastAsia="zh-CN"/>
              </w:rPr>
              <w:t>整体</w:t>
            </w:r>
            <w:r>
              <w:rPr>
                <w:rFonts w:hint="eastAsia" w:ascii="宋体" w:hAnsi="宋体" w:eastAsia="宋体" w:cs="宋体"/>
                <w:b/>
              </w:rPr>
              <w:t>验收合格之日起质保    年。</w:t>
            </w:r>
          </w:p>
        </w:tc>
        <w:tc>
          <w:tcPr>
            <w:tcW w:w="1321" w:type="dxa"/>
            <w:tcBorders>
              <w:top w:val="single" w:color="auto" w:sz="4" w:space="0"/>
              <w:left w:val="single" w:color="auto" w:sz="4" w:space="0"/>
              <w:bottom w:val="single" w:color="000000" w:sz="2" w:space="0"/>
              <w:right w:val="single" w:color="000000" w:sz="2" w:space="0"/>
            </w:tcBorders>
            <w:vAlign w:val="center"/>
          </w:tcPr>
          <w:p w14:paraId="73307A16">
            <w:pPr>
              <w:pStyle w:val="30"/>
              <w:spacing w:line="288" w:lineRule="auto"/>
              <w:ind w:firstLine="482"/>
              <w:jc w:val="left"/>
              <w:rPr>
                <w:rFonts w:hint="eastAsia" w:ascii="宋体" w:hAnsi="宋体" w:eastAsia="宋体" w:cs="宋体"/>
                <w:b/>
              </w:rPr>
            </w:pPr>
          </w:p>
        </w:tc>
      </w:tr>
      <w:tr w14:paraId="3917E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61" w:hRule="atLeast"/>
        </w:trPr>
        <w:tc>
          <w:tcPr>
            <w:tcW w:w="635" w:type="dxa"/>
            <w:tcBorders>
              <w:top w:val="single" w:color="auto" w:sz="4" w:space="0"/>
              <w:left w:val="single" w:color="000000" w:sz="2" w:space="0"/>
              <w:bottom w:val="single" w:color="000000" w:sz="2" w:space="0"/>
              <w:right w:val="single" w:color="000000" w:sz="2" w:space="0"/>
            </w:tcBorders>
            <w:vAlign w:val="center"/>
          </w:tcPr>
          <w:p w14:paraId="01FC5C4A">
            <w:pPr>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3004" w:type="dxa"/>
            <w:tcBorders>
              <w:top w:val="single" w:color="auto" w:sz="4" w:space="0"/>
              <w:left w:val="single" w:color="auto" w:sz="4" w:space="0"/>
              <w:bottom w:val="single" w:color="000000" w:sz="2" w:space="0"/>
              <w:right w:val="single" w:color="000000" w:sz="2" w:space="0"/>
            </w:tcBorders>
            <w:vAlign w:val="center"/>
          </w:tcPr>
          <w:p w14:paraId="195F030E">
            <w:pPr>
              <w:spacing w:line="360" w:lineRule="auto"/>
              <w:ind w:firstLine="90"/>
              <w:jc w:val="center"/>
              <w:rPr>
                <w:rFonts w:ascii="宋体" w:hAnsi="宋体" w:cs="宋体"/>
                <w:sz w:val="24"/>
              </w:rPr>
            </w:pPr>
            <w:r>
              <w:rPr>
                <w:rFonts w:hint="eastAsia" w:ascii="宋体" w:hAnsi="宋体" w:cs="宋体"/>
                <w:sz w:val="24"/>
                <w:lang w:eastAsia="zh-CN"/>
              </w:rPr>
              <w:t>投标人</w:t>
            </w:r>
            <w:r>
              <w:rPr>
                <w:rFonts w:hint="eastAsia" w:ascii="宋体" w:hAnsi="宋体" w:cs="宋体"/>
                <w:sz w:val="24"/>
              </w:rPr>
              <w:t>其它说明（由各</w:t>
            </w:r>
            <w:r>
              <w:rPr>
                <w:rFonts w:hint="eastAsia" w:ascii="宋体" w:hAnsi="宋体" w:cs="宋体"/>
                <w:sz w:val="24"/>
                <w:lang w:eastAsia="zh-CN"/>
              </w:rPr>
              <w:t>投标人</w:t>
            </w:r>
            <w:r>
              <w:rPr>
                <w:rFonts w:hint="eastAsia" w:ascii="宋体" w:hAnsi="宋体" w:cs="宋体"/>
                <w:sz w:val="24"/>
              </w:rPr>
              <w:t>根据本采购项目要求自行列出需说明及承诺内容）</w:t>
            </w:r>
          </w:p>
        </w:tc>
        <w:tc>
          <w:tcPr>
            <w:tcW w:w="5715" w:type="dxa"/>
            <w:gridSpan w:val="5"/>
            <w:tcBorders>
              <w:top w:val="single" w:color="auto" w:sz="4" w:space="0"/>
              <w:left w:val="single" w:color="auto" w:sz="4" w:space="0"/>
              <w:bottom w:val="single" w:color="000000" w:sz="2" w:space="0"/>
              <w:right w:val="single" w:color="000000" w:sz="2" w:space="0"/>
            </w:tcBorders>
            <w:vAlign w:val="center"/>
          </w:tcPr>
          <w:p w14:paraId="1C3CAF0B">
            <w:pPr>
              <w:spacing w:line="360" w:lineRule="auto"/>
              <w:rPr>
                <w:rFonts w:ascii="宋体" w:hAnsi="宋体" w:cs="宋体"/>
                <w:sz w:val="24"/>
              </w:rPr>
            </w:pPr>
          </w:p>
        </w:tc>
        <w:tc>
          <w:tcPr>
            <w:tcW w:w="1321" w:type="dxa"/>
            <w:tcBorders>
              <w:top w:val="single" w:color="auto" w:sz="4" w:space="0"/>
              <w:left w:val="single" w:color="auto" w:sz="4" w:space="0"/>
              <w:bottom w:val="single" w:color="000000" w:sz="2" w:space="0"/>
              <w:right w:val="single" w:color="000000" w:sz="2" w:space="0"/>
            </w:tcBorders>
            <w:vAlign w:val="center"/>
          </w:tcPr>
          <w:p w14:paraId="2FCB3E7B">
            <w:pPr>
              <w:spacing w:line="360" w:lineRule="auto"/>
              <w:rPr>
                <w:rFonts w:ascii="宋体" w:hAnsi="宋体" w:cs="宋体"/>
                <w:sz w:val="24"/>
              </w:rPr>
            </w:pPr>
          </w:p>
        </w:tc>
      </w:tr>
      <w:tr w14:paraId="544AF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787" w:hRule="exact"/>
        </w:trPr>
        <w:tc>
          <w:tcPr>
            <w:tcW w:w="9354" w:type="dxa"/>
            <w:gridSpan w:val="7"/>
            <w:tcBorders>
              <w:top w:val="single" w:color="auto" w:sz="4" w:space="0"/>
              <w:left w:val="single" w:color="000000" w:sz="2" w:space="0"/>
              <w:bottom w:val="single" w:color="000000" w:sz="2" w:space="0"/>
              <w:right w:val="single" w:color="000000" w:sz="2" w:space="0"/>
            </w:tcBorders>
            <w:vAlign w:val="center"/>
          </w:tcPr>
          <w:p w14:paraId="1625E0FD">
            <w:pPr>
              <w:spacing w:line="360" w:lineRule="auto"/>
              <w:ind w:firstLine="482"/>
              <w:jc w:val="left"/>
              <w:rPr>
                <w:rFonts w:ascii="宋体" w:hAnsi="宋体" w:cs="宋体"/>
                <w:sz w:val="21"/>
                <w:szCs w:val="21"/>
              </w:rPr>
            </w:pPr>
            <w:r>
              <w:rPr>
                <w:rFonts w:hint="eastAsia" w:ascii="宋体" w:hAnsi="宋体" w:cs="宋体"/>
                <w:sz w:val="21"/>
                <w:szCs w:val="21"/>
              </w:rPr>
              <w:t>1、注：报价包含的内容：完成</w:t>
            </w:r>
            <w:r>
              <w:rPr>
                <w:rFonts w:hint="eastAsia" w:ascii="宋体" w:hAnsi="宋体" w:cs="宋体"/>
                <w:sz w:val="21"/>
                <w:szCs w:val="21"/>
                <w:lang w:eastAsia="zh-CN"/>
              </w:rPr>
              <w:t>林草业务专项-城市绿色生态质量提升工程（克拉玛依市人与自然和谐共生生态保护项目）设备采购</w:t>
            </w:r>
            <w:r>
              <w:rPr>
                <w:rFonts w:hint="eastAsia" w:ascii="宋体" w:hAnsi="宋体" w:cs="宋体"/>
                <w:sz w:val="21"/>
                <w:szCs w:val="21"/>
              </w:rPr>
              <w:t>的供应、现场保管及装卸（运至需方指定地点）、所需的所有材料、检验及验收、移交等工作，质量保修期内的维保、售后服务等保证</w:t>
            </w:r>
            <w:r>
              <w:rPr>
                <w:rFonts w:hint="eastAsia" w:ascii="宋体" w:hAnsi="宋体" w:cs="宋体"/>
                <w:sz w:val="21"/>
                <w:szCs w:val="21"/>
                <w:lang w:eastAsia="zh-CN"/>
              </w:rPr>
              <w:t>林草业务专项-城市绿色生态质量提升工程（克拉玛依市人与自然和谐共生生态保护项目）设备采购</w:t>
            </w:r>
            <w:r>
              <w:rPr>
                <w:rFonts w:hint="eastAsia" w:ascii="宋体" w:hAnsi="宋体" w:cs="宋体"/>
                <w:sz w:val="21"/>
                <w:szCs w:val="21"/>
              </w:rPr>
              <w:t>验收合格并能正常交付使用以及合同条款、项目采购需求、本招标文件约定的全部内容及保修责任和义务件约定的全部内容及保修责任和义务。</w:t>
            </w:r>
          </w:p>
          <w:p w14:paraId="77B819F1">
            <w:pPr>
              <w:pStyle w:val="20"/>
              <w:rPr>
                <w:rFonts w:hint="eastAsia" w:eastAsia="宋体"/>
                <w:lang w:val="en-US" w:eastAsia="zh-CN"/>
              </w:rPr>
            </w:pPr>
            <w:r>
              <w:rPr>
                <w:rFonts w:hint="eastAsia" w:ascii="宋体" w:hAnsi="宋体" w:cs="宋体"/>
                <w:sz w:val="21"/>
                <w:szCs w:val="21"/>
              </w:rPr>
              <w:t>2、</w:t>
            </w:r>
            <w:r>
              <w:rPr>
                <w:rFonts w:hint="eastAsia" w:ascii="宋体" w:hAnsi="宋体" w:cs="宋体"/>
                <w:sz w:val="21"/>
                <w:szCs w:val="21"/>
                <w:lang w:val="en-US" w:eastAsia="zh-CN"/>
              </w:rPr>
              <w:t>供应商需</w:t>
            </w:r>
            <w:r>
              <w:rPr>
                <w:rFonts w:hint="eastAsia" w:asciiTheme="minorEastAsia" w:hAnsiTheme="minorEastAsia" w:eastAsiaTheme="minorEastAsia" w:cstheme="minorEastAsia"/>
                <w:sz w:val="24"/>
                <w:szCs w:val="24"/>
                <w:lang w:val="en-US" w:eastAsia="zh-CN"/>
              </w:rPr>
              <w:t>后附各单项清单报价明细表格式自拟。</w:t>
            </w:r>
          </w:p>
        </w:tc>
        <w:tc>
          <w:tcPr>
            <w:tcW w:w="1321" w:type="dxa"/>
            <w:tcBorders>
              <w:top w:val="single" w:color="auto" w:sz="4" w:space="0"/>
              <w:left w:val="single" w:color="000000" w:sz="2" w:space="0"/>
              <w:bottom w:val="single" w:color="000000" w:sz="2" w:space="0"/>
              <w:right w:val="single" w:color="000000" w:sz="2" w:space="0"/>
            </w:tcBorders>
            <w:vAlign w:val="center"/>
          </w:tcPr>
          <w:p w14:paraId="6F1EF4FC">
            <w:pPr>
              <w:spacing w:line="360" w:lineRule="auto"/>
              <w:ind w:firstLine="420" w:firstLineChars="200"/>
              <w:rPr>
                <w:rFonts w:hint="eastAsia" w:ascii="宋体" w:hAnsi="宋体" w:cs="宋体"/>
                <w:sz w:val="21"/>
                <w:szCs w:val="21"/>
              </w:rPr>
            </w:pPr>
          </w:p>
        </w:tc>
      </w:tr>
    </w:tbl>
    <w:p w14:paraId="71E2821A">
      <w:pPr>
        <w:spacing w:line="540" w:lineRule="exact"/>
        <w:rPr>
          <w:rFonts w:hint="eastAsia" w:ascii="宋体" w:hAnsi="宋体" w:eastAsia="宋体" w:cs="宋体"/>
          <w:sz w:val="24"/>
          <w:lang w:eastAsia="zh-CN"/>
        </w:rPr>
      </w:pPr>
      <w:r>
        <w:rPr>
          <w:rFonts w:hint="eastAsia" w:ascii="宋体" w:hAnsi="宋体" w:cs="宋体"/>
          <w:sz w:val="24"/>
          <w:lang w:eastAsia="zh-CN"/>
        </w:rPr>
        <w:t>投标人</w:t>
      </w:r>
      <w:r>
        <w:rPr>
          <w:rFonts w:hint="eastAsia" w:ascii="宋体" w:hAnsi="宋体" w:cs="宋体"/>
          <w:sz w:val="24"/>
        </w:rPr>
        <w:t xml:space="preserve">名称(盖章) </w:t>
      </w:r>
      <w:r>
        <w:rPr>
          <w:rFonts w:hint="eastAsia" w:ascii="宋体" w:hAnsi="宋体" w:cs="宋体"/>
          <w:sz w:val="24"/>
          <w:lang w:eastAsia="zh-CN"/>
        </w:rPr>
        <w:t>：</w:t>
      </w:r>
    </w:p>
    <w:p w14:paraId="4C7211B9">
      <w:pPr>
        <w:spacing w:line="540" w:lineRule="exact"/>
        <w:rPr>
          <w:rFonts w:ascii="宋体" w:hAnsi="宋体" w:cs="宋体"/>
          <w:sz w:val="24"/>
        </w:rPr>
      </w:pPr>
      <w:r>
        <w:rPr>
          <w:rFonts w:hint="eastAsia" w:ascii="宋体" w:hAnsi="宋体" w:cs="宋体"/>
          <w:sz w:val="24"/>
        </w:rPr>
        <w:t>法定代表人或委托代理人（签字或盖章）：</w:t>
      </w:r>
      <w:r>
        <w:rPr>
          <w:rFonts w:hint="eastAsia" w:ascii="宋体" w:hAnsi="宋体" w:cs="宋体"/>
          <w:sz w:val="24"/>
          <w:lang w:val="en-US" w:eastAsia="zh-CN"/>
        </w:rPr>
        <w:t xml:space="preserve">                  </w:t>
      </w:r>
      <w:r>
        <w:rPr>
          <w:rFonts w:hint="eastAsia" w:ascii="宋体" w:hAnsi="宋体" w:cs="宋体"/>
          <w:sz w:val="24"/>
        </w:rPr>
        <w:t>日期：   年  月   日</w:t>
      </w:r>
    </w:p>
    <w:p w14:paraId="037AC52F">
      <w:pPr>
        <w:spacing w:line="360" w:lineRule="exact"/>
        <w:ind w:firstLine="482" w:firstLineChars="200"/>
        <w:rPr>
          <w:rFonts w:ascii="宋体" w:hAnsi="宋体" w:cs="宋体"/>
          <w:b/>
          <w:sz w:val="24"/>
        </w:rPr>
      </w:pPr>
    </w:p>
    <w:p w14:paraId="22505F7A">
      <w:pPr>
        <w:spacing w:line="360" w:lineRule="auto"/>
        <w:rPr>
          <w:rFonts w:ascii="宋体" w:hAnsi="宋体" w:cs="宋体"/>
          <w:b/>
          <w:sz w:val="24"/>
        </w:rPr>
      </w:pPr>
    </w:p>
    <w:p w14:paraId="220894CD">
      <w:pPr>
        <w:spacing w:line="360" w:lineRule="auto"/>
        <w:jc w:val="center"/>
        <w:rPr>
          <w:rFonts w:hint="eastAsia" w:ascii="宋体" w:hAnsi="宋体" w:cs="宋体"/>
          <w:b/>
          <w:sz w:val="24"/>
        </w:rPr>
      </w:pPr>
    </w:p>
    <w:p w14:paraId="62BCCBA7">
      <w:pPr>
        <w:spacing w:line="240" w:lineRule="auto"/>
        <w:jc w:val="left"/>
        <w:rPr>
          <w:rFonts w:hint="eastAsia" w:ascii="宋体" w:hAnsi="宋体" w:cs="宋体"/>
          <w:b/>
          <w:sz w:val="24"/>
        </w:rPr>
      </w:pPr>
      <w:r>
        <w:rPr>
          <w:rFonts w:hint="eastAsia" w:ascii="宋体" w:hAnsi="宋体" w:cs="宋体"/>
          <w:b/>
          <w:sz w:val="24"/>
        </w:rPr>
        <w:br w:type="page"/>
      </w:r>
    </w:p>
    <w:p w14:paraId="6478323C">
      <w:pPr>
        <w:spacing w:line="360" w:lineRule="auto"/>
        <w:jc w:val="center"/>
        <w:rPr>
          <w:rFonts w:ascii="宋体" w:hAnsi="宋体" w:cs="宋体"/>
          <w:b/>
          <w:sz w:val="24"/>
        </w:rPr>
      </w:pPr>
      <w:r>
        <w:rPr>
          <w:rFonts w:hint="eastAsia" w:ascii="宋体" w:hAnsi="宋体" w:cs="宋体"/>
          <w:b/>
          <w:sz w:val="24"/>
        </w:rPr>
        <w:t>格式</w:t>
      </w:r>
      <w:r>
        <w:rPr>
          <w:rFonts w:hint="eastAsia" w:ascii="宋体" w:hAnsi="宋体" w:cs="宋体"/>
          <w:b/>
          <w:sz w:val="24"/>
          <w:lang w:val="en-US" w:eastAsia="zh-CN"/>
        </w:rPr>
        <w:t>10</w:t>
      </w:r>
      <w:r>
        <w:rPr>
          <w:rFonts w:hint="eastAsia" w:ascii="宋体" w:hAnsi="宋体" w:cs="宋体"/>
          <w:b/>
          <w:sz w:val="24"/>
        </w:rPr>
        <w:t xml:space="preserve"> 商务条款偏离表</w:t>
      </w:r>
    </w:p>
    <w:p w14:paraId="2FDD1552">
      <w:pPr>
        <w:spacing w:line="360" w:lineRule="auto"/>
        <w:rPr>
          <w:rFonts w:ascii="宋体" w:hAnsi="宋体" w:cs="宋体"/>
          <w:b/>
          <w:bCs/>
          <w:sz w:val="24"/>
        </w:rPr>
      </w:pPr>
    </w:p>
    <w:p w14:paraId="2E0B5D9C">
      <w:pPr>
        <w:spacing w:line="360" w:lineRule="auto"/>
        <w:rPr>
          <w:rFonts w:ascii="宋体" w:hAnsi="宋体" w:cs="宋体"/>
          <w:b/>
          <w:bCs/>
          <w:sz w:val="24"/>
        </w:rPr>
      </w:pPr>
      <w:r>
        <w:rPr>
          <w:rFonts w:hint="eastAsia" w:ascii="宋体" w:hAnsi="宋体" w:cs="宋体"/>
          <w:b/>
          <w:bCs/>
          <w:sz w:val="24"/>
        </w:rPr>
        <w:t>项目名称：                     标项：</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7"/>
        <w:gridCol w:w="2228"/>
        <w:gridCol w:w="2228"/>
        <w:gridCol w:w="2228"/>
        <w:gridCol w:w="2228"/>
      </w:tblGrid>
      <w:tr w14:paraId="1157C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7AC0A66E">
            <w:pPr>
              <w:jc w:val="center"/>
              <w:rPr>
                <w:rFonts w:ascii="宋体" w:hAnsi="宋体" w:cs="宋体"/>
                <w:b/>
                <w:bCs/>
                <w:sz w:val="24"/>
              </w:rPr>
            </w:pPr>
            <w:r>
              <w:rPr>
                <w:rFonts w:hint="eastAsia" w:ascii="宋体" w:hAnsi="宋体" w:cs="宋体"/>
                <w:b/>
                <w:bCs/>
                <w:sz w:val="24"/>
              </w:rPr>
              <w:t>序号</w:t>
            </w:r>
          </w:p>
        </w:tc>
        <w:tc>
          <w:tcPr>
            <w:tcW w:w="2228" w:type="dxa"/>
            <w:vAlign w:val="center"/>
          </w:tcPr>
          <w:p w14:paraId="3CAE2707">
            <w:pPr>
              <w:jc w:val="center"/>
              <w:rPr>
                <w:rFonts w:ascii="宋体" w:hAnsi="宋体" w:cs="宋体"/>
                <w:b/>
                <w:bCs/>
                <w:sz w:val="24"/>
              </w:rPr>
            </w:pPr>
            <w:r>
              <w:rPr>
                <w:rFonts w:hint="eastAsia" w:ascii="宋体" w:hAnsi="宋体" w:cs="宋体"/>
                <w:b/>
                <w:bCs/>
                <w:sz w:val="24"/>
              </w:rPr>
              <w:t>条款序号</w:t>
            </w:r>
          </w:p>
        </w:tc>
        <w:tc>
          <w:tcPr>
            <w:tcW w:w="2228" w:type="dxa"/>
            <w:vAlign w:val="center"/>
          </w:tcPr>
          <w:p w14:paraId="4AD9186F">
            <w:pPr>
              <w:jc w:val="center"/>
              <w:rPr>
                <w:rFonts w:ascii="宋体" w:hAnsi="宋体" w:cs="宋体"/>
                <w:b/>
                <w:bCs/>
                <w:sz w:val="24"/>
              </w:rPr>
            </w:pPr>
            <w:r>
              <w:rPr>
                <w:rFonts w:hint="eastAsia" w:ascii="宋体" w:hAnsi="宋体" w:cs="宋体"/>
                <w:b/>
                <w:bCs/>
                <w:sz w:val="24"/>
              </w:rPr>
              <w:t>招标商务条款</w:t>
            </w:r>
          </w:p>
        </w:tc>
        <w:tc>
          <w:tcPr>
            <w:tcW w:w="2228" w:type="dxa"/>
            <w:vAlign w:val="center"/>
          </w:tcPr>
          <w:p w14:paraId="7FAA0E68">
            <w:pPr>
              <w:jc w:val="center"/>
              <w:rPr>
                <w:rFonts w:ascii="宋体" w:hAnsi="宋体" w:cs="宋体"/>
                <w:b/>
                <w:bCs/>
                <w:sz w:val="24"/>
              </w:rPr>
            </w:pPr>
            <w:r>
              <w:rPr>
                <w:rFonts w:hint="eastAsia" w:ascii="宋体" w:hAnsi="宋体" w:cs="宋体"/>
                <w:b/>
                <w:bCs/>
                <w:sz w:val="24"/>
              </w:rPr>
              <w:t>投标商务条款</w:t>
            </w:r>
          </w:p>
        </w:tc>
        <w:tc>
          <w:tcPr>
            <w:tcW w:w="2228" w:type="dxa"/>
            <w:vAlign w:val="center"/>
          </w:tcPr>
          <w:p w14:paraId="08DF4584">
            <w:pPr>
              <w:jc w:val="center"/>
              <w:rPr>
                <w:rFonts w:ascii="宋体" w:hAnsi="宋体" w:cs="宋体"/>
                <w:b/>
                <w:bCs/>
                <w:sz w:val="24"/>
              </w:rPr>
            </w:pPr>
            <w:r>
              <w:rPr>
                <w:rFonts w:hint="eastAsia" w:ascii="宋体" w:hAnsi="宋体" w:cs="宋体"/>
                <w:b/>
                <w:bCs/>
                <w:sz w:val="24"/>
              </w:rPr>
              <w:t>偏离说明</w:t>
            </w:r>
          </w:p>
        </w:tc>
      </w:tr>
      <w:tr w14:paraId="2C3F2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7B664600">
            <w:pPr>
              <w:rPr>
                <w:rFonts w:ascii="宋体" w:hAnsi="宋体" w:cs="宋体"/>
                <w:b/>
                <w:bCs/>
                <w:sz w:val="24"/>
              </w:rPr>
            </w:pPr>
          </w:p>
        </w:tc>
        <w:tc>
          <w:tcPr>
            <w:tcW w:w="2228" w:type="dxa"/>
            <w:vAlign w:val="center"/>
          </w:tcPr>
          <w:p w14:paraId="45D28F71">
            <w:pPr>
              <w:rPr>
                <w:rFonts w:ascii="宋体" w:hAnsi="宋体" w:cs="宋体"/>
                <w:b/>
                <w:bCs/>
                <w:sz w:val="24"/>
              </w:rPr>
            </w:pPr>
          </w:p>
        </w:tc>
        <w:tc>
          <w:tcPr>
            <w:tcW w:w="2228" w:type="dxa"/>
            <w:vAlign w:val="center"/>
          </w:tcPr>
          <w:p w14:paraId="56E64D3F">
            <w:pPr>
              <w:rPr>
                <w:rFonts w:ascii="宋体" w:hAnsi="宋体" w:cs="宋体"/>
                <w:b/>
                <w:bCs/>
                <w:sz w:val="24"/>
              </w:rPr>
            </w:pPr>
          </w:p>
        </w:tc>
        <w:tc>
          <w:tcPr>
            <w:tcW w:w="2228" w:type="dxa"/>
            <w:vAlign w:val="center"/>
          </w:tcPr>
          <w:p w14:paraId="1A8A1365">
            <w:pPr>
              <w:rPr>
                <w:rFonts w:ascii="宋体" w:hAnsi="宋体" w:cs="宋体"/>
                <w:b/>
                <w:bCs/>
                <w:sz w:val="24"/>
              </w:rPr>
            </w:pPr>
          </w:p>
        </w:tc>
        <w:tc>
          <w:tcPr>
            <w:tcW w:w="2228" w:type="dxa"/>
            <w:vAlign w:val="center"/>
          </w:tcPr>
          <w:p w14:paraId="578B9015">
            <w:pPr>
              <w:rPr>
                <w:rFonts w:ascii="宋体" w:hAnsi="宋体" w:cs="宋体"/>
                <w:b/>
                <w:bCs/>
                <w:sz w:val="24"/>
              </w:rPr>
            </w:pPr>
          </w:p>
        </w:tc>
      </w:tr>
      <w:tr w14:paraId="6BD6E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176B0166">
            <w:pPr>
              <w:spacing w:line="360" w:lineRule="auto"/>
              <w:jc w:val="center"/>
              <w:rPr>
                <w:rFonts w:ascii="宋体" w:hAnsi="宋体" w:cs="宋体"/>
                <w:sz w:val="24"/>
              </w:rPr>
            </w:pPr>
          </w:p>
        </w:tc>
        <w:tc>
          <w:tcPr>
            <w:tcW w:w="2228" w:type="dxa"/>
            <w:vAlign w:val="center"/>
          </w:tcPr>
          <w:p w14:paraId="7BDB2C73">
            <w:pPr>
              <w:spacing w:line="360" w:lineRule="auto"/>
              <w:jc w:val="center"/>
              <w:rPr>
                <w:rFonts w:ascii="宋体" w:hAnsi="宋体" w:cs="宋体"/>
                <w:sz w:val="24"/>
              </w:rPr>
            </w:pPr>
          </w:p>
        </w:tc>
        <w:tc>
          <w:tcPr>
            <w:tcW w:w="2228" w:type="dxa"/>
            <w:vAlign w:val="center"/>
          </w:tcPr>
          <w:p w14:paraId="6195AEC3">
            <w:pPr>
              <w:spacing w:line="360" w:lineRule="auto"/>
              <w:jc w:val="center"/>
              <w:rPr>
                <w:rFonts w:ascii="宋体" w:hAnsi="宋体" w:cs="宋体"/>
                <w:sz w:val="24"/>
              </w:rPr>
            </w:pPr>
          </w:p>
        </w:tc>
        <w:tc>
          <w:tcPr>
            <w:tcW w:w="2228" w:type="dxa"/>
            <w:vAlign w:val="center"/>
          </w:tcPr>
          <w:p w14:paraId="33DF92F8">
            <w:pPr>
              <w:spacing w:line="360" w:lineRule="auto"/>
              <w:jc w:val="center"/>
              <w:rPr>
                <w:rFonts w:ascii="宋体" w:hAnsi="宋体" w:cs="宋体"/>
                <w:sz w:val="24"/>
              </w:rPr>
            </w:pPr>
          </w:p>
        </w:tc>
        <w:tc>
          <w:tcPr>
            <w:tcW w:w="2228" w:type="dxa"/>
            <w:vAlign w:val="center"/>
          </w:tcPr>
          <w:p w14:paraId="7DE7A593">
            <w:pPr>
              <w:spacing w:line="360" w:lineRule="auto"/>
              <w:jc w:val="center"/>
              <w:rPr>
                <w:rFonts w:ascii="宋体" w:hAnsi="宋体" w:cs="宋体"/>
                <w:sz w:val="24"/>
              </w:rPr>
            </w:pPr>
          </w:p>
        </w:tc>
      </w:tr>
      <w:tr w14:paraId="0865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26D8CDFF">
            <w:pPr>
              <w:spacing w:line="360" w:lineRule="auto"/>
              <w:jc w:val="center"/>
              <w:rPr>
                <w:rFonts w:ascii="宋体" w:hAnsi="宋体" w:cs="宋体"/>
                <w:sz w:val="24"/>
              </w:rPr>
            </w:pPr>
          </w:p>
        </w:tc>
        <w:tc>
          <w:tcPr>
            <w:tcW w:w="2228" w:type="dxa"/>
            <w:vAlign w:val="center"/>
          </w:tcPr>
          <w:p w14:paraId="7BC11539">
            <w:pPr>
              <w:spacing w:line="360" w:lineRule="auto"/>
              <w:jc w:val="center"/>
              <w:rPr>
                <w:rFonts w:ascii="宋体" w:hAnsi="宋体" w:cs="宋体"/>
                <w:sz w:val="24"/>
              </w:rPr>
            </w:pPr>
          </w:p>
        </w:tc>
        <w:tc>
          <w:tcPr>
            <w:tcW w:w="2228" w:type="dxa"/>
            <w:vAlign w:val="center"/>
          </w:tcPr>
          <w:p w14:paraId="2F62C1C5">
            <w:pPr>
              <w:spacing w:line="360" w:lineRule="auto"/>
              <w:jc w:val="center"/>
              <w:rPr>
                <w:rFonts w:ascii="宋体" w:hAnsi="宋体" w:cs="宋体"/>
                <w:sz w:val="24"/>
              </w:rPr>
            </w:pPr>
          </w:p>
        </w:tc>
        <w:tc>
          <w:tcPr>
            <w:tcW w:w="2228" w:type="dxa"/>
            <w:vAlign w:val="center"/>
          </w:tcPr>
          <w:p w14:paraId="2F076142">
            <w:pPr>
              <w:spacing w:line="360" w:lineRule="auto"/>
              <w:jc w:val="center"/>
              <w:rPr>
                <w:rFonts w:ascii="宋体" w:hAnsi="宋体" w:cs="宋体"/>
                <w:sz w:val="24"/>
              </w:rPr>
            </w:pPr>
          </w:p>
        </w:tc>
        <w:tc>
          <w:tcPr>
            <w:tcW w:w="2228" w:type="dxa"/>
            <w:vAlign w:val="center"/>
          </w:tcPr>
          <w:p w14:paraId="708ECD50">
            <w:pPr>
              <w:spacing w:line="360" w:lineRule="auto"/>
              <w:jc w:val="center"/>
              <w:rPr>
                <w:rFonts w:ascii="宋体" w:hAnsi="宋体" w:cs="宋体"/>
                <w:sz w:val="24"/>
              </w:rPr>
            </w:pPr>
          </w:p>
        </w:tc>
      </w:tr>
      <w:tr w14:paraId="2DC76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2EA8F045">
            <w:pPr>
              <w:spacing w:line="360" w:lineRule="auto"/>
              <w:jc w:val="center"/>
              <w:rPr>
                <w:rFonts w:ascii="宋体" w:hAnsi="宋体" w:cs="宋体"/>
                <w:sz w:val="24"/>
              </w:rPr>
            </w:pPr>
          </w:p>
        </w:tc>
        <w:tc>
          <w:tcPr>
            <w:tcW w:w="2228" w:type="dxa"/>
            <w:vAlign w:val="center"/>
          </w:tcPr>
          <w:p w14:paraId="3E1F829B">
            <w:pPr>
              <w:spacing w:line="360" w:lineRule="auto"/>
              <w:jc w:val="center"/>
              <w:rPr>
                <w:rFonts w:ascii="宋体" w:hAnsi="宋体" w:cs="宋体"/>
                <w:sz w:val="24"/>
              </w:rPr>
            </w:pPr>
          </w:p>
        </w:tc>
        <w:tc>
          <w:tcPr>
            <w:tcW w:w="2228" w:type="dxa"/>
            <w:vAlign w:val="center"/>
          </w:tcPr>
          <w:p w14:paraId="61C4039B">
            <w:pPr>
              <w:spacing w:line="360" w:lineRule="auto"/>
              <w:jc w:val="center"/>
              <w:rPr>
                <w:rFonts w:ascii="宋体" w:hAnsi="宋体" w:cs="宋体"/>
                <w:sz w:val="24"/>
              </w:rPr>
            </w:pPr>
          </w:p>
        </w:tc>
        <w:tc>
          <w:tcPr>
            <w:tcW w:w="2228" w:type="dxa"/>
            <w:vAlign w:val="center"/>
          </w:tcPr>
          <w:p w14:paraId="4FCA7D0B">
            <w:pPr>
              <w:spacing w:line="360" w:lineRule="auto"/>
              <w:jc w:val="center"/>
              <w:rPr>
                <w:rFonts w:ascii="宋体" w:hAnsi="宋体" w:cs="宋体"/>
                <w:sz w:val="24"/>
              </w:rPr>
            </w:pPr>
          </w:p>
        </w:tc>
        <w:tc>
          <w:tcPr>
            <w:tcW w:w="2228" w:type="dxa"/>
            <w:vAlign w:val="center"/>
          </w:tcPr>
          <w:p w14:paraId="0A003518">
            <w:pPr>
              <w:spacing w:line="360" w:lineRule="auto"/>
              <w:jc w:val="center"/>
              <w:rPr>
                <w:rFonts w:ascii="宋体" w:hAnsi="宋体" w:cs="宋体"/>
                <w:sz w:val="24"/>
              </w:rPr>
            </w:pPr>
          </w:p>
        </w:tc>
      </w:tr>
      <w:tr w14:paraId="0253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3D63CE2F">
            <w:pPr>
              <w:spacing w:line="360" w:lineRule="auto"/>
              <w:jc w:val="center"/>
              <w:rPr>
                <w:rFonts w:ascii="宋体" w:hAnsi="宋体" w:cs="宋体"/>
                <w:sz w:val="24"/>
              </w:rPr>
            </w:pPr>
          </w:p>
        </w:tc>
        <w:tc>
          <w:tcPr>
            <w:tcW w:w="2228" w:type="dxa"/>
            <w:vAlign w:val="center"/>
          </w:tcPr>
          <w:p w14:paraId="7F43DD63">
            <w:pPr>
              <w:spacing w:line="360" w:lineRule="auto"/>
              <w:jc w:val="center"/>
              <w:rPr>
                <w:rFonts w:ascii="宋体" w:hAnsi="宋体" w:cs="宋体"/>
                <w:sz w:val="24"/>
              </w:rPr>
            </w:pPr>
          </w:p>
        </w:tc>
        <w:tc>
          <w:tcPr>
            <w:tcW w:w="2228" w:type="dxa"/>
            <w:vAlign w:val="center"/>
          </w:tcPr>
          <w:p w14:paraId="69413A74">
            <w:pPr>
              <w:spacing w:line="360" w:lineRule="auto"/>
              <w:jc w:val="center"/>
              <w:rPr>
                <w:rFonts w:ascii="宋体" w:hAnsi="宋体" w:cs="宋体"/>
                <w:sz w:val="24"/>
              </w:rPr>
            </w:pPr>
          </w:p>
        </w:tc>
        <w:tc>
          <w:tcPr>
            <w:tcW w:w="2228" w:type="dxa"/>
            <w:vAlign w:val="center"/>
          </w:tcPr>
          <w:p w14:paraId="0B279717">
            <w:pPr>
              <w:spacing w:line="360" w:lineRule="auto"/>
              <w:jc w:val="center"/>
              <w:rPr>
                <w:rFonts w:ascii="宋体" w:hAnsi="宋体" w:cs="宋体"/>
                <w:sz w:val="24"/>
              </w:rPr>
            </w:pPr>
          </w:p>
        </w:tc>
        <w:tc>
          <w:tcPr>
            <w:tcW w:w="2228" w:type="dxa"/>
            <w:vAlign w:val="center"/>
          </w:tcPr>
          <w:p w14:paraId="1A029A5E">
            <w:pPr>
              <w:spacing w:line="360" w:lineRule="auto"/>
              <w:jc w:val="center"/>
              <w:rPr>
                <w:rFonts w:ascii="宋体" w:hAnsi="宋体" w:cs="宋体"/>
                <w:sz w:val="24"/>
              </w:rPr>
            </w:pPr>
          </w:p>
        </w:tc>
      </w:tr>
      <w:tr w14:paraId="1D2D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740DA6D8">
            <w:pPr>
              <w:spacing w:line="360" w:lineRule="auto"/>
              <w:jc w:val="center"/>
              <w:rPr>
                <w:rFonts w:ascii="宋体" w:hAnsi="宋体" w:cs="宋体"/>
                <w:sz w:val="24"/>
              </w:rPr>
            </w:pPr>
          </w:p>
        </w:tc>
        <w:tc>
          <w:tcPr>
            <w:tcW w:w="2228" w:type="dxa"/>
            <w:vAlign w:val="center"/>
          </w:tcPr>
          <w:p w14:paraId="55DE637B">
            <w:pPr>
              <w:spacing w:line="360" w:lineRule="auto"/>
              <w:jc w:val="center"/>
              <w:rPr>
                <w:rFonts w:ascii="宋体" w:hAnsi="宋体" w:cs="宋体"/>
                <w:sz w:val="24"/>
              </w:rPr>
            </w:pPr>
          </w:p>
        </w:tc>
        <w:tc>
          <w:tcPr>
            <w:tcW w:w="2228" w:type="dxa"/>
            <w:vAlign w:val="center"/>
          </w:tcPr>
          <w:p w14:paraId="1A212A0E">
            <w:pPr>
              <w:spacing w:line="360" w:lineRule="auto"/>
              <w:jc w:val="center"/>
              <w:rPr>
                <w:rFonts w:ascii="宋体" w:hAnsi="宋体" w:cs="宋体"/>
                <w:sz w:val="24"/>
              </w:rPr>
            </w:pPr>
          </w:p>
        </w:tc>
        <w:tc>
          <w:tcPr>
            <w:tcW w:w="2228" w:type="dxa"/>
            <w:vAlign w:val="center"/>
          </w:tcPr>
          <w:p w14:paraId="4DFC19BB">
            <w:pPr>
              <w:spacing w:line="360" w:lineRule="auto"/>
              <w:jc w:val="center"/>
              <w:rPr>
                <w:rFonts w:ascii="宋体" w:hAnsi="宋体" w:cs="宋体"/>
                <w:sz w:val="24"/>
              </w:rPr>
            </w:pPr>
          </w:p>
        </w:tc>
        <w:tc>
          <w:tcPr>
            <w:tcW w:w="2228" w:type="dxa"/>
            <w:vAlign w:val="center"/>
          </w:tcPr>
          <w:p w14:paraId="5E97AC77">
            <w:pPr>
              <w:spacing w:line="360" w:lineRule="auto"/>
              <w:jc w:val="center"/>
              <w:rPr>
                <w:rFonts w:ascii="宋体" w:hAnsi="宋体" w:cs="宋体"/>
                <w:sz w:val="24"/>
              </w:rPr>
            </w:pPr>
          </w:p>
        </w:tc>
      </w:tr>
      <w:tr w14:paraId="4AEC1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1881BDA0">
            <w:pPr>
              <w:spacing w:line="360" w:lineRule="auto"/>
              <w:jc w:val="center"/>
              <w:rPr>
                <w:rFonts w:ascii="宋体" w:hAnsi="宋体" w:cs="宋体"/>
                <w:sz w:val="24"/>
              </w:rPr>
            </w:pPr>
          </w:p>
        </w:tc>
        <w:tc>
          <w:tcPr>
            <w:tcW w:w="2228" w:type="dxa"/>
            <w:vAlign w:val="center"/>
          </w:tcPr>
          <w:p w14:paraId="69B7D98B">
            <w:pPr>
              <w:spacing w:line="360" w:lineRule="auto"/>
              <w:jc w:val="center"/>
              <w:rPr>
                <w:rFonts w:ascii="宋体" w:hAnsi="宋体" w:cs="宋体"/>
                <w:sz w:val="24"/>
              </w:rPr>
            </w:pPr>
          </w:p>
        </w:tc>
        <w:tc>
          <w:tcPr>
            <w:tcW w:w="2228" w:type="dxa"/>
            <w:vAlign w:val="center"/>
          </w:tcPr>
          <w:p w14:paraId="10A613E4">
            <w:pPr>
              <w:spacing w:line="360" w:lineRule="auto"/>
              <w:jc w:val="center"/>
              <w:rPr>
                <w:rFonts w:ascii="宋体" w:hAnsi="宋体" w:cs="宋体"/>
                <w:sz w:val="24"/>
              </w:rPr>
            </w:pPr>
          </w:p>
        </w:tc>
        <w:tc>
          <w:tcPr>
            <w:tcW w:w="2228" w:type="dxa"/>
            <w:vAlign w:val="center"/>
          </w:tcPr>
          <w:p w14:paraId="67CFA7E2">
            <w:pPr>
              <w:spacing w:line="360" w:lineRule="auto"/>
              <w:jc w:val="center"/>
              <w:rPr>
                <w:rFonts w:ascii="宋体" w:hAnsi="宋体" w:cs="宋体"/>
                <w:sz w:val="24"/>
              </w:rPr>
            </w:pPr>
          </w:p>
        </w:tc>
        <w:tc>
          <w:tcPr>
            <w:tcW w:w="2228" w:type="dxa"/>
            <w:vAlign w:val="center"/>
          </w:tcPr>
          <w:p w14:paraId="52ED1513">
            <w:pPr>
              <w:spacing w:line="360" w:lineRule="auto"/>
              <w:jc w:val="center"/>
              <w:rPr>
                <w:rFonts w:ascii="宋体" w:hAnsi="宋体" w:cs="宋体"/>
                <w:sz w:val="24"/>
              </w:rPr>
            </w:pPr>
          </w:p>
        </w:tc>
      </w:tr>
      <w:tr w14:paraId="1B5DA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52DAFB15">
            <w:pPr>
              <w:spacing w:line="360" w:lineRule="auto"/>
              <w:jc w:val="center"/>
              <w:rPr>
                <w:rFonts w:ascii="宋体" w:hAnsi="宋体" w:cs="宋体"/>
                <w:sz w:val="24"/>
              </w:rPr>
            </w:pPr>
          </w:p>
        </w:tc>
        <w:tc>
          <w:tcPr>
            <w:tcW w:w="2228" w:type="dxa"/>
            <w:vAlign w:val="center"/>
          </w:tcPr>
          <w:p w14:paraId="6FB3C099">
            <w:pPr>
              <w:spacing w:line="360" w:lineRule="auto"/>
              <w:jc w:val="center"/>
              <w:rPr>
                <w:rFonts w:ascii="宋体" w:hAnsi="宋体" w:cs="宋体"/>
                <w:sz w:val="24"/>
              </w:rPr>
            </w:pPr>
          </w:p>
        </w:tc>
        <w:tc>
          <w:tcPr>
            <w:tcW w:w="2228" w:type="dxa"/>
            <w:vAlign w:val="center"/>
          </w:tcPr>
          <w:p w14:paraId="0A5D968C">
            <w:pPr>
              <w:spacing w:line="360" w:lineRule="auto"/>
              <w:jc w:val="center"/>
              <w:rPr>
                <w:rFonts w:ascii="宋体" w:hAnsi="宋体" w:cs="宋体"/>
                <w:sz w:val="24"/>
              </w:rPr>
            </w:pPr>
          </w:p>
        </w:tc>
        <w:tc>
          <w:tcPr>
            <w:tcW w:w="2228" w:type="dxa"/>
            <w:vAlign w:val="center"/>
          </w:tcPr>
          <w:p w14:paraId="431A8EF3">
            <w:pPr>
              <w:spacing w:line="360" w:lineRule="auto"/>
              <w:jc w:val="center"/>
              <w:rPr>
                <w:rFonts w:ascii="宋体" w:hAnsi="宋体" w:cs="宋体"/>
                <w:sz w:val="24"/>
              </w:rPr>
            </w:pPr>
          </w:p>
        </w:tc>
        <w:tc>
          <w:tcPr>
            <w:tcW w:w="2228" w:type="dxa"/>
            <w:vAlign w:val="center"/>
          </w:tcPr>
          <w:p w14:paraId="0C5E4422">
            <w:pPr>
              <w:spacing w:line="360" w:lineRule="auto"/>
              <w:jc w:val="center"/>
              <w:rPr>
                <w:rFonts w:ascii="宋体" w:hAnsi="宋体" w:cs="宋体"/>
                <w:sz w:val="24"/>
              </w:rPr>
            </w:pPr>
          </w:p>
        </w:tc>
      </w:tr>
      <w:tr w14:paraId="4C789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274AD9FE">
            <w:pPr>
              <w:spacing w:line="360" w:lineRule="auto"/>
              <w:jc w:val="center"/>
              <w:rPr>
                <w:rFonts w:ascii="宋体" w:hAnsi="宋体" w:cs="宋体"/>
                <w:sz w:val="24"/>
              </w:rPr>
            </w:pPr>
          </w:p>
        </w:tc>
        <w:tc>
          <w:tcPr>
            <w:tcW w:w="2228" w:type="dxa"/>
            <w:vAlign w:val="center"/>
          </w:tcPr>
          <w:p w14:paraId="6579961A">
            <w:pPr>
              <w:spacing w:line="360" w:lineRule="auto"/>
              <w:jc w:val="center"/>
              <w:rPr>
                <w:rFonts w:ascii="宋体" w:hAnsi="宋体" w:cs="宋体"/>
                <w:sz w:val="24"/>
              </w:rPr>
            </w:pPr>
          </w:p>
        </w:tc>
        <w:tc>
          <w:tcPr>
            <w:tcW w:w="2228" w:type="dxa"/>
            <w:vAlign w:val="center"/>
          </w:tcPr>
          <w:p w14:paraId="495BC44C">
            <w:pPr>
              <w:spacing w:line="360" w:lineRule="auto"/>
              <w:jc w:val="center"/>
              <w:rPr>
                <w:rFonts w:ascii="宋体" w:hAnsi="宋体" w:cs="宋体"/>
                <w:sz w:val="24"/>
              </w:rPr>
            </w:pPr>
          </w:p>
        </w:tc>
        <w:tc>
          <w:tcPr>
            <w:tcW w:w="2228" w:type="dxa"/>
            <w:vAlign w:val="center"/>
          </w:tcPr>
          <w:p w14:paraId="44C2FCD6">
            <w:pPr>
              <w:spacing w:line="360" w:lineRule="auto"/>
              <w:jc w:val="center"/>
              <w:rPr>
                <w:rFonts w:ascii="宋体" w:hAnsi="宋体" w:cs="宋体"/>
                <w:sz w:val="24"/>
              </w:rPr>
            </w:pPr>
          </w:p>
        </w:tc>
        <w:tc>
          <w:tcPr>
            <w:tcW w:w="2228" w:type="dxa"/>
            <w:vAlign w:val="center"/>
          </w:tcPr>
          <w:p w14:paraId="765D43F5">
            <w:pPr>
              <w:spacing w:line="360" w:lineRule="auto"/>
              <w:jc w:val="center"/>
              <w:rPr>
                <w:rFonts w:ascii="宋体" w:hAnsi="宋体" w:cs="宋体"/>
                <w:sz w:val="24"/>
              </w:rPr>
            </w:pPr>
          </w:p>
        </w:tc>
      </w:tr>
    </w:tbl>
    <w:p w14:paraId="2BA56F8F">
      <w:pPr>
        <w:rPr>
          <w:rFonts w:ascii="宋体" w:hAnsi="宋体" w:cs="宋体"/>
        </w:rPr>
      </w:pPr>
    </w:p>
    <w:p w14:paraId="57260763">
      <w:pPr>
        <w:ind w:firstLine="482" w:firstLineChars="200"/>
        <w:rPr>
          <w:rFonts w:ascii="宋体" w:hAnsi="宋体" w:cs="宋体"/>
          <w:bCs/>
          <w:sz w:val="24"/>
        </w:rPr>
      </w:pPr>
      <w:r>
        <w:rPr>
          <w:rFonts w:hint="eastAsia" w:ascii="宋体" w:hAnsi="宋体" w:cs="宋体"/>
          <w:b/>
          <w:bCs/>
          <w:sz w:val="24"/>
        </w:rPr>
        <w:t>注：投标人按此表格式列出不影响投标实质性响应的商务偏差，没有说明的其他条款将被认为完全满足招标文件的规定。</w:t>
      </w:r>
    </w:p>
    <w:p w14:paraId="0A4A6CF7">
      <w:pPr>
        <w:pStyle w:val="12"/>
        <w:spacing w:line="360" w:lineRule="auto"/>
        <w:ind w:firstLine="480" w:firstLineChars="200"/>
        <w:rPr>
          <w:rFonts w:hAnsi="宋体" w:cs="宋体"/>
          <w:bCs/>
          <w:sz w:val="24"/>
          <w:szCs w:val="24"/>
        </w:rPr>
      </w:pPr>
    </w:p>
    <w:p w14:paraId="2ACA9A87">
      <w:pPr>
        <w:ind w:firstLine="480" w:firstLineChars="200"/>
        <w:rPr>
          <w:rFonts w:ascii="宋体" w:hAnsi="宋体" w:cs="宋体"/>
          <w:sz w:val="24"/>
        </w:rPr>
      </w:pPr>
      <w:r>
        <w:rPr>
          <w:rFonts w:hint="eastAsia" w:ascii="宋体" w:hAnsi="宋体" w:cs="宋体"/>
          <w:sz w:val="24"/>
        </w:rPr>
        <w:t xml:space="preserve">投标人(盖章)： </w:t>
      </w:r>
    </w:p>
    <w:p w14:paraId="58E59B8A">
      <w:pPr>
        <w:ind w:firstLine="480" w:firstLineChars="200"/>
        <w:rPr>
          <w:rFonts w:ascii="宋体" w:hAnsi="宋体" w:cs="宋体"/>
          <w:sz w:val="24"/>
        </w:rPr>
      </w:pPr>
    </w:p>
    <w:p w14:paraId="37E23343">
      <w:pPr>
        <w:ind w:firstLine="480" w:firstLineChars="200"/>
        <w:rPr>
          <w:rFonts w:ascii="宋体" w:hAnsi="宋体" w:cs="宋体"/>
          <w:sz w:val="24"/>
        </w:rPr>
      </w:pPr>
    </w:p>
    <w:p w14:paraId="42D63F1A">
      <w:pPr>
        <w:ind w:firstLine="480" w:firstLineChars="200"/>
        <w:rPr>
          <w:rFonts w:ascii="宋体" w:hAnsi="宋体" w:cs="宋体"/>
          <w:sz w:val="24"/>
        </w:rPr>
      </w:pPr>
      <w:r>
        <w:rPr>
          <w:rFonts w:hint="eastAsia" w:ascii="宋体" w:hAnsi="宋体" w:cs="宋体"/>
          <w:sz w:val="24"/>
        </w:rPr>
        <w:t>法定代表人或委托代理人（签字或盖章）：</w:t>
      </w:r>
    </w:p>
    <w:p w14:paraId="56F220C1">
      <w:pPr>
        <w:ind w:firstLine="480" w:firstLineChars="200"/>
        <w:rPr>
          <w:rFonts w:ascii="宋体" w:hAnsi="宋体" w:cs="宋体"/>
          <w:sz w:val="24"/>
        </w:rPr>
      </w:pPr>
    </w:p>
    <w:p w14:paraId="55F7F7BB">
      <w:pPr>
        <w:ind w:firstLine="480" w:firstLineChars="200"/>
        <w:rPr>
          <w:rFonts w:ascii="宋体" w:hAnsi="宋体" w:cs="宋体"/>
          <w:sz w:val="24"/>
        </w:rPr>
      </w:pPr>
    </w:p>
    <w:p w14:paraId="6E4BE28F">
      <w:pPr>
        <w:ind w:firstLine="480" w:firstLineChars="200"/>
        <w:rPr>
          <w:rFonts w:ascii="宋体" w:hAnsi="宋体" w:cs="宋体"/>
          <w:sz w:val="24"/>
        </w:rPr>
      </w:pPr>
      <w:r>
        <w:rPr>
          <w:rFonts w:hint="eastAsia" w:ascii="宋体" w:hAnsi="宋体" w:cs="宋体"/>
          <w:sz w:val="24"/>
        </w:rPr>
        <w:t>日期：   年  月   日</w:t>
      </w:r>
    </w:p>
    <w:p w14:paraId="64E5A11A">
      <w:pPr>
        <w:spacing w:line="360" w:lineRule="auto"/>
        <w:jc w:val="center"/>
        <w:rPr>
          <w:rFonts w:ascii="宋体" w:hAnsi="宋体" w:cs="宋体"/>
          <w:b/>
          <w:sz w:val="24"/>
        </w:rPr>
      </w:pPr>
    </w:p>
    <w:p w14:paraId="736CA14F">
      <w:pPr>
        <w:spacing w:line="360" w:lineRule="auto"/>
        <w:jc w:val="center"/>
        <w:rPr>
          <w:rFonts w:ascii="宋体" w:hAnsi="宋体" w:cs="宋体"/>
          <w:b/>
          <w:sz w:val="24"/>
        </w:rPr>
      </w:pPr>
    </w:p>
    <w:p w14:paraId="03D90DC3">
      <w:pPr>
        <w:rPr>
          <w:rFonts w:ascii="宋体" w:hAnsi="宋体" w:cs="宋体"/>
          <w:b/>
          <w:bCs/>
          <w:sz w:val="24"/>
        </w:rPr>
      </w:pPr>
    </w:p>
    <w:p w14:paraId="6C85B7B7">
      <w:pPr>
        <w:rPr>
          <w:rFonts w:ascii="宋体" w:hAnsi="宋体" w:cs="宋体"/>
          <w:b/>
          <w:bCs/>
          <w:sz w:val="24"/>
        </w:rPr>
      </w:pPr>
    </w:p>
    <w:p w14:paraId="49FC1CD2">
      <w:pPr>
        <w:rPr>
          <w:rFonts w:ascii="宋体" w:hAnsi="宋体" w:cs="宋体"/>
          <w:b/>
          <w:bCs/>
          <w:sz w:val="24"/>
        </w:rPr>
      </w:pPr>
    </w:p>
    <w:p w14:paraId="384D5FBF">
      <w:pPr>
        <w:spacing w:line="360" w:lineRule="auto"/>
        <w:jc w:val="center"/>
        <w:rPr>
          <w:rFonts w:ascii="宋体" w:hAnsi="宋体" w:cs="宋体"/>
          <w:b/>
          <w:sz w:val="24"/>
        </w:rPr>
      </w:pPr>
      <w:r>
        <w:rPr>
          <w:rFonts w:hint="eastAsia" w:ascii="宋体" w:hAnsi="宋体" w:cs="宋体"/>
          <w:b/>
          <w:sz w:val="24"/>
        </w:rPr>
        <w:t>格式</w:t>
      </w:r>
      <w:r>
        <w:rPr>
          <w:rFonts w:hint="eastAsia" w:ascii="宋体" w:hAnsi="宋体" w:cs="宋体"/>
          <w:b/>
          <w:sz w:val="24"/>
          <w:lang w:val="en-US" w:eastAsia="zh-CN"/>
        </w:rPr>
        <w:t>11</w:t>
      </w:r>
      <w:r>
        <w:rPr>
          <w:rFonts w:hint="eastAsia" w:ascii="宋体" w:hAnsi="宋体" w:cs="宋体"/>
          <w:b/>
          <w:sz w:val="24"/>
        </w:rPr>
        <w:t xml:space="preserve"> 近三年（20</w:t>
      </w:r>
      <w:r>
        <w:rPr>
          <w:rFonts w:hint="eastAsia" w:ascii="宋体" w:hAnsi="宋体" w:cs="宋体"/>
          <w:b/>
          <w:sz w:val="24"/>
          <w:lang w:val="en-US" w:eastAsia="zh-CN"/>
        </w:rPr>
        <w:t>22</w:t>
      </w:r>
      <w:r>
        <w:rPr>
          <w:rFonts w:hint="eastAsia" w:ascii="宋体" w:hAnsi="宋体" w:cs="宋体"/>
          <w:b/>
          <w:sz w:val="24"/>
        </w:rPr>
        <w:t>年1月1日至今）同类项目业绩表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20"/>
        <w:gridCol w:w="1440"/>
        <w:gridCol w:w="1320"/>
        <w:gridCol w:w="1161"/>
        <w:gridCol w:w="1260"/>
        <w:gridCol w:w="9"/>
        <w:gridCol w:w="1356"/>
        <w:gridCol w:w="9"/>
        <w:gridCol w:w="1609"/>
        <w:gridCol w:w="1001"/>
      </w:tblGrid>
      <w:tr w14:paraId="1E1627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top w:val="single" w:color="auto" w:sz="4" w:space="0"/>
            </w:tcBorders>
            <w:vAlign w:val="bottom"/>
          </w:tcPr>
          <w:p w14:paraId="38CDB128">
            <w:pPr>
              <w:spacing w:line="360" w:lineRule="auto"/>
              <w:ind w:firstLine="105" w:firstLineChars="50"/>
              <w:jc w:val="center"/>
              <w:rPr>
                <w:rFonts w:ascii="宋体" w:hAnsi="宋体" w:cs="宋体"/>
                <w:b/>
              </w:rPr>
            </w:pPr>
            <w:r>
              <w:rPr>
                <w:rFonts w:hint="eastAsia" w:ascii="宋体" w:hAnsi="宋体" w:cs="宋体"/>
                <w:b/>
              </w:rPr>
              <w:t>年份</w:t>
            </w:r>
          </w:p>
        </w:tc>
        <w:tc>
          <w:tcPr>
            <w:tcW w:w="1440" w:type="dxa"/>
            <w:vAlign w:val="bottom"/>
          </w:tcPr>
          <w:p w14:paraId="4FE9DDB3">
            <w:pPr>
              <w:spacing w:line="360" w:lineRule="auto"/>
              <w:jc w:val="center"/>
              <w:rPr>
                <w:rFonts w:ascii="宋体" w:hAnsi="宋体" w:cs="宋体"/>
                <w:b/>
              </w:rPr>
            </w:pPr>
            <w:r>
              <w:rPr>
                <w:rFonts w:hint="eastAsia" w:ascii="宋体" w:hAnsi="宋体" w:cs="宋体"/>
                <w:b/>
              </w:rPr>
              <w:t>项目名称</w:t>
            </w:r>
          </w:p>
        </w:tc>
        <w:tc>
          <w:tcPr>
            <w:tcW w:w="1320" w:type="dxa"/>
            <w:vAlign w:val="bottom"/>
          </w:tcPr>
          <w:p w14:paraId="14E324EC">
            <w:pPr>
              <w:spacing w:line="360" w:lineRule="auto"/>
              <w:jc w:val="center"/>
              <w:rPr>
                <w:rFonts w:ascii="宋体" w:hAnsi="宋体" w:cs="宋体"/>
                <w:b/>
              </w:rPr>
            </w:pPr>
            <w:r>
              <w:rPr>
                <w:rFonts w:hint="eastAsia" w:ascii="宋体" w:hAnsi="宋体" w:cs="宋体"/>
                <w:b/>
              </w:rPr>
              <w:t>用户名称</w:t>
            </w:r>
          </w:p>
        </w:tc>
        <w:tc>
          <w:tcPr>
            <w:tcW w:w="1161" w:type="dxa"/>
            <w:vAlign w:val="bottom"/>
          </w:tcPr>
          <w:p w14:paraId="2CF29C5D">
            <w:pPr>
              <w:spacing w:line="360" w:lineRule="auto"/>
              <w:jc w:val="center"/>
              <w:rPr>
                <w:rFonts w:ascii="宋体" w:hAnsi="宋体" w:cs="宋体"/>
                <w:b/>
              </w:rPr>
            </w:pPr>
            <w:r>
              <w:rPr>
                <w:rFonts w:hint="eastAsia" w:ascii="宋体" w:hAnsi="宋体" w:cs="宋体"/>
                <w:b/>
              </w:rPr>
              <w:t>完成时间</w:t>
            </w:r>
          </w:p>
        </w:tc>
        <w:tc>
          <w:tcPr>
            <w:tcW w:w="1260" w:type="dxa"/>
            <w:vAlign w:val="bottom"/>
          </w:tcPr>
          <w:p w14:paraId="0260469B">
            <w:pPr>
              <w:spacing w:line="360" w:lineRule="auto"/>
              <w:ind w:firstLine="105" w:firstLineChars="50"/>
              <w:jc w:val="center"/>
              <w:rPr>
                <w:rFonts w:ascii="宋体" w:hAnsi="宋体" w:cs="宋体"/>
                <w:b/>
              </w:rPr>
            </w:pPr>
            <w:r>
              <w:rPr>
                <w:rFonts w:hint="eastAsia" w:ascii="宋体" w:hAnsi="宋体" w:cs="宋体"/>
                <w:b/>
              </w:rPr>
              <w:t>合同金额</w:t>
            </w:r>
          </w:p>
        </w:tc>
        <w:tc>
          <w:tcPr>
            <w:tcW w:w="1374" w:type="dxa"/>
            <w:gridSpan w:val="3"/>
            <w:tcBorders>
              <w:right w:val="single" w:color="auto" w:sz="4" w:space="0"/>
            </w:tcBorders>
            <w:vAlign w:val="bottom"/>
          </w:tcPr>
          <w:p w14:paraId="08B78BA8">
            <w:pPr>
              <w:spacing w:line="360" w:lineRule="auto"/>
              <w:jc w:val="center"/>
              <w:rPr>
                <w:rFonts w:ascii="宋体" w:hAnsi="宋体" w:cs="宋体"/>
                <w:b/>
              </w:rPr>
            </w:pPr>
            <w:r>
              <w:rPr>
                <w:rFonts w:hint="eastAsia" w:ascii="宋体" w:hAnsi="宋体" w:cs="宋体"/>
                <w:b/>
              </w:rPr>
              <w:t>完成项目质量</w:t>
            </w:r>
          </w:p>
        </w:tc>
        <w:tc>
          <w:tcPr>
            <w:tcW w:w="1609" w:type="dxa"/>
            <w:tcBorders>
              <w:left w:val="single" w:color="auto" w:sz="4" w:space="0"/>
            </w:tcBorders>
            <w:vAlign w:val="bottom"/>
          </w:tcPr>
          <w:p w14:paraId="0EA10D1F">
            <w:pPr>
              <w:spacing w:line="360" w:lineRule="auto"/>
              <w:jc w:val="center"/>
              <w:rPr>
                <w:rFonts w:ascii="宋体" w:hAnsi="宋体" w:cs="宋体"/>
                <w:b/>
              </w:rPr>
            </w:pPr>
            <w:r>
              <w:rPr>
                <w:rFonts w:hint="eastAsia" w:ascii="宋体" w:hAnsi="宋体" w:cs="宋体"/>
                <w:b/>
              </w:rPr>
              <w:t>用户联系电话</w:t>
            </w:r>
          </w:p>
        </w:tc>
        <w:tc>
          <w:tcPr>
            <w:tcW w:w="1001" w:type="dxa"/>
            <w:tcBorders>
              <w:left w:val="single" w:color="auto" w:sz="4" w:space="0"/>
            </w:tcBorders>
            <w:vAlign w:val="bottom"/>
          </w:tcPr>
          <w:p w14:paraId="76722E63">
            <w:pPr>
              <w:spacing w:line="360" w:lineRule="auto"/>
              <w:ind w:firstLine="103" w:firstLineChars="49"/>
              <w:jc w:val="center"/>
              <w:rPr>
                <w:rFonts w:ascii="宋体" w:hAnsi="宋体" w:cs="宋体"/>
                <w:b/>
              </w:rPr>
            </w:pPr>
            <w:r>
              <w:rPr>
                <w:rFonts w:hint="eastAsia" w:ascii="宋体" w:hAnsi="宋体" w:cs="宋体"/>
                <w:b/>
              </w:rPr>
              <w:t>备注</w:t>
            </w:r>
          </w:p>
        </w:tc>
      </w:tr>
      <w:tr w14:paraId="1FE999B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3075348B">
            <w:pPr>
              <w:spacing w:line="360" w:lineRule="auto"/>
              <w:jc w:val="center"/>
              <w:rPr>
                <w:rFonts w:ascii="宋体" w:hAnsi="宋体" w:cs="宋体"/>
              </w:rPr>
            </w:pPr>
          </w:p>
        </w:tc>
        <w:tc>
          <w:tcPr>
            <w:tcW w:w="1440" w:type="dxa"/>
            <w:vAlign w:val="center"/>
          </w:tcPr>
          <w:p w14:paraId="08195CD9">
            <w:pPr>
              <w:spacing w:line="360" w:lineRule="auto"/>
              <w:jc w:val="center"/>
              <w:rPr>
                <w:rFonts w:ascii="宋体" w:hAnsi="宋体" w:cs="宋体"/>
              </w:rPr>
            </w:pPr>
          </w:p>
        </w:tc>
        <w:tc>
          <w:tcPr>
            <w:tcW w:w="1320" w:type="dxa"/>
            <w:vAlign w:val="center"/>
          </w:tcPr>
          <w:p w14:paraId="7F1BA126">
            <w:pPr>
              <w:spacing w:line="360" w:lineRule="auto"/>
              <w:jc w:val="center"/>
              <w:rPr>
                <w:rFonts w:ascii="宋体" w:hAnsi="宋体" w:cs="宋体"/>
              </w:rPr>
            </w:pPr>
          </w:p>
        </w:tc>
        <w:tc>
          <w:tcPr>
            <w:tcW w:w="1161" w:type="dxa"/>
            <w:vAlign w:val="center"/>
          </w:tcPr>
          <w:p w14:paraId="68236D3D">
            <w:pPr>
              <w:spacing w:line="360" w:lineRule="auto"/>
              <w:jc w:val="center"/>
              <w:rPr>
                <w:rFonts w:ascii="宋体" w:hAnsi="宋体" w:cs="宋体"/>
              </w:rPr>
            </w:pPr>
          </w:p>
        </w:tc>
        <w:tc>
          <w:tcPr>
            <w:tcW w:w="1260" w:type="dxa"/>
            <w:vAlign w:val="center"/>
          </w:tcPr>
          <w:p w14:paraId="61696C93">
            <w:pPr>
              <w:spacing w:line="360" w:lineRule="auto"/>
              <w:jc w:val="center"/>
              <w:rPr>
                <w:rFonts w:ascii="宋体" w:hAnsi="宋体" w:cs="宋体"/>
              </w:rPr>
            </w:pPr>
          </w:p>
        </w:tc>
        <w:tc>
          <w:tcPr>
            <w:tcW w:w="1374" w:type="dxa"/>
            <w:gridSpan w:val="3"/>
            <w:tcBorders>
              <w:right w:val="single" w:color="auto" w:sz="4" w:space="0"/>
            </w:tcBorders>
            <w:vAlign w:val="center"/>
          </w:tcPr>
          <w:p w14:paraId="26D1FFC0">
            <w:pPr>
              <w:spacing w:line="360" w:lineRule="auto"/>
              <w:jc w:val="center"/>
              <w:rPr>
                <w:rFonts w:ascii="宋体" w:hAnsi="宋体" w:cs="宋体"/>
              </w:rPr>
            </w:pPr>
          </w:p>
        </w:tc>
        <w:tc>
          <w:tcPr>
            <w:tcW w:w="1609" w:type="dxa"/>
            <w:tcBorders>
              <w:left w:val="single" w:color="auto" w:sz="4" w:space="0"/>
            </w:tcBorders>
            <w:vAlign w:val="center"/>
          </w:tcPr>
          <w:p w14:paraId="31F951F0">
            <w:pPr>
              <w:spacing w:line="360" w:lineRule="auto"/>
              <w:jc w:val="center"/>
              <w:rPr>
                <w:rFonts w:ascii="宋体" w:hAnsi="宋体" w:cs="宋体"/>
              </w:rPr>
            </w:pPr>
          </w:p>
        </w:tc>
        <w:tc>
          <w:tcPr>
            <w:tcW w:w="1001" w:type="dxa"/>
            <w:tcBorders>
              <w:left w:val="single" w:color="auto" w:sz="4" w:space="0"/>
            </w:tcBorders>
          </w:tcPr>
          <w:p w14:paraId="22184BD2">
            <w:pPr>
              <w:spacing w:line="360" w:lineRule="auto"/>
              <w:jc w:val="center"/>
              <w:rPr>
                <w:rFonts w:ascii="宋体" w:hAnsi="宋体" w:cs="宋体"/>
              </w:rPr>
            </w:pPr>
          </w:p>
        </w:tc>
      </w:tr>
      <w:tr w14:paraId="2A528D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2CA4DC3E">
            <w:pPr>
              <w:spacing w:line="360" w:lineRule="auto"/>
              <w:jc w:val="center"/>
              <w:rPr>
                <w:rFonts w:ascii="宋体" w:hAnsi="宋体" w:cs="宋体"/>
              </w:rPr>
            </w:pPr>
          </w:p>
        </w:tc>
        <w:tc>
          <w:tcPr>
            <w:tcW w:w="1440" w:type="dxa"/>
            <w:vAlign w:val="center"/>
          </w:tcPr>
          <w:p w14:paraId="57ED79D2">
            <w:pPr>
              <w:spacing w:line="360" w:lineRule="auto"/>
              <w:jc w:val="center"/>
              <w:rPr>
                <w:rFonts w:ascii="宋体" w:hAnsi="宋体" w:cs="宋体"/>
              </w:rPr>
            </w:pPr>
          </w:p>
        </w:tc>
        <w:tc>
          <w:tcPr>
            <w:tcW w:w="1320" w:type="dxa"/>
            <w:vAlign w:val="center"/>
          </w:tcPr>
          <w:p w14:paraId="33CF293E">
            <w:pPr>
              <w:spacing w:line="360" w:lineRule="auto"/>
              <w:jc w:val="center"/>
              <w:rPr>
                <w:rFonts w:ascii="宋体" w:hAnsi="宋体" w:cs="宋体"/>
              </w:rPr>
            </w:pPr>
          </w:p>
        </w:tc>
        <w:tc>
          <w:tcPr>
            <w:tcW w:w="1161" w:type="dxa"/>
            <w:vAlign w:val="center"/>
          </w:tcPr>
          <w:p w14:paraId="50C87511">
            <w:pPr>
              <w:spacing w:line="360" w:lineRule="auto"/>
              <w:jc w:val="center"/>
              <w:rPr>
                <w:rFonts w:ascii="宋体" w:hAnsi="宋体" w:cs="宋体"/>
              </w:rPr>
            </w:pPr>
          </w:p>
        </w:tc>
        <w:tc>
          <w:tcPr>
            <w:tcW w:w="1260" w:type="dxa"/>
            <w:vAlign w:val="center"/>
          </w:tcPr>
          <w:p w14:paraId="6B1A38C2">
            <w:pPr>
              <w:spacing w:line="360" w:lineRule="auto"/>
              <w:jc w:val="center"/>
              <w:rPr>
                <w:rFonts w:ascii="宋体" w:hAnsi="宋体" w:cs="宋体"/>
              </w:rPr>
            </w:pPr>
          </w:p>
        </w:tc>
        <w:tc>
          <w:tcPr>
            <w:tcW w:w="1374" w:type="dxa"/>
            <w:gridSpan w:val="3"/>
            <w:tcBorders>
              <w:right w:val="single" w:color="auto" w:sz="4" w:space="0"/>
            </w:tcBorders>
            <w:vAlign w:val="center"/>
          </w:tcPr>
          <w:p w14:paraId="23E95108">
            <w:pPr>
              <w:spacing w:line="360" w:lineRule="auto"/>
              <w:jc w:val="center"/>
              <w:rPr>
                <w:rFonts w:ascii="宋体" w:hAnsi="宋体" w:cs="宋体"/>
              </w:rPr>
            </w:pPr>
          </w:p>
        </w:tc>
        <w:tc>
          <w:tcPr>
            <w:tcW w:w="1609" w:type="dxa"/>
            <w:tcBorders>
              <w:left w:val="single" w:color="auto" w:sz="4" w:space="0"/>
            </w:tcBorders>
            <w:vAlign w:val="center"/>
          </w:tcPr>
          <w:p w14:paraId="7FB66CA6">
            <w:pPr>
              <w:spacing w:line="360" w:lineRule="auto"/>
              <w:jc w:val="center"/>
              <w:rPr>
                <w:rFonts w:ascii="宋体" w:hAnsi="宋体" w:cs="宋体"/>
              </w:rPr>
            </w:pPr>
          </w:p>
        </w:tc>
        <w:tc>
          <w:tcPr>
            <w:tcW w:w="1001" w:type="dxa"/>
            <w:tcBorders>
              <w:left w:val="single" w:color="auto" w:sz="4" w:space="0"/>
            </w:tcBorders>
          </w:tcPr>
          <w:p w14:paraId="0E0221FE">
            <w:pPr>
              <w:spacing w:line="360" w:lineRule="auto"/>
              <w:jc w:val="center"/>
              <w:rPr>
                <w:rFonts w:ascii="宋体" w:hAnsi="宋体" w:cs="宋体"/>
              </w:rPr>
            </w:pPr>
          </w:p>
        </w:tc>
      </w:tr>
      <w:tr w14:paraId="1D2EAB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7E0D2A60">
            <w:pPr>
              <w:spacing w:line="360" w:lineRule="auto"/>
              <w:jc w:val="center"/>
              <w:rPr>
                <w:rFonts w:ascii="宋体" w:hAnsi="宋体" w:cs="宋体"/>
              </w:rPr>
            </w:pPr>
          </w:p>
        </w:tc>
        <w:tc>
          <w:tcPr>
            <w:tcW w:w="1440" w:type="dxa"/>
            <w:vAlign w:val="center"/>
          </w:tcPr>
          <w:p w14:paraId="13E3D92A">
            <w:pPr>
              <w:spacing w:line="360" w:lineRule="auto"/>
              <w:jc w:val="center"/>
              <w:rPr>
                <w:rFonts w:ascii="宋体" w:hAnsi="宋体" w:cs="宋体"/>
              </w:rPr>
            </w:pPr>
          </w:p>
        </w:tc>
        <w:tc>
          <w:tcPr>
            <w:tcW w:w="1320" w:type="dxa"/>
            <w:vAlign w:val="center"/>
          </w:tcPr>
          <w:p w14:paraId="6CF68B1F">
            <w:pPr>
              <w:spacing w:line="360" w:lineRule="auto"/>
              <w:jc w:val="center"/>
              <w:rPr>
                <w:rFonts w:ascii="宋体" w:hAnsi="宋体" w:cs="宋体"/>
              </w:rPr>
            </w:pPr>
          </w:p>
        </w:tc>
        <w:tc>
          <w:tcPr>
            <w:tcW w:w="1161" w:type="dxa"/>
            <w:vAlign w:val="center"/>
          </w:tcPr>
          <w:p w14:paraId="6945C866">
            <w:pPr>
              <w:spacing w:line="360" w:lineRule="auto"/>
              <w:jc w:val="center"/>
              <w:rPr>
                <w:rFonts w:ascii="宋体" w:hAnsi="宋体" w:cs="宋体"/>
              </w:rPr>
            </w:pPr>
          </w:p>
        </w:tc>
        <w:tc>
          <w:tcPr>
            <w:tcW w:w="1260" w:type="dxa"/>
            <w:vAlign w:val="center"/>
          </w:tcPr>
          <w:p w14:paraId="76A3A047">
            <w:pPr>
              <w:spacing w:line="360" w:lineRule="auto"/>
              <w:jc w:val="center"/>
              <w:rPr>
                <w:rFonts w:ascii="宋体" w:hAnsi="宋体" w:cs="宋体"/>
              </w:rPr>
            </w:pPr>
          </w:p>
        </w:tc>
        <w:tc>
          <w:tcPr>
            <w:tcW w:w="1374" w:type="dxa"/>
            <w:gridSpan w:val="3"/>
            <w:tcBorders>
              <w:right w:val="single" w:color="auto" w:sz="4" w:space="0"/>
            </w:tcBorders>
            <w:vAlign w:val="center"/>
          </w:tcPr>
          <w:p w14:paraId="7BBB79F8">
            <w:pPr>
              <w:spacing w:line="360" w:lineRule="auto"/>
              <w:jc w:val="center"/>
              <w:rPr>
                <w:rFonts w:ascii="宋体" w:hAnsi="宋体" w:cs="宋体"/>
              </w:rPr>
            </w:pPr>
          </w:p>
        </w:tc>
        <w:tc>
          <w:tcPr>
            <w:tcW w:w="1609" w:type="dxa"/>
            <w:tcBorders>
              <w:left w:val="single" w:color="auto" w:sz="4" w:space="0"/>
            </w:tcBorders>
            <w:vAlign w:val="center"/>
          </w:tcPr>
          <w:p w14:paraId="6DD219A8">
            <w:pPr>
              <w:spacing w:line="360" w:lineRule="auto"/>
              <w:jc w:val="center"/>
              <w:rPr>
                <w:rFonts w:ascii="宋体" w:hAnsi="宋体" w:cs="宋体"/>
              </w:rPr>
            </w:pPr>
          </w:p>
        </w:tc>
        <w:tc>
          <w:tcPr>
            <w:tcW w:w="1001" w:type="dxa"/>
            <w:tcBorders>
              <w:left w:val="single" w:color="auto" w:sz="4" w:space="0"/>
            </w:tcBorders>
          </w:tcPr>
          <w:p w14:paraId="0F5A3E76">
            <w:pPr>
              <w:spacing w:line="360" w:lineRule="auto"/>
              <w:jc w:val="center"/>
              <w:rPr>
                <w:rFonts w:ascii="宋体" w:hAnsi="宋体" w:cs="宋体"/>
              </w:rPr>
            </w:pPr>
          </w:p>
        </w:tc>
      </w:tr>
      <w:tr w14:paraId="22F55C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4FC0B3DD">
            <w:pPr>
              <w:spacing w:line="360" w:lineRule="auto"/>
              <w:jc w:val="center"/>
              <w:rPr>
                <w:rFonts w:ascii="宋体" w:hAnsi="宋体" w:cs="宋体"/>
              </w:rPr>
            </w:pPr>
          </w:p>
        </w:tc>
        <w:tc>
          <w:tcPr>
            <w:tcW w:w="1440" w:type="dxa"/>
            <w:tcBorders>
              <w:right w:val="single" w:color="auto" w:sz="4" w:space="0"/>
            </w:tcBorders>
            <w:vAlign w:val="center"/>
          </w:tcPr>
          <w:p w14:paraId="00BCAF79">
            <w:pPr>
              <w:spacing w:line="360" w:lineRule="auto"/>
              <w:jc w:val="center"/>
              <w:rPr>
                <w:rFonts w:ascii="宋体" w:hAnsi="宋体" w:cs="宋体"/>
              </w:rPr>
            </w:pPr>
          </w:p>
        </w:tc>
        <w:tc>
          <w:tcPr>
            <w:tcW w:w="1320" w:type="dxa"/>
            <w:tcBorders>
              <w:left w:val="single" w:color="auto" w:sz="4" w:space="0"/>
            </w:tcBorders>
            <w:vAlign w:val="center"/>
          </w:tcPr>
          <w:p w14:paraId="7AB9E146">
            <w:pPr>
              <w:spacing w:line="360" w:lineRule="auto"/>
              <w:jc w:val="center"/>
              <w:rPr>
                <w:rFonts w:ascii="宋体" w:hAnsi="宋体" w:cs="宋体"/>
              </w:rPr>
            </w:pPr>
          </w:p>
        </w:tc>
        <w:tc>
          <w:tcPr>
            <w:tcW w:w="1161" w:type="dxa"/>
            <w:vAlign w:val="center"/>
          </w:tcPr>
          <w:p w14:paraId="79AF0424">
            <w:pPr>
              <w:spacing w:line="360" w:lineRule="auto"/>
              <w:jc w:val="center"/>
              <w:rPr>
                <w:rFonts w:ascii="宋体" w:hAnsi="宋体" w:cs="宋体"/>
              </w:rPr>
            </w:pPr>
          </w:p>
        </w:tc>
        <w:tc>
          <w:tcPr>
            <w:tcW w:w="1260" w:type="dxa"/>
            <w:vAlign w:val="center"/>
          </w:tcPr>
          <w:p w14:paraId="72146517">
            <w:pPr>
              <w:spacing w:line="360" w:lineRule="auto"/>
              <w:jc w:val="center"/>
              <w:rPr>
                <w:rFonts w:ascii="宋体" w:hAnsi="宋体" w:cs="宋体"/>
              </w:rPr>
            </w:pPr>
          </w:p>
        </w:tc>
        <w:tc>
          <w:tcPr>
            <w:tcW w:w="1374" w:type="dxa"/>
            <w:gridSpan w:val="3"/>
            <w:tcBorders>
              <w:right w:val="single" w:color="auto" w:sz="4" w:space="0"/>
            </w:tcBorders>
            <w:vAlign w:val="center"/>
          </w:tcPr>
          <w:p w14:paraId="1547C6D0">
            <w:pPr>
              <w:spacing w:line="360" w:lineRule="auto"/>
              <w:jc w:val="center"/>
              <w:rPr>
                <w:rFonts w:ascii="宋体" w:hAnsi="宋体" w:cs="宋体"/>
              </w:rPr>
            </w:pPr>
          </w:p>
        </w:tc>
        <w:tc>
          <w:tcPr>
            <w:tcW w:w="1609" w:type="dxa"/>
            <w:tcBorders>
              <w:left w:val="single" w:color="auto" w:sz="4" w:space="0"/>
            </w:tcBorders>
            <w:vAlign w:val="center"/>
          </w:tcPr>
          <w:p w14:paraId="2D6C61A4">
            <w:pPr>
              <w:spacing w:line="360" w:lineRule="auto"/>
              <w:jc w:val="center"/>
              <w:rPr>
                <w:rFonts w:ascii="宋体" w:hAnsi="宋体" w:cs="宋体"/>
              </w:rPr>
            </w:pPr>
          </w:p>
        </w:tc>
        <w:tc>
          <w:tcPr>
            <w:tcW w:w="1001" w:type="dxa"/>
            <w:tcBorders>
              <w:left w:val="single" w:color="auto" w:sz="4" w:space="0"/>
            </w:tcBorders>
          </w:tcPr>
          <w:p w14:paraId="78BDF32A">
            <w:pPr>
              <w:spacing w:line="360" w:lineRule="auto"/>
              <w:jc w:val="center"/>
              <w:rPr>
                <w:rFonts w:ascii="宋体" w:hAnsi="宋体" w:cs="宋体"/>
              </w:rPr>
            </w:pPr>
          </w:p>
        </w:tc>
      </w:tr>
      <w:tr w14:paraId="28B87D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right w:val="single" w:color="auto" w:sz="4" w:space="0"/>
            </w:tcBorders>
            <w:vAlign w:val="center"/>
          </w:tcPr>
          <w:p w14:paraId="11EB6734">
            <w:pPr>
              <w:spacing w:line="360" w:lineRule="auto"/>
              <w:rPr>
                <w:rFonts w:ascii="宋体" w:hAnsi="宋体" w:cs="宋体"/>
              </w:rPr>
            </w:pPr>
          </w:p>
        </w:tc>
        <w:tc>
          <w:tcPr>
            <w:tcW w:w="1440" w:type="dxa"/>
            <w:tcBorders>
              <w:left w:val="single" w:color="auto" w:sz="4" w:space="0"/>
              <w:right w:val="single" w:color="auto" w:sz="4" w:space="0"/>
            </w:tcBorders>
            <w:vAlign w:val="center"/>
          </w:tcPr>
          <w:p w14:paraId="45563DA7">
            <w:pPr>
              <w:spacing w:line="360" w:lineRule="auto"/>
              <w:rPr>
                <w:rFonts w:ascii="宋体" w:hAnsi="宋体" w:cs="宋体"/>
              </w:rPr>
            </w:pPr>
          </w:p>
        </w:tc>
        <w:tc>
          <w:tcPr>
            <w:tcW w:w="1320" w:type="dxa"/>
            <w:tcBorders>
              <w:left w:val="single" w:color="auto" w:sz="4" w:space="0"/>
              <w:right w:val="single" w:color="auto" w:sz="4" w:space="0"/>
            </w:tcBorders>
            <w:vAlign w:val="center"/>
          </w:tcPr>
          <w:p w14:paraId="73548D04">
            <w:pPr>
              <w:spacing w:line="360" w:lineRule="auto"/>
              <w:rPr>
                <w:rFonts w:ascii="宋体" w:hAnsi="宋体" w:cs="宋体"/>
              </w:rPr>
            </w:pPr>
          </w:p>
        </w:tc>
        <w:tc>
          <w:tcPr>
            <w:tcW w:w="1161" w:type="dxa"/>
            <w:tcBorders>
              <w:left w:val="single" w:color="auto" w:sz="4" w:space="0"/>
              <w:right w:val="single" w:color="auto" w:sz="4" w:space="0"/>
            </w:tcBorders>
            <w:vAlign w:val="center"/>
          </w:tcPr>
          <w:p w14:paraId="39CAD30D">
            <w:pPr>
              <w:spacing w:line="360" w:lineRule="auto"/>
              <w:rPr>
                <w:rFonts w:ascii="宋体" w:hAnsi="宋体" w:cs="宋体"/>
              </w:rPr>
            </w:pPr>
          </w:p>
        </w:tc>
        <w:tc>
          <w:tcPr>
            <w:tcW w:w="1269" w:type="dxa"/>
            <w:gridSpan w:val="2"/>
            <w:tcBorders>
              <w:left w:val="single" w:color="auto" w:sz="4" w:space="0"/>
              <w:right w:val="single" w:color="auto" w:sz="4" w:space="0"/>
            </w:tcBorders>
            <w:vAlign w:val="center"/>
          </w:tcPr>
          <w:p w14:paraId="1B69150F">
            <w:pPr>
              <w:spacing w:line="360" w:lineRule="auto"/>
              <w:rPr>
                <w:rFonts w:ascii="宋体" w:hAnsi="宋体" w:cs="宋体"/>
              </w:rPr>
            </w:pPr>
          </w:p>
        </w:tc>
        <w:tc>
          <w:tcPr>
            <w:tcW w:w="1365" w:type="dxa"/>
            <w:gridSpan w:val="2"/>
            <w:tcBorders>
              <w:left w:val="single" w:color="auto" w:sz="4" w:space="0"/>
              <w:right w:val="single" w:color="auto" w:sz="4" w:space="0"/>
            </w:tcBorders>
            <w:vAlign w:val="center"/>
          </w:tcPr>
          <w:p w14:paraId="645C4D69">
            <w:pPr>
              <w:spacing w:line="360" w:lineRule="auto"/>
              <w:rPr>
                <w:rFonts w:ascii="宋体" w:hAnsi="宋体" w:cs="宋体"/>
              </w:rPr>
            </w:pPr>
          </w:p>
        </w:tc>
        <w:tc>
          <w:tcPr>
            <w:tcW w:w="1609" w:type="dxa"/>
            <w:tcBorders>
              <w:left w:val="single" w:color="auto" w:sz="4" w:space="0"/>
            </w:tcBorders>
            <w:vAlign w:val="center"/>
          </w:tcPr>
          <w:p w14:paraId="4F265534">
            <w:pPr>
              <w:spacing w:line="360" w:lineRule="auto"/>
              <w:rPr>
                <w:rFonts w:ascii="宋体" w:hAnsi="宋体" w:cs="宋体"/>
              </w:rPr>
            </w:pPr>
          </w:p>
        </w:tc>
        <w:tc>
          <w:tcPr>
            <w:tcW w:w="1001" w:type="dxa"/>
            <w:tcBorders>
              <w:left w:val="single" w:color="auto" w:sz="4" w:space="0"/>
            </w:tcBorders>
          </w:tcPr>
          <w:p w14:paraId="00734288">
            <w:pPr>
              <w:spacing w:line="360" w:lineRule="auto"/>
              <w:rPr>
                <w:rFonts w:ascii="宋体" w:hAnsi="宋体" w:cs="宋体"/>
              </w:rPr>
            </w:pPr>
          </w:p>
        </w:tc>
      </w:tr>
      <w:tr w14:paraId="501F79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51B48C6C">
            <w:pPr>
              <w:spacing w:line="360" w:lineRule="auto"/>
              <w:rPr>
                <w:rFonts w:ascii="宋体" w:hAnsi="宋体" w:cs="宋体"/>
              </w:rPr>
            </w:pPr>
          </w:p>
        </w:tc>
        <w:tc>
          <w:tcPr>
            <w:tcW w:w="1440" w:type="dxa"/>
            <w:vAlign w:val="center"/>
          </w:tcPr>
          <w:p w14:paraId="17FD0D51">
            <w:pPr>
              <w:spacing w:line="360" w:lineRule="auto"/>
              <w:rPr>
                <w:rFonts w:ascii="宋体" w:hAnsi="宋体" w:cs="宋体"/>
              </w:rPr>
            </w:pPr>
          </w:p>
        </w:tc>
        <w:tc>
          <w:tcPr>
            <w:tcW w:w="1320" w:type="dxa"/>
            <w:vAlign w:val="center"/>
          </w:tcPr>
          <w:p w14:paraId="65CD456E">
            <w:pPr>
              <w:spacing w:line="360" w:lineRule="auto"/>
              <w:rPr>
                <w:rFonts w:ascii="宋体" w:hAnsi="宋体" w:cs="宋体"/>
              </w:rPr>
            </w:pPr>
          </w:p>
        </w:tc>
        <w:tc>
          <w:tcPr>
            <w:tcW w:w="1161" w:type="dxa"/>
            <w:vAlign w:val="center"/>
          </w:tcPr>
          <w:p w14:paraId="051619F5">
            <w:pPr>
              <w:spacing w:line="360" w:lineRule="auto"/>
              <w:rPr>
                <w:rFonts w:ascii="宋体" w:hAnsi="宋体" w:cs="宋体"/>
              </w:rPr>
            </w:pPr>
          </w:p>
        </w:tc>
        <w:tc>
          <w:tcPr>
            <w:tcW w:w="1269" w:type="dxa"/>
            <w:gridSpan w:val="2"/>
            <w:tcBorders>
              <w:right w:val="single" w:color="auto" w:sz="4" w:space="0"/>
            </w:tcBorders>
            <w:vAlign w:val="center"/>
          </w:tcPr>
          <w:p w14:paraId="0781404C">
            <w:pPr>
              <w:spacing w:line="360" w:lineRule="auto"/>
              <w:rPr>
                <w:rFonts w:ascii="宋体" w:hAnsi="宋体" w:cs="宋体"/>
              </w:rPr>
            </w:pPr>
          </w:p>
        </w:tc>
        <w:tc>
          <w:tcPr>
            <w:tcW w:w="1356" w:type="dxa"/>
            <w:tcBorders>
              <w:left w:val="single" w:color="auto" w:sz="4" w:space="0"/>
              <w:right w:val="single" w:color="auto" w:sz="4" w:space="0"/>
            </w:tcBorders>
            <w:vAlign w:val="center"/>
          </w:tcPr>
          <w:p w14:paraId="39B5DBDF">
            <w:pPr>
              <w:spacing w:line="360" w:lineRule="auto"/>
              <w:rPr>
                <w:rFonts w:ascii="宋体" w:hAnsi="宋体" w:cs="宋体"/>
              </w:rPr>
            </w:pPr>
          </w:p>
        </w:tc>
        <w:tc>
          <w:tcPr>
            <w:tcW w:w="1618" w:type="dxa"/>
            <w:gridSpan w:val="2"/>
            <w:tcBorders>
              <w:left w:val="single" w:color="auto" w:sz="4" w:space="0"/>
            </w:tcBorders>
            <w:vAlign w:val="center"/>
          </w:tcPr>
          <w:p w14:paraId="5AD8C5AE">
            <w:pPr>
              <w:spacing w:line="360" w:lineRule="auto"/>
              <w:rPr>
                <w:rFonts w:ascii="宋体" w:hAnsi="宋体" w:cs="宋体"/>
              </w:rPr>
            </w:pPr>
          </w:p>
        </w:tc>
        <w:tc>
          <w:tcPr>
            <w:tcW w:w="1001" w:type="dxa"/>
            <w:tcBorders>
              <w:left w:val="single" w:color="auto" w:sz="4" w:space="0"/>
            </w:tcBorders>
          </w:tcPr>
          <w:p w14:paraId="68BD2578">
            <w:pPr>
              <w:spacing w:line="360" w:lineRule="auto"/>
              <w:rPr>
                <w:rFonts w:ascii="宋体" w:hAnsi="宋体" w:cs="宋体"/>
              </w:rPr>
            </w:pPr>
          </w:p>
        </w:tc>
      </w:tr>
      <w:tr w14:paraId="248956E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15F3FE06">
            <w:pPr>
              <w:spacing w:line="360" w:lineRule="auto"/>
              <w:jc w:val="center"/>
              <w:rPr>
                <w:rFonts w:ascii="宋体" w:hAnsi="宋体" w:cs="宋体"/>
              </w:rPr>
            </w:pPr>
          </w:p>
        </w:tc>
        <w:tc>
          <w:tcPr>
            <w:tcW w:w="1440" w:type="dxa"/>
            <w:vAlign w:val="center"/>
          </w:tcPr>
          <w:p w14:paraId="4569CD95">
            <w:pPr>
              <w:spacing w:line="360" w:lineRule="auto"/>
              <w:jc w:val="center"/>
              <w:rPr>
                <w:rFonts w:ascii="宋体" w:hAnsi="宋体" w:cs="宋体"/>
              </w:rPr>
            </w:pPr>
          </w:p>
        </w:tc>
        <w:tc>
          <w:tcPr>
            <w:tcW w:w="1320" w:type="dxa"/>
            <w:vAlign w:val="center"/>
          </w:tcPr>
          <w:p w14:paraId="7E08CE42">
            <w:pPr>
              <w:spacing w:line="360" w:lineRule="auto"/>
              <w:jc w:val="center"/>
              <w:rPr>
                <w:rFonts w:ascii="宋体" w:hAnsi="宋体" w:cs="宋体"/>
              </w:rPr>
            </w:pPr>
          </w:p>
        </w:tc>
        <w:tc>
          <w:tcPr>
            <w:tcW w:w="1161" w:type="dxa"/>
            <w:vAlign w:val="center"/>
          </w:tcPr>
          <w:p w14:paraId="2F00B7B3">
            <w:pPr>
              <w:spacing w:line="360" w:lineRule="auto"/>
              <w:jc w:val="center"/>
              <w:rPr>
                <w:rFonts w:ascii="宋体" w:hAnsi="宋体" w:cs="宋体"/>
              </w:rPr>
            </w:pPr>
          </w:p>
        </w:tc>
        <w:tc>
          <w:tcPr>
            <w:tcW w:w="1269" w:type="dxa"/>
            <w:gridSpan w:val="2"/>
            <w:tcBorders>
              <w:right w:val="single" w:color="auto" w:sz="4" w:space="0"/>
            </w:tcBorders>
            <w:vAlign w:val="center"/>
          </w:tcPr>
          <w:p w14:paraId="486EB97E">
            <w:pPr>
              <w:spacing w:line="360" w:lineRule="auto"/>
              <w:jc w:val="center"/>
              <w:rPr>
                <w:rFonts w:ascii="宋体" w:hAnsi="宋体" w:cs="宋体"/>
              </w:rPr>
            </w:pPr>
          </w:p>
        </w:tc>
        <w:tc>
          <w:tcPr>
            <w:tcW w:w="1356" w:type="dxa"/>
            <w:tcBorders>
              <w:left w:val="single" w:color="auto" w:sz="4" w:space="0"/>
              <w:right w:val="single" w:color="auto" w:sz="4" w:space="0"/>
            </w:tcBorders>
            <w:vAlign w:val="center"/>
          </w:tcPr>
          <w:p w14:paraId="37E84369">
            <w:pPr>
              <w:spacing w:line="360" w:lineRule="auto"/>
              <w:jc w:val="center"/>
              <w:rPr>
                <w:rFonts w:ascii="宋体" w:hAnsi="宋体" w:cs="宋体"/>
              </w:rPr>
            </w:pPr>
          </w:p>
        </w:tc>
        <w:tc>
          <w:tcPr>
            <w:tcW w:w="1618" w:type="dxa"/>
            <w:gridSpan w:val="2"/>
            <w:tcBorders>
              <w:left w:val="single" w:color="auto" w:sz="4" w:space="0"/>
            </w:tcBorders>
            <w:vAlign w:val="center"/>
          </w:tcPr>
          <w:p w14:paraId="1B6F6DF6">
            <w:pPr>
              <w:spacing w:line="360" w:lineRule="auto"/>
              <w:jc w:val="center"/>
              <w:rPr>
                <w:rFonts w:ascii="宋体" w:hAnsi="宋体" w:cs="宋体"/>
              </w:rPr>
            </w:pPr>
          </w:p>
        </w:tc>
        <w:tc>
          <w:tcPr>
            <w:tcW w:w="1001" w:type="dxa"/>
            <w:tcBorders>
              <w:left w:val="single" w:color="auto" w:sz="4" w:space="0"/>
            </w:tcBorders>
          </w:tcPr>
          <w:p w14:paraId="184960E3">
            <w:pPr>
              <w:spacing w:line="360" w:lineRule="auto"/>
              <w:jc w:val="center"/>
              <w:rPr>
                <w:rFonts w:ascii="宋体" w:hAnsi="宋体" w:cs="宋体"/>
              </w:rPr>
            </w:pPr>
          </w:p>
        </w:tc>
      </w:tr>
      <w:tr w14:paraId="255FD6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vAlign w:val="center"/>
          </w:tcPr>
          <w:p w14:paraId="701096A3">
            <w:pPr>
              <w:spacing w:line="360" w:lineRule="auto"/>
              <w:jc w:val="center"/>
              <w:rPr>
                <w:rFonts w:ascii="宋体" w:hAnsi="宋体" w:cs="宋体"/>
              </w:rPr>
            </w:pPr>
          </w:p>
        </w:tc>
        <w:tc>
          <w:tcPr>
            <w:tcW w:w="1440" w:type="dxa"/>
            <w:vAlign w:val="center"/>
          </w:tcPr>
          <w:p w14:paraId="6C288942">
            <w:pPr>
              <w:spacing w:line="360" w:lineRule="auto"/>
              <w:jc w:val="center"/>
              <w:rPr>
                <w:rFonts w:ascii="宋体" w:hAnsi="宋体" w:cs="宋体"/>
              </w:rPr>
            </w:pPr>
          </w:p>
        </w:tc>
        <w:tc>
          <w:tcPr>
            <w:tcW w:w="1320" w:type="dxa"/>
            <w:vAlign w:val="center"/>
          </w:tcPr>
          <w:p w14:paraId="509777F2">
            <w:pPr>
              <w:spacing w:line="360" w:lineRule="auto"/>
              <w:jc w:val="center"/>
              <w:rPr>
                <w:rFonts w:ascii="宋体" w:hAnsi="宋体" w:cs="宋体"/>
              </w:rPr>
            </w:pPr>
          </w:p>
        </w:tc>
        <w:tc>
          <w:tcPr>
            <w:tcW w:w="1161" w:type="dxa"/>
            <w:vAlign w:val="center"/>
          </w:tcPr>
          <w:p w14:paraId="68E76538">
            <w:pPr>
              <w:spacing w:line="360" w:lineRule="auto"/>
              <w:jc w:val="center"/>
              <w:rPr>
                <w:rFonts w:ascii="宋体" w:hAnsi="宋体" w:cs="宋体"/>
              </w:rPr>
            </w:pPr>
          </w:p>
        </w:tc>
        <w:tc>
          <w:tcPr>
            <w:tcW w:w="1269" w:type="dxa"/>
            <w:gridSpan w:val="2"/>
            <w:tcBorders>
              <w:right w:val="single" w:color="auto" w:sz="4" w:space="0"/>
            </w:tcBorders>
            <w:vAlign w:val="center"/>
          </w:tcPr>
          <w:p w14:paraId="1F66EF77">
            <w:pPr>
              <w:spacing w:line="360" w:lineRule="auto"/>
              <w:jc w:val="center"/>
              <w:rPr>
                <w:rFonts w:ascii="宋体" w:hAnsi="宋体" w:cs="宋体"/>
              </w:rPr>
            </w:pPr>
          </w:p>
        </w:tc>
        <w:tc>
          <w:tcPr>
            <w:tcW w:w="1356" w:type="dxa"/>
            <w:tcBorders>
              <w:left w:val="single" w:color="auto" w:sz="4" w:space="0"/>
              <w:right w:val="single" w:color="auto" w:sz="4" w:space="0"/>
            </w:tcBorders>
            <w:vAlign w:val="center"/>
          </w:tcPr>
          <w:p w14:paraId="61955BD4">
            <w:pPr>
              <w:spacing w:line="360" w:lineRule="auto"/>
              <w:jc w:val="center"/>
              <w:rPr>
                <w:rFonts w:ascii="宋体" w:hAnsi="宋体" w:cs="宋体"/>
              </w:rPr>
            </w:pPr>
          </w:p>
        </w:tc>
        <w:tc>
          <w:tcPr>
            <w:tcW w:w="1618" w:type="dxa"/>
            <w:gridSpan w:val="2"/>
            <w:tcBorders>
              <w:left w:val="single" w:color="auto" w:sz="4" w:space="0"/>
            </w:tcBorders>
            <w:vAlign w:val="center"/>
          </w:tcPr>
          <w:p w14:paraId="76A2762A">
            <w:pPr>
              <w:spacing w:line="360" w:lineRule="auto"/>
              <w:jc w:val="center"/>
              <w:rPr>
                <w:rFonts w:ascii="宋体" w:hAnsi="宋体" w:cs="宋体"/>
              </w:rPr>
            </w:pPr>
          </w:p>
        </w:tc>
        <w:tc>
          <w:tcPr>
            <w:tcW w:w="1001" w:type="dxa"/>
            <w:tcBorders>
              <w:left w:val="single" w:color="auto" w:sz="4" w:space="0"/>
            </w:tcBorders>
          </w:tcPr>
          <w:p w14:paraId="1BC897D3">
            <w:pPr>
              <w:spacing w:line="360" w:lineRule="auto"/>
              <w:jc w:val="center"/>
              <w:rPr>
                <w:rFonts w:ascii="宋体" w:hAnsi="宋体" w:cs="宋体"/>
              </w:rPr>
            </w:pPr>
          </w:p>
        </w:tc>
      </w:tr>
      <w:tr w14:paraId="4811E2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bottom w:val="single" w:color="auto" w:sz="4" w:space="0"/>
            </w:tcBorders>
            <w:vAlign w:val="center"/>
          </w:tcPr>
          <w:p w14:paraId="0466151A">
            <w:pPr>
              <w:spacing w:line="360" w:lineRule="auto"/>
              <w:jc w:val="center"/>
              <w:rPr>
                <w:rFonts w:ascii="宋体" w:hAnsi="宋体" w:cs="宋体"/>
              </w:rPr>
            </w:pPr>
          </w:p>
        </w:tc>
        <w:tc>
          <w:tcPr>
            <w:tcW w:w="1440" w:type="dxa"/>
            <w:tcBorders>
              <w:bottom w:val="single" w:color="auto" w:sz="4" w:space="0"/>
            </w:tcBorders>
            <w:vAlign w:val="center"/>
          </w:tcPr>
          <w:p w14:paraId="68047D83">
            <w:pPr>
              <w:spacing w:line="360" w:lineRule="auto"/>
              <w:jc w:val="center"/>
              <w:rPr>
                <w:rFonts w:ascii="宋体" w:hAnsi="宋体" w:cs="宋体"/>
              </w:rPr>
            </w:pPr>
          </w:p>
        </w:tc>
        <w:tc>
          <w:tcPr>
            <w:tcW w:w="1320" w:type="dxa"/>
            <w:tcBorders>
              <w:bottom w:val="single" w:color="auto" w:sz="4" w:space="0"/>
            </w:tcBorders>
            <w:vAlign w:val="center"/>
          </w:tcPr>
          <w:p w14:paraId="05F469F2">
            <w:pPr>
              <w:spacing w:line="360" w:lineRule="auto"/>
              <w:jc w:val="center"/>
              <w:rPr>
                <w:rFonts w:ascii="宋体" w:hAnsi="宋体" w:cs="宋体"/>
              </w:rPr>
            </w:pPr>
          </w:p>
        </w:tc>
        <w:tc>
          <w:tcPr>
            <w:tcW w:w="1161" w:type="dxa"/>
            <w:tcBorders>
              <w:bottom w:val="single" w:color="auto" w:sz="4" w:space="0"/>
            </w:tcBorders>
            <w:vAlign w:val="center"/>
          </w:tcPr>
          <w:p w14:paraId="505CC819">
            <w:pPr>
              <w:spacing w:line="360" w:lineRule="auto"/>
              <w:jc w:val="center"/>
              <w:rPr>
                <w:rFonts w:ascii="宋体" w:hAnsi="宋体" w:cs="宋体"/>
              </w:rPr>
            </w:pPr>
          </w:p>
        </w:tc>
        <w:tc>
          <w:tcPr>
            <w:tcW w:w="1269" w:type="dxa"/>
            <w:gridSpan w:val="2"/>
            <w:tcBorders>
              <w:bottom w:val="single" w:color="auto" w:sz="4" w:space="0"/>
              <w:right w:val="single" w:color="auto" w:sz="4" w:space="0"/>
            </w:tcBorders>
            <w:vAlign w:val="center"/>
          </w:tcPr>
          <w:p w14:paraId="098654B7">
            <w:pPr>
              <w:spacing w:line="360" w:lineRule="auto"/>
              <w:jc w:val="center"/>
              <w:rPr>
                <w:rFonts w:ascii="宋体" w:hAnsi="宋体" w:cs="宋体"/>
              </w:rPr>
            </w:pPr>
          </w:p>
        </w:tc>
        <w:tc>
          <w:tcPr>
            <w:tcW w:w="1356" w:type="dxa"/>
            <w:tcBorders>
              <w:left w:val="single" w:color="auto" w:sz="4" w:space="0"/>
              <w:bottom w:val="single" w:color="auto" w:sz="4" w:space="0"/>
              <w:right w:val="single" w:color="auto" w:sz="4" w:space="0"/>
            </w:tcBorders>
            <w:vAlign w:val="center"/>
          </w:tcPr>
          <w:p w14:paraId="5396ABBD">
            <w:pPr>
              <w:spacing w:line="360" w:lineRule="auto"/>
              <w:jc w:val="center"/>
              <w:rPr>
                <w:rFonts w:ascii="宋体" w:hAnsi="宋体" w:cs="宋体"/>
              </w:rPr>
            </w:pPr>
          </w:p>
        </w:tc>
        <w:tc>
          <w:tcPr>
            <w:tcW w:w="1618" w:type="dxa"/>
            <w:gridSpan w:val="2"/>
            <w:tcBorders>
              <w:left w:val="single" w:color="auto" w:sz="4" w:space="0"/>
              <w:bottom w:val="single" w:color="auto" w:sz="4" w:space="0"/>
            </w:tcBorders>
            <w:vAlign w:val="center"/>
          </w:tcPr>
          <w:p w14:paraId="6F1BC643">
            <w:pPr>
              <w:spacing w:line="360" w:lineRule="auto"/>
              <w:jc w:val="center"/>
              <w:rPr>
                <w:rFonts w:ascii="宋体" w:hAnsi="宋体" w:cs="宋体"/>
              </w:rPr>
            </w:pPr>
          </w:p>
        </w:tc>
        <w:tc>
          <w:tcPr>
            <w:tcW w:w="1001" w:type="dxa"/>
            <w:tcBorders>
              <w:left w:val="single" w:color="auto" w:sz="4" w:space="0"/>
              <w:bottom w:val="single" w:color="auto" w:sz="4" w:space="0"/>
            </w:tcBorders>
          </w:tcPr>
          <w:p w14:paraId="56817AB0">
            <w:pPr>
              <w:spacing w:line="360" w:lineRule="auto"/>
              <w:jc w:val="center"/>
              <w:rPr>
                <w:rFonts w:ascii="宋体" w:hAnsi="宋体" w:cs="宋体"/>
              </w:rPr>
            </w:pPr>
          </w:p>
        </w:tc>
      </w:tr>
      <w:tr w14:paraId="56B24FC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top w:val="single" w:color="auto" w:sz="4" w:space="0"/>
              <w:bottom w:val="single" w:color="auto" w:sz="4" w:space="0"/>
            </w:tcBorders>
            <w:vAlign w:val="center"/>
          </w:tcPr>
          <w:p w14:paraId="3EDA93A9">
            <w:pPr>
              <w:spacing w:line="360" w:lineRule="auto"/>
              <w:jc w:val="center"/>
              <w:rPr>
                <w:rFonts w:ascii="宋体" w:hAnsi="宋体" w:cs="宋体"/>
              </w:rPr>
            </w:pPr>
          </w:p>
        </w:tc>
        <w:tc>
          <w:tcPr>
            <w:tcW w:w="1440" w:type="dxa"/>
            <w:tcBorders>
              <w:top w:val="single" w:color="auto" w:sz="4" w:space="0"/>
              <w:bottom w:val="single" w:color="auto" w:sz="4" w:space="0"/>
            </w:tcBorders>
            <w:vAlign w:val="center"/>
          </w:tcPr>
          <w:p w14:paraId="38FFD0DF">
            <w:pPr>
              <w:spacing w:line="360" w:lineRule="auto"/>
              <w:jc w:val="center"/>
              <w:rPr>
                <w:rFonts w:ascii="宋体" w:hAnsi="宋体" w:cs="宋体"/>
              </w:rPr>
            </w:pPr>
          </w:p>
        </w:tc>
        <w:tc>
          <w:tcPr>
            <w:tcW w:w="1320" w:type="dxa"/>
            <w:tcBorders>
              <w:top w:val="single" w:color="auto" w:sz="4" w:space="0"/>
              <w:bottom w:val="single" w:color="auto" w:sz="4" w:space="0"/>
            </w:tcBorders>
            <w:vAlign w:val="center"/>
          </w:tcPr>
          <w:p w14:paraId="481A988F">
            <w:pPr>
              <w:spacing w:line="360" w:lineRule="auto"/>
              <w:jc w:val="center"/>
              <w:rPr>
                <w:rFonts w:ascii="宋体" w:hAnsi="宋体" w:cs="宋体"/>
              </w:rPr>
            </w:pPr>
          </w:p>
        </w:tc>
        <w:tc>
          <w:tcPr>
            <w:tcW w:w="1161" w:type="dxa"/>
            <w:tcBorders>
              <w:top w:val="single" w:color="auto" w:sz="4" w:space="0"/>
              <w:bottom w:val="single" w:color="auto" w:sz="4" w:space="0"/>
            </w:tcBorders>
            <w:vAlign w:val="center"/>
          </w:tcPr>
          <w:p w14:paraId="5D2BDE40">
            <w:pPr>
              <w:spacing w:line="360" w:lineRule="auto"/>
              <w:jc w:val="center"/>
              <w:rPr>
                <w:rFonts w:ascii="宋体" w:hAnsi="宋体" w:cs="宋体"/>
              </w:rPr>
            </w:pPr>
          </w:p>
        </w:tc>
        <w:tc>
          <w:tcPr>
            <w:tcW w:w="1269" w:type="dxa"/>
            <w:gridSpan w:val="2"/>
            <w:tcBorders>
              <w:top w:val="single" w:color="auto" w:sz="4" w:space="0"/>
              <w:bottom w:val="single" w:color="auto" w:sz="4" w:space="0"/>
              <w:right w:val="single" w:color="auto" w:sz="4" w:space="0"/>
            </w:tcBorders>
            <w:vAlign w:val="center"/>
          </w:tcPr>
          <w:p w14:paraId="2116CB0A">
            <w:pPr>
              <w:spacing w:line="360" w:lineRule="auto"/>
              <w:jc w:val="center"/>
              <w:rPr>
                <w:rFonts w:ascii="宋体" w:hAnsi="宋体" w:cs="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75E5D5EF">
            <w:pPr>
              <w:spacing w:line="360" w:lineRule="auto"/>
              <w:jc w:val="center"/>
              <w:rPr>
                <w:rFonts w:ascii="宋体" w:hAnsi="宋体" w:cs="宋体"/>
              </w:rPr>
            </w:pPr>
          </w:p>
        </w:tc>
        <w:tc>
          <w:tcPr>
            <w:tcW w:w="1618" w:type="dxa"/>
            <w:gridSpan w:val="2"/>
            <w:tcBorders>
              <w:top w:val="single" w:color="auto" w:sz="4" w:space="0"/>
              <w:left w:val="single" w:color="auto" w:sz="4" w:space="0"/>
              <w:bottom w:val="single" w:color="auto" w:sz="4" w:space="0"/>
            </w:tcBorders>
            <w:vAlign w:val="center"/>
          </w:tcPr>
          <w:p w14:paraId="039BCB1A">
            <w:pPr>
              <w:spacing w:line="360" w:lineRule="auto"/>
              <w:jc w:val="center"/>
              <w:rPr>
                <w:rFonts w:ascii="宋体" w:hAnsi="宋体" w:cs="宋体"/>
              </w:rPr>
            </w:pPr>
          </w:p>
        </w:tc>
        <w:tc>
          <w:tcPr>
            <w:tcW w:w="1001" w:type="dxa"/>
            <w:tcBorders>
              <w:top w:val="single" w:color="auto" w:sz="4" w:space="0"/>
              <w:left w:val="single" w:color="auto" w:sz="4" w:space="0"/>
              <w:bottom w:val="single" w:color="auto" w:sz="4" w:space="0"/>
            </w:tcBorders>
          </w:tcPr>
          <w:p w14:paraId="37509A80">
            <w:pPr>
              <w:spacing w:line="360" w:lineRule="auto"/>
              <w:jc w:val="center"/>
              <w:rPr>
                <w:rFonts w:ascii="宋体" w:hAnsi="宋体" w:cs="宋体"/>
              </w:rPr>
            </w:pPr>
          </w:p>
        </w:tc>
      </w:tr>
      <w:tr w14:paraId="295D45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top w:val="single" w:color="auto" w:sz="4" w:space="0"/>
              <w:bottom w:val="single" w:color="auto" w:sz="4" w:space="0"/>
            </w:tcBorders>
            <w:vAlign w:val="center"/>
          </w:tcPr>
          <w:p w14:paraId="0E6AD0C5">
            <w:pPr>
              <w:spacing w:line="360" w:lineRule="auto"/>
              <w:jc w:val="center"/>
              <w:rPr>
                <w:rFonts w:ascii="宋体" w:hAnsi="宋体" w:cs="宋体"/>
              </w:rPr>
            </w:pPr>
          </w:p>
        </w:tc>
        <w:tc>
          <w:tcPr>
            <w:tcW w:w="1440" w:type="dxa"/>
            <w:tcBorders>
              <w:top w:val="single" w:color="auto" w:sz="4" w:space="0"/>
              <w:bottom w:val="single" w:color="auto" w:sz="4" w:space="0"/>
            </w:tcBorders>
            <w:vAlign w:val="center"/>
          </w:tcPr>
          <w:p w14:paraId="4BF9DE9B">
            <w:pPr>
              <w:spacing w:line="360" w:lineRule="auto"/>
              <w:jc w:val="center"/>
              <w:rPr>
                <w:rFonts w:ascii="宋体" w:hAnsi="宋体" w:cs="宋体"/>
              </w:rPr>
            </w:pPr>
          </w:p>
        </w:tc>
        <w:tc>
          <w:tcPr>
            <w:tcW w:w="1320" w:type="dxa"/>
            <w:tcBorders>
              <w:top w:val="single" w:color="auto" w:sz="4" w:space="0"/>
              <w:bottom w:val="single" w:color="auto" w:sz="4" w:space="0"/>
            </w:tcBorders>
            <w:vAlign w:val="center"/>
          </w:tcPr>
          <w:p w14:paraId="70A4E64F">
            <w:pPr>
              <w:spacing w:line="360" w:lineRule="auto"/>
              <w:jc w:val="center"/>
              <w:rPr>
                <w:rFonts w:ascii="宋体" w:hAnsi="宋体" w:cs="宋体"/>
              </w:rPr>
            </w:pPr>
          </w:p>
        </w:tc>
        <w:tc>
          <w:tcPr>
            <w:tcW w:w="1161" w:type="dxa"/>
            <w:tcBorders>
              <w:top w:val="single" w:color="auto" w:sz="4" w:space="0"/>
              <w:bottom w:val="single" w:color="auto" w:sz="4" w:space="0"/>
            </w:tcBorders>
            <w:vAlign w:val="center"/>
          </w:tcPr>
          <w:p w14:paraId="0D9AD9FE">
            <w:pPr>
              <w:spacing w:line="360" w:lineRule="auto"/>
              <w:jc w:val="center"/>
              <w:rPr>
                <w:rFonts w:ascii="宋体" w:hAnsi="宋体" w:cs="宋体"/>
              </w:rPr>
            </w:pPr>
          </w:p>
        </w:tc>
        <w:tc>
          <w:tcPr>
            <w:tcW w:w="1269" w:type="dxa"/>
            <w:gridSpan w:val="2"/>
            <w:tcBorders>
              <w:top w:val="single" w:color="auto" w:sz="4" w:space="0"/>
              <w:bottom w:val="single" w:color="auto" w:sz="4" w:space="0"/>
              <w:right w:val="single" w:color="auto" w:sz="4" w:space="0"/>
            </w:tcBorders>
            <w:vAlign w:val="center"/>
          </w:tcPr>
          <w:p w14:paraId="3ACC9064">
            <w:pPr>
              <w:spacing w:line="360" w:lineRule="auto"/>
              <w:jc w:val="center"/>
              <w:rPr>
                <w:rFonts w:ascii="宋体" w:hAnsi="宋体" w:cs="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79B672F0">
            <w:pPr>
              <w:spacing w:line="360" w:lineRule="auto"/>
              <w:jc w:val="center"/>
              <w:rPr>
                <w:rFonts w:ascii="宋体" w:hAnsi="宋体" w:cs="宋体"/>
              </w:rPr>
            </w:pPr>
          </w:p>
        </w:tc>
        <w:tc>
          <w:tcPr>
            <w:tcW w:w="1618" w:type="dxa"/>
            <w:gridSpan w:val="2"/>
            <w:tcBorders>
              <w:top w:val="single" w:color="auto" w:sz="4" w:space="0"/>
              <w:left w:val="single" w:color="auto" w:sz="4" w:space="0"/>
              <w:bottom w:val="single" w:color="auto" w:sz="4" w:space="0"/>
            </w:tcBorders>
            <w:vAlign w:val="center"/>
          </w:tcPr>
          <w:p w14:paraId="33486F3F">
            <w:pPr>
              <w:spacing w:line="360" w:lineRule="auto"/>
              <w:jc w:val="center"/>
              <w:rPr>
                <w:rFonts w:ascii="宋体" w:hAnsi="宋体" w:cs="宋体"/>
              </w:rPr>
            </w:pPr>
          </w:p>
        </w:tc>
        <w:tc>
          <w:tcPr>
            <w:tcW w:w="1001" w:type="dxa"/>
            <w:tcBorders>
              <w:top w:val="single" w:color="auto" w:sz="4" w:space="0"/>
              <w:left w:val="single" w:color="auto" w:sz="4" w:space="0"/>
              <w:bottom w:val="single" w:color="auto" w:sz="4" w:space="0"/>
            </w:tcBorders>
          </w:tcPr>
          <w:p w14:paraId="264006B0">
            <w:pPr>
              <w:spacing w:line="360" w:lineRule="auto"/>
              <w:jc w:val="center"/>
              <w:rPr>
                <w:rFonts w:ascii="宋体" w:hAnsi="宋体" w:cs="宋体"/>
              </w:rPr>
            </w:pPr>
          </w:p>
        </w:tc>
      </w:tr>
      <w:tr w14:paraId="583BB08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top w:val="single" w:color="auto" w:sz="4" w:space="0"/>
              <w:bottom w:val="single" w:color="auto" w:sz="4" w:space="0"/>
            </w:tcBorders>
            <w:vAlign w:val="center"/>
          </w:tcPr>
          <w:p w14:paraId="379E6DAC">
            <w:pPr>
              <w:spacing w:line="360" w:lineRule="auto"/>
              <w:jc w:val="center"/>
              <w:rPr>
                <w:rFonts w:ascii="宋体" w:hAnsi="宋体" w:cs="宋体"/>
              </w:rPr>
            </w:pPr>
          </w:p>
        </w:tc>
        <w:tc>
          <w:tcPr>
            <w:tcW w:w="1440" w:type="dxa"/>
            <w:tcBorders>
              <w:top w:val="single" w:color="auto" w:sz="4" w:space="0"/>
              <w:bottom w:val="single" w:color="auto" w:sz="4" w:space="0"/>
            </w:tcBorders>
            <w:vAlign w:val="center"/>
          </w:tcPr>
          <w:p w14:paraId="37E8BF82">
            <w:pPr>
              <w:spacing w:line="360" w:lineRule="auto"/>
              <w:jc w:val="center"/>
              <w:rPr>
                <w:rFonts w:ascii="宋体" w:hAnsi="宋体" w:cs="宋体"/>
              </w:rPr>
            </w:pPr>
          </w:p>
        </w:tc>
        <w:tc>
          <w:tcPr>
            <w:tcW w:w="1320" w:type="dxa"/>
            <w:tcBorders>
              <w:top w:val="single" w:color="auto" w:sz="4" w:space="0"/>
              <w:bottom w:val="single" w:color="auto" w:sz="4" w:space="0"/>
            </w:tcBorders>
            <w:vAlign w:val="center"/>
          </w:tcPr>
          <w:p w14:paraId="42D698EA">
            <w:pPr>
              <w:spacing w:line="360" w:lineRule="auto"/>
              <w:jc w:val="center"/>
              <w:rPr>
                <w:rFonts w:ascii="宋体" w:hAnsi="宋体" w:cs="宋体"/>
              </w:rPr>
            </w:pPr>
          </w:p>
        </w:tc>
        <w:tc>
          <w:tcPr>
            <w:tcW w:w="1161" w:type="dxa"/>
            <w:tcBorders>
              <w:top w:val="single" w:color="auto" w:sz="4" w:space="0"/>
              <w:bottom w:val="single" w:color="auto" w:sz="4" w:space="0"/>
            </w:tcBorders>
            <w:vAlign w:val="center"/>
          </w:tcPr>
          <w:p w14:paraId="2AD23A6A">
            <w:pPr>
              <w:spacing w:line="360" w:lineRule="auto"/>
              <w:jc w:val="center"/>
              <w:rPr>
                <w:rFonts w:ascii="宋体" w:hAnsi="宋体" w:cs="宋体"/>
              </w:rPr>
            </w:pPr>
          </w:p>
        </w:tc>
        <w:tc>
          <w:tcPr>
            <w:tcW w:w="1269" w:type="dxa"/>
            <w:gridSpan w:val="2"/>
            <w:tcBorders>
              <w:top w:val="single" w:color="auto" w:sz="4" w:space="0"/>
              <w:bottom w:val="single" w:color="auto" w:sz="4" w:space="0"/>
              <w:right w:val="single" w:color="auto" w:sz="4" w:space="0"/>
            </w:tcBorders>
            <w:vAlign w:val="center"/>
          </w:tcPr>
          <w:p w14:paraId="70F401B2">
            <w:pPr>
              <w:spacing w:line="360" w:lineRule="auto"/>
              <w:jc w:val="center"/>
              <w:rPr>
                <w:rFonts w:ascii="宋体" w:hAnsi="宋体" w:cs="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75107D02">
            <w:pPr>
              <w:spacing w:line="360" w:lineRule="auto"/>
              <w:jc w:val="center"/>
              <w:rPr>
                <w:rFonts w:ascii="宋体" w:hAnsi="宋体" w:cs="宋体"/>
              </w:rPr>
            </w:pPr>
          </w:p>
        </w:tc>
        <w:tc>
          <w:tcPr>
            <w:tcW w:w="1618" w:type="dxa"/>
            <w:gridSpan w:val="2"/>
            <w:tcBorders>
              <w:top w:val="single" w:color="auto" w:sz="4" w:space="0"/>
              <w:left w:val="single" w:color="auto" w:sz="4" w:space="0"/>
              <w:bottom w:val="single" w:color="auto" w:sz="4" w:space="0"/>
            </w:tcBorders>
            <w:vAlign w:val="center"/>
          </w:tcPr>
          <w:p w14:paraId="47EF4A8A">
            <w:pPr>
              <w:spacing w:line="360" w:lineRule="auto"/>
              <w:jc w:val="center"/>
              <w:rPr>
                <w:rFonts w:ascii="宋体" w:hAnsi="宋体" w:cs="宋体"/>
              </w:rPr>
            </w:pPr>
          </w:p>
        </w:tc>
        <w:tc>
          <w:tcPr>
            <w:tcW w:w="1001" w:type="dxa"/>
            <w:tcBorders>
              <w:top w:val="single" w:color="auto" w:sz="4" w:space="0"/>
              <w:left w:val="single" w:color="auto" w:sz="4" w:space="0"/>
              <w:bottom w:val="single" w:color="auto" w:sz="4" w:space="0"/>
            </w:tcBorders>
          </w:tcPr>
          <w:p w14:paraId="1AB08B8C">
            <w:pPr>
              <w:spacing w:line="360" w:lineRule="auto"/>
              <w:jc w:val="center"/>
              <w:rPr>
                <w:rFonts w:ascii="宋体" w:hAnsi="宋体" w:cs="宋体"/>
              </w:rPr>
            </w:pPr>
          </w:p>
        </w:tc>
      </w:tr>
      <w:tr w14:paraId="328078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720" w:type="dxa"/>
            <w:tcBorders>
              <w:top w:val="single" w:color="auto" w:sz="4" w:space="0"/>
              <w:bottom w:val="single" w:color="auto" w:sz="4" w:space="0"/>
            </w:tcBorders>
            <w:vAlign w:val="center"/>
          </w:tcPr>
          <w:p w14:paraId="2871573F">
            <w:pPr>
              <w:spacing w:line="360" w:lineRule="auto"/>
              <w:jc w:val="center"/>
              <w:rPr>
                <w:rFonts w:ascii="宋体" w:hAnsi="宋体" w:cs="宋体"/>
              </w:rPr>
            </w:pPr>
          </w:p>
        </w:tc>
        <w:tc>
          <w:tcPr>
            <w:tcW w:w="1440" w:type="dxa"/>
            <w:tcBorders>
              <w:top w:val="single" w:color="auto" w:sz="4" w:space="0"/>
              <w:bottom w:val="single" w:color="auto" w:sz="4" w:space="0"/>
            </w:tcBorders>
            <w:vAlign w:val="center"/>
          </w:tcPr>
          <w:p w14:paraId="76BF5EFD">
            <w:pPr>
              <w:spacing w:line="360" w:lineRule="auto"/>
              <w:jc w:val="center"/>
              <w:rPr>
                <w:rFonts w:ascii="宋体" w:hAnsi="宋体" w:cs="宋体"/>
              </w:rPr>
            </w:pPr>
          </w:p>
        </w:tc>
        <w:tc>
          <w:tcPr>
            <w:tcW w:w="1320" w:type="dxa"/>
            <w:tcBorders>
              <w:top w:val="single" w:color="auto" w:sz="4" w:space="0"/>
              <w:bottom w:val="single" w:color="auto" w:sz="4" w:space="0"/>
            </w:tcBorders>
            <w:vAlign w:val="center"/>
          </w:tcPr>
          <w:p w14:paraId="2A7CC64E">
            <w:pPr>
              <w:spacing w:line="360" w:lineRule="auto"/>
              <w:jc w:val="center"/>
              <w:rPr>
                <w:rFonts w:ascii="宋体" w:hAnsi="宋体" w:cs="宋体"/>
              </w:rPr>
            </w:pPr>
          </w:p>
        </w:tc>
        <w:tc>
          <w:tcPr>
            <w:tcW w:w="1161" w:type="dxa"/>
            <w:tcBorders>
              <w:top w:val="single" w:color="auto" w:sz="4" w:space="0"/>
              <w:bottom w:val="single" w:color="auto" w:sz="4" w:space="0"/>
            </w:tcBorders>
            <w:vAlign w:val="center"/>
          </w:tcPr>
          <w:p w14:paraId="20814F9E">
            <w:pPr>
              <w:spacing w:line="360" w:lineRule="auto"/>
              <w:jc w:val="center"/>
              <w:rPr>
                <w:rFonts w:ascii="宋体" w:hAnsi="宋体" w:cs="宋体"/>
              </w:rPr>
            </w:pPr>
          </w:p>
        </w:tc>
        <w:tc>
          <w:tcPr>
            <w:tcW w:w="1269" w:type="dxa"/>
            <w:gridSpan w:val="2"/>
            <w:tcBorders>
              <w:top w:val="single" w:color="auto" w:sz="4" w:space="0"/>
              <w:bottom w:val="single" w:color="auto" w:sz="4" w:space="0"/>
              <w:right w:val="single" w:color="auto" w:sz="4" w:space="0"/>
            </w:tcBorders>
            <w:vAlign w:val="center"/>
          </w:tcPr>
          <w:p w14:paraId="60A9ACD1">
            <w:pPr>
              <w:spacing w:line="360" w:lineRule="auto"/>
              <w:jc w:val="center"/>
              <w:rPr>
                <w:rFonts w:ascii="宋体" w:hAnsi="宋体" w:cs="宋体"/>
              </w:rPr>
            </w:pPr>
          </w:p>
        </w:tc>
        <w:tc>
          <w:tcPr>
            <w:tcW w:w="1356" w:type="dxa"/>
            <w:tcBorders>
              <w:top w:val="single" w:color="auto" w:sz="4" w:space="0"/>
              <w:left w:val="single" w:color="auto" w:sz="4" w:space="0"/>
              <w:bottom w:val="single" w:color="auto" w:sz="4" w:space="0"/>
              <w:right w:val="single" w:color="auto" w:sz="4" w:space="0"/>
            </w:tcBorders>
            <w:vAlign w:val="center"/>
          </w:tcPr>
          <w:p w14:paraId="61D5AA9A">
            <w:pPr>
              <w:spacing w:line="360" w:lineRule="auto"/>
              <w:jc w:val="center"/>
              <w:rPr>
                <w:rFonts w:ascii="宋体" w:hAnsi="宋体" w:cs="宋体"/>
              </w:rPr>
            </w:pPr>
          </w:p>
        </w:tc>
        <w:tc>
          <w:tcPr>
            <w:tcW w:w="1618" w:type="dxa"/>
            <w:gridSpan w:val="2"/>
            <w:tcBorders>
              <w:top w:val="single" w:color="auto" w:sz="4" w:space="0"/>
              <w:left w:val="single" w:color="auto" w:sz="4" w:space="0"/>
              <w:bottom w:val="single" w:color="auto" w:sz="4" w:space="0"/>
            </w:tcBorders>
            <w:vAlign w:val="center"/>
          </w:tcPr>
          <w:p w14:paraId="5606EE09">
            <w:pPr>
              <w:spacing w:line="360" w:lineRule="auto"/>
              <w:jc w:val="center"/>
              <w:rPr>
                <w:rFonts w:ascii="宋体" w:hAnsi="宋体" w:cs="宋体"/>
              </w:rPr>
            </w:pPr>
          </w:p>
        </w:tc>
        <w:tc>
          <w:tcPr>
            <w:tcW w:w="1001" w:type="dxa"/>
            <w:tcBorders>
              <w:top w:val="single" w:color="auto" w:sz="4" w:space="0"/>
              <w:left w:val="single" w:color="auto" w:sz="4" w:space="0"/>
              <w:bottom w:val="single" w:color="auto" w:sz="4" w:space="0"/>
            </w:tcBorders>
          </w:tcPr>
          <w:p w14:paraId="179FFB44">
            <w:pPr>
              <w:spacing w:line="360" w:lineRule="auto"/>
              <w:jc w:val="center"/>
              <w:rPr>
                <w:rFonts w:ascii="宋体" w:hAnsi="宋体" w:cs="宋体"/>
              </w:rPr>
            </w:pPr>
          </w:p>
        </w:tc>
      </w:tr>
    </w:tbl>
    <w:p w14:paraId="52F658D6">
      <w:pPr>
        <w:ind w:firstLine="422" w:firstLineChars="200"/>
        <w:rPr>
          <w:rFonts w:ascii="宋体" w:hAnsi="宋体" w:cs="宋体"/>
          <w:b/>
          <w:bCs/>
          <w:szCs w:val="21"/>
        </w:rPr>
      </w:pPr>
      <w:r>
        <w:rPr>
          <w:rFonts w:hint="eastAsia" w:ascii="宋体" w:hAnsi="宋体" w:cs="宋体"/>
          <w:b/>
          <w:bCs/>
          <w:szCs w:val="21"/>
        </w:rPr>
        <w:t>注：投标人（仅限于投标人自身实施的）以上业绩需提供有关书面证明材料（如中标通知书/成交通知书或采购合同）。“合同金额”需提供合同复印件（以合同签订的时间为准）；</w:t>
      </w:r>
    </w:p>
    <w:p w14:paraId="39ECF5C8">
      <w:pPr>
        <w:ind w:firstLine="422" w:firstLineChars="200"/>
        <w:rPr>
          <w:rFonts w:ascii="宋体" w:hAnsi="宋体" w:cs="宋体"/>
          <w:b/>
          <w:bCs/>
          <w:szCs w:val="21"/>
        </w:rPr>
      </w:pPr>
    </w:p>
    <w:p w14:paraId="380BCE41">
      <w:pPr>
        <w:ind w:firstLine="480" w:firstLineChars="200"/>
        <w:rPr>
          <w:rFonts w:ascii="宋体" w:hAnsi="宋体" w:cs="宋体"/>
          <w:sz w:val="24"/>
        </w:rPr>
      </w:pPr>
      <w:r>
        <w:rPr>
          <w:rFonts w:hint="eastAsia" w:ascii="宋体" w:hAnsi="宋体" w:cs="宋体"/>
          <w:sz w:val="24"/>
        </w:rPr>
        <w:t xml:space="preserve">投标人(盖章)： </w:t>
      </w:r>
    </w:p>
    <w:p w14:paraId="32F38826">
      <w:pPr>
        <w:ind w:firstLine="480" w:firstLineChars="200"/>
        <w:rPr>
          <w:rFonts w:ascii="宋体" w:hAnsi="宋体" w:cs="宋体"/>
          <w:sz w:val="24"/>
        </w:rPr>
      </w:pPr>
    </w:p>
    <w:p w14:paraId="725B6498">
      <w:pPr>
        <w:ind w:firstLine="480" w:firstLineChars="200"/>
        <w:rPr>
          <w:rFonts w:ascii="宋体" w:hAnsi="宋体" w:cs="宋体"/>
          <w:sz w:val="24"/>
        </w:rPr>
      </w:pPr>
    </w:p>
    <w:p w14:paraId="2A4D4643">
      <w:pPr>
        <w:ind w:firstLine="480" w:firstLineChars="200"/>
        <w:rPr>
          <w:rFonts w:ascii="宋体" w:hAnsi="宋体" w:cs="宋体"/>
          <w:sz w:val="24"/>
        </w:rPr>
      </w:pPr>
      <w:r>
        <w:rPr>
          <w:rFonts w:hint="eastAsia" w:ascii="宋体" w:hAnsi="宋体" w:cs="宋体"/>
          <w:sz w:val="24"/>
        </w:rPr>
        <w:t>法定代表人或委托代理人（签字或盖章）：</w:t>
      </w:r>
    </w:p>
    <w:p w14:paraId="3FB37151">
      <w:pPr>
        <w:ind w:firstLine="480" w:firstLineChars="200"/>
        <w:rPr>
          <w:rFonts w:ascii="宋体" w:hAnsi="宋体" w:cs="宋体"/>
          <w:sz w:val="24"/>
        </w:rPr>
      </w:pPr>
    </w:p>
    <w:p w14:paraId="306385E1">
      <w:pPr>
        <w:ind w:firstLine="480" w:firstLineChars="200"/>
        <w:rPr>
          <w:rFonts w:ascii="宋体" w:hAnsi="宋体" w:cs="宋体"/>
          <w:sz w:val="24"/>
        </w:rPr>
      </w:pPr>
    </w:p>
    <w:p w14:paraId="037E93A1">
      <w:pPr>
        <w:ind w:firstLine="480" w:firstLineChars="200"/>
        <w:rPr>
          <w:rFonts w:hint="eastAsia" w:ascii="宋体" w:hAnsi="宋体" w:cs="宋体"/>
          <w:sz w:val="24"/>
        </w:rPr>
      </w:pPr>
      <w:r>
        <w:rPr>
          <w:rFonts w:hint="eastAsia" w:ascii="宋体" w:hAnsi="宋体" w:cs="宋体"/>
          <w:sz w:val="24"/>
        </w:rPr>
        <w:t>日期：   年  月   日</w:t>
      </w:r>
    </w:p>
    <w:p w14:paraId="443BB77E">
      <w:pPr>
        <w:pStyle w:val="9"/>
        <w:rPr>
          <w:rFonts w:hint="eastAsia" w:ascii="宋体" w:hAnsi="宋体" w:cs="宋体"/>
          <w:sz w:val="24"/>
        </w:rPr>
      </w:pPr>
    </w:p>
    <w:p w14:paraId="1297DF6E">
      <w:pPr>
        <w:pStyle w:val="11"/>
        <w:ind w:left="0" w:leftChars="0" w:firstLine="0" w:firstLineChars="0"/>
        <w:jc w:val="both"/>
      </w:pPr>
    </w:p>
    <w:p w14:paraId="7CF69F18">
      <w:pPr>
        <w:spacing w:line="360" w:lineRule="auto"/>
        <w:rPr>
          <w:rFonts w:ascii="宋体" w:hAnsi="宋体" w:cs="宋体"/>
          <w:sz w:val="24"/>
          <w:szCs w:val="20"/>
        </w:rPr>
      </w:pPr>
    </w:p>
    <w:p w14:paraId="169981C3">
      <w:pPr>
        <w:pStyle w:val="7"/>
        <w:spacing w:line="360" w:lineRule="auto"/>
        <w:ind w:firstLine="0"/>
        <w:jc w:val="center"/>
        <w:rPr>
          <w:rFonts w:ascii="宋体" w:hAnsi="宋体" w:cs="宋体"/>
          <w:b/>
          <w:sz w:val="24"/>
          <w:szCs w:val="24"/>
        </w:rPr>
      </w:pPr>
    </w:p>
    <w:p w14:paraId="0042B267">
      <w:pPr>
        <w:rPr>
          <w:rFonts w:ascii="宋体" w:hAnsi="宋体" w:cs="宋体"/>
          <w:b/>
          <w:sz w:val="24"/>
        </w:rPr>
      </w:pPr>
    </w:p>
    <w:p w14:paraId="6DD18007">
      <w:pPr>
        <w:spacing w:line="360" w:lineRule="auto"/>
        <w:ind w:firstLine="3132" w:firstLineChars="1300"/>
        <w:jc w:val="both"/>
        <w:rPr>
          <w:rFonts w:ascii="宋体" w:hAnsi="宋体" w:cs="宋体"/>
          <w:b/>
          <w:sz w:val="24"/>
        </w:rPr>
      </w:pPr>
      <w:r>
        <w:rPr>
          <w:rFonts w:hint="eastAsia" w:ascii="宋体" w:hAnsi="宋体" w:cs="宋体"/>
          <w:b/>
          <w:sz w:val="24"/>
        </w:rPr>
        <w:t>格式</w:t>
      </w:r>
      <w:r>
        <w:rPr>
          <w:rFonts w:hint="eastAsia" w:ascii="宋体" w:hAnsi="宋体" w:cs="宋体"/>
          <w:b/>
          <w:sz w:val="24"/>
          <w:lang w:val="en-US" w:eastAsia="zh-CN"/>
        </w:rPr>
        <w:t>12</w:t>
      </w:r>
      <w:r>
        <w:rPr>
          <w:rFonts w:hint="eastAsia" w:ascii="宋体" w:hAnsi="宋体" w:cs="宋体"/>
          <w:b/>
          <w:sz w:val="24"/>
        </w:rPr>
        <w:t xml:space="preserve">  技术规格响应偏离表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7"/>
        <w:gridCol w:w="2228"/>
        <w:gridCol w:w="2228"/>
        <w:gridCol w:w="2228"/>
        <w:gridCol w:w="2228"/>
      </w:tblGrid>
      <w:tr w14:paraId="057A5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1004A892">
            <w:pPr>
              <w:spacing w:line="360" w:lineRule="auto"/>
              <w:jc w:val="center"/>
              <w:rPr>
                <w:rFonts w:ascii="宋体" w:hAnsi="宋体" w:cs="宋体"/>
                <w:sz w:val="24"/>
              </w:rPr>
            </w:pPr>
            <w:r>
              <w:rPr>
                <w:rFonts w:hint="eastAsia" w:ascii="宋体" w:hAnsi="宋体" w:cs="宋体"/>
                <w:sz w:val="24"/>
              </w:rPr>
              <w:t>序号</w:t>
            </w:r>
          </w:p>
        </w:tc>
        <w:tc>
          <w:tcPr>
            <w:tcW w:w="2228" w:type="dxa"/>
            <w:vAlign w:val="center"/>
          </w:tcPr>
          <w:p w14:paraId="0B5F8DF0">
            <w:pPr>
              <w:spacing w:line="360" w:lineRule="auto"/>
              <w:jc w:val="center"/>
              <w:rPr>
                <w:rFonts w:ascii="宋体" w:hAnsi="宋体" w:cs="宋体"/>
                <w:sz w:val="24"/>
              </w:rPr>
            </w:pPr>
            <w:r>
              <w:rPr>
                <w:rFonts w:hint="eastAsia" w:ascii="宋体" w:hAnsi="宋体" w:cs="宋体"/>
                <w:sz w:val="24"/>
              </w:rPr>
              <w:t>服务内容及要求</w:t>
            </w:r>
          </w:p>
        </w:tc>
        <w:tc>
          <w:tcPr>
            <w:tcW w:w="2228" w:type="dxa"/>
            <w:vAlign w:val="center"/>
          </w:tcPr>
          <w:p w14:paraId="1D416775">
            <w:pPr>
              <w:spacing w:line="360" w:lineRule="auto"/>
              <w:jc w:val="center"/>
              <w:rPr>
                <w:rFonts w:ascii="宋体" w:hAnsi="宋体" w:cs="宋体"/>
                <w:sz w:val="24"/>
              </w:rPr>
            </w:pPr>
            <w:r>
              <w:rPr>
                <w:rFonts w:hint="eastAsia" w:ascii="宋体" w:hAnsi="宋体" w:cs="宋体"/>
                <w:sz w:val="24"/>
              </w:rPr>
              <w:t>招标要求</w:t>
            </w:r>
          </w:p>
        </w:tc>
        <w:tc>
          <w:tcPr>
            <w:tcW w:w="2228" w:type="dxa"/>
            <w:vAlign w:val="center"/>
          </w:tcPr>
          <w:p w14:paraId="4D38DE6E">
            <w:pPr>
              <w:spacing w:line="360" w:lineRule="auto"/>
              <w:jc w:val="center"/>
              <w:rPr>
                <w:rFonts w:ascii="宋体" w:hAnsi="宋体" w:cs="宋体"/>
                <w:sz w:val="24"/>
              </w:rPr>
            </w:pPr>
            <w:r>
              <w:rPr>
                <w:rFonts w:hint="eastAsia" w:ascii="宋体" w:hAnsi="宋体" w:cs="宋体"/>
                <w:sz w:val="24"/>
              </w:rPr>
              <w:t>投标规格</w:t>
            </w:r>
          </w:p>
        </w:tc>
        <w:tc>
          <w:tcPr>
            <w:tcW w:w="2228" w:type="dxa"/>
            <w:vAlign w:val="center"/>
          </w:tcPr>
          <w:p w14:paraId="317B6A3D">
            <w:pPr>
              <w:spacing w:line="360" w:lineRule="auto"/>
              <w:jc w:val="center"/>
              <w:rPr>
                <w:rFonts w:ascii="宋体" w:hAnsi="宋体" w:cs="宋体"/>
                <w:sz w:val="24"/>
              </w:rPr>
            </w:pPr>
            <w:r>
              <w:rPr>
                <w:rFonts w:hint="eastAsia" w:ascii="宋体" w:hAnsi="宋体" w:cs="宋体"/>
                <w:sz w:val="24"/>
              </w:rPr>
              <w:t>偏离说明</w:t>
            </w:r>
          </w:p>
        </w:tc>
      </w:tr>
      <w:tr w14:paraId="28DB9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06A2BCFB">
            <w:pPr>
              <w:spacing w:line="360" w:lineRule="auto"/>
              <w:jc w:val="center"/>
              <w:rPr>
                <w:rFonts w:ascii="宋体" w:hAnsi="宋体" w:cs="宋体"/>
                <w:sz w:val="24"/>
              </w:rPr>
            </w:pPr>
          </w:p>
        </w:tc>
        <w:tc>
          <w:tcPr>
            <w:tcW w:w="2228" w:type="dxa"/>
            <w:vAlign w:val="center"/>
          </w:tcPr>
          <w:p w14:paraId="4B984D08">
            <w:pPr>
              <w:spacing w:line="360" w:lineRule="auto"/>
              <w:jc w:val="center"/>
              <w:rPr>
                <w:rFonts w:ascii="宋体" w:hAnsi="宋体" w:cs="宋体"/>
                <w:sz w:val="24"/>
              </w:rPr>
            </w:pPr>
          </w:p>
        </w:tc>
        <w:tc>
          <w:tcPr>
            <w:tcW w:w="2228" w:type="dxa"/>
            <w:vAlign w:val="center"/>
          </w:tcPr>
          <w:p w14:paraId="473EA663">
            <w:pPr>
              <w:spacing w:line="360" w:lineRule="auto"/>
              <w:jc w:val="center"/>
              <w:rPr>
                <w:rFonts w:ascii="宋体" w:hAnsi="宋体" w:cs="宋体"/>
                <w:sz w:val="24"/>
              </w:rPr>
            </w:pPr>
          </w:p>
        </w:tc>
        <w:tc>
          <w:tcPr>
            <w:tcW w:w="2228" w:type="dxa"/>
            <w:vAlign w:val="center"/>
          </w:tcPr>
          <w:p w14:paraId="3CD9D2F9">
            <w:pPr>
              <w:spacing w:line="360" w:lineRule="auto"/>
              <w:jc w:val="center"/>
              <w:rPr>
                <w:rFonts w:ascii="宋体" w:hAnsi="宋体" w:cs="宋体"/>
                <w:sz w:val="24"/>
              </w:rPr>
            </w:pPr>
          </w:p>
        </w:tc>
        <w:tc>
          <w:tcPr>
            <w:tcW w:w="2228" w:type="dxa"/>
            <w:vAlign w:val="center"/>
          </w:tcPr>
          <w:p w14:paraId="7424E35D">
            <w:pPr>
              <w:spacing w:line="360" w:lineRule="auto"/>
              <w:jc w:val="center"/>
              <w:rPr>
                <w:rFonts w:ascii="宋体" w:hAnsi="宋体" w:cs="宋体"/>
                <w:sz w:val="24"/>
              </w:rPr>
            </w:pPr>
          </w:p>
        </w:tc>
      </w:tr>
      <w:tr w14:paraId="43A6F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20BA7AE8">
            <w:pPr>
              <w:spacing w:line="360" w:lineRule="auto"/>
              <w:jc w:val="center"/>
              <w:rPr>
                <w:rFonts w:ascii="宋体" w:hAnsi="宋体" w:cs="宋体"/>
                <w:sz w:val="24"/>
              </w:rPr>
            </w:pPr>
          </w:p>
        </w:tc>
        <w:tc>
          <w:tcPr>
            <w:tcW w:w="2228" w:type="dxa"/>
            <w:vAlign w:val="center"/>
          </w:tcPr>
          <w:p w14:paraId="528AFEE2">
            <w:pPr>
              <w:spacing w:line="360" w:lineRule="auto"/>
              <w:jc w:val="center"/>
              <w:rPr>
                <w:rFonts w:ascii="宋体" w:hAnsi="宋体" w:cs="宋体"/>
                <w:sz w:val="24"/>
              </w:rPr>
            </w:pPr>
          </w:p>
        </w:tc>
        <w:tc>
          <w:tcPr>
            <w:tcW w:w="2228" w:type="dxa"/>
            <w:vAlign w:val="center"/>
          </w:tcPr>
          <w:p w14:paraId="2C77E44E">
            <w:pPr>
              <w:spacing w:line="360" w:lineRule="auto"/>
              <w:jc w:val="center"/>
              <w:rPr>
                <w:rFonts w:ascii="宋体" w:hAnsi="宋体" w:cs="宋体"/>
                <w:sz w:val="24"/>
              </w:rPr>
            </w:pPr>
          </w:p>
        </w:tc>
        <w:tc>
          <w:tcPr>
            <w:tcW w:w="2228" w:type="dxa"/>
            <w:vAlign w:val="center"/>
          </w:tcPr>
          <w:p w14:paraId="61946D13">
            <w:pPr>
              <w:spacing w:line="360" w:lineRule="auto"/>
              <w:jc w:val="center"/>
              <w:rPr>
                <w:rFonts w:ascii="宋体" w:hAnsi="宋体" w:cs="宋体"/>
                <w:sz w:val="24"/>
              </w:rPr>
            </w:pPr>
          </w:p>
        </w:tc>
        <w:tc>
          <w:tcPr>
            <w:tcW w:w="2228" w:type="dxa"/>
            <w:vAlign w:val="center"/>
          </w:tcPr>
          <w:p w14:paraId="7DFF139B">
            <w:pPr>
              <w:spacing w:line="360" w:lineRule="auto"/>
              <w:jc w:val="center"/>
              <w:rPr>
                <w:rFonts w:ascii="宋体" w:hAnsi="宋体" w:cs="宋体"/>
                <w:sz w:val="24"/>
              </w:rPr>
            </w:pPr>
          </w:p>
        </w:tc>
      </w:tr>
      <w:tr w14:paraId="0EAA0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723B2CAC">
            <w:pPr>
              <w:spacing w:line="360" w:lineRule="auto"/>
              <w:jc w:val="center"/>
              <w:rPr>
                <w:rFonts w:ascii="宋体" w:hAnsi="宋体" w:cs="宋体"/>
                <w:sz w:val="24"/>
              </w:rPr>
            </w:pPr>
          </w:p>
        </w:tc>
        <w:tc>
          <w:tcPr>
            <w:tcW w:w="2228" w:type="dxa"/>
            <w:vAlign w:val="center"/>
          </w:tcPr>
          <w:p w14:paraId="68304D0D">
            <w:pPr>
              <w:spacing w:line="360" w:lineRule="auto"/>
              <w:jc w:val="center"/>
              <w:rPr>
                <w:rFonts w:ascii="宋体" w:hAnsi="宋体" w:cs="宋体"/>
                <w:sz w:val="24"/>
              </w:rPr>
            </w:pPr>
          </w:p>
        </w:tc>
        <w:tc>
          <w:tcPr>
            <w:tcW w:w="2228" w:type="dxa"/>
            <w:vAlign w:val="center"/>
          </w:tcPr>
          <w:p w14:paraId="509D547D">
            <w:pPr>
              <w:spacing w:line="360" w:lineRule="auto"/>
              <w:jc w:val="center"/>
              <w:rPr>
                <w:rFonts w:ascii="宋体" w:hAnsi="宋体" w:cs="宋体"/>
                <w:sz w:val="24"/>
              </w:rPr>
            </w:pPr>
          </w:p>
        </w:tc>
        <w:tc>
          <w:tcPr>
            <w:tcW w:w="2228" w:type="dxa"/>
            <w:vAlign w:val="center"/>
          </w:tcPr>
          <w:p w14:paraId="10FAEA42">
            <w:pPr>
              <w:spacing w:line="360" w:lineRule="auto"/>
              <w:jc w:val="center"/>
              <w:rPr>
                <w:rFonts w:ascii="宋体" w:hAnsi="宋体" w:cs="宋体"/>
                <w:sz w:val="24"/>
              </w:rPr>
            </w:pPr>
          </w:p>
        </w:tc>
        <w:tc>
          <w:tcPr>
            <w:tcW w:w="2228" w:type="dxa"/>
            <w:vAlign w:val="center"/>
          </w:tcPr>
          <w:p w14:paraId="18AAA144">
            <w:pPr>
              <w:spacing w:line="360" w:lineRule="auto"/>
              <w:jc w:val="center"/>
              <w:rPr>
                <w:rFonts w:ascii="宋体" w:hAnsi="宋体" w:cs="宋体"/>
                <w:sz w:val="24"/>
              </w:rPr>
            </w:pPr>
          </w:p>
        </w:tc>
      </w:tr>
      <w:tr w14:paraId="098B0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6009C869">
            <w:pPr>
              <w:spacing w:line="360" w:lineRule="auto"/>
              <w:jc w:val="center"/>
              <w:rPr>
                <w:rFonts w:ascii="宋体" w:hAnsi="宋体" w:cs="宋体"/>
                <w:sz w:val="24"/>
              </w:rPr>
            </w:pPr>
          </w:p>
        </w:tc>
        <w:tc>
          <w:tcPr>
            <w:tcW w:w="2228" w:type="dxa"/>
            <w:vAlign w:val="center"/>
          </w:tcPr>
          <w:p w14:paraId="5C589991">
            <w:pPr>
              <w:spacing w:line="360" w:lineRule="auto"/>
              <w:jc w:val="center"/>
              <w:rPr>
                <w:rFonts w:ascii="宋体" w:hAnsi="宋体" w:cs="宋体"/>
                <w:sz w:val="24"/>
              </w:rPr>
            </w:pPr>
          </w:p>
        </w:tc>
        <w:tc>
          <w:tcPr>
            <w:tcW w:w="2228" w:type="dxa"/>
            <w:vAlign w:val="center"/>
          </w:tcPr>
          <w:p w14:paraId="0D7B46BB">
            <w:pPr>
              <w:spacing w:line="360" w:lineRule="auto"/>
              <w:jc w:val="center"/>
              <w:rPr>
                <w:rFonts w:ascii="宋体" w:hAnsi="宋体" w:cs="宋体"/>
                <w:sz w:val="24"/>
              </w:rPr>
            </w:pPr>
          </w:p>
        </w:tc>
        <w:tc>
          <w:tcPr>
            <w:tcW w:w="2228" w:type="dxa"/>
            <w:vAlign w:val="center"/>
          </w:tcPr>
          <w:p w14:paraId="3C59D7C1">
            <w:pPr>
              <w:spacing w:line="360" w:lineRule="auto"/>
              <w:jc w:val="center"/>
              <w:rPr>
                <w:rFonts w:ascii="宋体" w:hAnsi="宋体" w:cs="宋体"/>
                <w:sz w:val="24"/>
              </w:rPr>
            </w:pPr>
          </w:p>
        </w:tc>
        <w:tc>
          <w:tcPr>
            <w:tcW w:w="2228" w:type="dxa"/>
            <w:vAlign w:val="center"/>
          </w:tcPr>
          <w:p w14:paraId="35ADC9B9">
            <w:pPr>
              <w:spacing w:line="360" w:lineRule="auto"/>
              <w:jc w:val="center"/>
              <w:rPr>
                <w:rFonts w:ascii="宋体" w:hAnsi="宋体" w:cs="宋体"/>
                <w:sz w:val="24"/>
              </w:rPr>
            </w:pPr>
          </w:p>
        </w:tc>
      </w:tr>
      <w:tr w14:paraId="77CD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27AFA13B">
            <w:pPr>
              <w:spacing w:line="360" w:lineRule="auto"/>
              <w:jc w:val="center"/>
              <w:rPr>
                <w:rFonts w:ascii="宋体" w:hAnsi="宋体" w:cs="宋体"/>
                <w:sz w:val="24"/>
              </w:rPr>
            </w:pPr>
          </w:p>
        </w:tc>
        <w:tc>
          <w:tcPr>
            <w:tcW w:w="2228" w:type="dxa"/>
            <w:vAlign w:val="center"/>
          </w:tcPr>
          <w:p w14:paraId="79B902E0">
            <w:pPr>
              <w:spacing w:line="360" w:lineRule="auto"/>
              <w:jc w:val="center"/>
              <w:rPr>
                <w:rFonts w:ascii="宋体" w:hAnsi="宋体" w:cs="宋体"/>
                <w:sz w:val="24"/>
              </w:rPr>
            </w:pPr>
          </w:p>
        </w:tc>
        <w:tc>
          <w:tcPr>
            <w:tcW w:w="2228" w:type="dxa"/>
            <w:vAlign w:val="center"/>
          </w:tcPr>
          <w:p w14:paraId="404E39F4">
            <w:pPr>
              <w:spacing w:line="360" w:lineRule="auto"/>
              <w:jc w:val="center"/>
              <w:rPr>
                <w:rFonts w:ascii="宋体" w:hAnsi="宋体" w:cs="宋体"/>
                <w:sz w:val="24"/>
              </w:rPr>
            </w:pPr>
          </w:p>
        </w:tc>
        <w:tc>
          <w:tcPr>
            <w:tcW w:w="2228" w:type="dxa"/>
            <w:vAlign w:val="center"/>
          </w:tcPr>
          <w:p w14:paraId="685A0854">
            <w:pPr>
              <w:spacing w:line="360" w:lineRule="auto"/>
              <w:jc w:val="center"/>
              <w:rPr>
                <w:rFonts w:ascii="宋体" w:hAnsi="宋体" w:cs="宋体"/>
                <w:sz w:val="24"/>
              </w:rPr>
            </w:pPr>
          </w:p>
        </w:tc>
        <w:tc>
          <w:tcPr>
            <w:tcW w:w="2228" w:type="dxa"/>
            <w:vAlign w:val="center"/>
          </w:tcPr>
          <w:p w14:paraId="4B4D2565">
            <w:pPr>
              <w:spacing w:line="360" w:lineRule="auto"/>
              <w:jc w:val="center"/>
              <w:rPr>
                <w:rFonts w:ascii="宋体" w:hAnsi="宋体" w:cs="宋体"/>
                <w:sz w:val="24"/>
              </w:rPr>
            </w:pPr>
          </w:p>
        </w:tc>
      </w:tr>
      <w:tr w14:paraId="4C126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325354E3">
            <w:pPr>
              <w:spacing w:line="360" w:lineRule="auto"/>
              <w:jc w:val="center"/>
              <w:rPr>
                <w:rFonts w:ascii="宋体" w:hAnsi="宋体" w:cs="宋体"/>
                <w:sz w:val="24"/>
              </w:rPr>
            </w:pPr>
          </w:p>
        </w:tc>
        <w:tc>
          <w:tcPr>
            <w:tcW w:w="2228" w:type="dxa"/>
            <w:vAlign w:val="center"/>
          </w:tcPr>
          <w:p w14:paraId="1D09057B">
            <w:pPr>
              <w:spacing w:line="360" w:lineRule="auto"/>
              <w:jc w:val="center"/>
              <w:rPr>
                <w:rFonts w:ascii="宋体" w:hAnsi="宋体" w:cs="宋体"/>
                <w:sz w:val="24"/>
              </w:rPr>
            </w:pPr>
          </w:p>
        </w:tc>
        <w:tc>
          <w:tcPr>
            <w:tcW w:w="2228" w:type="dxa"/>
            <w:vAlign w:val="center"/>
          </w:tcPr>
          <w:p w14:paraId="3B3AD49A">
            <w:pPr>
              <w:spacing w:line="360" w:lineRule="auto"/>
              <w:jc w:val="center"/>
              <w:rPr>
                <w:rFonts w:ascii="宋体" w:hAnsi="宋体" w:cs="宋体"/>
                <w:sz w:val="24"/>
              </w:rPr>
            </w:pPr>
          </w:p>
        </w:tc>
        <w:tc>
          <w:tcPr>
            <w:tcW w:w="2228" w:type="dxa"/>
            <w:vAlign w:val="center"/>
          </w:tcPr>
          <w:p w14:paraId="4F513893">
            <w:pPr>
              <w:spacing w:line="360" w:lineRule="auto"/>
              <w:jc w:val="center"/>
              <w:rPr>
                <w:rFonts w:ascii="宋体" w:hAnsi="宋体" w:cs="宋体"/>
                <w:sz w:val="24"/>
              </w:rPr>
            </w:pPr>
          </w:p>
        </w:tc>
        <w:tc>
          <w:tcPr>
            <w:tcW w:w="2228" w:type="dxa"/>
            <w:vAlign w:val="center"/>
          </w:tcPr>
          <w:p w14:paraId="30E0D6A8">
            <w:pPr>
              <w:spacing w:line="360" w:lineRule="auto"/>
              <w:jc w:val="center"/>
              <w:rPr>
                <w:rFonts w:ascii="宋体" w:hAnsi="宋体" w:cs="宋体"/>
                <w:sz w:val="24"/>
              </w:rPr>
            </w:pPr>
          </w:p>
        </w:tc>
      </w:tr>
      <w:tr w14:paraId="3356C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6CC4D894">
            <w:pPr>
              <w:spacing w:line="360" w:lineRule="auto"/>
              <w:jc w:val="center"/>
              <w:rPr>
                <w:rFonts w:ascii="宋体" w:hAnsi="宋体" w:cs="宋体"/>
                <w:sz w:val="24"/>
              </w:rPr>
            </w:pPr>
          </w:p>
        </w:tc>
        <w:tc>
          <w:tcPr>
            <w:tcW w:w="2228" w:type="dxa"/>
            <w:vAlign w:val="center"/>
          </w:tcPr>
          <w:p w14:paraId="004DB6E5">
            <w:pPr>
              <w:spacing w:line="360" w:lineRule="auto"/>
              <w:jc w:val="center"/>
              <w:rPr>
                <w:rFonts w:ascii="宋体" w:hAnsi="宋体" w:cs="宋体"/>
                <w:sz w:val="24"/>
              </w:rPr>
            </w:pPr>
          </w:p>
        </w:tc>
        <w:tc>
          <w:tcPr>
            <w:tcW w:w="2228" w:type="dxa"/>
            <w:vAlign w:val="center"/>
          </w:tcPr>
          <w:p w14:paraId="747B3EF6">
            <w:pPr>
              <w:spacing w:line="360" w:lineRule="auto"/>
              <w:jc w:val="center"/>
              <w:rPr>
                <w:rFonts w:ascii="宋体" w:hAnsi="宋体" w:cs="宋体"/>
                <w:sz w:val="24"/>
              </w:rPr>
            </w:pPr>
          </w:p>
        </w:tc>
        <w:tc>
          <w:tcPr>
            <w:tcW w:w="2228" w:type="dxa"/>
            <w:vAlign w:val="center"/>
          </w:tcPr>
          <w:p w14:paraId="2099321F">
            <w:pPr>
              <w:spacing w:line="360" w:lineRule="auto"/>
              <w:jc w:val="center"/>
              <w:rPr>
                <w:rFonts w:ascii="宋体" w:hAnsi="宋体" w:cs="宋体"/>
                <w:sz w:val="24"/>
              </w:rPr>
            </w:pPr>
          </w:p>
        </w:tc>
        <w:tc>
          <w:tcPr>
            <w:tcW w:w="2228" w:type="dxa"/>
            <w:vAlign w:val="center"/>
          </w:tcPr>
          <w:p w14:paraId="31C9467D">
            <w:pPr>
              <w:spacing w:line="360" w:lineRule="auto"/>
              <w:jc w:val="center"/>
              <w:rPr>
                <w:rFonts w:ascii="宋体" w:hAnsi="宋体" w:cs="宋体"/>
                <w:sz w:val="24"/>
              </w:rPr>
            </w:pPr>
          </w:p>
        </w:tc>
      </w:tr>
      <w:tr w14:paraId="6515E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34E9786F">
            <w:pPr>
              <w:spacing w:line="360" w:lineRule="auto"/>
              <w:jc w:val="center"/>
              <w:rPr>
                <w:rFonts w:ascii="宋体" w:hAnsi="宋体" w:cs="宋体"/>
                <w:sz w:val="24"/>
              </w:rPr>
            </w:pPr>
          </w:p>
        </w:tc>
        <w:tc>
          <w:tcPr>
            <w:tcW w:w="2228" w:type="dxa"/>
            <w:vAlign w:val="center"/>
          </w:tcPr>
          <w:p w14:paraId="1889961A">
            <w:pPr>
              <w:spacing w:line="360" w:lineRule="auto"/>
              <w:jc w:val="center"/>
              <w:rPr>
                <w:rFonts w:ascii="宋体" w:hAnsi="宋体" w:cs="宋体"/>
                <w:sz w:val="24"/>
              </w:rPr>
            </w:pPr>
          </w:p>
        </w:tc>
        <w:tc>
          <w:tcPr>
            <w:tcW w:w="2228" w:type="dxa"/>
            <w:vAlign w:val="center"/>
          </w:tcPr>
          <w:p w14:paraId="73D94070">
            <w:pPr>
              <w:spacing w:line="360" w:lineRule="auto"/>
              <w:jc w:val="center"/>
              <w:rPr>
                <w:rFonts w:ascii="宋体" w:hAnsi="宋体" w:cs="宋体"/>
                <w:sz w:val="24"/>
              </w:rPr>
            </w:pPr>
          </w:p>
        </w:tc>
        <w:tc>
          <w:tcPr>
            <w:tcW w:w="2228" w:type="dxa"/>
            <w:vAlign w:val="center"/>
          </w:tcPr>
          <w:p w14:paraId="71A22ACB">
            <w:pPr>
              <w:spacing w:line="360" w:lineRule="auto"/>
              <w:jc w:val="center"/>
              <w:rPr>
                <w:rFonts w:ascii="宋体" w:hAnsi="宋体" w:cs="宋体"/>
                <w:sz w:val="24"/>
              </w:rPr>
            </w:pPr>
          </w:p>
        </w:tc>
        <w:tc>
          <w:tcPr>
            <w:tcW w:w="2228" w:type="dxa"/>
            <w:vAlign w:val="center"/>
          </w:tcPr>
          <w:p w14:paraId="470EB7D7">
            <w:pPr>
              <w:spacing w:line="360" w:lineRule="auto"/>
              <w:jc w:val="center"/>
              <w:rPr>
                <w:rFonts w:ascii="宋体" w:hAnsi="宋体" w:cs="宋体"/>
                <w:sz w:val="24"/>
              </w:rPr>
            </w:pPr>
          </w:p>
        </w:tc>
      </w:tr>
      <w:tr w14:paraId="265D8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027" w:type="dxa"/>
            <w:vAlign w:val="center"/>
          </w:tcPr>
          <w:p w14:paraId="31B74ADE">
            <w:pPr>
              <w:spacing w:line="360" w:lineRule="auto"/>
              <w:jc w:val="center"/>
              <w:rPr>
                <w:rFonts w:ascii="宋体" w:hAnsi="宋体" w:cs="宋体"/>
                <w:sz w:val="24"/>
              </w:rPr>
            </w:pPr>
          </w:p>
        </w:tc>
        <w:tc>
          <w:tcPr>
            <w:tcW w:w="2228" w:type="dxa"/>
            <w:vAlign w:val="center"/>
          </w:tcPr>
          <w:p w14:paraId="4BFF8165">
            <w:pPr>
              <w:spacing w:line="360" w:lineRule="auto"/>
              <w:jc w:val="center"/>
              <w:rPr>
                <w:rFonts w:ascii="宋体" w:hAnsi="宋体" w:cs="宋体"/>
                <w:sz w:val="24"/>
              </w:rPr>
            </w:pPr>
          </w:p>
        </w:tc>
        <w:tc>
          <w:tcPr>
            <w:tcW w:w="2228" w:type="dxa"/>
            <w:vAlign w:val="center"/>
          </w:tcPr>
          <w:p w14:paraId="1F7058E9">
            <w:pPr>
              <w:spacing w:line="360" w:lineRule="auto"/>
              <w:jc w:val="center"/>
              <w:rPr>
                <w:rFonts w:ascii="宋体" w:hAnsi="宋体" w:cs="宋体"/>
                <w:sz w:val="24"/>
              </w:rPr>
            </w:pPr>
          </w:p>
        </w:tc>
        <w:tc>
          <w:tcPr>
            <w:tcW w:w="2228" w:type="dxa"/>
            <w:vAlign w:val="center"/>
          </w:tcPr>
          <w:p w14:paraId="3BE436FB">
            <w:pPr>
              <w:spacing w:line="360" w:lineRule="auto"/>
              <w:jc w:val="center"/>
              <w:rPr>
                <w:rFonts w:ascii="宋体" w:hAnsi="宋体" w:cs="宋体"/>
                <w:sz w:val="24"/>
              </w:rPr>
            </w:pPr>
          </w:p>
        </w:tc>
        <w:tc>
          <w:tcPr>
            <w:tcW w:w="2228" w:type="dxa"/>
            <w:vAlign w:val="center"/>
          </w:tcPr>
          <w:p w14:paraId="1C2FB932">
            <w:pPr>
              <w:spacing w:line="360" w:lineRule="auto"/>
              <w:jc w:val="center"/>
              <w:rPr>
                <w:rFonts w:ascii="宋体" w:hAnsi="宋体" w:cs="宋体"/>
                <w:sz w:val="24"/>
              </w:rPr>
            </w:pPr>
          </w:p>
        </w:tc>
      </w:tr>
    </w:tbl>
    <w:p w14:paraId="3ADD97E5">
      <w:pPr>
        <w:ind w:left="482" w:hanging="482" w:hangingChars="200"/>
        <w:rPr>
          <w:rFonts w:ascii="宋体" w:hAnsi="宋体" w:cs="宋体"/>
          <w:b/>
          <w:sz w:val="24"/>
        </w:rPr>
      </w:pPr>
      <w:r>
        <w:rPr>
          <w:rFonts w:hint="eastAsia" w:ascii="宋体" w:hAnsi="宋体" w:cs="宋体"/>
          <w:b/>
          <w:sz w:val="24"/>
        </w:rPr>
        <w:t>注：1、没有说明的其他条款将被认为完全满足本招标项目技术条款要求。</w:t>
      </w:r>
    </w:p>
    <w:p w14:paraId="27353464">
      <w:pPr>
        <w:ind w:left="482" w:hanging="482" w:hangingChars="200"/>
        <w:rPr>
          <w:rFonts w:ascii="宋体" w:hAnsi="宋体" w:cs="宋体"/>
          <w:sz w:val="24"/>
        </w:rPr>
      </w:pPr>
      <w:r>
        <w:rPr>
          <w:rFonts w:hint="eastAsia" w:ascii="宋体" w:hAnsi="宋体" w:cs="宋体"/>
          <w:b/>
          <w:sz w:val="24"/>
        </w:rPr>
        <w:t>2、各投标人按此表格式自行填写，表格不够时可自行添加。</w:t>
      </w:r>
    </w:p>
    <w:p w14:paraId="29946C44">
      <w:pPr>
        <w:ind w:left="480" w:hanging="480" w:hangingChars="200"/>
        <w:rPr>
          <w:rFonts w:ascii="宋体" w:hAnsi="宋体" w:cs="宋体"/>
          <w:sz w:val="24"/>
        </w:rPr>
      </w:pPr>
    </w:p>
    <w:p w14:paraId="0C468E0A">
      <w:pPr>
        <w:ind w:left="480" w:hanging="480" w:hangingChars="200"/>
        <w:rPr>
          <w:rFonts w:ascii="宋体" w:hAnsi="宋体" w:cs="宋体"/>
          <w:sz w:val="24"/>
        </w:rPr>
      </w:pPr>
    </w:p>
    <w:p w14:paraId="1D8D5085">
      <w:pPr>
        <w:ind w:left="480" w:hanging="480" w:hangingChars="200"/>
        <w:rPr>
          <w:rFonts w:ascii="宋体" w:hAnsi="宋体" w:cs="宋体"/>
          <w:sz w:val="24"/>
        </w:rPr>
      </w:pPr>
      <w:r>
        <w:rPr>
          <w:rFonts w:hint="eastAsia" w:ascii="宋体" w:hAnsi="宋体" w:cs="宋体"/>
          <w:sz w:val="24"/>
        </w:rPr>
        <w:t xml:space="preserve">投标人(盖章)： </w:t>
      </w:r>
    </w:p>
    <w:p w14:paraId="63C1EBCE">
      <w:pPr>
        <w:ind w:left="480" w:hanging="480" w:hangingChars="200"/>
        <w:rPr>
          <w:rFonts w:ascii="宋体" w:hAnsi="宋体" w:cs="宋体"/>
          <w:sz w:val="24"/>
        </w:rPr>
      </w:pPr>
    </w:p>
    <w:p w14:paraId="55FB2B0F">
      <w:pPr>
        <w:ind w:left="480" w:hanging="480" w:hangingChars="200"/>
        <w:rPr>
          <w:rFonts w:ascii="宋体" w:hAnsi="宋体" w:cs="宋体"/>
          <w:sz w:val="24"/>
        </w:rPr>
      </w:pPr>
    </w:p>
    <w:p w14:paraId="5C8EB136">
      <w:pPr>
        <w:ind w:left="480" w:hanging="480" w:hangingChars="200"/>
        <w:rPr>
          <w:rFonts w:ascii="宋体" w:hAnsi="宋体" w:cs="宋体"/>
          <w:sz w:val="24"/>
        </w:rPr>
      </w:pPr>
      <w:r>
        <w:rPr>
          <w:rFonts w:hint="eastAsia" w:ascii="宋体" w:hAnsi="宋体" w:cs="宋体"/>
          <w:sz w:val="24"/>
        </w:rPr>
        <w:t>法定代表人或委托代理人（签字或盖章）：</w:t>
      </w:r>
    </w:p>
    <w:p w14:paraId="3680B3DA">
      <w:pPr>
        <w:ind w:left="480" w:hanging="480" w:hangingChars="200"/>
        <w:rPr>
          <w:rFonts w:ascii="宋体" w:hAnsi="宋体" w:cs="宋体"/>
          <w:sz w:val="24"/>
        </w:rPr>
      </w:pPr>
    </w:p>
    <w:p w14:paraId="794A14B8">
      <w:pPr>
        <w:ind w:left="480" w:hanging="480" w:hangingChars="200"/>
        <w:rPr>
          <w:rFonts w:ascii="宋体" w:hAnsi="宋体" w:cs="宋体"/>
          <w:sz w:val="24"/>
        </w:rPr>
      </w:pPr>
    </w:p>
    <w:p w14:paraId="605DCD71">
      <w:pPr>
        <w:ind w:left="480" w:hanging="480" w:hangingChars="200"/>
        <w:rPr>
          <w:rFonts w:ascii="宋体" w:hAnsi="宋体" w:cs="宋体"/>
          <w:sz w:val="24"/>
        </w:rPr>
      </w:pPr>
      <w:r>
        <w:rPr>
          <w:rFonts w:hint="eastAsia" w:ascii="宋体" w:hAnsi="宋体" w:cs="宋体"/>
          <w:sz w:val="24"/>
        </w:rPr>
        <w:t>日期：   年  月   日</w:t>
      </w:r>
    </w:p>
    <w:p w14:paraId="64E841B3">
      <w:pPr>
        <w:spacing w:line="360" w:lineRule="auto"/>
        <w:jc w:val="center"/>
        <w:rPr>
          <w:rFonts w:ascii="宋体" w:hAnsi="宋体" w:cs="宋体"/>
          <w:b/>
          <w:sz w:val="24"/>
        </w:rPr>
      </w:pPr>
    </w:p>
    <w:p w14:paraId="6823BFF2">
      <w:pPr>
        <w:pStyle w:val="8"/>
        <w:outlineLvl w:val="9"/>
      </w:pPr>
    </w:p>
    <w:p w14:paraId="26A552D4"/>
    <w:p w14:paraId="33E50F64"/>
    <w:p w14:paraId="09EA1292"/>
    <w:p w14:paraId="58C5BB52"/>
    <w:p w14:paraId="7B077395">
      <w:pPr>
        <w:pStyle w:val="9"/>
      </w:pPr>
    </w:p>
    <w:p w14:paraId="42B65AD2"/>
    <w:p w14:paraId="3108E3E2">
      <w:pPr>
        <w:widowControl/>
        <w:spacing w:line="360" w:lineRule="auto"/>
        <w:jc w:val="center"/>
        <w:outlineLvl w:val="0"/>
        <w:rPr>
          <w:rFonts w:hint="eastAsia" w:asciiTheme="minorEastAsia" w:hAnsiTheme="minorEastAsia" w:eastAsiaTheme="minorEastAsia" w:cstheme="minorEastAsia"/>
          <w:color w:val="auto"/>
          <w:sz w:val="27"/>
          <w:szCs w:val="27"/>
        </w:rPr>
      </w:pPr>
      <w:bookmarkStart w:id="258" w:name="_Toc26986"/>
      <w:r>
        <w:rPr>
          <w:rFonts w:hint="eastAsia" w:asciiTheme="minorEastAsia" w:hAnsiTheme="minorEastAsia" w:eastAsiaTheme="minorEastAsia" w:cstheme="minorEastAsia"/>
          <w:b/>
          <w:sz w:val="24"/>
        </w:rPr>
        <w:t>格式</w:t>
      </w:r>
      <w:r>
        <w:rPr>
          <w:rFonts w:hint="eastAsia" w:asciiTheme="minorEastAsia" w:hAnsiTheme="minorEastAsia" w:eastAsiaTheme="minorEastAsia" w:cstheme="minorEastAsia"/>
          <w:b/>
          <w:sz w:val="24"/>
          <w:lang w:val="en-US" w:eastAsia="zh-CN"/>
        </w:rPr>
        <w:t xml:space="preserve">13  </w:t>
      </w:r>
      <w:r>
        <w:rPr>
          <w:rFonts w:hint="eastAsia" w:asciiTheme="minorEastAsia" w:hAnsiTheme="minorEastAsia" w:eastAsiaTheme="minorEastAsia" w:cstheme="minorEastAsia"/>
          <w:b/>
          <w:color w:val="auto"/>
          <w:sz w:val="24"/>
        </w:rPr>
        <w:t>中小企业声明函（货物）</w:t>
      </w:r>
      <w:bookmarkEnd w:id="258"/>
    </w:p>
    <w:p w14:paraId="7A13B7D6">
      <w:pPr>
        <w:widowControl/>
        <w:spacing w:line="360" w:lineRule="auto"/>
        <w:ind w:firstLine="480" w:firstLineChars="200"/>
        <w:jc w:val="left"/>
        <w:rPr>
          <w:rFonts w:hint="eastAsia" w:asciiTheme="minorEastAsia" w:hAnsiTheme="minorEastAsia" w:eastAsiaTheme="minorEastAsia" w:cstheme="minorEastAsia"/>
          <w:color w:val="auto"/>
          <w:kern w:val="0"/>
          <w:sz w:val="24"/>
          <w:lang w:bidi="ar"/>
        </w:rPr>
      </w:pPr>
    </w:p>
    <w:p w14:paraId="1464B894">
      <w:pPr>
        <w:widowControl/>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本公司（联合体）郑重声明，根据《政府采购促进中小企业发展管理办法》（财库﹝2020﹞46 号）的规定，本公司（联合体）参加</w:t>
      </w:r>
      <w:r>
        <w:rPr>
          <w:rFonts w:hint="eastAsia" w:asciiTheme="minorEastAsia" w:hAnsiTheme="minorEastAsia" w:eastAsiaTheme="minorEastAsia" w:cstheme="minorEastAsia"/>
          <w:color w:val="auto"/>
          <w:kern w:val="0"/>
          <w:sz w:val="24"/>
          <w:u w:val="single"/>
          <w:lang w:bidi="ar"/>
        </w:rPr>
        <w:t>（单位名称）</w:t>
      </w:r>
      <w:r>
        <w:rPr>
          <w:rFonts w:hint="eastAsia" w:asciiTheme="minorEastAsia" w:hAnsiTheme="minorEastAsia" w:eastAsiaTheme="minorEastAsia" w:cstheme="minorEastAsia"/>
          <w:color w:val="auto"/>
          <w:kern w:val="0"/>
          <w:sz w:val="24"/>
          <w:lang w:bidi="ar"/>
        </w:rPr>
        <w:t>的</w:t>
      </w:r>
      <w:r>
        <w:rPr>
          <w:rFonts w:hint="eastAsia" w:asciiTheme="minorEastAsia" w:hAnsiTheme="minorEastAsia" w:eastAsiaTheme="minorEastAsia" w:cstheme="minorEastAsia"/>
          <w:color w:val="auto"/>
          <w:kern w:val="0"/>
          <w:sz w:val="24"/>
          <w:u w:val="single"/>
          <w:lang w:bidi="ar"/>
        </w:rPr>
        <w:t>（项目名称）</w:t>
      </w:r>
      <w:r>
        <w:rPr>
          <w:rFonts w:hint="eastAsia" w:asciiTheme="minorEastAsia" w:hAnsiTheme="minorEastAsia" w:eastAsiaTheme="minorEastAsia" w:cstheme="minorEastAsia"/>
          <w:color w:val="auto"/>
          <w:kern w:val="0"/>
          <w:sz w:val="24"/>
          <w:lang w:bidi="ar"/>
        </w:rPr>
        <w:t xml:space="preserve">采购活动，提供的货物全部由符合政策要求的中小企业制造。相关企业（含联合体中的中小企业、签订分包意向协议的中小企业）的具体情况如下： </w:t>
      </w:r>
    </w:p>
    <w:p w14:paraId="0755413E">
      <w:pPr>
        <w:widowControl/>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 xml:space="preserve">1. </w:t>
      </w:r>
      <w:r>
        <w:rPr>
          <w:rFonts w:hint="eastAsia" w:asciiTheme="minorEastAsia" w:hAnsiTheme="minorEastAsia" w:eastAsiaTheme="minorEastAsia" w:cstheme="minorEastAsia"/>
          <w:color w:val="auto"/>
          <w:kern w:val="0"/>
          <w:sz w:val="24"/>
          <w:u w:val="single"/>
          <w:lang w:bidi="ar"/>
        </w:rPr>
        <w:t>（标的名称）</w:t>
      </w:r>
      <w:r>
        <w:rPr>
          <w:rFonts w:hint="eastAsia" w:asciiTheme="minorEastAsia" w:hAnsiTheme="minorEastAsia" w:eastAsiaTheme="minorEastAsia" w:cstheme="minorEastAsia"/>
          <w:color w:val="auto"/>
          <w:kern w:val="0"/>
          <w:sz w:val="24"/>
          <w:lang w:bidi="ar"/>
        </w:rPr>
        <w:t xml:space="preserve"> ，属于</w:t>
      </w:r>
      <w:r>
        <w:rPr>
          <w:rFonts w:hint="eastAsia" w:asciiTheme="minorEastAsia" w:hAnsiTheme="minorEastAsia" w:eastAsiaTheme="minorEastAsia" w:cstheme="minorEastAsia"/>
          <w:color w:val="auto"/>
          <w:kern w:val="0"/>
          <w:sz w:val="24"/>
          <w:u w:val="single"/>
          <w:lang w:eastAsia="zh-CN" w:bidi="ar"/>
        </w:rPr>
        <w:t>（</w:t>
      </w:r>
      <w:r>
        <w:rPr>
          <w:rFonts w:hint="eastAsia" w:asciiTheme="minorEastAsia" w:hAnsiTheme="minorEastAsia" w:eastAsiaTheme="minorEastAsia" w:cstheme="minorEastAsia"/>
          <w:color w:val="auto"/>
          <w:kern w:val="0"/>
          <w:sz w:val="24"/>
          <w:u w:val="single"/>
          <w:lang w:bidi="ar"/>
        </w:rPr>
        <w:t>采购文件中明确的所属行业</w:t>
      </w:r>
      <w:r>
        <w:rPr>
          <w:rFonts w:hint="eastAsia" w:asciiTheme="minorEastAsia" w:hAnsiTheme="minorEastAsia" w:eastAsiaTheme="minorEastAsia" w:cstheme="minorEastAsia"/>
          <w:color w:val="auto"/>
          <w:kern w:val="0"/>
          <w:sz w:val="24"/>
          <w:u w:val="single"/>
          <w:lang w:eastAsia="zh-CN" w:bidi="ar"/>
        </w:rPr>
        <w:t>）</w:t>
      </w:r>
      <w:r>
        <w:rPr>
          <w:rFonts w:hint="eastAsia" w:asciiTheme="minorEastAsia" w:hAnsiTheme="minorEastAsia" w:eastAsiaTheme="minorEastAsia" w:cstheme="minorEastAsia"/>
          <w:color w:val="auto"/>
          <w:kern w:val="0"/>
          <w:sz w:val="24"/>
          <w:lang w:bidi="ar"/>
        </w:rPr>
        <w:t>行业；制造商为（企业名称），从业人员</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人，营业收入为</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万元，资产总额为</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 xml:space="preserve">万元，属于（中型企业、小型企业、微型企业）； </w:t>
      </w:r>
    </w:p>
    <w:p w14:paraId="058B842F">
      <w:pPr>
        <w:widowControl/>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 xml:space="preserve">2. </w:t>
      </w:r>
      <w:r>
        <w:rPr>
          <w:rFonts w:hint="eastAsia" w:asciiTheme="minorEastAsia" w:hAnsiTheme="minorEastAsia" w:eastAsiaTheme="minorEastAsia" w:cstheme="minorEastAsia"/>
          <w:color w:val="auto"/>
          <w:kern w:val="0"/>
          <w:sz w:val="24"/>
          <w:u w:val="single"/>
          <w:lang w:bidi="ar"/>
        </w:rPr>
        <w:t xml:space="preserve">（标的名称） </w:t>
      </w:r>
      <w:r>
        <w:rPr>
          <w:rFonts w:hint="eastAsia" w:asciiTheme="minorEastAsia" w:hAnsiTheme="minorEastAsia" w:eastAsiaTheme="minorEastAsia" w:cstheme="minorEastAsia"/>
          <w:color w:val="auto"/>
          <w:kern w:val="0"/>
          <w:sz w:val="24"/>
          <w:lang w:bidi="ar"/>
        </w:rPr>
        <w:t>，属于</w:t>
      </w:r>
      <w:r>
        <w:rPr>
          <w:rFonts w:hint="eastAsia" w:asciiTheme="minorEastAsia" w:hAnsiTheme="minorEastAsia" w:eastAsiaTheme="minorEastAsia" w:cstheme="minorEastAsia"/>
          <w:color w:val="auto"/>
          <w:kern w:val="0"/>
          <w:sz w:val="24"/>
          <w:u w:val="single"/>
          <w:lang w:bidi="ar"/>
        </w:rPr>
        <w:t>（采购文件中明确的所属行业）</w:t>
      </w:r>
      <w:r>
        <w:rPr>
          <w:rFonts w:hint="eastAsia" w:asciiTheme="minorEastAsia" w:hAnsiTheme="minorEastAsia" w:eastAsiaTheme="minorEastAsia" w:cstheme="minorEastAsia"/>
          <w:color w:val="auto"/>
          <w:kern w:val="0"/>
          <w:sz w:val="24"/>
          <w:lang w:bidi="ar"/>
        </w:rPr>
        <w:t>行业；制造商为（企业名称），从业人员</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人，营业收入为</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万元，资产总额为</w:t>
      </w:r>
      <w:r>
        <w:rPr>
          <w:rFonts w:hint="eastAsia" w:asciiTheme="minorEastAsia" w:hAnsiTheme="minorEastAsia" w:eastAsiaTheme="minorEastAsia" w:cstheme="minorEastAsia"/>
          <w:color w:val="auto"/>
          <w:kern w:val="0"/>
          <w:sz w:val="24"/>
          <w:u w:val="single"/>
          <w:lang w:bidi="ar"/>
        </w:rPr>
        <w:t xml:space="preserve">    </w:t>
      </w:r>
      <w:r>
        <w:rPr>
          <w:rFonts w:hint="eastAsia" w:asciiTheme="minorEastAsia" w:hAnsiTheme="minorEastAsia" w:eastAsiaTheme="minorEastAsia" w:cstheme="minorEastAsia"/>
          <w:color w:val="auto"/>
          <w:kern w:val="0"/>
          <w:sz w:val="24"/>
          <w:lang w:bidi="ar"/>
        </w:rPr>
        <w:t xml:space="preserve">万元，属于（中型企业、小型企业、微型企业）； </w:t>
      </w:r>
    </w:p>
    <w:p w14:paraId="2DF676E8">
      <w:pPr>
        <w:widowControl/>
        <w:spacing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w:t>
      </w:r>
    </w:p>
    <w:p w14:paraId="29EA0D1B">
      <w:pPr>
        <w:widowControl/>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以上企业，不属于大企业的分支机构，不存在控股股东为大企业的情形，也不存在与大企业的负责人为同一人的情形。</w:t>
      </w:r>
    </w:p>
    <w:p w14:paraId="3BD77B16">
      <w:pPr>
        <w:widowControl/>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 xml:space="preserve">本企业对上述声明内容的真实性负责。如有虚假，将依法承担相应责任。 </w:t>
      </w:r>
    </w:p>
    <w:p w14:paraId="0CE1FAF3">
      <w:pPr>
        <w:widowControl/>
        <w:spacing w:line="360" w:lineRule="auto"/>
        <w:ind w:firstLine="5760" w:firstLineChars="2400"/>
        <w:jc w:val="left"/>
        <w:rPr>
          <w:rFonts w:hint="eastAsia" w:asciiTheme="minorEastAsia" w:hAnsiTheme="minorEastAsia" w:eastAsiaTheme="minorEastAsia" w:cstheme="minorEastAsia"/>
          <w:color w:val="auto"/>
          <w:kern w:val="0"/>
          <w:sz w:val="24"/>
          <w:lang w:bidi="ar"/>
        </w:rPr>
      </w:pPr>
    </w:p>
    <w:p w14:paraId="49DC8588">
      <w:pPr>
        <w:widowControl/>
        <w:spacing w:line="360" w:lineRule="auto"/>
        <w:ind w:firstLine="5760" w:firstLineChars="24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 xml:space="preserve">企业名称（盖章）： </w:t>
      </w:r>
    </w:p>
    <w:p w14:paraId="17BB67EF">
      <w:pPr>
        <w:widowControl/>
        <w:spacing w:line="360" w:lineRule="auto"/>
        <w:ind w:firstLine="6240" w:firstLineChars="2600"/>
        <w:jc w:val="left"/>
        <w:rPr>
          <w:rFonts w:hint="eastAsia" w:asciiTheme="minorEastAsia" w:hAnsiTheme="minorEastAsia" w:eastAsiaTheme="minorEastAsia" w:cstheme="minorEastAsia"/>
          <w:color w:val="auto"/>
          <w:kern w:val="0"/>
          <w:sz w:val="24"/>
          <w:lang w:bidi="ar"/>
        </w:rPr>
      </w:pPr>
    </w:p>
    <w:p w14:paraId="42811D48">
      <w:pPr>
        <w:widowControl/>
        <w:spacing w:line="360" w:lineRule="auto"/>
        <w:ind w:firstLine="6240" w:firstLineChars="26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bidi="ar"/>
        </w:rPr>
        <w:t>日 期：</w:t>
      </w:r>
    </w:p>
    <w:p w14:paraId="4E2BE5BC">
      <w:pPr>
        <w:spacing w:line="360" w:lineRule="auto"/>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bCs/>
          <w:color w:val="auto"/>
          <w:sz w:val="24"/>
        </w:rPr>
        <w:br w:type="page"/>
      </w:r>
    </w:p>
    <w:p w14:paraId="699D415F">
      <w:pPr>
        <w:pStyle w:val="5"/>
        <w:numPr>
          <w:ilvl w:val="0"/>
          <w:numId w:val="0"/>
        </w:numPr>
        <w:bidi w:val="0"/>
        <w:ind w:leftChars="0"/>
        <w:jc w:val="center"/>
      </w:pPr>
      <w:bookmarkStart w:id="259" w:name="_Toc12629"/>
      <w:r>
        <w:rPr>
          <w:rFonts w:hint="eastAsia"/>
        </w:rPr>
        <w:t>第六章  评审标准（综合评分法）</w:t>
      </w:r>
      <w:bookmarkEnd w:id="259"/>
    </w:p>
    <w:p w14:paraId="77BE9E21">
      <w:pPr>
        <w:spacing w:line="360" w:lineRule="auto"/>
        <w:rPr>
          <w:rFonts w:ascii="宋体" w:hAnsi="宋体" w:cs="宋体"/>
          <w:b/>
          <w:bCs/>
          <w:sz w:val="24"/>
        </w:rPr>
      </w:pPr>
      <w:r>
        <w:rPr>
          <w:rFonts w:hint="eastAsia" w:ascii="宋体" w:hAnsi="宋体" w:cs="宋体"/>
          <w:b/>
          <w:bCs/>
          <w:sz w:val="24"/>
        </w:rPr>
        <w:t>1、资格性审查</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3681"/>
        <w:gridCol w:w="5106"/>
      </w:tblGrid>
      <w:tr w14:paraId="475B6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992" w:type="dxa"/>
            <w:vAlign w:val="center"/>
          </w:tcPr>
          <w:p w14:paraId="79B8BBDF">
            <w:pPr>
              <w:spacing w:line="288"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3681" w:type="dxa"/>
            <w:vAlign w:val="center"/>
          </w:tcPr>
          <w:p w14:paraId="70986662">
            <w:pPr>
              <w:spacing w:line="288"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评审因素</w:t>
            </w:r>
          </w:p>
        </w:tc>
        <w:tc>
          <w:tcPr>
            <w:tcW w:w="5106" w:type="dxa"/>
            <w:vAlign w:val="center"/>
          </w:tcPr>
          <w:p w14:paraId="1023F151">
            <w:pPr>
              <w:spacing w:line="288"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评审标准</w:t>
            </w:r>
          </w:p>
        </w:tc>
      </w:tr>
      <w:tr w14:paraId="09805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992" w:type="dxa"/>
            <w:vAlign w:val="center"/>
          </w:tcPr>
          <w:p w14:paraId="6529BDE2">
            <w:pPr>
              <w:widowControl/>
              <w:spacing w:line="288"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3681" w:type="dxa"/>
            <w:vAlign w:val="center"/>
          </w:tcPr>
          <w:p w14:paraId="1655F453">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highlight w:val="none"/>
              </w:rPr>
              <w:t>具有独立承担民事责任的能力；</w:t>
            </w:r>
          </w:p>
        </w:tc>
        <w:tc>
          <w:tcPr>
            <w:tcW w:w="5106" w:type="dxa"/>
            <w:vAlign w:val="center"/>
          </w:tcPr>
          <w:p w14:paraId="752A7DAA">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Style w:val="24"/>
                <w:rFonts w:hint="eastAsia" w:asciiTheme="minorEastAsia" w:hAnsiTheme="minorEastAsia" w:eastAsiaTheme="minorEastAsia" w:cstheme="minorEastAsia"/>
                <w:b w:val="0"/>
                <w:bCs/>
                <w:color w:val="auto"/>
                <w:sz w:val="24"/>
                <w:highlight w:val="none"/>
              </w:rPr>
              <w:t>三证合一营业执照（副本）或事业单位法人证书（副本）复印件</w:t>
            </w:r>
          </w:p>
        </w:tc>
      </w:tr>
      <w:tr w14:paraId="0987F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992" w:type="dxa"/>
            <w:vAlign w:val="center"/>
          </w:tcPr>
          <w:p w14:paraId="41A0DE76">
            <w:pPr>
              <w:spacing w:line="288"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rPr>
              <w:t>2</w:t>
            </w:r>
          </w:p>
        </w:tc>
        <w:tc>
          <w:tcPr>
            <w:tcW w:w="3681" w:type="dxa"/>
            <w:vAlign w:val="center"/>
          </w:tcPr>
          <w:p w14:paraId="53153FD5">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color w:val="auto"/>
                <w:sz w:val="24"/>
                <w:highlight w:val="none"/>
              </w:rPr>
              <w:t>具有良好的商业信誉和健全的财务会计制度；</w:t>
            </w:r>
          </w:p>
        </w:tc>
        <w:tc>
          <w:tcPr>
            <w:tcW w:w="5106" w:type="dxa"/>
            <w:vAlign w:val="center"/>
          </w:tcPr>
          <w:p w14:paraId="6FB5031E">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宋体" w:hAnsi="宋体" w:eastAsia="宋体" w:cs="宋体"/>
                <w:color w:val="auto"/>
                <w:kern w:val="0"/>
                <w:sz w:val="24"/>
                <w:highlight w:val="none"/>
                <w:lang w:val="zh-CN"/>
              </w:rPr>
              <w:t>提供（202</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或202</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lang w:val="zh-CN"/>
              </w:rPr>
              <w:t>年度）</w:t>
            </w:r>
            <w:r>
              <w:rPr>
                <w:rFonts w:hint="eastAsia" w:ascii="宋体" w:hAnsi="宋体" w:eastAsia="宋体" w:cs="宋体"/>
                <w:color w:val="auto"/>
                <w:kern w:val="0"/>
                <w:sz w:val="24"/>
                <w:highlight w:val="none"/>
                <w:lang w:val="en-US" w:eastAsia="zh-CN"/>
              </w:rPr>
              <w:t>经审计的</w:t>
            </w:r>
            <w:r>
              <w:rPr>
                <w:rFonts w:hint="eastAsia" w:ascii="宋体" w:hAnsi="宋体" w:eastAsia="宋体" w:cs="宋体"/>
                <w:color w:val="auto"/>
                <w:kern w:val="0"/>
                <w:sz w:val="24"/>
                <w:highlight w:val="none"/>
                <w:lang w:val="zh-CN"/>
              </w:rPr>
              <w:t>财务会计报告或企业财务报表（至少包括包资产负债表）或基本开户银行出具的资信证明。供应商注册时间截至投标文件递交截止日不足一年的，也可提供</w:t>
            </w:r>
            <w:r>
              <w:rPr>
                <w:rFonts w:hint="eastAsia" w:ascii="宋体" w:hAnsi="宋体" w:cs="宋体"/>
                <w:color w:val="auto"/>
                <w:kern w:val="0"/>
                <w:sz w:val="24"/>
                <w:highlight w:val="none"/>
                <w:lang w:val="zh-CN"/>
              </w:rPr>
              <w:t>在相关部门备案的公司章程复印件。</w:t>
            </w:r>
          </w:p>
        </w:tc>
      </w:tr>
      <w:tr w14:paraId="1A36E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1" w:hRule="atLeast"/>
        </w:trPr>
        <w:tc>
          <w:tcPr>
            <w:tcW w:w="992" w:type="dxa"/>
            <w:vAlign w:val="center"/>
          </w:tcPr>
          <w:p w14:paraId="0A6E1433">
            <w:pPr>
              <w:spacing w:line="288"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rPr>
              <w:t>3</w:t>
            </w:r>
          </w:p>
        </w:tc>
        <w:tc>
          <w:tcPr>
            <w:tcW w:w="3681" w:type="dxa"/>
            <w:vAlign w:val="center"/>
          </w:tcPr>
          <w:p w14:paraId="367E78D0">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highlight w:val="none"/>
              </w:rPr>
              <w:t>具有履行合同所必需的设备和专业技术能力；</w:t>
            </w:r>
          </w:p>
        </w:tc>
        <w:tc>
          <w:tcPr>
            <w:tcW w:w="5106" w:type="dxa"/>
            <w:vAlign w:val="center"/>
          </w:tcPr>
          <w:p w14:paraId="4A3868AF">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auto"/>
                <w:kern w:val="0"/>
                <w:sz w:val="24"/>
                <w:highlight w:val="none"/>
              </w:rPr>
              <w:t>提供“具有履行合同所必需的设备和专业技术能力的承诺书”，</w:t>
            </w:r>
            <w:r>
              <w:rPr>
                <w:rStyle w:val="24"/>
                <w:rFonts w:hint="eastAsia" w:asciiTheme="minorEastAsia" w:hAnsiTheme="minorEastAsia" w:eastAsiaTheme="minorEastAsia" w:cstheme="minorEastAsia"/>
                <w:b w:val="0"/>
                <w:bCs/>
                <w:color w:val="auto"/>
                <w:sz w:val="24"/>
                <w:highlight w:val="none"/>
              </w:rPr>
              <w:t xml:space="preserve">格式见“第五章  </w:t>
            </w:r>
            <w:r>
              <w:rPr>
                <w:rStyle w:val="24"/>
                <w:rFonts w:hint="eastAsia" w:asciiTheme="minorEastAsia" w:hAnsiTheme="minorEastAsia" w:eastAsiaTheme="minorEastAsia" w:cstheme="minorEastAsia"/>
                <w:b w:val="0"/>
                <w:bCs/>
                <w:color w:val="auto"/>
                <w:sz w:val="24"/>
                <w:highlight w:val="none"/>
                <w:lang w:eastAsia="zh-CN"/>
              </w:rPr>
              <w:t>响应</w:t>
            </w:r>
            <w:r>
              <w:rPr>
                <w:rStyle w:val="24"/>
                <w:rFonts w:hint="eastAsia" w:asciiTheme="minorEastAsia" w:hAnsiTheme="minorEastAsia" w:eastAsiaTheme="minorEastAsia" w:cstheme="minorEastAsia"/>
                <w:b w:val="0"/>
                <w:bCs/>
                <w:color w:val="auto"/>
                <w:sz w:val="24"/>
                <w:highlight w:val="none"/>
              </w:rPr>
              <w:t>文件格式（</w:t>
            </w:r>
            <w:r>
              <w:rPr>
                <w:rStyle w:val="24"/>
                <w:rFonts w:hint="eastAsia" w:asciiTheme="minorEastAsia" w:hAnsiTheme="minorEastAsia" w:eastAsiaTheme="minorEastAsia" w:cstheme="minorEastAsia"/>
                <w:b w:val="0"/>
                <w:bCs/>
                <w:color w:val="auto"/>
                <w:sz w:val="24"/>
                <w:highlight w:val="none"/>
                <w:lang w:val="en-US" w:eastAsia="zh-CN"/>
              </w:rPr>
              <w:t>7</w:t>
            </w:r>
            <w:r>
              <w:rPr>
                <w:rStyle w:val="24"/>
                <w:rFonts w:hint="eastAsia" w:asciiTheme="minorEastAsia" w:hAnsiTheme="minorEastAsia" w:eastAsiaTheme="minorEastAsia" w:cstheme="minorEastAsia"/>
                <w:b w:val="0"/>
                <w:bCs/>
                <w:color w:val="auto"/>
                <w:sz w:val="24"/>
                <w:highlight w:val="none"/>
              </w:rPr>
              <w:t>）”</w:t>
            </w:r>
          </w:p>
        </w:tc>
      </w:tr>
      <w:tr w14:paraId="17A23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1" w:hRule="atLeast"/>
        </w:trPr>
        <w:tc>
          <w:tcPr>
            <w:tcW w:w="992" w:type="dxa"/>
            <w:vAlign w:val="center"/>
          </w:tcPr>
          <w:p w14:paraId="46287300">
            <w:pPr>
              <w:spacing w:line="288"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rPr>
              <w:t>4</w:t>
            </w:r>
          </w:p>
        </w:tc>
        <w:tc>
          <w:tcPr>
            <w:tcW w:w="3681" w:type="dxa"/>
            <w:vAlign w:val="center"/>
          </w:tcPr>
          <w:p w14:paraId="7C65C24B">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highlight w:val="none"/>
              </w:rPr>
              <w:t>有依法缴纳税收和社会保障资金的良好记录；</w:t>
            </w:r>
          </w:p>
        </w:tc>
        <w:tc>
          <w:tcPr>
            <w:tcW w:w="5106" w:type="dxa"/>
            <w:vAlign w:val="center"/>
          </w:tcPr>
          <w:p w14:paraId="69E14810">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202</w:t>
            </w:r>
            <w:r>
              <w:rPr>
                <w:rFonts w:hint="eastAsia" w:asciiTheme="minorEastAsia" w:hAnsiTheme="minorEastAsia" w:eastAsiaTheme="minorEastAsia" w:cstheme="minorEastAsia"/>
                <w:sz w:val="24"/>
                <w:lang w:val="en-US" w:eastAsia="zh-CN"/>
              </w:rPr>
              <w:t>4</w:t>
            </w:r>
            <w:r>
              <w:rPr>
                <w:rFonts w:hint="eastAsia" w:asciiTheme="minorEastAsia" w:hAnsiTheme="minorEastAsia" w:eastAsiaTheme="minorEastAsia" w:cstheme="minorEastAsia"/>
                <w:sz w:val="24"/>
              </w:rPr>
              <w:t>年以来（</w:t>
            </w:r>
            <w:r>
              <w:rPr>
                <w:rFonts w:hint="eastAsia" w:asciiTheme="minorEastAsia" w:hAnsiTheme="minorEastAsia" w:eastAsiaTheme="minorEastAsia" w:cstheme="minorEastAsia"/>
                <w:sz w:val="24"/>
                <w:lang w:val="en-US" w:eastAsia="zh-CN"/>
              </w:rPr>
              <w:t>任意</w:t>
            </w:r>
            <w:r>
              <w:rPr>
                <w:rFonts w:hint="eastAsia" w:asciiTheme="minorEastAsia" w:hAnsiTheme="minorEastAsia" w:eastAsiaTheme="minorEastAsia" w:cstheme="minorEastAsia"/>
                <w:sz w:val="24"/>
              </w:rPr>
              <w:t>三个月）依法缴纳税收和社会保障资金的良好记录的证明材料（附复印件）</w:t>
            </w:r>
          </w:p>
        </w:tc>
      </w:tr>
      <w:tr w14:paraId="2AA0B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2" w:type="dxa"/>
            <w:vAlign w:val="center"/>
          </w:tcPr>
          <w:p w14:paraId="07C9E531">
            <w:pPr>
              <w:spacing w:line="288" w:lineRule="auto"/>
              <w:jc w:val="center"/>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5</w:t>
            </w:r>
          </w:p>
        </w:tc>
        <w:tc>
          <w:tcPr>
            <w:tcW w:w="3681" w:type="dxa"/>
            <w:vAlign w:val="center"/>
          </w:tcPr>
          <w:p w14:paraId="6E2B317B">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highlight w:val="none"/>
              </w:rPr>
              <w:t>参加政府采购活动前三年内，在经营活动中没有重大违法记录；</w:t>
            </w:r>
          </w:p>
        </w:tc>
        <w:tc>
          <w:tcPr>
            <w:tcW w:w="5106" w:type="dxa"/>
            <w:vAlign w:val="center"/>
          </w:tcPr>
          <w:p w14:paraId="0AD29F37">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sz w:val="24"/>
              </w:rPr>
            </w:pPr>
            <w:r>
              <w:rPr>
                <w:rStyle w:val="24"/>
                <w:rFonts w:hint="eastAsia" w:asciiTheme="minorEastAsia" w:hAnsiTheme="minorEastAsia" w:eastAsiaTheme="minorEastAsia" w:cstheme="minorEastAsia"/>
                <w:b w:val="0"/>
                <w:bCs/>
                <w:color w:val="auto"/>
                <w:sz w:val="24"/>
                <w:highlight w:val="none"/>
              </w:rPr>
              <w:t xml:space="preserve">提供“无重大违法记录承诺书”，格式见“第五章  </w:t>
            </w:r>
            <w:r>
              <w:rPr>
                <w:rStyle w:val="24"/>
                <w:rFonts w:hint="eastAsia" w:asciiTheme="minorEastAsia" w:hAnsiTheme="minorEastAsia" w:eastAsiaTheme="minorEastAsia" w:cstheme="minorEastAsia"/>
                <w:b w:val="0"/>
                <w:bCs/>
                <w:color w:val="auto"/>
                <w:sz w:val="24"/>
                <w:highlight w:val="none"/>
                <w:lang w:eastAsia="zh-CN"/>
              </w:rPr>
              <w:t>响应</w:t>
            </w:r>
            <w:r>
              <w:rPr>
                <w:rStyle w:val="24"/>
                <w:rFonts w:hint="eastAsia" w:asciiTheme="minorEastAsia" w:hAnsiTheme="minorEastAsia" w:eastAsiaTheme="minorEastAsia" w:cstheme="minorEastAsia"/>
                <w:b w:val="0"/>
                <w:bCs/>
                <w:color w:val="auto"/>
                <w:sz w:val="24"/>
                <w:highlight w:val="none"/>
              </w:rPr>
              <w:t>文件格式（</w:t>
            </w:r>
            <w:r>
              <w:rPr>
                <w:rStyle w:val="24"/>
                <w:rFonts w:hint="eastAsia" w:asciiTheme="minorEastAsia" w:hAnsiTheme="minorEastAsia" w:eastAsiaTheme="minorEastAsia" w:cstheme="minorEastAsia"/>
                <w:b w:val="0"/>
                <w:bCs/>
                <w:color w:val="auto"/>
                <w:sz w:val="24"/>
                <w:highlight w:val="none"/>
                <w:lang w:val="en-US" w:eastAsia="zh-CN"/>
              </w:rPr>
              <w:t>6</w:t>
            </w:r>
            <w:r>
              <w:rPr>
                <w:rStyle w:val="24"/>
                <w:rFonts w:hint="eastAsia" w:asciiTheme="minorEastAsia" w:hAnsiTheme="minorEastAsia" w:eastAsiaTheme="minorEastAsia" w:cstheme="minorEastAsia"/>
                <w:b w:val="0"/>
                <w:bCs/>
                <w:color w:val="auto"/>
                <w:sz w:val="24"/>
                <w:highlight w:val="none"/>
              </w:rPr>
              <w:t>）”</w:t>
            </w:r>
          </w:p>
        </w:tc>
      </w:tr>
      <w:tr w14:paraId="4F126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2" w:type="dxa"/>
            <w:vAlign w:val="center"/>
          </w:tcPr>
          <w:p w14:paraId="04955A0A">
            <w:pPr>
              <w:spacing w:line="288" w:lineRule="auto"/>
              <w:jc w:val="center"/>
              <w:rPr>
                <w:rFonts w:hint="default"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lang w:val="en-US" w:eastAsia="zh-CN"/>
              </w:rPr>
              <w:t>6</w:t>
            </w:r>
          </w:p>
        </w:tc>
        <w:tc>
          <w:tcPr>
            <w:tcW w:w="3681" w:type="dxa"/>
            <w:vAlign w:val="center"/>
          </w:tcPr>
          <w:p w14:paraId="62F16C03">
            <w:pPr>
              <w:keepNext w:val="0"/>
              <w:keepLines w:val="0"/>
              <w:pageBreakBefore w:val="0"/>
              <w:widowControl w:val="0"/>
              <w:kinsoku/>
              <w:overflowPunct/>
              <w:topLinePunct w:val="0"/>
              <w:autoSpaceDE/>
              <w:autoSpaceDN/>
              <w:bidi w:val="0"/>
              <w:adjustRightInd/>
              <w:snapToGrid/>
              <w:spacing w:line="312" w:lineRule="auto"/>
              <w:textAlignment w:val="auto"/>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投标人</w:t>
            </w:r>
            <w:r>
              <w:rPr>
                <w:rFonts w:hint="eastAsia" w:asciiTheme="minorEastAsia" w:hAnsiTheme="minorEastAsia" w:eastAsiaTheme="minorEastAsia" w:cstheme="minorEastAsia"/>
                <w:color w:val="auto"/>
                <w:sz w:val="24"/>
                <w:highlight w:val="none"/>
                <w:lang w:eastAsia="zh-Hans"/>
              </w:rPr>
              <w:t>为小</w:t>
            </w:r>
            <w:r>
              <w:rPr>
                <w:rFonts w:hint="eastAsia" w:asciiTheme="minorEastAsia" w:hAnsiTheme="minorEastAsia" w:eastAsiaTheme="minorEastAsia" w:cstheme="minorEastAsia"/>
                <w:color w:val="auto"/>
                <w:sz w:val="24"/>
                <w:highlight w:val="none"/>
                <w:lang w:val="en-US" w:eastAsia="zh-CN"/>
              </w:rPr>
              <w:t>微</w:t>
            </w:r>
            <w:r>
              <w:rPr>
                <w:rFonts w:hint="eastAsia" w:asciiTheme="minorEastAsia" w:hAnsiTheme="minorEastAsia" w:eastAsiaTheme="minorEastAsia" w:cstheme="minorEastAsia"/>
                <w:color w:val="auto"/>
                <w:sz w:val="24"/>
                <w:highlight w:val="none"/>
                <w:lang w:eastAsia="zh-Hans"/>
              </w:rPr>
              <w:t>企业</w:t>
            </w:r>
          </w:p>
        </w:tc>
        <w:tc>
          <w:tcPr>
            <w:tcW w:w="5106" w:type="dxa"/>
            <w:vAlign w:val="center"/>
          </w:tcPr>
          <w:p w14:paraId="3EA86FA4">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eastAsia="zh-Hans"/>
              </w:rPr>
              <w:t>根据采购文件要求，提供“中小企业声明函”</w:t>
            </w:r>
          </w:p>
        </w:tc>
      </w:tr>
    </w:tbl>
    <w:p w14:paraId="76F90DF2">
      <w:pPr>
        <w:spacing w:line="360" w:lineRule="auto"/>
        <w:rPr>
          <w:rFonts w:hint="eastAsia" w:ascii="宋体" w:hAnsi="宋体" w:cs="宋体"/>
          <w:b/>
          <w:bCs/>
          <w:sz w:val="24"/>
        </w:rPr>
      </w:pPr>
      <w:r>
        <w:rPr>
          <w:rFonts w:hint="eastAsia" w:ascii="宋体" w:hAnsi="宋体" w:eastAsia="宋体" w:cs="宋体"/>
          <w:sz w:val="24"/>
        </w:rPr>
        <w:t>说明：以上初步评审内容，有一项不通过者，视为初步评审不通过，不予评审其投标文件。</w:t>
      </w:r>
    </w:p>
    <w:p w14:paraId="3A5A15D8">
      <w:pPr>
        <w:spacing w:line="360" w:lineRule="auto"/>
        <w:rPr>
          <w:rFonts w:hint="eastAsia" w:ascii="宋体" w:hAnsi="宋体" w:cs="宋体"/>
          <w:b/>
          <w:bCs/>
          <w:sz w:val="24"/>
        </w:rPr>
      </w:pPr>
    </w:p>
    <w:p w14:paraId="15F1DFBE">
      <w:pPr>
        <w:spacing w:line="360" w:lineRule="auto"/>
        <w:rPr>
          <w:rFonts w:hint="eastAsia" w:ascii="宋体" w:hAnsi="宋体" w:cs="宋体"/>
          <w:b/>
          <w:bCs/>
          <w:sz w:val="24"/>
        </w:rPr>
      </w:pPr>
    </w:p>
    <w:p w14:paraId="42FA9700">
      <w:pPr>
        <w:spacing w:line="360" w:lineRule="auto"/>
        <w:rPr>
          <w:rFonts w:hint="eastAsia" w:ascii="宋体" w:hAnsi="宋体" w:cs="宋体"/>
          <w:b/>
          <w:bCs/>
          <w:sz w:val="24"/>
        </w:rPr>
      </w:pPr>
    </w:p>
    <w:p w14:paraId="2EAA5889">
      <w:pPr>
        <w:spacing w:line="360" w:lineRule="auto"/>
        <w:rPr>
          <w:rFonts w:hint="eastAsia" w:ascii="宋体" w:hAnsi="宋体" w:cs="宋体"/>
          <w:b/>
          <w:bCs/>
          <w:sz w:val="24"/>
        </w:rPr>
      </w:pPr>
    </w:p>
    <w:p w14:paraId="3CE27D3B">
      <w:pPr>
        <w:spacing w:line="360" w:lineRule="auto"/>
        <w:rPr>
          <w:rFonts w:hint="eastAsia" w:ascii="宋体" w:hAnsi="宋体" w:cs="宋体"/>
          <w:b/>
          <w:bCs/>
          <w:sz w:val="24"/>
        </w:rPr>
      </w:pPr>
    </w:p>
    <w:p w14:paraId="42EB6731">
      <w:pPr>
        <w:spacing w:line="360" w:lineRule="auto"/>
        <w:rPr>
          <w:rFonts w:hint="eastAsia" w:ascii="宋体" w:hAnsi="宋体" w:cs="宋体"/>
          <w:b/>
          <w:bCs/>
          <w:sz w:val="24"/>
        </w:rPr>
      </w:pPr>
    </w:p>
    <w:p w14:paraId="6352488B">
      <w:pPr>
        <w:spacing w:line="360" w:lineRule="auto"/>
        <w:rPr>
          <w:rFonts w:hint="eastAsia" w:ascii="宋体" w:hAnsi="宋体" w:cs="宋体"/>
          <w:b/>
          <w:bCs/>
          <w:sz w:val="24"/>
        </w:rPr>
      </w:pPr>
    </w:p>
    <w:p w14:paraId="77957F90">
      <w:pPr>
        <w:spacing w:line="360" w:lineRule="auto"/>
        <w:rPr>
          <w:rFonts w:hint="eastAsia" w:ascii="宋体" w:hAnsi="宋体" w:cs="宋体"/>
          <w:b/>
          <w:bCs/>
          <w:sz w:val="24"/>
        </w:rPr>
      </w:pPr>
    </w:p>
    <w:p w14:paraId="39511B3C">
      <w:pPr>
        <w:spacing w:line="360" w:lineRule="auto"/>
        <w:rPr>
          <w:rFonts w:hint="eastAsia" w:ascii="宋体" w:hAnsi="宋体" w:cs="宋体"/>
          <w:b/>
          <w:bCs/>
          <w:sz w:val="24"/>
        </w:rPr>
      </w:pPr>
    </w:p>
    <w:p w14:paraId="327DA61D">
      <w:pPr>
        <w:rPr>
          <w:rFonts w:hint="eastAsia" w:ascii="宋体" w:hAnsi="宋体" w:cs="宋体"/>
          <w:b/>
          <w:bCs/>
          <w:sz w:val="24"/>
        </w:rPr>
      </w:pPr>
      <w:r>
        <w:rPr>
          <w:rFonts w:hint="eastAsia" w:ascii="宋体" w:hAnsi="宋体" w:cs="宋体"/>
          <w:b/>
          <w:bCs/>
          <w:sz w:val="24"/>
        </w:rPr>
        <w:br w:type="page"/>
      </w:r>
    </w:p>
    <w:p w14:paraId="06B2ABD4">
      <w:pPr>
        <w:spacing w:line="360" w:lineRule="auto"/>
        <w:rPr>
          <w:rFonts w:ascii="宋体" w:hAnsi="宋体" w:cs="宋体"/>
          <w:b/>
          <w:bCs/>
          <w:sz w:val="24"/>
        </w:rPr>
      </w:pPr>
      <w:r>
        <w:rPr>
          <w:rFonts w:hint="eastAsia" w:ascii="宋体" w:hAnsi="宋体" w:cs="宋体"/>
          <w:b/>
          <w:bCs/>
          <w:sz w:val="24"/>
        </w:rPr>
        <w:t>2、符合性审查</w:t>
      </w:r>
    </w:p>
    <w:tbl>
      <w:tblPr>
        <w:tblStyle w:val="21"/>
        <w:tblW w:w="100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1240"/>
        <w:gridCol w:w="2365"/>
        <w:gridCol w:w="5815"/>
      </w:tblGrid>
      <w:tr w14:paraId="265C9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79" w:type="dxa"/>
            <w:vAlign w:val="center"/>
          </w:tcPr>
          <w:p w14:paraId="2709936B">
            <w:pPr>
              <w:spacing w:line="288" w:lineRule="auto"/>
              <w:jc w:val="center"/>
              <w:rPr>
                <w:rFonts w:ascii="宋体" w:hAnsi="宋体" w:cs="宋体"/>
                <w:kern w:val="0"/>
                <w:sz w:val="24"/>
              </w:rPr>
            </w:pPr>
            <w:r>
              <w:rPr>
                <w:rFonts w:hint="eastAsia" w:ascii="宋体" w:hAnsi="宋体" w:cs="宋体"/>
                <w:kern w:val="0"/>
                <w:sz w:val="24"/>
              </w:rPr>
              <w:t>序号</w:t>
            </w:r>
          </w:p>
        </w:tc>
        <w:tc>
          <w:tcPr>
            <w:tcW w:w="3605" w:type="dxa"/>
            <w:gridSpan w:val="2"/>
            <w:vAlign w:val="center"/>
          </w:tcPr>
          <w:p w14:paraId="74E2B928">
            <w:pPr>
              <w:spacing w:line="288" w:lineRule="auto"/>
              <w:jc w:val="center"/>
              <w:rPr>
                <w:rFonts w:ascii="宋体" w:hAnsi="宋体" w:cs="宋体"/>
                <w:kern w:val="0"/>
                <w:sz w:val="24"/>
              </w:rPr>
            </w:pPr>
            <w:r>
              <w:rPr>
                <w:rFonts w:hint="eastAsia" w:ascii="宋体" w:hAnsi="宋体" w:cs="宋体"/>
                <w:kern w:val="0"/>
                <w:sz w:val="24"/>
              </w:rPr>
              <w:t>评审因素</w:t>
            </w:r>
          </w:p>
        </w:tc>
        <w:tc>
          <w:tcPr>
            <w:tcW w:w="5815" w:type="dxa"/>
            <w:vAlign w:val="center"/>
          </w:tcPr>
          <w:p w14:paraId="346EDF9B">
            <w:pPr>
              <w:spacing w:line="288" w:lineRule="auto"/>
              <w:jc w:val="center"/>
              <w:rPr>
                <w:rFonts w:ascii="宋体" w:hAnsi="宋体" w:cs="宋体"/>
                <w:kern w:val="0"/>
                <w:sz w:val="24"/>
              </w:rPr>
            </w:pPr>
            <w:r>
              <w:rPr>
                <w:rFonts w:hint="eastAsia" w:ascii="宋体" w:hAnsi="宋体" w:cs="宋体"/>
                <w:kern w:val="0"/>
                <w:sz w:val="24"/>
              </w:rPr>
              <w:t>评审标准</w:t>
            </w:r>
          </w:p>
        </w:tc>
      </w:tr>
      <w:tr w14:paraId="46956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679" w:type="dxa"/>
            <w:vMerge w:val="restart"/>
            <w:vAlign w:val="center"/>
          </w:tcPr>
          <w:p w14:paraId="30BD8446">
            <w:pPr>
              <w:spacing w:line="288" w:lineRule="auto"/>
              <w:jc w:val="center"/>
              <w:rPr>
                <w:rFonts w:ascii="宋体" w:hAnsi="宋体" w:cs="宋体"/>
                <w:kern w:val="0"/>
                <w:sz w:val="24"/>
              </w:rPr>
            </w:pPr>
            <w:r>
              <w:rPr>
                <w:rFonts w:hint="eastAsia" w:ascii="宋体" w:hAnsi="宋体" w:cs="宋体"/>
                <w:kern w:val="0"/>
                <w:sz w:val="24"/>
              </w:rPr>
              <w:t>1</w:t>
            </w:r>
          </w:p>
        </w:tc>
        <w:tc>
          <w:tcPr>
            <w:tcW w:w="1240" w:type="dxa"/>
            <w:vMerge w:val="restart"/>
            <w:vAlign w:val="center"/>
          </w:tcPr>
          <w:p w14:paraId="29537905">
            <w:pPr>
              <w:spacing w:line="288" w:lineRule="auto"/>
              <w:jc w:val="center"/>
              <w:rPr>
                <w:rFonts w:ascii="宋体" w:hAnsi="宋体" w:cs="宋体"/>
                <w:kern w:val="0"/>
                <w:sz w:val="24"/>
              </w:rPr>
            </w:pPr>
            <w:r>
              <w:rPr>
                <w:rFonts w:hint="eastAsia" w:ascii="宋体" w:hAnsi="宋体" w:cs="宋体"/>
                <w:kern w:val="0"/>
                <w:sz w:val="24"/>
              </w:rPr>
              <w:t>有效性审查</w:t>
            </w:r>
          </w:p>
        </w:tc>
        <w:tc>
          <w:tcPr>
            <w:tcW w:w="2365" w:type="dxa"/>
            <w:vAlign w:val="center"/>
          </w:tcPr>
          <w:p w14:paraId="64E02208">
            <w:pPr>
              <w:spacing w:line="288" w:lineRule="auto"/>
              <w:rPr>
                <w:rFonts w:ascii="宋体" w:hAnsi="宋体" w:cs="宋体"/>
                <w:kern w:val="0"/>
                <w:sz w:val="24"/>
              </w:rPr>
            </w:pPr>
            <w:r>
              <w:rPr>
                <w:rFonts w:hint="eastAsia" w:ascii="宋体" w:hAnsi="宋体" w:cs="宋体"/>
                <w:sz w:val="24"/>
                <w:lang w:val="zh-CN"/>
              </w:rPr>
              <w:t>投标文件</w:t>
            </w:r>
            <w:r>
              <w:rPr>
                <w:rFonts w:hint="eastAsia" w:ascii="宋体" w:hAnsi="宋体" w:cs="宋体"/>
                <w:sz w:val="24"/>
              </w:rPr>
              <w:t>签署</w:t>
            </w:r>
          </w:p>
        </w:tc>
        <w:tc>
          <w:tcPr>
            <w:tcW w:w="5815" w:type="dxa"/>
            <w:vAlign w:val="center"/>
          </w:tcPr>
          <w:p w14:paraId="79F2053C">
            <w:pPr>
              <w:spacing w:line="288" w:lineRule="auto"/>
              <w:rPr>
                <w:rFonts w:ascii="宋体" w:hAnsi="宋体" w:cs="宋体"/>
                <w:kern w:val="0"/>
                <w:sz w:val="24"/>
              </w:rPr>
            </w:pPr>
            <w:r>
              <w:rPr>
                <w:rFonts w:hint="eastAsia" w:ascii="宋体" w:hAnsi="宋体" w:cs="宋体"/>
                <w:sz w:val="24"/>
                <w:lang w:val="zh-CN"/>
              </w:rPr>
              <w:t>投标文件</w:t>
            </w:r>
            <w:r>
              <w:rPr>
                <w:rFonts w:hint="eastAsia" w:ascii="宋体" w:hAnsi="宋体" w:cs="宋体"/>
                <w:sz w:val="24"/>
              </w:rPr>
              <w:t>中法定代表人或其委托代理人的签字或盖章齐全。</w:t>
            </w:r>
          </w:p>
        </w:tc>
      </w:tr>
      <w:tr w14:paraId="399D4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679" w:type="dxa"/>
            <w:vMerge w:val="continue"/>
            <w:vAlign w:val="center"/>
          </w:tcPr>
          <w:p w14:paraId="3C74FA47">
            <w:pPr>
              <w:spacing w:line="288" w:lineRule="auto"/>
              <w:jc w:val="center"/>
              <w:rPr>
                <w:rFonts w:ascii="宋体" w:hAnsi="宋体" w:cs="宋体"/>
                <w:kern w:val="0"/>
                <w:sz w:val="24"/>
              </w:rPr>
            </w:pPr>
          </w:p>
        </w:tc>
        <w:tc>
          <w:tcPr>
            <w:tcW w:w="1240" w:type="dxa"/>
            <w:vMerge w:val="continue"/>
            <w:vAlign w:val="center"/>
          </w:tcPr>
          <w:p w14:paraId="49E30B69">
            <w:pPr>
              <w:spacing w:line="288" w:lineRule="auto"/>
              <w:jc w:val="center"/>
              <w:rPr>
                <w:rFonts w:ascii="宋体" w:hAnsi="宋体" w:cs="宋体"/>
                <w:kern w:val="0"/>
                <w:sz w:val="24"/>
              </w:rPr>
            </w:pPr>
          </w:p>
        </w:tc>
        <w:tc>
          <w:tcPr>
            <w:tcW w:w="2365" w:type="dxa"/>
            <w:vAlign w:val="center"/>
          </w:tcPr>
          <w:p w14:paraId="0E69C802">
            <w:pPr>
              <w:spacing w:line="288" w:lineRule="auto"/>
              <w:rPr>
                <w:rFonts w:ascii="宋体" w:hAnsi="宋体" w:cs="宋体"/>
                <w:sz w:val="24"/>
                <w:lang w:val="zh-CN"/>
              </w:rPr>
            </w:pPr>
            <w:r>
              <w:rPr>
                <w:rFonts w:hint="eastAsia" w:ascii="宋体" w:hAnsi="宋体" w:cs="宋体"/>
                <w:sz w:val="24"/>
              </w:rPr>
              <w:t>法定代表人身份证明及授权委托书</w:t>
            </w:r>
          </w:p>
        </w:tc>
        <w:tc>
          <w:tcPr>
            <w:tcW w:w="5815" w:type="dxa"/>
            <w:vAlign w:val="center"/>
          </w:tcPr>
          <w:p w14:paraId="38FD0B85">
            <w:pPr>
              <w:spacing w:line="288" w:lineRule="auto"/>
              <w:rPr>
                <w:rFonts w:ascii="宋体" w:hAnsi="宋体" w:cs="宋体"/>
                <w:sz w:val="24"/>
                <w:lang w:val="zh-CN"/>
              </w:rPr>
            </w:pPr>
            <w:r>
              <w:rPr>
                <w:rFonts w:hint="eastAsia" w:ascii="宋体" w:hAnsi="宋体" w:cs="宋体"/>
                <w:sz w:val="24"/>
              </w:rPr>
              <w:t>法定代表人身份证明及授权委托书有效，且符合招标文件规定的格式，签字或盖章齐全。</w:t>
            </w:r>
          </w:p>
        </w:tc>
      </w:tr>
      <w:tr w14:paraId="1206B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679" w:type="dxa"/>
            <w:vMerge w:val="continue"/>
            <w:vAlign w:val="center"/>
          </w:tcPr>
          <w:p w14:paraId="67C9B84C">
            <w:pPr>
              <w:spacing w:line="288" w:lineRule="auto"/>
              <w:jc w:val="center"/>
              <w:rPr>
                <w:rFonts w:ascii="宋体" w:hAnsi="宋体" w:cs="宋体"/>
                <w:kern w:val="0"/>
                <w:sz w:val="24"/>
              </w:rPr>
            </w:pPr>
          </w:p>
        </w:tc>
        <w:tc>
          <w:tcPr>
            <w:tcW w:w="1240" w:type="dxa"/>
            <w:vMerge w:val="continue"/>
            <w:vAlign w:val="center"/>
          </w:tcPr>
          <w:p w14:paraId="2A8FB0DC">
            <w:pPr>
              <w:spacing w:line="288" w:lineRule="auto"/>
              <w:jc w:val="center"/>
              <w:rPr>
                <w:rFonts w:ascii="宋体" w:hAnsi="宋体" w:cs="宋体"/>
                <w:kern w:val="0"/>
                <w:sz w:val="24"/>
              </w:rPr>
            </w:pPr>
          </w:p>
        </w:tc>
        <w:tc>
          <w:tcPr>
            <w:tcW w:w="2365" w:type="dxa"/>
            <w:vAlign w:val="center"/>
          </w:tcPr>
          <w:p w14:paraId="370F17BE">
            <w:pPr>
              <w:spacing w:line="288" w:lineRule="auto"/>
              <w:rPr>
                <w:rFonts w:ascii="宋体" w:hAnsi="宋体" w:cs="宋体"/>
                <w:sz w:val="24"/>
                <w:lang w:val="zh-CN"/>
              </w:rPr>
            </w:pPr>
            <w:r>
              <w:rPr>
                <w:rFonts w:hint="eastAsia" w:ascii="宋体" w:hAnsi="宋体" w:cs="宋体"/>
                <w:sz w:val="24"/>
                <w:lang w:val="zh-CN"/>
              </w:rPr>
              <w:t>投标方案</w:t>
            </w:r>
          </w:p>
        </w:tc>
        <w:tc>
          <w:tcPr>
            <w:tcW w:w="5815" w:type="dxa"/>
            <w:vAlign w:val="center"/>
          </w:tcPr>
          <w:p w14:paraId="7FD26DBD">
            <w:pPr>
              <w:spacing w:line="288" w:lineRule="auto"/>
              <w:rPr>
                <w:rFonts w:ascii="宋体" w:hAnsi="宋体" w:cs="宋体"/>
                <w:sz w:val="24"/>
                <w:lang w:val="zh-CN"/>
              </w:rPr>
            </w:pPr>
            <w:r>
              <w:rPr>
                <w:rFonts w:hint="eastAsia" w:ascii="宋体" w:hAnsi="宋体" w:cs="宋体"/>
                <w:sz w:val="24"/>
                <w:lang w:val="zh-CN"/>
              </w:rPr>
              <w:t>只能有一个方案投标。</w:t>
            </w:r>
          </w:p>
        </w:tc>
      </w:tr>
      <w:tr w14:paraId="429C9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679" w:type="dxa"/>
            <w:vMerge w:val="continue"/>
            <w:vAlign w:val="center"/>
          </w:tcPr>
          <w:p w14:paraId="50848524">
            <w:pPr>
              <w:spacing w:line="288" w:lineRule="auto"/>
              <w:jc w:val="center"/>
              <w:rPr>
                <w:rFonts w:ascii="宋体" w:hAnsi="宋体" w:cs="宋体"/>
                <w:kern w:val="0"/>
                <w:sz w:val="24"/>
              </w:rPr>
            </w:pPr>
          </w:p>
        </w:tc>
        <w:tc>
          <w:tcPr>
            <w:tcW w:w="1240" w:type="dxa"/>
            <w:vMerge w:val="continue"/>
            <w:vAlign w:val="center"/>
          </w:tcPr>
          <w:p w14:paraId="2D6915B3">
            <w:pPr>
              <w:spacing w:line="288" w:lineRule="auto"/>
              <w:jc w:val="center"/>
              <w:rPr>
                <w:rFonts w:ascii="宋体" w:hAnsi="宋体" w:cs="宋体"/>
                <w:kern w:val="0"/>
                <w:sz w:val="24"/>
              </w:rPr>
            </w:pPr>
          </w:p>
        </w:tc>
        <w:tc>
          <w:tcPr>
            <w:tcW w:w="2365" w:type="dxa"/>
            <w:vAlign w:val="center"/>
          </w:tcPr>
          <w:p w14:paraId="18048EDE">
            <w:pPr>
              <w:spacing w:line="288" w:lineRule="auto"/>
              <w:rPr>
                <w:rFonts w:ascii="宋体" w:hAnsi="宋体" w:cs="宋体"/>
                <w:sz w:val="24"/>
                <w:lang w:val="zh-CN"/>
              </w:rPr>
            </w:pPr>
            <w:r>
              <w:rPr>
                <w:rFonts w:hint="eastAsia" w:ascii="宋体" w:hAnsi="宋体" w:cs="宋体"/>
                <w:sz w:val="24"/>
                <w:lang w:val="zh-CN"/>
              </w:rPr>
              <w:t>报价唯一</w:t>
            </w:r>
          </w:p>
        </w:tc>
        <w:tc>
          <w:tcPr>
            <w:tcW w:w="5815" w:type="dxa"/>
            <w:vAlign w:val="center"/>
          </w:tcPr>
          <w:p w14:paraId="58A11E34">
            <w:pPr>
              <w:spacing w:line="288" w:lineRule="auto"/>
              <w:rPr>
                <w:rFonts w:ascii="宋体" w:hAnsi="宋体" w:cs="宋体"/>
                <w:sz w:val="24"/>
                <w:lang w:val="zh-CN"/>
              </w:rPr>
            </w:pPr>
            <w:r>
              <w:rPr>
                <w:rFonts w:hint="eastAsia" w:ascii="宋体" w:hAnsi="宋体" w:cs="宋体"/>
                <w:sz w:val="24"/>
                <w:lang w:val="zh-CN"/>
              </w:rPr>
              <w:t>只能有一个有效报价，不得提交选择性报价。</w:t>
            </w:r>
          </w:p>
        </w:tc>
      </w:tr>
      <w:tr w14:paraId="1A4D0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679" w:type="dxa"/>
            <w:vMerge w:val="continue"/>
            <w:vAlign w:val="center"/>
          </w:tcPr>
          <w:p w14:paraId="5DC1B2F4">
            <w:pPr>
              <w:spacing w:line="288" w:lineRule="auto"/>
              <w:jc w:val="center"/>
              <w:rPr>
                <w:rFonts w:ascii="宋体" w:hAnsi="宋体" w:cs="宋体"/>
                <w:kern w:val="0"/>
                <w:sz w:val="24"/>
              </w:rPr>
            </w:pPr>
          </w:p>
        </w:tc>
        <w:tc>
          <w:tcPr>
            <w:tcW w:w="1240" w:type="dxa"/>
            <w:vMerge w:val="continue"/>
            <w:vAlign w:val="center"/>
          </w:tcPr>
          <w:p w14:paraId="60B66B42">
            <w:pPr>
              <w:spacing w:line="288" w:lineRule="auto"/>
              <w:jc w:val="center"/>
              <w:rPr>
                <w:rFonts w:ascii="宋体" w:hAnsi="宋体" w:cs="宋体"/>
                <w:kern w:val="0"/>
                <w:sz w:val="24"/>
              </w:rPr>
            </w:pPr>
          </w:p>
        </w:tc>
        <w:tc>
          <w:tcPr>
            <w:tcW w:w="2365" w:type="dxa"/>
            <w:vAlign w:val="center"/>
          </w:tcPr>
          <w:p w14:paraId="284CA9B2">
            <w:pPr>
              <w:spacing w:line="288" w:lineRule="auto"/>
              <w:rPr>
                <w:rFonts w:ascii="宋体" w:hAnsi="宋体" w:cs="宋体"/>
                <w:sz w:val="24"/>
                <w:lang w:val="zh-CN"/>
              </w:rPr>
            </w:pPr>
            <w:r>
              <w:rPr>
                <w:rFonts w:hint="eastAsia" w:ascii="宋体" w:hAnsi="宋体" w:cs="宋体"/>
                <w:sz w:val="24"/>
                <w:lang w:val="zh-CN"/>
              </w:rPr>
              <w:t>投标文件内容</w:t>
            </w:r>
          </w:p>
        </w:tc>
        <w:tc>
          <w:tcPr>
            <w:tcW w:w="5815" w:type="dxa"/>
            <w:vAlign w:val="center"/>
          </w:tcPr>
          <w:p w14:paraId="508BFA48">
            <w:pPr>
              <w:spacing w:line="288" w:lineRule="auto"/>
              <w:rPr>
                <w:rFonts w:ascii="宋体" w:hAnsi="宋体" w:cs="宋体"/>
                <w:sz w:val="24"/>
                <w:lang w:val="zh-CN"/>
              </w:rPr>
            </w:pPr>
            <w:r>
              <w:rPr>
                <w:rFonts w:hint="eastAsia" w:ascii="宋体" w:hAnsi="宋体" w:cs="宋体"/>
                <w:sz w:val="24"/>
                <w:lang w:val="zh-CN"/>
              </w:rPr>
              <w:t>投标文件内容齐全、无遗漏。</w:t>
            </w:r>
          </w:p>
        </w:tc>
      </w:tr>
      <w:tr w14:paraId="21191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679" w:type="dxa"/>
            <w:vMerge w:val="restart"/>
            <w:vAlign w:val="center"/>
          </w:tcPr>
          <w:p w14:paraId="0D8E0BC8">
            <w:pPr>
              <w:spacing w:line="288" w:lineRule="auto"/>
              <w:jc w:val="center"/>
              <w:rPr>
                <w:rFonts w:ascii="宋体" w:hAnsi="宋体" w:cs="宋体"/>
                <w:kern w:val="0"/>
                <w:sz w:val="24"/>
              </w:rPr>
            </w:pPr>
            <w:r>
              <w:rPr>
                <w:rFonts w:hint="eastAsia" w:ascii="宋体" w:hAnsi="宋体" w:cs="宋体"/>
                <w:kern w:val="0"/>
                <w:sz w:val="24"/>
              </w:rPr>
              <w:t>3</w:t>
            </w:r>
          </w:p>
        </w:tc>
        <w:tc>
          <w:tcPr>
            <w:tcW w:w="1240" w:type="dxa"/>
            <w:vMerge w:val="restart"/>
            <w:vAlign w:val="center"/>
          </w:tcPr>
          <w:p w14:paraId="6BD8EC77">
            <w:pPr>
              <w:spacing w:line="288" w:lineRule="auto"/>
              <w:jc w:val="center"/>
              <w:rPr>
                <w:rFonts w:ascii="宋体" w:hAnsi="宋体" w:cs="宋体"/>
                <w:sz w:val="24"/>
                <w:lang w:val="zh-CN"/>
              </w:rPr>
            </w:pPr>
            <w:r>
              <w:rPr>
                <w:rFonts w:hint="eastAsia" w:ascii="宋体" w:hAnsi="宋体" w:cs="宋体"/>
                <w:kern w:val="0"/>
                <w:sz w:val="24"/>
              </w:rPr>
              <w:t>招标文件的响应程度审查</w:t>
            </w:r>
          </w:p>
        </w:tc>
        <w:tc>
          <w:tcPr>
            <w:tcW w:w="2365" w:type="dxa"/>
            <w:vAlign w:val="center"/>
          </w:tcPr>
          <w:p w14:paraId="743910AB">
            <w:pPr>
              <w:spacing w:line="288" w:lineRule="auto"/>
              <w:rPr>
                <w:rFonts w:ascii="宋体" w:hAnsi="宋体" w:cs="宋体"/>
                <w:kern w:val="0"/>
                <w:sz w:val="24"/>
              </w:rPr>
            </w:pPr>
            <w:r>
              <w:rPr>
                <w:rFonts w:hint="eastAsia" w:ascii="宋体" w:hAnsi="宋体" w:cs="宋体"/>
                <w:sz w:val="24"/>
                <w:lang w:val="zh-CN"/>
              </w:rPr>
              <w:t>投标文件</w:t>
            </w:r>
            <w:r>
              <w:rPr>
                <w:rFonts w:hint="eastAsia" w:ascii="宋体" w:hAnsi="宋体" w:cs="宋体"/>
                <w:kern w:val="0"/>
                <w:sz w:val="24"/>
              </w:rPr>
              <w:t>内容</w:t>
            </w:r>
          </w:p>
        </w:tc>
        <w:tc>
          <w:tcPr>
            <w:tcW w:w="5815" w:type="dxa"/>
            <w:vAlign w:val="center"/>
          </w:tcPr>
          <w:p w14:paraId="60492B1D">
            <w:pPr>
              <w:pStyle w:val="14"/>
              <w:spacing w:line="288" w:lineRule="auto"/>
              <w:ind w:left="0" w:leftChars="0"/>
              <w:rPr>
                <w:rFonts w:ascii="宋体" w:hAnsi="宋体" w:cs="宋体"/>
                <w:kern w:val="0"/>
                <w:sz w:val="24"/>
              </w:rPr>
            </w:pPr>
            <w:r>
              <w:rPr>
                <w:rFonts w:hint="eastAsia" w:ascii="宋体" w:hAnsi="宋体" w:cs="宋体"/>
                <w:kern w:val="0"/>
                <w:sz w:val="24"/>
              </w:rPr>
              <w:t>对招标文件规定的全部内容作出响应。</w:t>
            </w:r>
          </w:p>
        </w:tc>
      </w:tr>
      <w:tr w14:paraId="632F4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679" w:type="dxa"/>
            <w:vMerge w:val="continue"/>
            <w:vAlign w:val="center"/>
          </w:tcPr>
          <w:p w14:paraId="110CA922">
            <w:pPr>
              <w:spacing w:line="288" w:lineRule="auto"/>
              <w:jc w:val="center"/>
              <w:rPr>
                <w:rFonts w:ascii="宋体" w:hAnsi="宋体" w:cs="宋体"/>
                <w:kern w:val="0"/>
                <w:sz w:val="24"/>
              </w:rPr>
            </w:pPr>
          </w:p>
        </w:tc>
        <w:tc>
          <w:tcPr>
            <w:tcW w:w="1240" w:type="dxa"/>
            <w:vMerge w:val="continue"/>
            <w:vAlign w:val="center"/>
          </w:tcPr>
          <w:p w14:paraId="6FC1D8BE">
            <w:pPr>
              <w:spacing w:line="288" w:lineRule="auto"/>
              <w:rPr>
                <w:rFonts w:ascii="宋体" w:hAnsi="宋体" w:cs="宋体"/>
                <w:sz w:val="24"/>
                <w:lang w:val="zh-CN"/>
              </w:rPr>
            </w:pPr>
          </w:p>
        </w:tc>
        <w:tc>
          <w:tcPr>
            <w:tcW w:w="2365" w:type="dxa"/>
            <w:vAlign w:val="center"/>
          </w:tcPr>
          <w:p w14:paraId="1DBF35E3">
            <w:pPr>
              <w:spacing w:line="288" w:lineRule="auto"/>
              <w:rPr>
                <w:rFonts w:ascii="宋体" w:hAnsi="宋体" w:cs="宋体"/>
                <w:kern w:val="0"/>
                <w:sz w:val="24"/>
              </w:rPr>
            </w:pPr>
            <w:r>
              <w:rPr>
                <w:rFonts w:hint="eastAsia" w:ascii="宋体" w:hAnsi="宋体" w:cs="宋体"/>
                <w:sz w:val="24"/>
                <w:lang w:val="zh-CN"/>
              </w:rPr>
              <w:t>投标文件</w:t>
            </w:r>
            <w:r>
              <w:rPr>
                <w:rFonts w:hint="eastAsia" w:ascii="宋体" w:hAnsi="宋体" w:cs="宋体"/>
                <w:kern w:val="0"/>
                <w:sz w:val="24"/>
              </w:rPr>
              <w:t>有效期</w:t>
            </w:r>
          </w:p>
        </w:tc>
        <w:tc>
          <w:tcPr>
            <w:tcW w:w="5815" w:type="dxa"/>
            <w:vAlign w:val="center"/>
          </w:tcPr>
          <w:p w14:paraId="2329D97A">
            <w:pPr>
              <w:spacing w:line="288" w:lineRule="auto"/>
              <w:rPr>
                <w:rFonts w:ascii="宋体" w:hAnsi="宋体" w:cs="宋体"/>
                <w:kern w:val="0"/>
                <w:sz w:val="24"/>
              </w:rPr>
            </w:pPr>
            <w:r>
              <w:rPr>
                <w:rFonts w:hint="eastAsia" w:ascii="宋体" w:hAnsi="宋体" w:cs="宋体"/>
                <w:kern w:val="0"/>
                <w:sz w:val="24"/>
              </w:rPr>
              <w:t>满足招标文件</w:t>
            </w:r>
            <w:r>
              <w:rPr>
                <w:rFonts w:hint="eastAsia" w:ascii="宋体" w:hAnsi="宋体" w:cs="宋体"/>
                <w:sz w:val="24"/>
                <w:lang w:val="zh-CN"/>
              </w:rPr>
              <w:t>规定。</w:t>
            </w:r>
          </w:p>
        </w:tc>
      </w:tr>
      <w:tr w14:paraId="4F2D5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679" w:type="dxa"/>
            <w:vMerge w:val="continue"/>
            <w:vAlign w:val="center"/>
          </w:tcPr>
          <w:p w14:paraId="20F83C93">
            <w:pPr>
              <w:spacing w:line="288" w:lineRule="auto"/>
              <w:jc w:val="center"/>
              <w:rPr>
                <w:rFonts w:ascii="宋体" w:hAnsi="宋体" w:cs="宋体"/>
                <w:kern w:val="0"/>
                <w:sz w:val="24"/>
              </w:rPr>
            </w:pPr>
          </w:p>
        </w:tc>
        <w:tc>
          <w:tcPr>
            <w:tcW w:w="1240" w:type="dxa"/>
            <w:vMerge w:val="continue"/>
            <w:vAlign w:val="center"/>
          </w:tcPr>
          <w:p w14:paraId="0CE67D12">
            <w:pPr>
              <w:spacing w:line="288" w:lineRule="auto"/>
              <w:rPr>
                <w:rFonts w:ascii="宋体" w:hAnsi="宋体" w:cs="宋体"/>
                <w:sz w:val="24"/>
                <w:lang w:val="zh-CN"/>
              </w:rPr>
            </w:pPr>
          </w:p>
        </w:tc>
        <w:tc>
          <w:tcPr>
            <w:tcW w:w="2365" w:type="dxa"/>
            <w:vAlign w:val="center"/>
          </w:tcPr>
          <w:p w14:paraId="04953E78">
            <w:pPr>
              <w:spacing w:line="288" w:lineRule="auto"/>
              <w:rPr>
                <w:rFonts w:ascii="宋体" w:hAnsi="宋体" w:cs="宋体"/>
                <w:sz w:val="24"/>
                <w:lang w:val="zh-CN"/>
              </w:rPr>
            </w:pPr>
            <w:r>
              <w:rPr>
                <w:rFonts w:hint="eastAsia" w:ascii="宋体" w:hAnsi="宋体" w:cs="宋体"/>
                <w:sz w:val="24"/>
                <w:lang w:val="en-US" w:eastAsia="zh-CN"/>
              </w:rPr>
              <w:t>供货</w:t>
            </w:r>
            <w:r>
              <w:rPr>
                <w:rFonts w:hint="eastAsia" w:ascii="宋体" w:hAnsi="宋体" w:cs="宋体"/>
                <w:sz w:val="24"/>
                <w:lang w:val="zh-CN"/>
              </w:rPr>
              <w:t>期</w:t>
            </w:r>
          </w:p>
        </w:tc>
        <w:tc>
          <w:tcPr>
            <w:tcW w:w="5815" w:type="dxa"/>
            <w:vAlign w:val="center"/>
          </w:tcPr>
          <w:p w14:paraId="74BD6AE1">
            <w:pPr>
              <w:spacing w:line="288" w:lineRule="auto"/>
              <w:rPr>
                <w:rFonts w:ascii="宋体" w:hAnsi="宋体" w:cs="宋体"/>
                <w:sz w:val="24"/>
              </w:rPr>
            </w:pPr>
            <w:r>
              <w:rPr>
                <w:rFonts w:hint="eastAsia" w:ascii="宋体" w:hAnsi="宋体" w:cs="宋体"/>
                <w:sz w:val="24"/>
                <w:lang w:val="zh-CN"/>
              </w:rPr>
              <w:t>满足招标文件规定。</w:t>
            </w:r>
          </w:p>
        </w:tc>
      </w:tr>
      <w:tr w14:paraId="78DAC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679" w:type="dxa"/>
            <w:vMerge w:val="continue"/>
            <w:vAlign w:val="center"/>
          </w:tcPr>
          <w:p w14:paraId="323AA876">
            <w:pPr>
              <w:spacing w:line="288" w:lineRule="auto"/>
              <w:jc w:val="center"/>
              <w:rPr>
                <w:rFonts w:ascii="宋体" w:hAnsi="宋体" w:cs="宋体"/>
                <w:kern w:val="0"/>
                <w:sz w:val="24"/>
              </w:rPr>
            </w:pPr>
          </w:p>
        </w:tc>
        <w:tc>
          <w:tcPr>
            <w:tcW w:w="1240" w:type="dxa"/>
            <w:vMerge w:val="continue"/>
            <w:vAlign w:val="center"/>
          </w:tcPr>
          <w:p w14:paraId="34B18AA7">
            <w:pPr>
              <w:spacing w:line="288" w:lineRule="auto"/>
              <w:rPr>
                <w:rFonts w:ascii="宋体" w:hAnsi="宋体" w:cs="宋体"/>
                <w:sz w:val="24"/>
                <w:lang w:val="zh-CN"/>
              </w:rPr>
            </w:pPr>
          </w:p>
        </w:tc>
        <w:tc>
          <w:tcPr>
            <w:tcW w:w="2365" w:type="dxa"/>
            <w:vAlign w:val="center"/>
          </w:tcPr>
          <w:p w14:paraId="51B7933D">
            <w:pPr>
              <w:spacing w:line="288" w:lineRule="auto"/>
              <w:rPr>
                <w:rFonts w:ascii="宋体" w:hAnsi="宋体" w:cs="宋体"/>
                <w:sz w:val="24"/>
              </w:rPr>
            </w:pPr>
            <w:r>
              <w:rPr>
                <w:rFonts w:hint="eastAsia" w:ascii="宋体" w:hAnsi="宋体" w:cs="宋体"/>
                <w:sz w:val="24"/>
                <w:lang w:val="zh-CN"/>
              </w:rPr>
              <w:t>其他</w:t>
            </w:r>
          </w:p>
        </w:tc>
        <w:tc>
          <w:tcPr>
            <w:tcW w:w="5815" w:type="dxa"/>
            <w:vAlign w:val="center"/>
          </w:tcPr>
          <w:p w14:paraId="377ADDB7">
            <w:pPr>
              <w:spacing w:line="288" w:lineRule="auto"/>
              <w:rPr>
                <w:rFonts w:ascii="宋体" w:hAnsi="宋体" w:cs="宋体"/>
                <w:sz w:val="24"/>
              </w:rPr>
            </w:pPr>
            <w:r>
              <w:rPr>
                <w:rFonts w:hint="eastAsia" w:ascii="宋体" w:hAnsi="宋体" w:cs="宋体"/>
                <w:sz w:val="24"/>
                <w:lang w:val="zh-CN"/>
              </w:rPr>
              <w:t>满足招标文件相关规定。</w:t>
            </w:r>
          </w:p>
        </w:tc>
      </w:tr>
    </w:tbl>
    <w:p w14:paraId="35BEC5C6">
      <w:pPr>
        <w:spacing w:line="360" w:lineRule="auto"/>
        <w:rPr>
          <w:rFonts w:ascii="宋体" w:hAnsi="宋体" w:cs="宋体"/>
          <w:b/>
          <w:sz w:val="24"/>
        </w:rPr>
      </w:pPr>
      <w:r>
        <w:rPr>
          <w:rFonts w:hint="eastAsia" w:ascii="宋体" w:hAnsi="宋体" w:cs="宋体"/>
          <w:b/>
          <w:sz w:val="24"/>
        </w:rPr>
        <w:t>注：以上评审内容，有一项不通过者，视为投标人初步评审不通过，未通过</w:t>
      </w:r>
      <w:r>
        <w:rPr>
          <w:rFonts w:hint="eastAsia" w:ascii="宋体" w:hAnsi="宋体" w:cs="宋体"/>
          <w:b/>
          <w:sz w:val="24"/>
          <w:szCs w:val="22"/>
        </w:rPr>
        <w:t>初审</w:t>
      </w:r>
      <w:r>
        <w:rPr>
          <w:rFonts w:hint="eastAsia" w:ascii="宋体" w:hAnsi="宋体" w:cs="宋体"/>
          <w:b/>
          <w:sz w:val="24"/>
        </w:rPr>
        <w:t>的其投标文件将按照无效响应处理。</w:t>
      </w:r>
    </w:p>
    <w:p w14:paraId="6F65B1BC">
      <w:pPr>
        <w:spacing w:line="360" w:lineRule="auto"/>
        <w:rPr>
          <w:rFonts w:hint="eastAsia" w:ascii="宋体" w:hAnsi="宋体" w:cs="宋体"/>
          <w:b/>
          <w:sz w:val="24"/>
        </w:rPr>
      </w:pPr>
    </w:p>
    <w:p w14:paraId="01BFEAD2">
      <w:pPr>
        <w:spacing w:line="360" w:lineRule="auto"/>
        <w:rPr>
          <w:rFonts w:hint="eastAsia" w:ascii="宋体" w:hAnsi="宋体" w:cs="宋体"/>
          <w:b/>
          <w:sz w:val="24"/>
        </w:rPr>
      </w:pPr>
    </w:p>
    <w:p w14:paraId="0ACD1728">
      <w:pPr>
        <w:spacing w:line="360" w:lineRule="auto"/>
        <w:rPr>
          <w:rFonts w:hint="eastAsia" w:ascii="宋体" w:hAnsi="宋体" w:cs="宋体"/>
          <w:b/>
          <w:sz w:val="24"/>
        </w:rPr>
      </w:pPr>
    </w:p>
    <w:p w14:paraId="03EC9DC1">
      <w:pPr>
        <w:spacing w:line="360" w:lineRule="auto"/>
        <w:rPr>
          <w:rFonts w:hint="eastAsia" w:ascii="宋体" w:hAnsi="宋体" w:cs="宋体"/>
          <w:b/>
          <w:sz w:val="24"/>
        </w:rPr>
      </w:pPr>
    </w:p>
    <w:p w14:paraId="6D45E1FF">
      <w:pPr>
        <w:spacing w:line="360" w:lineRule="auto"/>
        <w:rPr>
          <w:rFonts w:hint="eastAsia" w:ascii="宋体" w:hAnsi="宋体" w:cs="宋体"/>
          <w:b/>
          <w:sz w:val="24"/>
        </w:rPr>
      </w:pPr>
    </w:p>
    <w:p w14:paraId="2BA6474D">
      <w:pPr>
        <w:spacing w:line="360" w:lineRule="auto"/>
        <w:rPr>
          <w:rFonts w:hint="eastAsia" w:ascii="宋体" w:hAnsi="宋体" w:cs="宋体"/>
          <w:b/>
          <w:sz w:val="24"/>
        </w:rPr>
      </w:pPr>
    </w:p>
    <w:p w14:paraId="2E66784B">
      <w:pPr>
        <w:spacing w:line="360" w:lineRule="auto"/>
        <w:rPr>
          <w:rFonts w:hint="eastAsia" w:ascii="宋体" w:hAnsi="宋体" w:cs="宋体"/>
          <w:b/>
          <w:sz w:val="24"/>
        </w:rPr>
      </w:pPr>
    </w:p>
    <w:p w14:paraId="3945ADAF">
      <w:pPr>
        <w:spacing w:line="360" w:lineRule="auto"/>
        <w:rPr>
          <w:rFonts w:hint="eastAsia" w:ascii="宋体" w:hAnsi="宋体" w:cs="宋体"/>
          <w:b/>
          <w:sz w:val="24"/>
        </w:rPr>
      </w:pPr>
    </w:p>
    <w:p w14:paraId="0DB18351">
      <w:pPr>
        <w:spacing w:line="360" w:lineRule="auto"/>
        <w:rPr>
          <w:rFonts w:hint="eastAsia" w:ascii="宋体" w:hAnsi="宋体" w:cs="宋体"/>
          <w:b/>
          <w:sz w:val="24"/>
        </w:rPr>
      </w:pPr>
    </w:p>
    <w:p w14:paraId="7954FAD3">
      <w:pPr>
        <w:pStyle w:val="9"/>
        <w:rPr>
          <w:rFonts w:hint="eastAsia" w:ascii="宋体" w:hAnsi="宋体" w:cs="宋体"/>
          <w:b/>
          <w:sz w:val="24"/>
        </w:rPr>
      </w:pPr>
    </w:p>
    <w:p w14:paraId="0DFDBF29">
      <w:pPr>
        <w:pStyle w:val="11"/>
        <w:ind w:left="0" w:leftChars="0" w:firstLine="0" w:firstLineChars="0"/>
        <w:jc w:val="both"/>
        <w:rPr>
          <w:rFonts w:hint="eastAsia"/>
        </w:rPr>
      </w:pPr>
    </w:p>
    <w:p w14:paraId="3D228546">
      <w:pPr>
        <w:spacing w:line="360" w:lineRule="auto"/>
        <w:rPr>
          <w:rFonts w:hint="eastAsia" w:ascii="宋体" w:hAnsi="宋体" w:cs="宋体"/>
          <w:b/>
          <w:sz w:val="24"/>
        </w:rPr>
      </w:pPr>
    </w:p>
    <w:p w14:paraId="578050AE">
      <w:pPr>
        <w:spacing w:line="360" w:lineRule="auto"/>
        <w:rPr>
          <w:rFonts w:ascii="宋体" w:hAnsi="宋体" w:cs="宋体"/>
          <w:b/>
          <w:sz w:val="24"/>
        </w:rPr>
      </w:pPr>
      <w:r>
        <w:rPr>
          <w:rFonts w:hint="eastAsia" w:ascii="宋体" w:hAnsi="宋体" w:cs="宋体"/>
          <w:b/>
          <w:sz w:val="24"/>
        </w:rPr>
        <w:t>3、评标办法（综合评分法）</w:t>
      </w:r>
    </w:p>
    <w:tbl>
      <w:tblPr>
        <w:tblStyle w:val="21"/>
        <w:tblW w:w="9819" w:type="dxa"/>
        <w:tblInd w:w="96" w:type="dxa"/>
        <w:tblLayout w:type="fixed"/>
        <w:tblCellMar>
          <w:top w:w="0" w:type="dxa"/>
          <w:left w:w="108" w:type="dxa"/>
          <w:bottom w:w="0" w:type="dxa"/>
          <w:right w:w="108" w:type="dxa"/>
        </w:tblCellMar>
      </w:tblPr>
      <w:tblGrid>
        <w:gridCol w:w="580"/>
        <w:gridCol w:w="855"/>
        <w:gridCol w:w="1081"/>
        <w:gridCol w:w="6523"/>
        <w:gridCol w:w="780"/>
      </w:tblGrid>
      <w:tr w14:paraId="46C7AA25">
        <w:tblPrEx>
          <w:tblCellMar>
            <w:top w:w="0" w:type="dxa"/>
            <w:left w:w="108" w:type="dxa"/>
            <w:bottom w:w="0" w:type="dxa"/>
            <w:right w:w="108" w:type="dxa"/>
          </w:tblCellMar>
        </w:tblPrEx>
        <w:trPr>
          <w:trHeight w:val="675" w:hRule="atLeast"/>
        </w:trPr>
        <w:tc>
          <w:tcPr>
            <w:tcW w:w="580" w:type="dxa"/>
            <w:tcBorders>
              <w:top w:val="single" w:color="auto" w:sz="4" w:space="0"/>
              <w:left w:val="single" w:color="auto" w:sz="4" w:space="0"/>
              <w:bottom w:val="single" w:color="auto" w:sz="4" w:space="0"/>
              <w:right w:val="single" w:color="auto" w:sz="4" w:space="0"/>
            </w:tcBorders>
            <w:vAlign w:val="center"/>
          </w:tcPr>
          <w:p w14:paraId="235E34CF">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序号</w:t>
            </w:r>
          </w:p>
        </w:tc>
        <w:tc>
          <w:tcPr>
            <w:tcW w:w="855" w:type="dxa"/>
            <w:tcBorders>
              <w:top w:val="single" w:color="auto" w:sz="4" w:space="0"/>
              <w:left w:val="nil"/>
              <w:bottom w:val="single" w:color="auto" w:sz="4" w:space="0"/>
              <w:right w:val="single" w:color="auto" w:sz="4" w:space="0"/>
            </w:tcBorders>
            <w:vAlign w:val="center"/>
          </w:tcPr>
          <w:p w14:paraId="35B275D4">
            <w:pPr>
              <w:widowControl/>
              <w:spacing w:line="360" w:lineRule="auto"/>
              <w:jc w:val="center"/>
              <w:rPr>
                <w:rFonts w:hint="eastAsia" w:asciiTheme="minorEastAsia" w:hAnsiTheme="minorEastAsia" w:eastAsiaTheme="minorEastAsia" w:cstheme="minorEastAsia"/>
                <w:kern w:val="0"/>
                <w:sz w:val="24"/>
                <w:lang w:eastAsia="zh-CN"/>
              </w:rPr>
            </w:pPr>
            <w:r>
              <w:rPr>
                <w:rFonts w:hint="eastAsia" w:asciiTheme="minorEastAsia" w:hAnsiTheme="minorEastAsia" w:eastAsiaTheme="minorEastAsia" w:cstheme="minorEastAsia"/>
                <w:kern w:val="0"/>
                <w:sz w:val="24"/>
                <w:lang w:val="en-US" w:eastAsia="zh-CN"/>
              </w:rPr>
              <w:t>分值</w:t>
            </w:r>
          </w:p>
        </w:tc>
        <w:tc>
          <w:tcPr>
            <w:tcW w:w="1081" w:type="dxa"/>
            <w:tcBorders>
              <w:top w:val="single" w:color="auto" w:sz="4" w:space="0"/>
              <w:left w:val="nil"/>
              <w:bottom w:val="single" w:color="auto" w:sz="4" w:space="0"/>
              <w:right w:val="single" w:color="auto" w:sz="4" w:space="0"/>
            </w:tcBorders>
            <w:vAlign w:val="center"/>
          </w:tcPr>
          <w:p w14:paraId="4897AE02">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评审</w:t>
            </w:r>
          </w:p>
          <w:p w14:paraId="3438EC09">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指标</w:t>
            </w:r>
          </w:p>
        </w:tc>
        <w:tc>
          <w:tcPr>
            <w:tcW w:w="6523" w:type="dxa"/>
            <w:tcBorders>
              <w:top w:val="single" w:color="auto" w:sz="4" w:space="0"/>
              <w:left w:val="nil"/>
              <w:bottom w:val="single" w:color="auto" w:sz="4" w:space="0"/>
              <w:right w:val="single" w:color="auto" w:sz="4" w:space="0"/>
            </w:tcBorders>
            <w:vAlign w:val="center"/>
          </w:tcPr>
          <w:p w14:paraId="059FE4CA">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评分标准</w:t>
            </w:r>
          </w:p>
        </w:tc>
        <w:tc>
          <w:tcPr>
            <w:tcW w:w="780" w:type="dxa"/>
            <w:tcBorders>
              <w:top w:val="single" w:color="auto" w:sz="4" w:space="0"/>
              <w:left w:val="nil"/>
              <w:bottom w:val="single" w:color="auto" w:sz="4" w:space="0"/>
              <w:right w:val="single" w:color="auto" w:sz="4" w:space="0"/>
            </w:tcBorders>
            <w:vAlign w:val="center"/>
          </w:tcPr>
          <w:p w14:paraId="5D27F28F">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分值</w:t>
            </w:r>
          </w:p>
          <w:p w14:paraId="353D0D0B">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范围</w:t>
            </w:r>
          </w:p>
        </w:tc>
      </w:tr>
      <w:tr w14:paraId="06EA6112">
        <w:tblPrEx>
          <w:tblCellMar>
            <w:top w:w="0" w:type="dxa"/>
            <w:left w:w="108" w:type="dxa"/>
            <w:bottom w:w="0" w:type="dxa"/>
            <w:right w:w="108" w:type="dxa"/>
          </w:tblCellMar>
        </w:tblPrEx>
        <w:trPr>
          <w:trHeight w:val="1302" w:hRule="atLeast"/>
        </w:trPr>
        <w:tc>
          <w:tcPr>
            <w:tcW w:w="580" w:type="dxa"/>
            <w:tcBorders>
              <w:top w:val="nil"/>
              <w:left w:val="single" w:color="auto" w:sz="4" w:space="0"/>
              <w:bottom w:val="single" w:color="auto" w:sz="4" w:space="0"/>
              <w:right w:val="single" w:color="auto" w:sz="4" w:space="0"/>
            </w:tcBorders>
            <w:vAlign w:val="center"/>
          </w:tcPr>
          <w:p w14:paraId="370E7351">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w:t>
            </w:r>
          </w:p>
        </w:tc>
        <w:tc>
          <w:tcPr>
            <w:tcW w:w="855" w:type="dxa"/>
            <w:tcBorders>
              <w:top w:val="nil"/>
              <w:left w:val="nil"/>
              <w:bottom w:val="single" w:color="auto" w:sz="4" w:space="0"/>
              <w:right w:val="single" w:color="auto" w:sz="4" w:space="0"/>
            </w:tcBorders>
            <w:vAlign w:val="center"/>
          </w:tcPr>
          <w:p w14:paraId="1C10D500">
            <w:pPr>
              <w:spacing w:line="360" w:lineRule="auto"/>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rPr>
              <w:t>报价</w:t>
            </w:r>
            <w:r>
              <w:rPr>
                <w:rFonts w:hint="eastAsia" w:asciiTheme="minorEastAsia" w:hAnsiTheme="minorEastAsia" w:eastAsiaTheme="minorEastAsia" w:cstheme="minorEastAsia"/>
                <w:kern w:val="0"/>
                <w:sz w:val="24"/>
                <w:lang w:val="en-US" w:eastAsia="zh-CN"/>
              </w:rPr>
              <w:t>30分</w:t>
            </w:r>
          </w:p>
        </w:tc>
        <w:tc>
          <w:tcPr>
            <w:tcW w:w="1081" w:type="dxa"/>
            <w:tcBorders>
              <w:top w:val="nil"/>
              <w:left w:val="nil"/>
              <w:bottom w:val="single" w:color="auto" w:sz="4" w:space="0"/>
              <w:right w:val="single" w:color="auto" w:sz="4" w:space="0"/>
            </w:tcBorders>
            <w:vAlign w:val="center"/>
          </w:tcPr>
          <w:p w14:paraId="06ED417D">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商务报价</w:t>
            </w:r>
          </w:p>
        </w:tc>
        <w:tc>
          <w:tcPr>
            <w:tcW w:w="6523" w:type="dxa"/>
            <w:tcBorders>
              <w:top w:val="single" w:color="auto" w:sz="4" w:space="0"/>
              <w:left w:val="nil"/>
              <w:bottom w:val="single" w:color="auto" w:sz="4" w:space="0"/>
              <w:right w:val="single" w:color="auto" w:sz="4" w:space="0"/>
            </w:tcBorders>
            <w:vAlign w:val="center"/>
          </w:tcPr>
          <w:p w14:paraId="1B82CE49">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满足招标文件要求且投标价格最低的投标报价为评标基准价，其价格分为满分。其他投标人的价格分统一按照下列公式计算：投标报价得分=(评标基准价／投标报价)×30%×100</w:t>
            </w:r>
          </w:p>
        </w:tc>
        <w:tc>
          <w:tcPr>
            <w:tcW w:w="780" w:type="dxa"/>
            <w:tcBorders>
              <w:top w:val="single" w:color="auto" w:sz="4" w:space="0"/>
              <w:left w:val="nil"/>
              <w:bottom w:val="single" w:color="auto" w:sz="4" w:space="0"/>
              <w:right w:val="single" w:color="auto" w:sz="4" w:space="0"/>
            </w:tcBorders>
            <w:vAlign w:val="center"/>
          </w:tcPr>
          <w:p w14:paraId="318A3FE6">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30</w:t>
            </w:r>
          </w:p>
        </w:tc>
      </w:tr>
      <w:tr w14:paraId="7E8AB4ED">
        <w:tblPrEx>
          <w:tblCellMar>
            <w:top w:w="0" w:type="dxa"/>
            <w:left w:w="108" w:type="dxa"/>
            <w:bottom w:w="0" w:type="dxa"/>
            <w:right w:w="108" w:type="dxa"/>
          </w:tblCellMar>
        </w:tblPrEx>
        <w:trPr>
          <w:trHeight w:val="570" w:hRule="atLeast"/>
        </w:trPr>
        <w:tc>
          <w:tcPr>
            <w:tcW w:w="580" w:type="dxa"/>
            <w:vMerge w:val="restart"/>
            <w:tcBorders>
              <w:top w:val="single" w:color="auto" w:sz="4" w:space="0"/>
              <w:left w:val="single" w:color="auto" w:sz="4" w:space="0"/>
              <w:right w:val="single" w:color="auto" w:sz="4" w:space="0"/>
            </w:tcBorders>
            <w:vAlign w:val="center"/>
          </w:tcPr>
          <w:p w14:paraId="127A77FE">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855" w:type="dxa"/>
            <w:vMerge w:val="restart"/>
            <w:tcBorders>
              <w:top w:val="single" w:color="auto" w:sz="4" w:space="0"/>
              <w:left w:val="single" w:color="auto" w:sz="4" w:space="0"/>
              <w:bottom w:val="single" w:color="auto" w:sz="4" w:space="0"/>
              <w:right w:val="single" w:color="auto" w:sz="4" w:space="0"/>
            </w:tcBorders>
            <w:vAlign w:val="center"/>
          </w:tcPr>
          <w:p w14:paraId="17916814">
            <w:pPr>
              <w:spacing w:line="360" w:lineRule="auto"/>
              <w:rPr>
                <w:rFonts w:asciiTheme="minorEastAsia" w:hAnsiTheme="minorEastAsia" w:eastAsiaTheme="minorEastAsia" w:cstheme="minorEastAsia"/>
                <w:kern w:val="0"/>
                <w:sz w:val="24"/>
              </w:rPr>
            </w:pPr>
          </w:p>
          <w:p w14:paraId="3C635749">
            <w:pPr>
              <w:rPr>
                <w:rFonts w:asciiTheme="minorEastAsia" w:hAnsiTheme="minorEastAsia" w:eastAsiaTheme="minorEastAsia" w:cstheme="minorEastAsia"/>
                <w:kern w:val="0"/>
                <w:sz w:val="24"/>
              </w:rPr>
            </w:pPr>
          </w:p>
          <w:p w14:paraId="39ACD7EE">
            <w:pPr>
              <w:jc w:val="center"/>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商务</w:t>
            </w:r>
          </w:p>
          <w:p w14:paraId="06E43D74">
            <w:pPr>
              <w:pStyle w:val="8"/>
              <w:outlineLvl w:val="9"/>
              <w:rPr>
                <w:rFonts w:hint="default" w:asciiTheme="minorEastAsia" w:hAnsiTheme="minorEastAsia" w:eastAsiaTheme="minorEastAsia" w:cstheme="minorEastAsia"/>
                <w:b w:val="0"/>
                <w:bCs w:val="0"/>
                <w:kern w:val="0"/>
                <w:sz w:val="24"/>
                <w:szCs w:val="24"/>
                <w:lang w:val="en-US" w:eastAsia="zh-CN"/>
              </w:rPr>
            </w:pPr>
            <w:r>
              <w:rPr>
                <w:rFonts w:hint="eastAsia" w:asciiTheme="minorEastAsia" w:hAnsiTheme="minorEastAsia" w:eastAsiaTheme="minorEastAsia" w:cstheme="minorEastAsia"/>
                <w:b w:val="0"/>
                <w:bCs w:val="0"/>
                <w:kern w:val="0"/>
                <w:sz w:val="24"/>
                <w:szCs w:val="24"/>
                <w:lang w:val="en-US" w:eastAsia="zh-CN"/>
              </w:rPr>
              <w:t>12分</w:t>
            </w:r>
          </w:p>
        </w:tc>
        <w:tc>
          <w:tcPr>
            <w:tcW w:w="1081" w:type="dxa"/>
            <w:tcBorders>
              <w:top w:val="single" w:color="auto" w:sz="4" w:space="0"/>
              <w:left w:val="single" w:color="auto" w:sz="4" w:space="0"/>
              <w:bottom w:val="single" w:color="auto" w:sz="4" w:space="0"/>
              <w:right w:val="single" w:color="auto" w:sz="4" w:space="0"/>
            </w:tcBorders>
            <w:vAlign w:val="center"/>
          </w:tcPr>
          <w:p w14:paraId="4949B4FE">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质保期限</w:t>
            </w:r>
          </w:p>
        </w:tc>
        <w:tc>
          <w:tcPr>
            <w:tcW w:w="6523" w:type="dxa"/>
            <w:tcBorders>
              <w:top w:val="single" w:color="auto" w:sz="4" w:space="0"/>
              <w:left w:val="single" w:color="auto" w:sz="4" w:space="0"/>
              <w:bottom w:val="single" w:color="auto" w:sz="4" w:space="0"/>
              <w:right w:val="single" w:color="auto" w:sz="4" w:space="0"/>
            </w:tcBorders>
            <w:vAlign w:val="center"/>
          </w:tcPr>
          <w:p w14:paraId="6EDC8C39">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承诺</w:t>
            </w:r>
            <w:r>
              <w:rPr>
                <w:rFonts w:asciiTheme="minorEastAsia" w:hAnsiTheme="minorEastAsia" w:eastAsiaTheme="minorEastAsia" w:cstheme="minorEastAsia"/>
                <w:kern w:val="0"/>
                <w:sz w:val="24"/>
                <w:lang w:val="en-US" w:eastAsia="zh-CN"/>
              </w:rPr>
              <w:t>质保期不少于</w:t>
            </w:r>
            <w:r>
              <w:rPr>
                <w:rFonts w:hint="eastAsia" w:asciiTheme="minorEastAsia" w:hAnsiTheme="minorEastAsia" w:eastAsiaTheme="minorEastAsia" w:cstheme="minorEastAsia"/>
                <w:kern w:val="0"/>
                <w:sz w:val="24"/>
                <w:lang w:val="en-US" w:eastAsia="zh-CN"/>
              </w:rPr>
              <w:t>3</w:t>
            </w:r>
            <w:r>
              <w:rPr>
                <w:rFonts w:asciiTheme="minorEastAsia" w:hAnsiTheme="minorEastAsia" w:eastAsiaTheme="minorEastAsia" w:cstheme="minorEastAsia"/>
                <w:kern w:val="0"/>
                <w:sz w:val="24"/>
                <w:lang w:val="en-US" w:eastAsia="zh-CN"/>
              </w:rPr>
              <w:t>年，每多</w:t>
            </w:r>
            <w:r>
              <w:rPr>
                <w:rFonts w:hint="default" w:asciiTheme="minorEastAsia" w:hAnsiTheme="minorEastAsia" w:eastAsiaTheme="minorEastAsia" w:cstheme="minorEastAsia"/>
                <w:kern w:val="0"/>
                <w:sz w:val="24"/>
                <w:lang w:val="en-US" w:eastAsia="zh-CN"/>
              </w:rPr>
              <w:t>1</w:t>
            </w:r>
            <w:r>
              <w:rPr>
                <w:rFonts w:asciiTheme="minorEastAsia" w:hAnsiTheme="minorEastAsia" w:eastAsiaTheme="minorEastAsia" w:cstheme="minorEastAsia"/>
                <w:kern w:val="0"/>
                <w:sz w:val="24"/>
                <w:lang w:val="en-US" w:eastAsia="zh-CN"/>
              </w:rPr>
              <w:t>年得</w:t>
            </w:r>
            <w:r>
              <w:rPr>
                <w:rFonts w:hint="default" w:asciiTheme="minorEastAsia" w:hAnsiTheme="minorEastAsia" w:eastAsiaTheme="minorEastAsia" w:cstheme="minorEastAsia"/>
                <w:kern w:val="0"/>
                <w:sz w:val="24"/>
                <w:lang w:val="en-US" w:eastAsia="zh-CN"/>
              </w:rPr>
              <w:t>1</w:t>
            </w:r>
            <w:r>
              <w:rPr>
                <w:rFonts w:asciiTheme="minorEastAsia" w:hAnsiTheme="minorEastAsia" w:eastAsiaTheme="minorEastAsia" w:cstheme="minorEastAsia"/>
                <w:kern w:val="0"/>
                <w:sz w:val="24"/>
                <w:lang w:val="en-US" w:eastAsia="zh-CN"/>
              </w:rPr>
              <w:t>分，最多得</w:t>
            </w:r>
            <w:r>
              <w:rPr>
                <w:rFonts w:hint="default" w:asciiTheme="minorEastAsia" w:hAnsiTheme="minorEastAsia" w:eastAsiaTheme="minorEastAsia" w:cstheme="minorEastAsia"/>
                <w:kern w:val="0"/>
                <w:sz w:val="24"/>
                <w:lang w:val="en-US" w:eastAsia="zh-CN"/>
              </w:rPr>
              <w:t>2</w:t>
            </w:r>
            <w:r>
              <w:rPr>
                <w:rFonts w:asciiTheme="minorEastAsia" w:hAnsiTheme="minorEastAsia" w:eastAsiaTheme="minorEastAsia" w:cstheme="minorEastAsia"/>
                <w:kern w:val="0"/>
                <w:sz w:val="24"/>
                <w:lang w:val="en-US" w:eastAsia="zh-CN"/>
              </w:rPr>
              <w:t>分。</w:t>
            </w:r>
          </w:p>
        </w:tc>
        <w:tc>
          <w:tcPr>
            <w:tcW w:w="780" w:type="dxa"/>
            <w:tcBorders>
              <w:top w:val="nil"/>
              <w:left w:val="nil"/>
              <w:bottom w:val="single" w:color="auto" w:sz="4" w:space="0"/>
              <w:right w:val="single" w:color="auto" w:sz="4" w:space="0"/>
            </w:tcBorders>
            <w:vAlign w:val="center"/>
          </w:tcPr>
          <w:p w14:paraId="5BEB476D">
            <w:pPr>
              <w:spacing w:line="360" w:lineRule="auto"/>
              <w:jc w:val="center"/>
              <w:rPr>
                <w:rFonts w:hint="eastAsia" w:asciiTheme="minorEastAsia" w:hAnsiTheme="minorEastAsia" w:eastAsiaTheme="minorEastAsia" w:cstheme="minorEastAsia"/>
                <w:kern w:val="0"/>
                <w:sz w:val="24"/>
                <w:lang w:eastAsia="zh-CN"/>
              </w:rPr>
            </w:pPr>
            <w:r>
              <w:rPr>
                <w:rFonts w:hint="eastAsia" w:asciiTheme="minorEastAsia" w:hAnsiTheme="minorEastAsia" w:eastAsiaTheme="minorEastAsia" w:cstheme="minorEastAsia"/>
                <w:kern w:val="0"/>
                <w:sz w:val="24"/>
                <w:lang w:val="en-US" w:eastAsia="zh-CN"/>
              </w:rPr>
              <w:t>2</w:t>
            </w:r>
          </w:p>
        </w:tc>
      </w:tr>
      <w:tr w14:paraId="206CC28D">
        <w:tblPrEx>
          <w:tblCellMar>
            <w:top w:w="0" w:type="dxa"/>
            <w:left w:w="108" w:type="dxa"/>
            <w:bottom w:w="0" w:type="dxa"/>
            <w:right w:w="108" w:type="dxa"/>
          </w:tblCellMar>
        </w:tblPrEx>
        <w:trPr>
          <w:trHeight w:val="570" w:hRule="atLeast"/>
        </w:trPr>
        <w:tc>
          <w:tcPr>
            <w:tcW w:w="580" w:type="dxa"/>
            <w:vMerge w:val="continue"/>
            <w:tcBorders>
              <w:left w:val="single" w:color="auto" w:sz="4" w:space="0"/>
              <w:right w:val="single" w:color="auto" w:sz="4" w:space="0"/>
            </w:tcBorders>
            <w:vAlign w:val="center"/>
          </w:tcPr>
          <w:p w14:paraId="19296EE5">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6B2A7E84">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641C3EF8">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业绩</w:t>
            </w:r>
          </w:p>
        </w:tc>
        <w:tc>
          <w:tcPr>
            <w:tcW w:w="6523" w:type="dxa"/>
            <w:tcBorders>
              <w:top w:val="single" w:color="auto" w:sz="4" w:space="0"/>
              <w:left w:val="single" w:color="auto" w:sz="4" w:space="0"/>
              <w:bottom w:val="single" w:color="auto" w:sz="4" w:space="0"/>
              <w:right w:val="single" w:color="auto" w:sz="4" w:space="0"/>
            </w:tcBorders>
            <w:vAlign w:val="center"/>
          </w:tcPr>
          <w:p w14:paraId="711ABDE9">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投标产品近三年20</w:t>
            </w:r>
            <w:r>
              <w:rPr>
                <w:rFonts w:hint="eastAsia" w:asciiTheme="minorEastAsia" w:hAnsiTheme="minorEastAsia" w:eastAsiaTheme="minorEastAsia" w:cstheme="minorEastAsia"/>
                <w:kern w:val="0"/>
                <w:sz w:val="24"/>
                <w:lang w:val="en-US" w:eastAsia="zh-CN"/>
              </w:rPr>
              <w:t>22</w:t>
            </w:r>
            <w:r>
              <w:rPr>
                <w:rFonts w:hint="eastAsia" w:asciiTheme="minorEastAsia" w:hAnsiTheme="minorEastAsia" w:eastAsiaTheme="minorEastAsia" w:cstheme="minorEastAsia"/>
                <w:kern w:val="0"/>
                <w:sz w:val="24"/>
              </w:rPr>
              <w:t>年1月1日</w:t>
            </w:r>
            <w:r>
              <w:rPr>
                <w:rFonts w:hint="eastAsia" w:asciiTheme="minorEastAsia" w:hAnsiTheme="minorEastAsia" w:eastAsiaTheme="minorEastAsia" w:cstheme="minorEastAsia"/>
                <w:kern w:val="0"/>
                <w:sz w:val="24"/>
                <w:lang w:val="en-US" w:eastAsia="zh-CN"/>
              </w:rPr>
              <w:t>至今</w:t>
            </w:r>
            <w:r>
              <w:rPr>
                <w:rFonts w:hint="eastAsia" w:asciiTheme="minorEastAsia" w:hAnsiTheme="minorEastAsia" w:eastAsiaTheme="minorEastAsia" w:cstheme="minorEastAsia"/>
                <w:kern w:val="0"/>
                <w:sz w:val="24"/>
              </w:rPr>
              <w:t>的销售业绩，每提供1项业绩得</w:t>
            </w:r>
            <w:r>
              <w:rPr>
                <w:rFonts w:hint="eastAsia" w:asciiTheme="minorEastAsia" w:hAnsiTheme="minorEastAsia" w:eastAsiaTheme="minorEastAsia" w:cstheme="minorEastAsia"/>
                <w:kern w:val="0"/>
                <w:sz w:val="24"/>
                <w:lang w:val="en-US" w:eastAsia="zh-CN"/>
              </w:rPr>
              <w:t>1</w:t>
            </w:r>
            <w:r>
              <w:rPr>
                <w:rFonts w:hint="eastAsia" w:asciiTheme="minorEastAsia" w:hAnsiTheme="minorEastAsia" w:eastAsiaTheme="minorEastAsia" w:cstheme="minorEastAsia"/>
                <w:kern w:val="0"/>
                <w:sz w:val="24"/>
              </w:rPr>
              <w:t>分，满分</w:t>
            </w:r>
            <w:r>
              <w:rPr>
                <w:rFonts w:hint="eastAsia" w:asciiTheme="minorEastAsia" w:hAnsiTheme="minorEastAsia" w:eastAsiaTheme="minorEastAsia" w:cstheme="minorEastAsia"/>
                <w:kern w:val="0"/>
                <w:sz w:val="24"/>
                <w:lang w:val="en-US" w:eastAsia="zh-CN"/>
              </w:rPr>
              <w:t>5</w:t>
            </w:r>
            <w:r>
              <w:rPr>
                <w:rFonts w:hint="eastAsia" w:asciiTheme="minorEastAsia" w:hAnsiTheme="minorEastAsia" w:eastAsiaTheme="minorEastAsia" w:cstheme="minorEastAsia"/>
                <w:kern w:val="0"/>
                <w:sz w:val="24"/>
              </w:rPr>
              <w:t>分。以投标人提供的相关业绩证明资料如合同或者中标通知书复印件为准，未提供证明资料的，不计分。</w:t>
            </w:r>
          </w:p>
        </w:tc>
        <w:tc>
          <w:tcPr>
            <w:tcW w:w="780" w:type="dxa"/>
            <w:tcBorders>
              <w:top w:val="nil"/>
              <w:left w:val="nil"/>
              <w:bottom w:val="single" w:color="auto" w:sz="4" w:space="0"/>
              <w:right w:val="single" w:color="auto" w:sz="4" w:space="0"/>
            </w:tcBorders>
            <w:vAlign w:val="center"/>
          </w:tcPr>
          <w:p w14:paraId="1B0DAADB">
            <w:pPr>
              <w:spacing w:line="360" w:lineRule="auto"/>
              <w:jc w:val="center"/>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5</w:t>
            </w:r>
          </w:p>
        </w:tc>
      </w:tr>
      <w:tr w14:paraId="04AA8C41">
        <w:tblPrEx>
          <w:tblCellMar>
            <w:top w:w="0" w:type="dxa"/>
            <w:left w:w="108" w:type="dxa"/>
            <w:bottom w:w="0" w:type="dxa"/>
            <w:right w:w="108" w:type="dxa"/>
          </w:tblCellMar>
        </w:tblPrEx>
        <w:trPr>
          <w:trHeight w:val="570" w:hRule="atLeast"/>
        </w:trPr>
        <w:tc>
          <w:tcPr>
            <w:tcW w:w="580" w:type="dxa"/>
            <w:vMerge w:val="continue"/>
            <w:tcBorders>
              <w:left w:val="single" w:color="auto" w:sz="4" w:space="0"/>
              <w:right w:val="single" w:color="auto" w:sz="4" w:space="0"/>
            </w:tcBorders>
            <w:vAlign w:val="center"/>
          </w:tcPr>
          <w:p w14:paraId="774D9DDB">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1CB9D5BE">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0C69A858">
            <w:pPr>
              <w:spacing w:line="360" w:lineRule="auto"/>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lang w:val="en-US" w:eastAsia="zh-CN"/>
              </w:rPr>
              <w:t>反馈意见</w:t>
            </w:r>
          </w:p>
        </w:tc>
        <w:tc>
          <w:tcPr>
            <w:tcW w:w="6523" w:type="dxa"/>
            <w:tcBorders>
              <w:top w:val="single" w:color="auto" w:sz="4" w:space="0"/>
              <w:left w:val="single" w:color="auto" w:sz="4" w:space="0"/>
              <w:bottom w:val="single" w:color="auto" w:sz="4" w:space="0"/>
              <w:right w:val="single" w:color="auto" w:sz="4" w:space="0"/>
            </w:tcBorders>
            <w:vAlign w:val="center"/>
          </w:tcPr>
          <w:p w14:paraId="57B77F45">
            <w:pPr>
              <w:spacing w:line="360" w:lineRule="auto"/>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rPr>
              <w:t>自202</w:t>
            </w:r>
            <w:r>
              <w:rPr>
                <w:rFonts w:hint="eastAsia" w:asciiTheme="minorEastAsia" w:hAnsiTheme="minorEastAsia" w:eastAsiaTheme="minorEastAsia" w:cstheme="minorEastAsia"/>
                <w:kern w:val="0"/>
                <w:sz w:val="24"/>
                <w:lang w:val="en-US" w:eastAsia="zh-CN"/>
              </w:rPr>
              <w:t>2</w:t>
            </w:r>
            <w:r>
              <w:rPr>
                <w:rFonts w:hint="eastAsia" w:asciiTheme="minorEastAsia" w:hAnsiTheme="minorEastAsia" w:eastAsiaTheme="minorEastAsia" w:cstheme="minorEastAsia"/>
                <w:kern w:val="0"/>
                <w:sz w:val="24"/>
              </w:rPr>
              <w:t>年1月1日起采购人对供应商承担过同类项目业绩服务反馈意见良好，每提供1份得1分，最高得</w:t>
            </w:r>
            <w:r>
              <w:rPr>
                <w:rFonts w:hint="eastAsia" w:asciiTheme="minorEastAsia" w:hAnsiTheme="minorEastAsia" w:eastAsiaTheme="minorEastAsia" w:cstheme="minorEastAsia"/>
                <w:kern w:val="0"/>
                <w:sz w:val="24"/>
                <w:lang w:val="en-US" w:eastAsia="zh-CN"/>
              </w:rPr>
              <w:t>5</w:t>
            </w:r>
            <w:r>
              <w:rPr>
                <w:rFonts w:hint="eastAsia" w:asciiTheme="minorEastAsia" w:hAnsiTheme="minorEastAsia" w:eastAsiaTheme="minorEastAsia" w:cstheme="minorEastAsia"/>
                <w:kern w:val="0"/>
                <w:sz w:val="24"/>
              </w:rPr>
              <w:t>分（附相关证明材料加盖公章,同一项目只限提供一份）</w:t>
            </w:r>
            <w:r>
              <w:rPr>
                <w:rFonts w:hint="eastAsia" w:asciiTheme="minorEastAsia" w:hAnsiTheme="minorEastAsia" w:eastAsiaTheme="minorEastAsia" w:cstheme="minorEastAsia"/>
                <w:kern w:val="0"/>
                <w:sz w:val="24"/>
                <w:lang w:eastAsia="zh-CN"/>
              </w:rPr>
              <w:t>。</w:t>
            </w:r>
          </w:p>
        </w:tc>
        <w:tc>
          <w:tcPr>
            <w:tcW w:w="780" w:type="dxa"/>
            <w:tcBorders>
              <w:top w:val="nil"/>
              <w:left w:val="nil"/>
              <w:bottom w:val="single" w:color="auto" w:sz="4" w:space="0"/>
              <w:right w:val="single" w:color="auto" w:sz="4" w:space="0"/>
            </w:tcBorders>
            <w:vAlign w:val="center"/>
          </w:tcPr>
          <w:p w14:paraId="2C6FCCB5">
            <w:pPr>
              <w:spacing w:line="360" w:lineRule="auto"/>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lang w:val="en-US" w:eastAsia="zh-CN"/>
              </w:rPr>
              <w:t>5</w:t>
            </w:r>
          </w:p>
        </w:tc>
      </w:tr>
      <w:tr w14:paraId="0411C7A7">
        <w:tblPrEx>
          <w:tblCellMar>
            <w:top w:w="0" w:type="dxa"/>
            <w:left w:w="108" w:type="dxa"/>
            <w:bottom w:w="0" w:type="dxa"/>
            <w:right w:w="108" w:type="dxa"/>
          </w:tblCellMar>
        </w:tblPrEx>
        <w:trPr>
          <w:trHeight w:val="2239" w:hRule="atLeast"/>
        </w:trPr>
        <w:tc>
          <w:tcPr>
            <w:tcW w:w="580" w:type="dxa"/>
            <w:vMerge w:val="restart"/>
            <w:tcBorders>
              <w:top w:val="single" w:color="auto" w:sz="4" w:space="0"/>
              <w:left w:val="single" w:color="auto" w:sz="4" w:space="0"/>
              <w:right w:val="single" w:color="auto" w:sz="4" w:space="0"/>
            </w:tcBorders>
            <w:vAlign w:val="center"/>
          </w:tcPr>
          <w:p w14:paraId="1AAEC45E">
            <w:pPr>
              <w:widowControl/>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855" w:type="dxa"/>
            <w:vMerge w:val="restart"/>
            <w:tcBorders>
              <w:top w:val="single" w:color="auto" w:sz="4" w:space="0"/>
              <w:left w:val="single" w:color="auto" w:sz="4" w:space="0"/>
              <w:bottom w:val="single" w:color="auto" w:sz="4" w:space="0"/>
              <w:right w:val="single" w:color="auto" w:sz="4" w:space="0"/>
            </w:tcBorders>
            <w:vAlign w:val="center"/>
          </w:tcPr>
          <w:p w14:paraId="53B7617B">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技术</w:t>
            </w:r>
          </w:p>
          <w:p w14:paraId="3B367FC8">
            <w:pPr>
              <w:spacing w:line="360" w:lineRule="auto"/>
              <w:rPr>
                <w:rFonts w:hint="default" w:eastAsia="宋体"/>
                <w:lang w:val="en-US" w:eastAsia="zh-CN"/>
              </w:rPr>
            </w:pPr>
            <w:r>
              <w:rPr>
                <w:rFonts w:hint="eastAsia"/>
                <w:lang w:val="en-US" w:eastAsia="zh-CN"/>
              </w:rPr>
              <w:t>58分</w:t>
            </w:r>
          </w:p>
        </w:tc>
        <w:tc>
          <w:tcPr>
            <w:tcW w:w="1081" w:type="dxa"/>
            <w:tcBorders>
              <w:top w:val="single" w:color="auto" w:sz="4" w:space="0"/>
              <w:left w:val="single" w:color="auto" w:sz="4" w:space="0"/>
              <w:bottom w:val="single" w:color="auto" w:sz="4" w:space="0"/>
              <w:right w:val="single" w:color="auto" w:sz="4" w:space="0"/>
            </w:tcBorders>
            <w:vAlign w:val="center"/>
          </w:tcPr>
          <w:p w14:paraId="486400FF">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产品性能</w:t>
            </w:r>
          </w:p>
        </w:tc>
        <w:tc>
          <w:tcPr>
            <w:tcW w:w="6523" w:type="dxa"/>
            <w:tcBorders>
              <w:top w:val="nil"/>
              <w:left w:val="nil"/>
              <w:bottom w:val="single" w:color="auto" w:sz="4" w:space="0"/>
              <w:right w:val="single" w:color="auto" w:sz="4" w:space="0"/>
            </w:tcBorders>
            <w:vAlign w:val="center"/>
          </w:tcPr>
          <w:p w14:paraId="7C702B4E">
            <w:pPr>
              <w:spacing w:line="360" w:lineRule="auto"/>
              <w:rPr>
                <w:rFonts w:asciiTheme="minorEastAsia" w:hAnsiTheme="minorEastAsia" w:eastAsiaTheme="minorEastAsia" w:cstheme="minorEastAsia"/>
                <w:kern w:val="0"/>
                <w:sz w:val="24"/>
              </w:rPr>
            </w:pPr>
            <w:r>
              <w:rPr>
                <w:rFonts w:asciiTheme="minorEastAsia" w:hAnsiTheme="minorEastAsia" w:eastAsiaTheme="minorEastAsia" w:cstheme="minorEastAsia"/>
                <w:kern w:val="0"/>
                <w:sz w:val="24"/>
                <w:lang w:val="en-US" w:eastAsia="zh-CN"/>
              </w:rPr>
              <w:t>根据投标人的产品技术规格、参数响应程度打分，所投产品所有技术参数</w:t>
            </w:r>
            <w:r>
              <w:rPr>
                <w:rFonts w:hint="default" w:asciiTheme="minorEastAsia" w:hAnsiTheme="minorEastAsia" w:eastAsiaTheme="minorEastAsia" w:cstheme="minorEastAsia"/>
                <w:kern w:val="0"/>
                <w:sz w:val="24"/>
                <w:lang w:val="en-US" w:eastAsia="zh-CN"/>
              </w:rPr>
              <w:t>全部满足的招标文件要求的得基本分</w:t>
            </w:r>
            <w:r>
              <w:rPr>
                <w:rFonts w:hint="eastAsia" w:asciiTheme="minorEastAsia" w:hAnsiTheme="minorEastAsia" w:eastAsiaTheme="minorEastAsia" w:cstheme="minorEastAsia"/>
                <w:kern w:val="0"/>
                <w:sz w:val="24"/>
                <w:lang w:val="en-US" w:eastAsia="zh-CN"/>
              </w:rPr>
              <w:t>20</w:t>
            </w:r>
            <w:r>
              <w:rPr>
                <w:rFonts w:hint="default" w:asciiTheme="minorEastAsia" w:hAnsiTheme="minorEastAsia" w:eastAsiaTheme="minorEastAsia" w:cstheme="minorEastAsia"/>
                <w:kern w:val="0"/>
                <w:sz w:val="24"/>
                <w:lang w:val="en-US" w:eastAsia="zh-CN"/>
              </w:rPr>
              <w:t>分，星技术条款每偏离一条扣 2 分，最低得 0 分。 以投标人提供响应招标文件的的检测机构出具的关于本次招标产品的检测报告中的检测结果数据、产品注册证内容为依据进行评分。</w:t>
            </w:r>
          </w:p>
        </w:tc>
        <w:tc>
          <w:tcPr>
            <w:tcW w:w="780" w:type="dxa"/>
            <w:tcBorders>
              <w:top w:val="nil"/>
              <w:left w:val="nil"/>
              <w:bottom w:val="single" w:color="auto" w:sz="4" w:space="0"/>
              <w:right w:val="single" w:color="auto" w:sz="4" w:space="0"/>
            </w:tcBorders>
            <w:vAlign w:val="center"/>
          </w:tcPr>
          <w:p w14:paraId="44ECBB53">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20</w:t>
            </w:r>
          </w:p>
        </w:tc>
      </w:tr>
      <w:tr w14:paraId="0C4842CF">
        <w:tblPrEx>
          <w:tblCellMar>
            <w:top w:w="0" w:type="dxa"/>
            <w:left w:w="108" w:type="dxa"/>
            <w:bottom w:w="0" w:type="dxa"/>
            <w:right w:w="108" w:type="dxa"/>
          </w:tblCellMar>
        </w:tblPrEx>
        <w:trPr>
          <w:trHeight w:val="339" w:hRule="atLeast"/>
        </w:trPr>
        <w:tc>
          <w:tcPr>
            <w:tcW w:w="580" w:type="dxa"/>
            <w:vMerge w:val="continue"/>
            <w:tcBorders>
              <w:left w:val="single" w:color="auto" w:sz="4" w:space="0"/>
              <w:right w:val="single" w:color="auto" w:sz="4" w:space="0"/>
            </w:tcBorders>
            <w:vAlign w:val="center"/>
          </w:tcPr>
          <w:p w14:paraId="47655AE4">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673756D5">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70B5B93D">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实施方案</w:t>
            </w:r>
          </w:p>
        </w:tc>
        <w:tc>
          <w:tcPr>
            <w:tcW w:w="6523" w:type="dxa"/>
            <w:tcBorders>
              <w:top w:val="nil"/>
              <w:left w:val="nil"/>
              <w:bottom w:val="single" w:color="auto" w:sz="4" w:space="0"/>
              <w:right w:val="single" w:color="auto" w:sz="4" w:space="0"/>
            </w:tcBorders>
            <w:vAlign w:val="center"/>
          </w:tcPr>
          <w:p w14:paraId="325FF03B">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①项目人员安排（包含但不限于主要人员名单及基本情况介绍、在本项目中承担的职责等） </w:t>
            </w:r>
          </w:p>
          <w:p w14:paraId="3F49E0E7">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②供货方案（包含但不限于产品来源、供货计划、供货时间、包装和运输方式） </w:t>
            </w:r>
          </w:p>
          <w:p w14:paraId="536C3BE6">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③测试（调试）方案（包含但不限于人员安排、测试步骤、测试标准等）3项内容，方案内容完整齐全，符合项目实际</w:t>
            </w:r>
          </w:p>
          <w:p w14:paraId="30F74083">
            <w:pPr>
              <w:keepNext w:val="0"/>
              <w:keepLines w:val="0"/>
              <w:widowControl/>
              <w:suppressLineNumbers w:val="0"/>
              <w:jc w:val="left"/>
              <w:rPr>
                <w:rFonts w:asciiTheme="minorEastAsia" w:hAnsiTheme="minorEastAsia" w:eastAsiaTheme="minorEastAsia" w:cstheme="minorEastAsia"/>
                <w:kern w:val="0"/>
                <w:sz w:val="24"/>
              </w:rPr>
            </w:pPr>
            <w:r>
              <w:rPr>
                <w:rFonts w:hint="eastAsia" w:ascii="宋体" w:hAnsi="宋体" w:eastAsia="宋体" w:cs="宋体"/>
                <w:color w:val="000000"/>
                <w:kern w:val="0"/>
                <w:sz w:val="24"/>
                <w:szCs w:val="24"/>
                <w:lang w:val="en-US" w:eastAsia="zh-CN" w:bidi="ar"/>
              </w:rPr>
              <w:t>需求的，得12 分；每缺少一项方案内容，或一项内容存在缺陷的，每一项扣3 分，扣完为止，未提供项目组织方案的，此项不得分。</w:t>
            </w:r>
          </w:p>
        </w:tc>
        <w:tc>
          <w:tcPr>
            <w:tcW w:w="780" w:type="dxa"/>
            <w:tcBorders>
              <w:top w:val="nil"/>
              <w:left w:val="nil"/>
              <w:bottom w:val="single" w:color="auto" w:sz="4" w:space="0"/>
              <w:right w:val="single" w:color="auto" w:sz="4" w:space="0"/>
            </w:tcBorders>
            <w:vAlign w:val="center"/>
          </w:tcPr>
          <w:p w14:paraId="41F78B5A">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12</w:t>
            </w:r>
          </w:p>
        </w:tc>
      </w:tr>
      <w:tr w14:paraId="7CA301CE">
        <w:tblPrEx>
          <w:tblCellMar>
            <w:top w:w="0" w:type="dxa"/>
            <w:left w:w="108" w:type="dxa"/>
            <w:bottom w:w="0" w:type="dxa"/>
            <w:right w:w="108" w:type="dxa"/>
          </w:tblCellMar>
        </w:tblPrEx>
        <w:trPr>
          <w:trHeight w:val="672" w:hRule="atLeast"/>
        </w:trPr>
        <w:tc>
          <w:tcPr>
            <w:tcW w:w="580" w:type="dxa"/>
            <w:vMerge w:val="continue"/>
            <w:tcBorders>
              <w:left w:val="single" w:color="auto" w:sz="4" w:space="0"/>
              <w:right w:val="single" w:color="auto" w:sz="4" w:space="0"/>
            </w:tcBorders>
            <w:vAlign w:val="center"/>
          </w:tcPr>
          <w:p w14:paraId="373E3C46">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728FE59D">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3DA2537E">
            <w:pPr>
              <w:spacing w:line="360" w:lineRule="auto"/>
              <w:jc w:val="center"/>
              <w:rPr>
                <w:rFonts w:hint="eastAsia" w:asciiTheme="minorEastAsia" w:hAnsiTheme="minorEastAsia" w:eastAsiaTheme="minorEastAsia" w:cstheme="minorEastAsia"/>
                <w:kern w:val="0"/>
                <w:sz w:val="24"/>
                <w:lang w:val="en-US" w:eastAsia="zh-CN"/>
              </w:rPr>
            </w:pPr>
            <w:r>
              <w:rPr>
                <w:rFonts w:hint="eastAsia" w:ascii="宋体" w:hAnsi="宋体" w:cs="宋体"/>
                <w:i w:val="0"/>
                <w:iCs w:val="0"/>
                <w:color w:val="000000"/>
                <w:kern w:val="0"/>
                <w:sz w:val="24"/>
                <w:szCs w:val="24"/>
                <w:u w:val="none"/>
                <w:lang w:val="en-US" w:eastAsia="zh-CN" w:bidi="ar"/>
              </w:rPr>
              <w:t>质量保证措施</w:t>
            </w:r>
          </w:p>
        </w:tc>
        <w:tc>
          <w:tcPr>
            <w:tcW w:w="6523" w:type="dxa"/>
            <w:tcBorders>
              <w:top w:val="nil"/>
              <w:left w:val="nil"/>
              <w:bottom w:val="single" w:color="auto" w:sz="4" w:space="0"/>
              <w:right w:val="single" w:color="auto" w:sz="4" w:space="0"/>
            </w:tcBorders>
            <w:vAlign w:val="center"/>
          </w:tcPr>
          <w:p w14:paraId="5E04B16B">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质量保证措施（包括但不限于质量保证的标准、方法和程序）等3 项内容，方案内容完整齐全，符合项目实际需求的，得</w:t>
            </w:r>
            <w:r>
              <w:rPr>
                <w:rFonts w:hint="eastAsia" w:ascii="宋体" w:hAnsi="宋体" w:cs="宋体"/>
                <w:color w:val="000000"/>
                <w:kern w:val="0"/>
                <w:sz w:val="24"/>
                <w:szCs w:val="24"/>
                <w:lang w:val="en-US" w:eastAsia="zh-CN" w:bidi="ar"/>
              </w:rPr>
              <w:t>9</w:t>
            </w:r>
            <w:r>
              <w:rPr>
                <w:rFonts w:hint="eastAsia" w:ascii="宋体" w:hAnsi="宋体" w:eastAsia="宋体" w:cs="宋体"/>
                <w:color w:val="000000"/>
                <w:kern w:val="0"/>
                <w:sz w:val="24"/>
                <w:szCs w:val="24"/>
                <w:lang w:val="en-US" w:eastAsia="zh-CN" w:bidi="ar"/>
              </w:rPr>
              <w:t>分；每缺少一项方案内容，或一项内容存在缺陷的，每一项扣3 分，扣完为止， 未提此方案的，此项不得分。</w:t>
            </w:r>
          </w:p>
        </w:tc>
        <w:tc>
          <w:tcPr>
            <w:tcW w:w="780" w:type="dxa"/>
            <w:tcBorders>
              <w:top w:val="nil"/>
              <w:left w:val="nil"/>
              <w:bottom w:val="single" w:color="auto" w:sz="4" w:space="0"/>
              <w:right w:val="single" w:color="auto" w:sz="4" w:space="0"/>
            </w:tcBorders>
            <w:vAlign w:val="center"/>
          </w:tcPr>
          <w:p w14:paraId="0CBC94E8">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9</w:t>
            </w:r>
          </w:p>
        </w:tc>
      </w:tr>
      <w:tr w14:paraId="73C5C9FE">
        <w:tblPrEx>
          <w:tblCellMar>
            <w:top w:w="0" w:type="dxa"/>
            <w:left w:w="108" w:type="dxa"/>
            <w:bottom w:w="0" w:type="dxa"/>
            <w:right w:w="108" w:type="dxa"/>
          </w:tblCellMar>
        </w:tblPrEx>
        <w:trPr>
          <w:trHeight w:val="672" w:hRule="atLeast"/>
        </w:trPr>
        <w:tc>
          <w:tcPr>
            <w:tcW w:w="580" w:type="dxa"/>
            <w:vMerge w:val="continue"/>
            <w:tcBorders>
              <w:left w:val="single" w:color="auto" w:sz="4" w:space="0"/>
              <w:right w:val="single" w:color="auto" w:sz="4" w:space="0"/>
            </w:tcBorders>
            <w:vAlign w:val="center"/>
          </w:tcPr>
          <w:p w14:paraId="7A7B19BE">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2C12B2B2">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67262F67">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售后服务</w:t>
            </w:r>
          </w:p>
        </w:tc>
        <w:tc>
          <w:tcPr>
            <w:tcW w:w="6523" w:type="dxa"/>
            <w:tcBorders>
              <w:top w:val="nil"/>
              <w:left w:val="nil"/>
              <w:bottom w:val="single" w:color="auto" w:sz="4" w:space="0"/>
              <w:right w:val="single" w:color="auto" w:sz="4" w:space="0"/>
            </w:tcBorders>
            <w:vAlign w:val="center"/>
          </w:tcPr>
          <w:p w14:paraId="54FF9FD0">
            <w:pPr>
              <w:spacing w:line="360" w:lineRule="auto"/>
              <w:rPr>
                <w:rFonts w:hint="default" w:asciiTheme="minorEastAsia" w:hAnsiTheme="minorEastAsia" w:eastAsiaTheme="minorEastAsia" w:cstheme="minorEastAsia"/>
                <w:kern w:val="0"/>
                <w:sz w:val="24"/>
                <w:lang w:val="en-US"/>
              </w:rPr>
            </w:pPr>
            <w:r>
              <w:rPr>
                <w:rFonts w:asciiTheme="minorEastAsia" w:hAnsiTheme="minorEastAsia" w:eastAsiaTheme="minorEastAsia" w:cstheme="minorEastAsia"/>
                <w:kern w:val="0"/>
                <w:sz w:val="24"/>
                <w:lang w:val="en-US" w:eastAsia="zh-CN"/>
              </w:rPr>
              <w:t>投标人制定售后服务方案：包括但不限于①服务流程；②服务内容；③售后响应；④ 服务措施；⑤应急处理措施；⑥回访计划；。内容全面 、描写详细、科学合理、有针对性</w:t>
            </w:r>
            <w:r>
              <w:rPr>
                <w:rFonts w:hint="eastAsia" w:asciiTheme="minorEastAsia" w:hAnsiTheme="minorEastAsia" w:eastAsiaTheme="minorEastAsia" w:cstheme="minorEastAsia"/>
                <w:kern w:val="0"/>
                <w:sz w:val="24"/>
                <w:lang w:val="en-US" w:eastAsia="zh-CN"/>
              </w:rPr>
              <w:t>且满足采购需求</w:t>
            </w:r>
            <w:r>
              <w:rPr>
                <w:rFonts w:asciiTheme="minorEastAsia" w:hAnsiTheme="minorEastAsia" w:eastAsiaTheme="minorEastAsia" w:cstheme="minorEastAsia"/>
                <w:kern w:val="0"/>
                <w:sz w:val="24"/>
                <w:lang w:val="en-US" w:eastAsia="zh-CN"/>
              </w:rPr>
              <w:t xml:space="preserve">全部提供的得 </w:t>
            </w:r>
            <w:r>
              <w:rPr>
                <w:rFonts w:hint="eastAsia" w:asciiTheme="minorEastAsia" w:hAnsiTheme="minorEastAsia" w:eastAsiaTheme="minorEastAsia" w:cstheme="minorEastAsia"/>
                <w:kern w:val="0"/>
                <w:sz w:val="24"/>
                <w:lang w:val="en-US" w:eastAsia="zh-CN"/>
              </w:rPr>
              <w:t>12</w:t>
            </w:r>
            <w:r>
              <w:rPr>
                <w:rFonts w:asciiTheme="minorEastAsia" w:hAnsiTheme="minorEastAsia" w:eastAsiaTheme="minorEastAsia" w:cstheme="minorEastAsia"/>
                <w:kern w:val="0"/>
                <w:sz w:val="24"/>
                <w:lang w:val="en-US" w:eastAsia="zh-CN"/>
              </w:rPr>
              <w:t>分，</w:t>
            </w:r>
            <w:r>
              <w:rPr>
                <w:rFonts w:hint="eastAsia" w:asciiTheme="minorEastAsia" w:hAnsiTheme="minorEastAsia" w:eastAsiaTheme="minorEastAsia" w:cstheme="minorEastAsia"/>
                <w:kern w:val="0"/>
                <w:sz w:val="24"/>
                <w:lang w:val="en-US" w:eastAsia="zh-CN"/>
              </w:rPr>
              <w:t>每缺少一项方案内容，或一项</w:t>
            </w:r>
            <w:r>
              <w:rPr>
                <w:rFonts w:hint="eastAsia" w:ascii="宋体" w:hAnsi="宋体" w:eastAsia="宋体" w:cs="宋体"/>
                <w:color w:val="000000"/>
                <w:kern w:val="0"/>
                <w:sz w:val="24"/>
                <w:szCs w:val="24"/>
                <w:lang w:val="en-US" w:eastAsia="zh-CN" w:bidi="ar"/>
              </w:rPr>
              <w:t>内容存在缺陷</w:t>
            </w:r>
            <w:r>
              <w:rPr>
                <w:rFonts w:hint="eastAsia" w:asciiTheme="minorEastAsia" w:hAnsiTheme="minorEastAsia" w:eastAsiaTheme="minorEastAsia" w:cstheme="minorEastAsia"/>
                <w:kern w:val="0"/>
                <w:sz w:val="24"/>
                <w:lang w:val="en-US" w:eastAsia="zh-CN"/>
              </w:rPr>
              <w:t>的，每一项扣2 分，扣完为止， 未提此方案的，此项不得分。</w:t>
            </w:r>
          </w:p>
        </w:tc>
        <w:tc>
          <w:tcPr>
            <w:tcW w:w="780" w:type="dxa"/>
            <w:tcBorders>
              <w:top w:val="nil"/>
              <w:left w:val="nil"/>
              <w:bottom w:val="single" w:color="auto" w:sz="4" w:space="0"/>
              <w:right w:val="single" w:color="auto" w:sz="4" w:space="0"/>
            </w:tcBorders>
            <w:vAlign w:val="center"/>
          </w:tcPr>
          <w:p w14:paraId="6171AD49">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12</w:t>
            </w:r>
          </w:p>
        </w:tc>
      </w:tr>
      <w:tr w14:paraId="3C18FA4B">
        <w:tblPrEx>
          <w:tblCellMar>
            <w:top w:w="0" w:type="dxa"/>
            <w:left w:w="108" w:type="dxa"/>
            <w:bottom w:w="0" w:type="dxa"/>
            <w:right w:w="108" w:type="dxa"/>
          </w:tblCellMar>
        </w:tblPrEx>
        <w:trPr>
          <w:trHeight w:val="672" w:hRule="atLeast"/>
        </w:trPr>
        <w:tc>
          <w:tcPr>
            <w:tcW w:w="580" w:type="dxa"/>
            <w:vMerge w:val="continue"/>
            <w:tcBorders>
              <w:left w:val="single" w:color="auto" w:sz="4" w:space="0"/>
              <w:right w:val="single" w:color="auto" w:sz="4" w:space="0"/>
            </w:tcBorders>
            <w:vAlign w:val="center"/>
          </w:tcPr>
          <w:p w14:paraId="12E88779">
            <w:pPr>
              <w:widowControl/>
              <w:spacing w:line="360" w:lineRule="auto"/>
              <w:jc w:val="center"/>
              <w:rPr>
                <w:rFonts w:asciiTheme="minorEastAsia" w:hAnsiTheme="minorEastAsia" w:eastAsiaTheme="minorEastAsia" w:cstheme="minorEastAsia"/>
                <w:kern w:val="0"/>
                <w:sz w:val="24"/>
              </w:rPr>
            </w:pPr>
          </w:p>
        </w:tc>
        <w:tc>
          <w:tcPr>
            <w:tcW w:w="855" w:type="dxa"/>
            <w:vMerge w:val="continue"/>
            <w:tcBorders>
              <w:top w:val="single" w:color="auto" w:sz="4" w:space="0"/>
              <w:left w:val="single" w:color="auto" w:sz="4" w:space="0"/>
              <w:bottom w:val="single" w:color="auto" w:sz="4" w:space="0"/>
              <w:right w:val="single" w:color="auto" w:sz="4" w:space="0"/>
            </w:tcBorders>
            <w:vAlign w:val="center"/>
          </w:tcPr>
          <w:p w14:paraId="455788B3">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379BB000">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备品备件</w:t>
            </w:r>
          </w:p>
        </w:tc>
        <w:tc>
          <w:tcPr>
            <w:tcW w:w="6523" w:type="dxa"/>
            <w:tcBorders>
              <w:top w:val="single" w:color="auto" w:sz="4" w:space="0"/>
              <w:left w:val="single" w:color="auto" w:sz="4" w:space="0"/>
              <w:bottom w:val="single" w:color="auto" w:sz="4" w:space="0"/>
              <w:right w:val="single" w:color="auto" w:sz="4" w:space="0"/>
            </w:tcBorders>
            <w:vAlign w:val="center"/>
          </w:tcPr>
          <w:p w14:paraId="400ECDA5">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lang w:val="en-US" w:eastAsia="zh-CN"/>
              </w:rPr>
              <w:t>备品备件</w:t>
            </w:r>
            <w:r>
              <w:rPr>
                <w:rFonts w:asciiTheme="minorEastAsia" w:hAnsiTheme="minorEastAsia" w:eastAsiaTheme="minorEastAsia" w:cstheme="minorEastAsia"/>
                <w:kern w:val="0"/>
                <w:sz w:val="24"/>
                <w:lang w:val="en-US" w:eastAsia="zh-CN"/>
              </w:rPr>
              <w:t>承诺：包括但不限于①承诺提供一定数量的备品备件（提供备品备件清单，不提供不得分）；②承诺发现产品质量问题（做工明显瑕疵、材料变形、结构松动等）能够无条件进行调换。承诺描写详细、能为招标人提供优质服务，每承诺一项上述内容</w:t>
            </w:r>
            <w:r>
              <w:rPr>
                <w:rFonts w:hint="default" w:asciiTheme="minorEastAsia" w:hAnsiTheme="minorEastAsia" w:eastAsiaTheme="minorEastAsia" w:cstheme="minorEastAsia"/>
                <w:kern w:val="0"/>
                <w:sz w:val="24"/>
                <w:lang w:val="en-US" w:eastAsia="zh-CN"/>
              </w:rPr>
              <w:t>2</w:t>
            </w:r>
            <w:r>
              <w:rPr>
                <w:rFonts w:asciiTheme="minorEastAsia" w:hAnsiTheme="minorEastAsia" w:eastAsiaTheme="minorEastAsia" w:cstheme="minorEastAsia"/>
                <w:kern w:val="0"/>
                <w:sz w:val="24"/>
                <w:lang w:val="en-US" w:eastAsia="zh-CN"/>
              </w:rPr>
              <w:t>分，全部承诺的得</w:t>
            </w:r>
            <w:r>
              <w:rPr>
                <w:rFonts w:hint="default" w:asciiTheme="minorEastAsia" w:hAnsiTheme="minorEastAsia" w:eastAsiaTheme="minorEastAsia" w:cstheme="minorEastAsia"/>
                <w:kern w:val="0"/>
                <w:sz w:val="24"/>
                <w:lang w:val="en-US" w:eastAsia="zh-CN"/>
              </w:rPr>
              <w:t>4</w:t>
            </w:r>
            <w:r>
              <w:rPr>
                <w:rFonts w:asciiTheme="minorEastAsia" w:hAnsiTheme="minorEastAsia" w:eastAsiaTheme="minorEastAsia" w:cstheme="minorEastAsia"/>
                <w:kern w:val="0"/>
                <w:sz w:val="24"/>
                <w:lang w:val="en-US" w:eastAsia="zh-CN"/>
              </w:rPr>
              <w:t>分，提供</w:t>
            </w:r>
            <w:r>
              <w:rPr>
                <w:rFonts w:hint="eastAsia" w:ascii="宋体" w:hAnsi="宋体" w:eastAsia="宋体" w:cs="宋体"/>
                <w:color w:val="000000"/>
                <w:kern w:val="0"/>
                <w:sz w:val="24"/>
                <w:szCs w:val="24"/>
                <w:lang w:val="en-US" w:eastAsia="zh-CN" w:bidi="ar"/>
              </w:rPr>
              <w:t>内</w:t>
            </w:r>
            <w:r>
              <w:rPr>
                <w:rFonts w:hint="eastAsia" w:asciiTheme="minorEastAsia" w:hAnsiTheme="minorEastAsia" w:eastAsiaTheme="minorEastAsia" w:cstheme="minorEastAsia"/>
                <w:kern w:val="0"/>
                <w:sz w:val="24"/>
                <w:lang w:val="en-US" w:eastAsia="zh-CN"/>
              </w:rPr>
              <w:t>存在缺陷</w:t>
            </w:r>
            <w:r>
              <w:rPr>
                <w:rFonts w:asciiTheme="minorEastAsia" w:hAnsiTheme="minorEastAsia" w:eastAsiaTheme="minorEastAsia" w:cstheme="minorEastAsia"/>
                <w:kern w:val="0"/>
                <w:sz w:val="24"/>
                <w:lang w:val="en-US" w:eastAsia="zh-CN"/>
              </w:rPr>
              <w:t>、不详实或不提供不得分。</w:t>
            </w:r>
          </w:p>
        </w:tc>
        <w:tc>
          <w:tcPr>
            <w:tcW w:w="780" w:type="dxa"/>
            <w:tcBorders>
              <w:top w:val="single" w:color="auto" w:sz="4" w:space="0"/>
              <w:left w:val="single" w:color="auto" w:sz="4" w:space="0"/>
              <w:bottom w:val="single" w:color="auto" w:sz="4" w:space="0"/>
              <w:right w:val="single" w:color="auto" w:sz="4" w:space="0"/>
            </w:tcBorders>
            <w:vAlign w:val="center"/>
          </w:tcPr>
          <w:p w14:paraId="538D9048">
            <w:pPr>
              <w:spacing w:line="360" w:lineRule="auto"/>
              <w:jc w:val="center"/>
              <w:rPr>
                <w:rFonts w:hint="eastAsia" w:asciiTheme="minorEastAsia" w:hAnsiTheme="minorEastAsia" w:eastAsiaTheme="minorEastAsia" w:cstheme="minorEastAsia"/>
                <w:kern w:val="0"/>
                <w:sz w:val="24"/>
                <w:lang w:eastAsia="zh-CN"/>
              </w:rPr>
            </w:pPr>
            <w:r>
              <w:rPr>
                <w:rFonts w:hint="eastAsia" w:asciiTheme="minorEastAsia" w:hAnsiTheme="minorEastAsia" w:eastAsiaTheme="minorEastAsia" w:cstheme="minorEastAsia"/>
                <w:kern w:val="0"/>
                <w:sz w:val="24"/>
                <w:lang w:val="en-US" w:eastAsia="zh-CN"/>
              </w:rPr>
              <w:t>4</w:t>
            </w:r>
          </w:p>
        </w:tc>
      </w:tr>
      <w:tr w14:paraId="72CE1B15">
        <w:tblPrEx>
          <w:tblCellMar>
            <w:top w:w="0" w:type="dxa"/>
            <w:left w:w="108" w:type="dxa"/>
            <w:bottom w:w="0" w:type="dxa"/>
            <w:right w:w="108" w:type="dxa"/>
          </w:tblCellMar>
        </w:tblPrEx>
        <w:trPr>
          <w:trHeight w:val="5154" w:hRule="atLeast"/>
        </w:trPr>
        <w:tc>
          <w:tcPr>
            <w:tcW w:w="580" w:type="dxa"/>
            <w:tcBorders>
              <w:left w:val="single" w:color="auto" w:sz="4" w:space="0"/>
              <w:right w:val="single" w:color="auto" w:sz="4" w:space="0"/>
            </w:tcBorders>
            <w:vAlign w:val="center"/>
          </w:tcPr>
          <w:p w14:paraId="2DDBADB8">
            <w:pPr>
              <w:widowControl/>
              <w:spacing w:line="360" w:lineRule="auto"/>
              <w:jc w:val="center"/>
              <w:rPr>
                <w:rFonts w:asciiTheme="minorEastAsia" w:hAnsiTheme="minorEastAsia" w:eastAsiaTheme="minorEastAsia" w:cstheme="minorEastAsia"/>
                <w:kern w:val="0"/>
                <w:sz w:val="24"/>
              </w:rPr>
            </w:pPr>
          </w:p>
        </w:tc>
        <w:tc>
          <w:tcPr>
            <w:tcW w:w="855" w:type="dxa"/>
            <w:tcBorders>
              <w:top w:val="single" w:color="auto" w:sz="4" w:space="0"/>
              <w:left w:val="single" w:color="auto" w:sz="4" w:space="0"/>
              <w:bottom w:val="single" w:color="auto" w:sz="4" w:space="0"/>
              <w:right w:val="single" w:color="auto" w:sz="4" w:space="0"/>
            </w:tcBorders>
            <w:vAlign w:val="center"/>
          </w:tcPr>
          <w:p w14:paraId="293F86FA">
            <w:pPr>
              <w:spacing w:line="360" w:lineRule="auto"/>
              <w:rPr>
                <w:rFonts w:asciiTheme="minorEastAsia" w:hAnsiTheme="minorEastAsia" w:eastAsiaTheme="minorEastAsia" w:cstheme="minorEastAsia"/>
                <w:kern w:val="0"/>
                <w:sz w:val="24"/>
              </w:rPr>
            </w:pPr>
          </w:p>
        </w:tc>
        <w:tc>
          <w:tcPr>
            <w:tcW w:w="1081" w:type="dxa"/>
            <w:tcBorders>
              <w:top w:val="single" w:color="auto" w:sz="4" w:space="0"/>
              <w:left w:val="single" w:color="auto" w:sz="4" w:space="0"/>
              <w:bottom w:val="single" w:color="auto" w:sz="4" w:space="0"/>
              <w:right w:val="single" w:color="auto" w:sz="4" w:space="0"/>
            </w:tcBorders>
            <w:vAlign w:val="center"/>
          </w:tcPr>
          <w:p w14:paraId="24ED3FD2">
            <w:pPr>
              <w:spacing w:line="360" w:lineRule="auto"/>
              <w:jc w:val="center"/>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节能、环境标志产品评审优惠内容及</w:t>
            </w:r>
          </w:p>
          <w:p w14:paraId="78D8D5A1">
            <w:pPr>
              <w:spacing w:line="360" w:lineRule="auto"/>
              <w:jc w:val="center"/>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加分</w:t>
            </w:r>
          </w:p>
        </w:tc>
        <w:tc>
          <w:tcPr>
            <w:tcW w:w="6523" w:type="dxa"/>
            <w:tcBorders>
              <w:top w:val="single" w:color="auto" w:sz="4" w:space="0"/>
              <w:left w:val="single" w:color="auto" w:sz="4" w:space="0"/>
              <w:bottom w:val="single" w:color="auto" w:sz="4" w:space="0"/>
              <w:right w:val="single" w:color="auto" w:sz="4" w:space="0"/>
            </w:tcBorders>
            <w:vAlign w:val="center"/>
          </w:tcPr>
          <w:p w14:paraId="08DB5AFB">
            <w:pPr>
              <w:spacing w:line="360" w:lineRule="auto"/>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 xml:space="preserve">投标人所投设备满足下述要求其中之一的，即得1 分；均不满足的，得0 分。 </w:t>
            </w:r>
          </w:p>
          <w:p w14:paraId="2C3CDF1A">
            <w:pPr>
              <w:spacing w:line="360" w:lineRule="auto"/>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 xml:space="preserve">（1）、财政部 发展改革委印发的《节能产品政府采购品目清单》； </w:t>
            </w:r>
            <w:bookmarkStart w:id="261" w:name="_GoBack"/>
            <w:bookmarkEnd w:id="261"/>
          </w:p>
          <w:p w14:paraId="1D2D8355">
            <w:pPr>
              <w:spacing w:line="360" w:lineRule="auto"/>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 xml:space="preserve">（2）、财政部 生态环境部印发的《环境标志产品政府采购品目清单》。 </w:t>
            </w:r>
          </w:p>
          <w:p w14:paraId="25317FDC">
            <w:pPr>
              <w:spacing w:line="360" w:lineRule="auto"/>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证明文件：须提供清单截图及在有效期内的产品认证证书扫描件，未提供不得分。对该项的评审，评审专家须核认证证书中的产品是否为所投产品的规格型号，另证书中所出具的认证依据标准是否与《品目清单》中的一致；以上两点都符合，才能得相应分值。</w:t>
            </w:r>
          </w:p>
        </w:tc>
        <w:tc>
          <w:tcPr>
            <w:tcW w:w="780" w:type="dxa"/>
            <w:tcBorders>
              <w:top w:val="single" w:color="auto" w:sz="4" w:space="0"/>
              <w:left w:val="single" w:color="auto" w:sz="4" w:space="0"/>
              <w:bottom w:val="single" w:color="auto" w:sz="4" w:space="0"/>
              <w:right w:val="single" w:color="auto" w:sz="4" w:space="0"/>
            </w:tcBorders>
            <w:vAlign w:val="center"/>
          </w:tcPr>
          <w:p w14:paraId="443B78A1">
            <w:pPr>
              <w:spacing w:line="360" w:lineRule="auto"/>
              <w:jc w:val="center"/>
              <w:rPr>
                <w:rFonts w:hint="default"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1</w:t>
            </w:r>
          </w:p>
        </w:tc>
      </w:tr>
      <w:tr w14:paraId="71C98381">
        <w:tblPrEx>
          <w:tblCellMar>
            <w:top w:w="0" w:type="dxa"/>
            <w:left w:w="108" w:type="dxa"/>
            <w:bottom w:w="0" w:type="dxa"/>
            <w:right w:w="108" w:type="dxa"/>
          </w:tblCellMar>
        </w:tblPrEx>
        <w:trPr>
          <w:trHeight w:val="345" w:hRule="atLeast"/>
        </w:trPr>
        <w:tc>
          <w:tcPr>
            <w:tcW w:w="1435" w:type="dxa"/>
            <w:gridSpan w:val="2"/>
            <w:tcBorders>
              <w:top w:val="single" w:color="auto" w:sz="4" w:space="0"/>
              <w:left w:val="single" w:color="auto" w:sz="4" w:space="0"/>
              <w:bottom w:val="single" w:color="auto" w:sz="4" w:space="0"/>
              <w:right w:val="single" w:color="auto" w:sz="4" w:space="0"/>
            </w:tcBorders>
            <w:vAlign w:val="center"/>
          </w:tcPr>
          <w:p w14:paraId="44543365">
            <w:pPr>
              <w:spacing w:line="360" w:lineRule="auto"/>
              <w:jc w:val="center"/>
              <w:rPr>
                <w:rFonts w:asciiTheme="minorEastAsia" w:hAnsiTheme="minorEastAsia" w:eastAsiaTheme="minorEastAsia" w:cstheme="minorEastAsia"/>
                <w:kern w:val="0"/>
                <w:sz w:val="24"/>
              </w:rPr>
            </w:pPr>
          </w:p>
        </w:tc>
        <w:tc>
          <w:tcPr>
            <w:tcW w:w="7604" w:type="dxa"/>
            <w:gridSpan w:val="2"/>
            <w:tcBorders>
              <w:top w:val="single" w:color="auto" w:sz="4" w:space="0"/>
              <w:left w:val="single" w:color="auto" w:sz="4" w:space="0"/>
              <w:bottom w:val="single" w:color="auto" w:sz="4" w:space="0"/>
              <w:right w:val="single" w:color="auto" w:sz="4" w:space="0"/>
            </w:tcBorders>
            <w:vAlign w:val="center"/>
          </w:tcPr>
          <w:p w14:paraId="0F42A0DA">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评审得分合计</w:t>
            </w:r>
          </w:p>
        </w:tc>
        <w:tc>
          <w:tcPr>
            <w:tcW w:w="780" w:type="dxa"/>
            <w:tcBorders>
              <w:top w:val="single" w:color="auto" w:sz="4" w:space="0"/>
              <w:left w:val="nil"/>
              <w:bottom w:val="single" w:color="auto" w:sz="4" w:space="0"/>
              <w:right w:val="single" w:color="auto" w:sz="4" w:space="0"/>
            </w:tcBorders>
            <w:vAlign w:val="center"/>
          </w:tcPr>
          <w:p w14:paraId="1E9EB09C">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100</w:t>
            </w:r>
          </w:p>
        </w:tc>
      </w:tr>
      <w:tr w14:paraId="15C5DD64">
        <w:tblPrEx>
          <w:tblCellMar>
            <w:top w:w="0" w:type="dxa"/>
            <w:left w:w="108" w:type="dxa"/>
            <w:bottom w:w="0" w:type="dxa"/>
            <w:right w:w="108" w:type="dxa"/>
          </w:tblCellMar>
        </w:tblPrEx>
        <w:trPr>
          <w:trHeight w:val="345" w:hRule="atLeast"/>
        </w:trPr>
        <w:tc>
          <w:tcPr>
            <w:tcW w:w="1435" w:type="dxa"/>
            <w:gridSpan w:val="2"/>
            <w:tcBorders>
              <w:top w:val="single" w:color="auto" w:sz="4" w:space="0"/>
              <w:left w:val="single" w:color="auto" w:sz="4" w:space="0"/>
              <w:bottom w:val="single" w:color="auto" w:sz="4" w:space="0"/>
              <w:right w:val="single" w:color="auto" w:sz="4" w:space="0"/>
            </w:tcBorders>
            <w:vAlign w:val="center"/>
          </w:tcPr>
          <w:p w14:paraId="3CA22C0E">
            <w:pPr>
              <w:spacing w:line="360" w:lineRule="auto"/>
              <w:jc w:val="center"/>
              <w:rPr>
                <w:rFonts w:asciiTheme="minorEastAsia" w:hAnsiTheme="minorEastAsia" w:eastAsiaTheme="minorEastAsia" w:cstheme="minorEastAsia"/>
                <w:kern w:val="0"/>
                <w:sz w:val="24"/>
              </w:rPr>
            </w:pPr>
          </w:p>
        </w:tc>
        <w:tc>
          <w:tcPr>
            <w:tcW w:w="8384" w:type="dxa"/>
            <w:gridSpan w:val="3"/>
            <w:tcBorders>
              <w:top w:val="single" w:color="auto" w:sz="4" w:space="0"/>
              <w:left w:val="single" w:color="auto" w:sz="4" w:space="0"/>
              <w:bottom w:val="single" w:color="auto" w:sz="4" w:space="0"/>
              <w:right w:val="single" w:color="auto" w:sz="4" w:space="0"/>
            </w:tcBorders>
            <w:vAlign w:val="center"/>
          </w:tcPr>
          <w:p w14:paraId="56791E99">
            <w:pPr>
              <w:spacing w:line="360" w:lineRule="auto"/>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注</w:t>
            </w:r>
            <w:r>
              <w:rPr>
                <w:rFonts w:hint="eastAsia" w:asciiTheme="minorEastAsia" w:hAnsiTheme="minorEastAsia" w:eastAsiaTheme="minorEastAsia" w:cstheme="minorEastAsia"/>
                <w:kern w:val="0"/>
                <w:sz w:val="24"/>
                <w:lang w:eastAsia="zh-CN"/>
              </w:rPr>
              <w:t>：</w:t>
            </w:r>
            <w:r>
              <w:rPr>
                <w:rFonts w:hint="eastAsia" w:ascii="宋体" w:hAnsi="宋体" w:eastAsia="宋体" w:cs="宋体"/>
                <w:color w:val="000000"/>
                <w:kern w:val="0"/>
                <w:sz w:val="24"/>
                <w:szCs w:val="24"/>
                <w:lang w:val="en-US" w:eastAsia="zh-CN" w:bidi="ar"/>
              </w:rPr>
              <w:t>内容存在缺陷是指：①该项内容描述前后不一致；②该项内容所阐 述的项目信息与本项目实际信息不一致；③该项内容引用的规定、规范错误；④ 该项内容描述不符合国家相关法律法规、政策文件、规范标准要求；⑤该项内容阐述的方式方法明显不符合本项目实际情况；⑥该项内容描述与本项目实际情况不符；⑦该项内容套用其他项目内容。</w:t>
            </w:r>
          </w:p>
        </w:tc>
      </w:tr>
    </w:tbl>
    <w:p w14:paraId="3D44C1AF">
      <w:pPr>
        <w:pStyle w:val="3"/>
        <w:rPr>
          <w:rFonts w:asciiTheme="minorEastAsia" w:hAnsiTheme="minorEastAsia" w:eastAsiaTheme="minorEastAsia" w:cstheme="minorEastAsia"/>
          <w:b/>
          <w:bCs/>
          <w:szCs w:val="21"/>
          <w:lang w:val="zh-CN"/>
        </w:rPr>
      </w:pPr>
    </w:p>
    <w:p w14:paraId="317BBED1">
      <w:pPr>
        <w:rPr>
          <w:rFonts w:asciiTheme="minorEastAsia" w:hAnsiTheme="minorEastAsia" w:eastAsiaTheme="minorEastAsia" w:cstheme="minorEastAsia"/>
          <w:b/>
          <w:bCs/>
          <w:szCs w:val="21"/>
          <w:lang w:val="zh-CN"/>
        </w:rPr>
      </w:pPr>
    </w:p>
    <w:p w14:paraId="3F5C251B">
      <w:pPr>
        <w:pStyle w:val="9"/>
        <w:rPr>
          <w:rFonts w:asciiTheme="minorEastAsia" w:hAnsiTheme="minorEastAsia" w:eastAsiaTheme="minorEastAsia" w:cstheme="minorEastAsia"/>
          <w:b/>
          <w:bCs/>
          <w:sz w:val="21"/>
          <w:szCs w:val="21"/>
          <w:lang w:val="zh-CN"/>
        </w:rPr>
      </w:pPr>
    </w:p>
    <w:p w14:paraId="23819CBF">
      <w:pPr>
        <w:pStyle w:val="3"/>
        <w:rPr>
          <w:rFonts w:asciiTheme="minorEastAsia" w:hAnsiTheme="minorEastAsia" w:eastAsiaTheme="minorEastAsia" w:cstheme="minorEastAsia"/>
          <w:b/>
          <w:bCs/>
          <w:szCs w:val="21"/>
          <w:lang w:val="zh-CN"/>
        </w:rPr>
      </w:pPr>
    </w:p>
    <w:p w14:paraId="1E6A5EE0">
      <w:pPr>
        <w:rPr>
          <w:rFonts w:asciiTheme="minorEastAsia" w:hAnsiTheme="minorEastAsia" w:eastAsiaTheme="minorEastAsia" w:cstheme="minorEastAsia"/>
          <w:b/>
          <w:bCs/>
          <w:szCs w:val="21"/>
          <w:lang w:val="zh-CN"/>
        </w:rPr>
      </w:pPr>
    </w:p>
    <w:p w14:paraId="75F615FA">
      <w:pPr>
        <w:pStyle w:val="9"/>
        <w:rPr>
          <w:rFonts w:asciiTheme="minorEastAsia" w:hAnsiTheme="minorEastAsia" w:eastAsiaTheme="minorEastAsia" w:cstheme="minorEastAsia"/>
          <w:b/>
          <w:bCs/>
          <w:sz w:val="21"/>
          <w:szCs w:val="21"/>
          <w:lang w:val="zh-CN"/>
        </w:rPr>
      </w:pPr>
    </w:p>
    <w:p w14:paraId="7DDBEB4F">
      <w:pPr>
        <w:pStyle w:val="3"/>
        <w:rPr>
          <w:rFonts w:asciiTheme="minorEastAsia" w:hAnsiTheme="minorEastAsia" w:eastAsiaTheme="minorEastAsia" w:cstheme="minorEastAsia"/>
          <w:b/>
          <w:bCs/>
          <w:szCs w:val="21"/>
          <w:lang w:val="zh-CN"/>
        </w:rPr>
      </w:pPr>
    </w:p>
    <w:p w14:paraId="58DD6082">
      <w:pPr>
        <w:rPr>
          <w:rFonts w:asciiTheme="minorEastAsia" w:hAnsiTheme="minorEastAsia" w:eastAsiaTheme="minorEastAsia" w:cstheme="minorEastAsia"/>
          <w:b/>
          <w:bCs/>
          <w:szCs w:val="21"/>
          <w:lang w:val="zh-CN"/>
        </w:rPr>
      </w:pPr>
    </w:p>
    <w:p w14:paraId="10714D22">
      <w:pPr>
        <w:rPr>
          <w:rFonts w:asciiTheme="minorEastAsia" w:hAnsiTheme="minorEastAsia" w:eastAsiaTheme="minorEastAsia" w:cstheme="minorEastAsia"/>
        </w:rPr>
      </w:pPr>
    </w:p>
    <w:sectPr>
      <w:footerReference r:id="rId8" w:type="default"/>
      <w:pgSz w:w="11906" w:h="16838"/>
      <w:pgMar w:top="1440" w:right="1080" w:bottom="1440" w:left="1080" w:header="851" w:footer="992"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32954">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C848EF">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DC848EF">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69887">
    <w:pPr>
      <w:pStyle w:val="16"/>
      <w:framePr w:wrap="around" w:vAnchor="text" w:hAnchor="margin" w:xAlign="center" w:y="1"/>
      <w:rPr>
        <w:rStyle w:val="25"/>
      </w:rPr>
    </w:pPr>
    <w:r>
      <w:fldChar w:fldCharType="begin"/>
    </w:r>
    <w:r>
      <w:rPr>
        <w:rStyle w:val="25"/>
      </w:rPr>
      <w:instrText xml:space="preserve">PAGE  </w:instrText>
    </w:r>
    <w:r>
      <w:fldChar w:fldCharType="separate"/>
    </w:r>
    <w:r>
      <w:rPr>
        <w:rStyle w:val="25"/>
      </w:rPr>
      <w:t>28</w:t>
    </w:r>
    <w:r>
      <w:fldChar w:fldCharType="end"/>
    </w:r>
  </w:p>
  <w:p w14:paraId="0D0E04DE">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0630D">
    <w:pPr>
      <w:pStyle w:val="16"/>
      <w:jc w:val="center"/>
    </w:pPr>
    <w:r>
      <w:fldChar w:fldCharType="begin"/>
    </w:r>
    <w:r>
      <w:instrText xml:space="preserve"> PAGE   \* MERGEFORMAT </w:instrText>
    </w:r>
    <w:r>
      <w:fldChar w:fldCharType="separate"/>
    </w:r>
    <w:r>
      <w:rPr>
        <w:lang w:val="zh-CN"/>
      </w:rPr>
      <w:t>2</w:t>
    </w:r>
    <w:r>
      <w:rPr>
        <w:lang w:val="zh-CN"/>
      </w:rPr>
      <w:fldChar w:fldCharType="end"/>
    </w:r>
  </w:p>
  <w:p w14:paraId="10D70435">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CCAFB">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410726">
                          <w:pPr>
                            <w:pStyle w:val="16"/>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7410726">
                    <w:pPr>
                      <w:pStyle w:val="16"/>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98EF9">
    <w:pPr>
      <w:pStyle w:val="10"/>
      <w:pBdr>
        <w:bottom w:val="none" w:color="auto" w:sz="0" w:space="1"/>
      </w:pBdr>
      <w:ind w:firstLine="2880" w:firstLineChars="1600"/>
      <w:jc w:val="left"/>
    </w:pPr>
    <w:bookmarkStart w:id="260" w:name="_1343059473"/>
    <w:bookmarkEnd w:id="260"/>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EB8F5">
    <w:pPr>
      <w:pStyle w:val="10"/>
    </w:pPr>
    <w:r>
      <w:fldChar w:fldCharType="begin"/>
    </w:r>
    <w:r>
      <w:instrText xml:space="preserve"> PAGE   \* MERGEFORMAT </w:instrText>
    </w:r>
    <w:r>
      <w:fldChar w:fldCharType="separate"/>
    </w:r>
    <w:r>
      <w:rPr>
        <w:lang w:val="zh-CN"/>
      </w:rPr>
      <w:t>2</w:t>
    </w:r>
    <w:r>
      <w:rPr>
        <w:lang w:val="zh-CN"/>
      </w:rPr>
      <w:fldChar w:fldCharType="end"/>
    </w:r>
  </w:p>
  <w:p w14:paraId="4995E4C1">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6F8C5C"/>
    <w:multiLevelType w:val="singleLevel"/>
    <w:tmpl w:val="956F8C5C"/>
    <w:lvl w:ilvl="0" w:tentative="0">
      <w:start w:val="3"/>
      <w:numFmt w:val="chineseCounting"/>
      <w:suff w:val="nothing"/>
      <w:lvlText w:val="%1、"/>
      <w:lvlJc w:val="left"/>
      <w:rPr>
        <w:rFonts w:hint="eastAsia"/>
      </w:rPr>
    </w:lvl>
  </w:abstractNum>
  <w:abstractNum w:abstractNumId="1">
    <w:nsid w:val="96111253"/>
    <w:multiLevelType w:val="singleLevel"/>
    <w:tmpl w:val="96111253"/>
    <w:lvl w:ilvl="0" w:tentative="0">
      <w:start w:val="1"/>
      <w:numFmt w:val="decimal"/>
      <w:suff w:val="nothing"/>
      <w:lvlText w:val="%1．"/>
      <w:lvlJc w:val="left"/>
      <w:pPr>
        <w:ind w:left="0" w:firstLine="400"/>
      </w:pPr>
      <w:rPr>
        <w:rFonts w:hint="default"/>
      </w:rPr>
    </w:lvl>
  </w:abstractNum>
  <w:abstractNum w:abstractNumId="2">
    <w:nsid w:val="A98BEA3D"/>
    <w:multiLevelType w:val="singleLevel"/>
    <w:tmpl w:val="A98BEA3D"/>
    <w:lvl w:ilvl="0" w:tentative="0">
      <w:start w:val="2"/>
      <w:numFmt w:val="decimal"/>
      <w:suff w:val="nothing"/>
      <w:lvlText w:val="%1、"/>
      <w:lvlJc w:val="left"/>
    </w:lvl>
  </w:abstractNum>
  <w:abstractNum w:abstractNumId="3">
    <w:nsid w:val="B4D7C474"/>
    <w:multiLevelType w:val="singleLevel"/>
    <w:tmpl w:val="B4D7C474"/>
    <w:lvl w:ilvl="0" w:tentative="0">
      <w:start w:val="1"/>
      <w:numFmt w:val="decimal"/>
      <w:suff w:val="nothing"/>
      <w:lvlText w:val="%1．"/>
      <w:lvlJc w:val="left"/>
      <w:pPr>
        <w:ind w:left="230" w:firstLine="400"/>
      </w:pPr>
      <w:rPr>
        <w:rFonts w:hint="default"/>
      </w:rPr>
    </w:lvl>
  </w:abstractNum>
  <w:abstractNum w:abstractNumId="4">
    <w:nsid w:val="BA5331A9"/>
    <w:multiLevelType w:val="singleLevel"/>
    <w:tmpl w:val="BA5331A9"/>
    <w:lvl w:ilvl="0" w:tentative="0">
      <w:start w:val="1"/>
      <w:numFmt w:val="decimal"/>
      <w:suff w:val="nothing"/>
      <w:lvlText w:val="%1．"/>
      <w:lvlJc w:val="left"/>
      <w:pPr>
        <w:ind w:left="0" w:firstLine="400"/>
      </w:pPr>
      <w:rPr>
        <w:rFonts w:hint="default"/>
      </w:rPr>
    </w:lvl>
  </w:abstractNum>
  <w:abstractNum w:abstractNumId="5">
    <w:nsid w:val="EC92FA4E"/>
    <w:multiLevelType w:val="singleLevel"/>
    <w:tmpl w:val="EC92FA4E"/>
    <w:lvl w:ilvl="0" w:tentative="0">
      <w:start w:val="1"/>
      <w:numFmt w:val="decimal"/>
      <w:suff w:val="nothing"/>
      <w:lvlText w:val="%1、"/>
      <w:lvlJc w:val="left"/>
    </w:lvl>
  </w:abstractNum>
  <w:abstractNum w:abstractNumId="6">
    <w:nsid w:val="F1D2081D"/>
    <w:multiLevelType w:val="singleLevel"/>
    <w:tmpl w:val="F1D2081D"/>
    <w:lvl w:ilvl="0" w:tentative="0">
      <w:start w:val="1"/>
      <w:numFmt w:val="decimal"/>
      <w:pStyle w:val="17"/>
      <w:lvlText w:val="%1."/>
      <w:lvlJc w:val="left"/>
      <w:pPr>
        <w:tabs>
          <w:tab w:val="left" w:pos="2040"/>
        </w:tabs>
        <w:ind w:left="2040" w:hanging="360"/>
      </w:pPr>
    </w:lvl>
  </w:abstractNum>
  <w:abstractNum w:abstractNumId="7">
    <w:nsid w:val="F9B1E5BA"/>
    <w:multiLevelType w:val="singleLevel"/>
    <w:tmpl w:val="F9B1E5BA"/>
    <w:lvl w:ilvl="0" w:tentative="0">
      <w:start w:val="1"/>
      <w:numFmt w:val="decimal"/>
      <w:suff w:val="nothing"/>
      <w:lvlText w:val="%1．"/>
      <w:lvlJc w:val="left"/>
      <w:pPr>
        <w:ind w:left="0" w:firstLine="400"/>
      </w:pPr>
      <w:rPr>
        <w:rFonts w:hint="default"/>
      </w:rPr>
    </w:lvl>
  </w:abstractNum>
  <w:abstractNum w:abstractNumId="8">
    <w:nsid w:val="447735C8"/>
    <w:multiLevelType w:val="singleLevel"/>
    <w:tmpl w:val="447735C8"/>
    <w:lvl w:ilvl="0" w:tentative="0">
      <w:start w:val="1"/>
      <w:numFmt w:val="decimal"/>
      <w:suff w:val="nothing"/>
      <w:lvlText w:val="%1．"/>
      <w:lvlJc w:val="left"/>
      <w:pPr>
        <w:ind w:left="0" w:firstLine="400"/>
      </w:pPr>
      <w:rPr>
        <w:rFonts w:hint="default"/>
      </w:rPr>
    </w:lvl>
  </w:abstractNum>
  <w:abstractNum w:abstractNumId="9">
    <w:nsid w:val="7C7E4572"/>
    <w:multiLevelType w:val="singleLevel"/>
    <w:tmpl w:val="7C7E4572"/>
    <w:lvl w:ilvl="0" w:tentative="0">
      <w:start w:val="1"/>
      <w:numFmt w:val="decimal"/>
      <w:suff w:val="nothing"/>
      <w:lvlText w:val="%1．"/>
      <w:lvlJc w:val="left"/>
      <w:pPr>
        <w:ind w:left="0" w:firstLine="400"/>
      </w:pPr>
      <w:rPr>
        <w:rFonts w:hint="default"/>
      </w:rPr>
    </w:lvl>
  </w:abstractNum>
  <w:abstractNum w:abstractNumId="10">
    <w:nsid w:val="7EBFD64E"/>
    <w:multiLevelType w:val="multilevel"/>
    <w:tmpl w:val="7EBFD64E"/>
    <w:lvl w:ilvl="0" w:tentative="0">
      <w:start w:val="1"/>
      <w:numFmt w:val="decimal"/>
      <w:pStyle w:val="5"/>
      <w:lvlText w:val="%1"/>
      <w:lvlJc w:val="left"/>
      <w:pPr>
        <w:ind w:left="420" w:hanging="420"/>
      </w:pPr>
      <w:rPr>
        <w:rFonts w:hint="default"/>
      </w:rPr>
    </w:lvl>
    <w:lvl w:ilvl="1" w:tentative="0">
      <w:start w:val="1"/>
      <w:numFmt w:val="decimal"/>
      <w:isLgl/>
      <w:lvlText w:val="%1.%2"/>
      <w:lvlJc w:val="left"/>
      <w:pPr>
        <w:tabs>
          <w:tab w:val="left" w:pos="420"/>
        </w:tabs>
        <w:ind w:left="420" w:hanging="420"/>
      </w:pPr>
      <w:rPr>
        <w:rFonts w:hint="default"/>
      </w:rPr>
    </w:lvl>
    <w:lvl w:ilvl="2" w:tentative="0">
      <w:start w:val="2"/>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10"/>
  </w:num>
  <w:num w:numId="2">
    <w:abstractNumId w:val="6"/>
  </w:num>
  <w:num w:numId="3">
    <w:abstractNumId w:val="7"/>
  </w:num>
  <w:num w:numId="4">
    <w:abstractNumId w:val="8"/>
  </w:num>
  <w:num w:numId="5">
    <w:abstractNumId w:val="1"/>
  </w:num>
  <w:num w:numId="6">
    <w:abstractNumId w:val="3"/>
  </w:num>
  <w:num w:numId="7">
    <w:abstractNumId w:val="9"/>
  </w:num>
  <w:num w:numId="8">
    <w:abstractNumId w:val="4"/>
  </w:num>
  <w:num w:numId="9">
    <w:abstractNumId w:val="0"/>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kNWViMzAyMTNhMDU2ZWFmZWJkNzg2MzZhNDYzZjUifQ=="/>
  </w:docVars>
  <w:rsids>
    <w:rsidRoot w:val="00250308"/>
    <w:rsid w:val="00101B98"/>
    <w:rsid w:val="00250308"/>
    <w:rsid w:val="003F23CE"/>
    <w:rsid w:val="008245E5"/>
    <w:rsid w:val="00BD244A"/>
    <w:rsid w:val="00BF503F"/>
    <w:rsid w:val="00C1736A"/>
    <w:rsid w:val="00DC4E88"/>
    <w:rsid w:val="01185A0A"/>
    <w:rsid w:val="021277A6"/>
    <w:rsid w:val="0249475A"/>
    <w:rsid w:val="02B349AE"/>
    <w:rsid w:val="03BA2E83"/>
    <w:rsid w:val="04B923A3"/>
    <w:rsid w:val="050B0D65"/>
    <w:rsid w:val="05615275"/>
    <w:rsid w:val="05AF5758"/>
    <w:rsid w:val="064160D3"/>
    <w:rsid w:val="0656050A"/>
    <w:rsid w:val="071C68AE"/>
    <w:rsid w:val="0825634E"/>
    <w:rsid w:val="082B28A3"/>
    <w:rsid w:val="0928355F"/>
    <w:rsid w:val="0A334D52"/>
    <w:rsid w:val="0A486323"/>
    <w:rsid w:val="0ABD286D"/>
    <w:rsid w:val="0B07180B"/>
    <w:rsid w:val="0DD64E15"/>
    <w:rsid w:val="0E8357AF"/>
    <w:rsid w:val="0F8360B1"/>
    <w:rsid w:val="0FF40A01"/>
    <w:rsid w:val="10802373"/>
    <w:rsid w:val="10CE210A"/>
    <w:rsid w:val="10D118CA"/>
    <w:rsid w:val="11E1356E"/>
    <w:rsid w:val="126637EB"/>
    <w:rsid w:val="12D26FB8"/>
    <w:rsid w:val="16745A82"/>
    <w:rsid w:val="16776F84"/>
    <w:rsid w:val="175759E5"/>
    <w:rsid w:val="175B58E8"/>
    <w:rsid w:val="17E60A01"/>
    <w:rsid w:val="17FB49D5"/>
    <w:rsid w:val="18BF0192"/>
    <w:rsid w:val="18CB084B"/>
    <w:rsid w:val="18DB27F2"/>
    <w:rsid w:val="19080F60"/>
    <w:rsid w:val="198829FA"/>
    <w:rsid w:val="19A326B3"/>
    <w:rsid w:val="1A3A33F9"/>
    <w:rsid w:val="1A8F274D"/>
    <w:rsid w:val="1AB44A1E"/>
    <w:rsid w:val="1BCD412C"/>
    <w:rsid w:val="1CF26907"/>
    <w:rsid w:val="1EB853CE"/>
    <w:rsid w:val="1EBD5F91"/>
    <w:rsid w:val="1EF05CA3"/>
    <w:rsid w:val="1F605859"/>
    <w:rsid w:val="1FB24C3A"/>
    <w:rsid w:val="20081CEC"/>
    <w:rsid w:val="202D04AD"/>
    <w:rsid w:val="20D529C8"/>
    <w:rsid w:val="211A411E"/>
    <w:rsid w:val="214C004F"/>
    <w:rsid w:val="21884C03"/>
    <w:rsid w:val="2231619F"/>
    <w:rsid w:val="22BF31CF"/>
    <w:rsid w:val="23637525"/>
    <w:rsid w:val="23C952D5"/>
    <w:rsid w:val="24D44C08"/>
    <w:rsid w:val="24F902D8"/>
    <w:rsid w:val="253675DA"/>
    <w:rsid w:val="25AB17E9"/>
    <w:rsid w:val="25CE42CA"/>
    <w:rsid w:val="26D97F6B"/>
    <w:rsid w:val="284651E9"/>
    <w:rsid w:val="284800D7"/>
    <w:rsid w:val="2D62353A"/>
    <w:rsid w:val="2EC1207D"/>
    <w:rsid w:val="2EC27B1C"/>
    <w:rsid w:val="2ED26038"/>
    <w:rsid w:val="2F714E2E"/>
    <w:rsid w:val="2FAC047A"/>
    <w:rsid w:val="30455E63"/>
    <w:rsid w:val="304D1A1E"/>
    <w:rsid w:val="307D4A3D"/>
    <w:rsid w:val="30A32359"/>
    <w:rsid w:val="30D251AE"/>
    <w:rsid w:val="315667E6"/>
    <w:rsid w:val="31E525DA"/>
    <w:rsid w:val="3242312A"/>
    <w:rsid w:val="324D55D3"/>
    <w:rsid w:val="3320613D"/>
    <w:rsid w:val="33D327E2"/>
    <w:rsid w:val="33EA214A"/>
    <w:rsid w:val="34DB03E2"/>
    <w:rsid w:val="3558300F"/>
    <w:rsid w:val="3580580A"/>
    <w:rsid w:val="35A64FF2"/>
    <w:rsid w:val="36096772"/>
    <w:rsid w:val="362F50BB"/>
    <w:rsid w:val="37D54385"/>
    <w:rsid w:val="39F07CBA"/>
    <w:rsid w:val="3A3B1E79"/>
    <w:rsid w:val="3B9F2F15"/>
    <w:rsid w:val="3C215F09"/>
    <w:rsid w:val="3C594B3E"/>
    <w:rsid w:val="3D476D34"/>
    <w:rsid w:val="3E5C2711"/>
    <w:rsid w:val="3EA07D15"/>
    <w:rsid w:val="3EAE2AA9"/>
    <w:rsid w:val="3FD40807"/>
    <w:rsid w:val="4064606A"/>
    <w:rsid w:val="40833636"/>
    <w:rsid w:val="40D92993"/>
    <w:rsid w:val="40FA4F7A"/>
    <w:rsid w:val="42317CFE"/>
    <w:rsid w:val="42551CE8"/>
    <w:rsid w:val="433346D8"/>
    <w:rsid w:val="45E00BE3"/>
    <w:rsid w:val="46311EB8"/>
    <w:rsid w:val="46337C01"/>
    <w:rsid w:val="464D3001"/>
    <w:rsid w:val="477640E8"/>
    <w:rsid w:val="48493B4E"/>
    <w:rsid w:val="49364C69"/>
    <w:rsid w:val="49635DB3"/>
    <w:rsid w:val="49FF7561"/>
    <w:rsid w:val="4B0C247A"/>
    <w:rsid w:val="4C477A3F"/>
    <w:rsid w:val="4D2838C3"/>
    <w:rsid w:val="4DE60D60"/>
    <w:rsid w:val="4DF87681"/>
    <w:rsid w:val="4F092FA9"/>
    <w:rsid w:val="4F467EBC"/>
    <w:rsid w:val="504D3F74"/>
    <w:rsid w:val="51E11F6A"/>
    <w:rsid w:val="51EC2EB0"/>
    <w:rsid w:val="52C50F29"/>
    <w:rsid w:val="52C574DB"/>
    <w:rsid w:val="534D53DE"/>
    <w:rsid w:val="5472490F"/>
    <w:rsid w:val="54E35FFA"/>
    <w:rsid w:val="55883AF2"/>
    <w:rsid w:val="55A048FF"/>
    <w:rsid w:val="562128FD"/>
    <w:rsid w:val="56A56EFC"/>
    <w:rsid w:val="57120CBD"/>
    <w:rsid w:val="57396B0E"/>
    <w:rsid w:val="57EC3417"/>
    <w:rsid w:val="5870229A"/>
    <w:rsid w:val="589C6AF1"/>
    <w:rsid w:val="58CE3CA0"/>
    <w:rsid w:val="58DE337E"/>
    <w:rsid w:val="5A471BE4"/>
    <w:rsid w:val="5AFF7905"/>
    <w:rsid w:val="5B5453ED"/>
    <w:rsid w:val="5B906E08"/>
    <w:rsid w:val="5D590BB3"/>
    <w:rsid w:val="5DE80B25"/>
    <w:rsid w:val="5E1216FE"/>
    <w:rsid w:val="5E2044B5"/>
    <w:rsid w:val="5E272363"/>
    <w:rsid w:val="5EA80338"/>
    <w:rsid w:val="5EDD251E"/>
    <w:rsid w:val="5EEF021C"/>
    <w:rsid w:val="5F17346F"/>
    <w:rsid w:val="5FC5493D"/>
    <w:rsid w:val="61B222FF"/>
    <w:rsid w:val="626A746E"/>
    <w:rsid w:val="637107A3"/>
    <w:rsid w:val="637E3274"/>
    <w:rsid w:val="639A015A"/>
    <w:rsid w:val="65777EDA"/>
    <w:rsid w:val="66533B44"/>
    <w:rsid w:val="6656283E"/>
    <w:rsid w:val="666E17C7"/>
    <w:rsid w:val="6677137D"/>
    <w:rsid w:val="66A3578E"/>
    <w:rsid w:val="66D27D29"/>
    <w:rsid w:val="67AC64F8"/>
    <w:rsid w:val="67D22E92"/>
    <w:rsid w:val="688C3AFE"/>
    <w:rsid w:val="68E75895"/>
    <w:rsid w:val="69CE7AFF"/>
    <w:rsid w:val="6A10280E"/>
    <w:rsid w:val="6A3F387A"/>
    <w:rsid w:val="6B0234DF"/>
    <w:rsid w:val="6B734162"/>
    <w:rsid w:val="6C414357"/>
    <w:rsid w:val="6C441CC4"/>
    <w:rsid w:val="6C4A6CAB"/>
    <w:rsid w:val="6C9958F5"/>
    <w:rsid w:val="6D012BF6"/>
    <w:rsid w:val="6FC71F7F"/>
    <w:rsid w:val="72754792"/>
    <w:rsid w:val="73657957"/>
    <w:rsid w:val="74324FA0"/>
    <w:rsid w:val="74B41767"/>
    <w:rsid w:val="74F022CD"/>
    <w:rsid w:val="751E7BDB"/>
    <w:rsid w:val="77425939"/>
    <w:rsid w:val="77996933"/>
    <w:rsid w:val="78252301"/>
    <w:rsid w:val="782964B6"/>
    <w:rsid w:val="78E57E57"/>
    <w:rsid w:val="790630F9"/>
    <w:rsid w:val="79604737"/>
    <w:rsid w:val="79983DE9"/>
    <w:rsid w:val="7A000D96"/>
    <w:rsid w:val="7A3E79AD"/>
    <w:rsid w:val="7D717D97"/>
    <w:rsid w:val="7DD576F5"/>
    <w:rsid w:val="7F4E5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keepLines/>
      <w:numPr>
        <w:ilvl w:val="0"/>
        <w:numId w:val="1"/>
      </w:numPr>
      <w:adjustRightInd w:val="0"/>
      <w:spacing w:before="120" w:beforeLines="0" w:after="120" w:afterLines="0" w:line="578" w:lineRule="atLeast"/>
      <w:jc w:val="center"/>
      <w:textAlignment w:val="baseline"/>
      <w:outlineLvl w:val="0"/>
    </w:pPr>
    <w:rPr>
      <w:rFonts w:ascii="Times New Roman" w:hAnsi="Times New Roman" w:eastAsia="宋体"/>
      <w:b/>
      <w:kern w:val="44"/>
      <w:sz w:val="30"/>
      <w:szCs w:val="20"/>
    </w:rPr>
  </w:style>
  <w:style w:type="paragraph" w:styleId="6">
    <w:name w:val="heading 2"/>
    <w:basedOn w:val="1"/>
    <w:next w:val="7"/>
    <w:qFormat/>
    <w:uiPriority w:val="0"/>
    <w:pPr>
      <w:keepNext/>
      <w:keepLines/>
      <w:spacing w:before="260" w:after="260" w:line="415" w:lineRule="auto"/>
      <w:outlineLvl w:val="1"/>
    </w:pPr>
    <w:rPr>
      <w:rFonts w:ascii="Arial" w:hAnsi="Arial" w:eastAsia="黑体"/>
      <w:b/>
      <w:bCs/>
      <w:sz w:val="32"/>
      <w:szCs w:val="32"/>
    </w:rPr>
  </w:style>
  <w:style w:type="paragraph" w:styleId="8">
    <w:name w:val="heading 3"/>
    <w:basedOn w:val="1"/>
    <w:next w:val="1"/>
    <w:qFormat/>
    <w:uiPriority w:val="0"/>
    <w:pPr>
      <w:keepNext/>
      <w:keepLines/>
      <w:spacing w:before="260" w:after="260" w:line="415" w:lineRule="auto"/>
      <w:outlineLvl w:val="2"/>
    </w:pPr>
    <w:rPr>
      <w:b/>
      <w:bCs/>
      <w:sz w:val="32"/>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style>
  <w:style w:type="paragraph" w:styleId="3">
    <w:name w:val="Body Text Indent"/>
    <w:basedOn w:val="1"/>
    <w:next w:val="4"/>
    <w:qFormat/>
    <w:uiPriority w:val="0"/>
    <w:pPr>
      <w:spacing w:after="120"/>
      <w:ind w:left="420" w:leftChars="200"/>
    </w:pPr>
    <w:rPr>
      <w:rFonts w:ascii="Calibri" w:hAnsi="Calibri" w:cs="黑体"/>
    </w:rPr>
  </w:style>
  <w:style w:type="paragraph" w:styleId="4">
    <w:name w:val="envelope return"/>
    <w:basedOn w:val="1"/>
    <w:qFormat/>
    <w:uiPriority w:val="0"/>
    <w:pPr>
      <w:snapToGrid w:val="0"/>
    </w:pPr>
    <w:rPr>
      <w:rFonts w:ascii="Arial" w:hAnsi="Arial"/>
    </w:rPr>
  </w:style>
  <w:style w:type="paragraph" w:styleId="7">
    <w:name w:val="Normal Indent"/>
    <w:basedOn w:val="1"/>
    <w:next w:val="1"/>
    <w:qFormat/>
    <w:uiPriority w:val="0"/>
    <w:pPr>
      <w:widowControl/>
      <w:ind w:firstLine="420"/>
      <w:jc w:val="left"/>
    </w:pPr>
    <w:rPr>
      <w:rFonts w:ascii="Calibri" w:hAnsi="Calibri" w:cs="黑体"/>
      <w:szCs w:val="22"/>
    </w:rPr>
  </w:style>
  <w:style w:type="paragraph" w:styleId="9">
    <w:name w:val="Body Text"/>
    <w:basedOn w:val="1"/>
    <w:next w:val="10"/>
    <w:qFormat/>
    <w:uiPriority w:val="0"/>
    <w:pPr>
      <w:widowControl/>
      <w:jc w:val="left"/>
    </w:pPr>
    <w:rPr>
      <w:kern w:val="0"/>
      <w:sz w:val="24"/>
      <w:szCs w:val="20"/>
    </w:rPr>
  </w:style>
  <w:style w:type="paragraph" w:styleId="10">
    <w:name w:val="header"/>
    <w:basedOn w:val="1"/>
    <w:next w:val="11"/>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11">
    <w:name w:val="Quote1"/>
    <w:basedOn w:val="1"/>
    <w:next w:val="1"/>
    <w:qFormat/>
    <w:uiPriority w:val="99"/>
    <w:pPr>
      <w:widowControl/>
      <w:wordWrap w:val="0"/>
      <w:spacing w:before="200" w:after="160"/>
      <w:ind w:left="864" w:right="864"/>
      <w:jc w:val="center"/>
    </w:pPr>
    <w:rPr>
      <w:rFonts w:ascii="宋体"/>
      <w:i/>
      <w:color w:val="404040"/>
    </w:rPr>
  </w:style>
  <w:style w:type="paragraph" w:styleId="12">
    <w:name w:val="Plain Text"/>
    <w:basedOn w:val="1"/>
    <w:next w:val="13"/>
    <w:qFormat/>
    <w:uiPriority w:val="0"/>
    <w:rPr>
      <w:rFonts w:ascii="宋体" w:hAnsi="Courier New" w:cs="黑体"/>
      <w:szCs w:val="22"/>
    </w:rPr>
  </w:style>
  <w:style w:type="paragraph" w:styleId="13">
    <w:name w:val="index 7"/>
    <w:basedOn w:val="1"/>
    <w:next w:val="1"/>
    <w:semiHidden/>
    <w:qFormat/>
    <w:uiPriority w:val="0"/>
    <w:pPr>
      <w:ind w:left="2520"/>
    </w:pPr>
  </w:style>
  <w:style w:type="paragraph" w:styleId="14">
    <w:name w:val="Date"/>
    <w:basedOn w:val="1"/>
    <w:next w:val="1"/>
    <w:qFormat/>
    <w:uiPriority w:val="0"/>
    <w:pPr>
      <w:ind w:left="100" w:leftChars="2500"/>
    </w:pPr>
    <w:rPr>
      <w:rFonts w:ascii="Calibri" w:hAnsi="Calibri" w:cs="黑体"/>
    </w:rPr>
  </w:style>
  <w:style w:type="paragraph" w:styleId="15">
    <w:name w:val="Body Text Indent 2"/>
    <w:basedOn w:val="1"/>
    <w:qFormat/>
    <w:uiPriority w:val="0"/>
    <w:pPr>
      <w:spacing w:line="360" w:lineRule="auto"/>
      <w:ind w:left="839" w:hanging="839" w:hangingChars="355"/>
    </w:pPr>
    <w:rPr>
      <w:b/>
      <w:sz w:val="24"/>
    </w:rPr>
  </w:style>
  <w:style w:type="paragraph" w:styleId="16">
    <w:name w:val="footer"/>
    <w:basedOn w:val="1"/>
    <w:unhideWhenUsed/>
    <w:qFormat/>
    <w:uiPriority w:val="99"/>
    <w:pPr>
      <w:tabs>
        <w:tab w:val="center" w:pos="4153"/>
        <w:tab w:val="right" w:pos="8306"/>
      </w:tabs>
      <w:snapToGrid w:val="0"/>
      <w:jc w:val="left"/>
    </w:pPr>
    <w:rPr>
      <w:sz w:val="18"/>
      <w:szCs w:val="18"/>
    </w:rPr>
  </w:style>
  <w:style w:type="paragraph" w:styleId="17">
    <w:name w:val="List Number 5"/>
    <w:basedOn w:val="1"/>
    <w:qFormat/>
    <w:uiPriority w:val="0"/>
    <w:pPr>
      <w:numPr>
        <w:ilvl w:val="0"/>
        <w:numId w:val="2"/>
      </w:numPr>
    </w:pPr>
  </w:style>
  <w:style w:type="paragraph" w:styleId="1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rPr>
  </w:style>
  <w:style w:type="paragraph" w:styleId="1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0">
    <w:name w:val="Body Text First Indent"/>
    <w:basedOn w:val="9"/>
    <w:next w:val="1"/>
    <w:qFormat/>
    <w:uiPriority w:val="0"/>
    <w:pPr>
      <w:ind w:firstLine="420" w:firstLineChars="100"/>
    </w:pPr>
    <w:rPr>
      <w:sz w:val="21"/>
    </w:rPr>
  </w:style>
  <w:style w:type="table" w:styleId="22">
    <w:name w:val="Table Grid"/>
    <w:basedOn w:val="2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0"/>
    <w:rPr>
      <w:b/>
    </w:rPr>
  </w:style>
  <w:style w:type="character" w:styleId="25">
    <w:name w:val="page number"/>
    <w:basedOn w:val="23"/>
    <w:qFormat/>
    <w:uiPriority w:val="0"/>
  </w:style>
  <w:style w:type="paragraph" w:customStyle="1" w:styleId="26">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styleId="27">
    <w:name w:val="List Paragraph"/>
    <w:basedOn w:val="1"/>
    <w:qFormat/>
    <w:uiPriority w:val="34"/>
    <w:pPr>
      <w:ind w:firstLine="420" w:firstLineChars="200"/>
    </w:pPr>
  </w:style>
  <w:style w:type="paragraph" w:customStyle="1" w:styleId="28">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9">
    <w:name w:val="正文2"/>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0">
    <w:name w:val="采购正文"/>
    <w:link w:val="33"/>
    <w:qFormat/>
    <w:uiPriority w:val="0"/>
    <w:pPr>
      <w:widowControl w:val="0"/>
      <w:autoSpaceDE w:val="0"/>
      <w:autoSpaceDN w:val="0"/>
      <w:spacing w:line="560" w:lineRule="exact"/>
      <w:ind w:firstLine="480" w:firstLineChars="200"/>
      <w:contextualSpacing/>
      <w:jc w:val="both"/>
    </w:pPr>
    <w:rPr>
      <w:rFonts w:ascii="仿宋" w:hAnsi="仿宋" w:eastAsia="仿宋" w:cs="Times New Roman"/>
      <w:kern w:val="24"/>
      <w:sz w:val="24"/>
      <w:szCs w:val="24"/>
      <w:lang w:val="en-US" w:eastAsia="zh-CN" w:bidi="ar-SA"/>
    </w:rPr>
  </w:style>
  <w:style w:type="paragraph" w:styleId="31">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Normal Indent1"/>
    <w:basedOn w:val="1"/>
    <w:unhideWhenUsed/>
    <w:qFormat/>
    <w:uiPriority w:val="99"/>
    <w:pPr>
      <w:ind w:firstLine="420" w:firstLineChars="200"/>
    </w:pPr>
  </w:style>
  <w:style w:type="character" w:customStyle="1" w:styleId="33">
    <w:name w:val="采购正文 Char"/>
    <w:basedOn w:val="23"/>
    <w:link w:val="30"/>
    <w:qFormat/>
    <w:uiPriority w:val="0"/>
    <w:rPr>
      <w:rFonts w:ascii="仿宋" w:hAnsi="仿宋" w:eastAsia="仿宋"/>
      <w:kern w:val="24"/>
      <w:sz w:val="24"/>
      <w:szCs w:val="24"/>
      <w:lang w:val="en-US" w:eastAsia="zh-CN" w:bidi="ar-SA"/>
    </w:rPr>
  </w:style>
  <w:style w:type="paragraph" w:customStyle="1" w:styleId="34">
    <w:name w:val="Default Text"/>
    <w:qFormat/>
    <w:uiPriority w:val="99"/>
    <w:pPr>
      <w:widowControl w:val="0"/>
      <w:autoSpaceDE w:val="0"/>
      <w:autoSpaceDN w:val="0"/>
      <w:adjustRightInd w:val="0"/>
    </w:pPr>
    <w:rPr>
      <w:rFonts w:ascii="Calibri" w:hAnsi="Calibri" w:eastAsia="宋体" w:cs="Times New Roman"/>
      <w:color w:val="000000"/>
      <w:sz w:val="24"/>
      <w:lang w:val="en-US" w:eastAsia="zh-CN" w:bidi="ar-SA"/>
    </w:rPr>
  </w:style>
  <w:style w:type="paragraph" w:customStyle="1" w:styleId="35">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36">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37">
    <w:name w:val="Table Paragraph"/>
    <w:basedOn w:val="1"/>
    <w:qFormat/>
    <w:uiPriority w:val="1"/>
    <w:pPr>
      <w:autoSpaceDE w:val="0"/>
      <w:autoSpaceDN w:val="0"/>
      <w:jc w:val="left"/>
    </w:pPr>
    <w:rPr>
      <w:rFonts w:ascii="宋体" w:hAnsi="宋体" w:eastAsia="宋体" w:cs="宋体"/>
      <w:kern w:val="0"/>
      <w:sz w:val="22"/>
      <w:lang w:eastAsia="en-US"/>
    </w:rPr>
  </w:style>
  <w:style w:type="paragraph" w:customStyle="1" w:styleId="38">
    <w:name w:val="*正文"/>
    <w:basedOn w:val="1"/>
    <w:qFormat/>
    <w:uiPriority w:val="0"/>
    <w:pPr>
      <w:ind w:firstLine="200" w:firstLineChars="200"/>
    </w:pPr>
    <w:rPr>
      <w:rFonts w:hint="eastAsia" w:ascii="宋体" w:hAnsi="宋体"/>
      <w:szCs w:val="22"/>
    </w:rPr>
  </w:style>
  <w:style w:type="paragraph" w:customStyle="1" w:styleId="39">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29722</Words>
  <Characters>32102</Characters>
  <Lines>227</Lines>
  <Paragraphs>64</Paragraphs>
  <TotalTime>2</TotalTime>
  <ScaleCrop>false</ScaleCrop>
  <LinksUpToDate>false</LinksUpToDate>
  <CharactersWithSpaces>32559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2022-05-23T03:41:00Z</dcterms:created>
  <dc:creator>Administrator</dc:creator>
  <cp:lastModifiedBy>奔赴.</cp:lastModifiedBy>
  <cp:lastPrinted>2021-12-24T05:55:00Z</cp:lastPrinted>
  <dcterms:modified xsi:type="dcterms:W3CDTF">2025-04-02T03:22:25Z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484AC2246C9649C49335274BD15C1B8D_13</vt:lpwstr>
  </property>
  <property fmtid="{D5CDD505-2E9C-101B-9397-08002B2CF9AE}" pid="4" name="KSOTemplateDocerSaveRecord">
    <vt:lpwstr>eyJoZGlkIjoiNzc2YzgyMzBmNmM2Yjg3ZmQzNDZlNTdjNTg2MGYzMDkiLCJ1c2VySWQiOiIyNjgxNzY5ODcifQ==</vt:lpwstr>
  </property>
</Properties>
</file>