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279"/>
        <w:rPr>
          <w:rFonts w:hint="eastAsia" w:eastAsia="宋体"/>
          <w:lang w:eastAsia="zh-CN"/>
        </w:rPr>
      </w:pPr>
      <w:r>
        <w:rPr>
          <w:spacing w:val="-2"/>
        </w:rPr>
        <w:t>招标编号 ：HLYZB02-2025001-</w:t>
      </w:r>
      <w:r>
        <w:rPr>
          <w:spacing w:val="-10"/>
        </w:rPr>
        <w:t>2</w:t>
      </w:r>
      <w:r>
        <w:rPr>
          <w:rFonts w:hint="eastAsia"/>
          <w:spacing w:val="-10"/>
          <w:lang w:eastAsia="zh-CN"/>
        </w:rPr>
        <w:t>（</w:t>
      </w:r>
      <w:r>
        <w:rPr>
          <w:rFonts w:hint="eastAsia"/>
          <w:spacing w:val="-10"/>
          <w:lang w:val="en-US" w:eastAsia="zh-CN"/>
        </w:rPr>
        <w:t>1</w:t>
      </w:r>
      <w:r>
        <w:rPr>
          <w:rFonts w:hint="eastAsia"/>
          <w:spacing w:val="-10"/>
          <w:lang w:eastAsia="zh-CN"/>
        </w:rPr>
        <w:t>）</w:t>
      </w:r>
    </w:p>
    <w:p>
      <w:pPr>
        <w:pStyle w:val="9"/>
        <w:rPr>
          <w:sz w:val="28"/>
        </w:rPr>
      </w:pPr>
    </w:p>
    <w:p>
      <w:pPr>
        <w:pStyle w:val="9"/>
        <w:rPr>
          <w:sz w:val="28"/>
        </w:rPr>
      </w:pPr>
    </w:p>
    <w:p>
      <w:pPr>
        <w:pStyle w:val="9"/>
        <w:rPr>
          <w:sz w:val="28"/>
        </w:rPr>
      </w:pPr>
    </w:p>
    <w:p>
      <w:pPr>
        <w:pStyle w:val="9"/>
        <w:spacing w:before="149"/>
        <w:rPr>
          <w:sz w:val="28"/>
        </w:rPr>
      </w:pPr>
    </w:p>
    <w:p>
      <w:pPr>
        <w:spacing w:before="0"/>
        <w:ind w:left="204" w:right="325" w:firstLine="0"/>
        <w:jc w:val="center"/>
        <w:rPr>
          <w:sz w:val="72"/>
        </w:rPr>
      </w:pPr>
      <w:r>
        <w:rPr>
          <w:sz w:val="72"/>
        </w:rPr>
        <w:t>招 标 文 件</w:t>
      </w:r>
    </w:p>
    <w:p>
      <w:pPr>
        <w:pStyle w:val="9"/>
        <w:spacing w:before="677"/>
        <w:rPr>
          <w:sz w:val="72"/>
        </w:rPr>
      </w:pPr>
    </w:p>
    <w:p>
      <w:pPr>
        <w:pStyle w:val="7"/>
        <w:spacing w:line="220" w:lineRule="auto"/>
        <w:ind w:left="1585" w:right="1199" w:hanging="1476"/>
        <w:rPr>
          <w:rFonts w:hint="eastAsia" w:eastAsia="宋体"/>
          <w:lang w:val="en-US" w:eastAsia="zh-CN"/>
        </w:rPr>
      </w:pPr>
      <w:r>
        <w:rPr>
          <w:spacing w:val="-2"/>
        </w:rPr>
        <w:t>项目名称：新疆农业大学亚心校区葡萄苑餐厅面向社会公开招募餐饮服务团队项目</w:t>
      </w:r>
      <w:r>
        <w:rPr>
          <w:rFonts w:hint="eastAsia"/>
          <w:spacing w:val="-2"/>
          <w:lang w:eastAsia="zh-CN"/>
        </w:rPr>
        <w:t>二标包（</w:t>
      </w:r>
      <w:r>
        <w:rPr>
          <w:rFonts w:hint="eastAsia"/>
          <w:spacing w:val="-2"/>
          <w:lang w:val="en-US" w:eastAsia="zh-CN"/>
        </w:rPr>
        <w:t>二次</w:t>
      </w:r>
      <w:r>
        <w:rPr>
          <w:rFonts w:hint="eastAsia"/>
          <w:spacing w:val="-2"/>
          <w:lang w:eastAsia="zh-CN"/>
        </w:rPr>
        <w:t>）</w:t>
      </w:r>
    </w:p>
    <w:p>
      <w:pPr>
        <w:pStyle w:val="9"/>
        <w:spacing w:before="74"/>
        <w:rPr>
          <w:sz w:val="28"/>
        </w:rPr>
      </w:pPr>
    </w:p>
    <w:p>
      <w:pPr>
        <w:pStyle w:val="7"/>
        <w:spacing w:line="528" w:lineRule="auto"/>
        <w:ind w:right="7088" w:hanging="3"/>
      </w:pPr>
      <w:r>
        <w:rPr>
          <w:spacing w:val="-7"/>
        </w:rPr>
        <w:t>采 购 人：新疆农业大学</w:t>
      </w:r>
      <w:r>
        <w:rPr>
          <w:spacing w:val="-2"/>
        </w:rPr>
        <w:t>法定代表人（签章）： 联系人：王老师</w:t>
      </w:r>
    </w:p>
    <w:p>
      <w:pPr>
        <w:pStyle w:val="7"/>
      </w:pPr>
      <w:r>
        <w:rPr>
          <w:spacing w:val="-4"/>
        </w:rPr>
        <w:t>联系电话：15292426954</w:t>
      </w:r>
    </w:p>
    <w:p>
      <w:pPr>
        <w:pStyle w:val="9"/>
        <w:rPr>
          <w:sz w:val="28"/>
        </w:rPr>
      </w:pPr>
    </w:p>
    <w:p>
      <w:pPr>
        <w:pStyle w:val="9"/>
        <w:rPr>
          <w:sz w:val="28"/>
        </w:rPr>
      </w:pPr>
    </w:p>
    <w:p>
      <w:pPr>
        <w:pStyle w:val="9"/>
        <w:spacing w:before="140"/>
        <w:rPr>
          <w:sz w:val="28"/>
        </w:rPr>
      </w:pPr>
    </w:p>
    <w:p>
      <w:pPr>
        <w:pStyle w:val="7"/>
        <w:spacing w:line="528" w:lineRule="auto"/>
        <w:ind w:right="3560" w:hanging="3"/>
        <w:rPr>
          <w:spacing w:val="-2"/>
        </w:rPr>
      </w:pPr>
      <w:r>
        <w:rPr>
          <w:spacing w:val="-28"/>
        </w:rPr>
        <w:t>招标代理机构：（公章）新疆宏力源工程项目管理有限公司</w:t>
      </w:r>
      <w:r>
        <w:rPr>
          <w:spacing w:val="-2"/>
        </w:rPr>
        <w:t xml:space="preserve">法定代表人（签章）： </w:t>
      </w:r>
    </w:p>
    <w:p>
      <w:pPr>
        <w:pStyle w:val="7"/>
        <w:spacing w:line="528" w:lineRule="auto"/>
        <w:ind w:right="3560" w:hanging="3"/>
      </w:pPr>
      <w:r>
        <w:t>联 系 人：李工</w:t>
      </w:r>
    </w:p>
    <w:p>
      <w:pPr>
        <w:pStyle w:val="7"/>
        <w:spacing w:line="363" w:lineRule="exact"/>
      </w:pPr>
      <w:r>
        <w:rPr>
          <w:spacing w:val="-4"/>
        </w:rPr>
        <w:t>联系电话：13579862091</w:t>
      </w:r>
    </w:p>
    <w:p>
      <w:pPr>
        <w:pStyle w:val="9"/>
        <w:spacing w:before="66"/>
        <w:rPr>
          <w:sz w:val="28"/>
        </w:rPr>
      </w:pPr>
    </w:p>
    <w:p>
      <w:pPr>
        <w:pStyle w:val="7"/>
        <w:spacing w:before="1"/>
        <w:ind w:left="109"/>
      </w:pPr>
      <w:r>
        <w:rPr>
          <w:spacing w:val="-28"/>
        </w:rPr>
        <w:t>联系地址：新疆乌鲁木齐高新区（新市区）四平路266号科创花苑B3办公1501</w:t>
      </w:r>
    </w:p>
    <w:p>
      <w:pPr>
        <w:spacing w:after="0"/>
        <w:sectPr>
          <w:headerReference r:id="rId5" w:type="default"/>
          <w:type w:val="continuous"/>
          <w:pgSz w:w="11910" w:h="16840"/>
          <w:pgMar w:top="1100" w:right="720" w:bottom="280" w:left="920" w:header="916" w:footer="0" w:gutter="0"/>
          <w:pgNumType w:fmt="numberInDash"/>
          <w:cols w:space="720" w:num="1"/>
        </w:sectPr>
      </w:pPr>
    </w:p>
    <w:p>
      <w:pPr>
        <w:spacing w:before="284"/>
        <w:ind w:left="204" w:right="259" w:firstLine="0"/>
        <w:jc w:val="center"/>
        <w:rPr>
          <w:b/>
          <w:sz w:val="36"/>
        </w:rPr>
      </w:pPr>
      <w:r>
        <w:rPr>
          <w:b/>
          <w:spacing w:val="-21"/>
          <w:sz w:val="36"/>
        </w:rPr>
        <w:t>目 录</w:t>
      </w:r>
    </w:p>
    <w:sdt>
      <w:sdtPr>
        <w:id w:val="1"/>
        <w:docPartObj>
          <w:docPartGallery w:val="Table of Contents"/>
          <w:docPartUnique/>
        </w:docPartObj>
      </w:sdtPr>
      <w:sdtContent>
        <w:p>
          <w:pPr>
            <w:pStyle w:val="11"/>
            <w:tabs>
              <w:tab w:val="right" w:leader="dot" w:pos="9965"/>
            </w:tabs>
            <w:spacing w:before="783"/>
          </w:pPr>
          <w:r>
            <w:fldChar w:fldCharType="begin"/>
          </w:r>
          <w:r>
            <w:instrText xml:space="preserve">TOC \o "1-1" \h \z \u </w:instrText>
          </w:r>
          <w:r>
            <w:fldChar w:fldCharType="separate"/>
          </w:r>
          <w:r>
            <w:fldChar w:fldCharType="begin"/>
          </w:r>
          <w:r>
            <w:instrText xml:space="preserve"> HYPERLINK \l "_bookmark0" </w:instrText>
          </w:r>
          <w:r>
            <w:fldChar w:fldCharType="separate"/>
          </w:r>
          <w:r>
            <w:rPr>
              <w:spacing w:val="-14"/>
            </w:rPr>
            <w:t>第一章</w:t>
          </w:r>
          <w:r>
            <w:rPr>
              <w:spacing w:val="-22"/>
            </w:rPr>
            <w:t xml:space="preserve"> </w:t>
          </w:r>
          <w:r>
            <w:rPr>
              <w:spacing w:val="-14"/>
            </w:rPr>
            <w:t>招标公告</w:t>
          </w:r>
          <w:r>
            <w:rPr>
              <w:rFonts w:ascii="Times New Roman" w:eastAsia="Times New Roman"/>
              <w:b w:val="0"/>
            </w:rPr>
            <w:tab/>
          </w:r>
          <w:r>
            <w:rPr>
              <w:rFonts w:hint="eastAsia"/>
              <w:spacing w:val="-10"/>
              <w:lang w:val="en-US" w:eastAsia="zh-CN"/>
            </w:rPr>
            <w:t>1</w:t>
          </w:r>
          <w:r>
            <w:rPr>
              <w:spacing w:val="-10"/>
            </w:rPr>
            <w:fldChar w:fldCharType="end"/>
          </w:r>
        </w:p>
        <w:p>
          <w:pPr>
            <w:pStyle w:val="11"/>
            <w:tabs>
              <w:tab w:val="right" w:leader="dot" w:pos="9965"/>
            </w:tabs>
            <w:spacing w:before="363"/>
          </w:pPr>
          <w:r>
            <w:fldChar w:fldCharType="begin"/>
          </w:r>
          <w:r>
            <w:instrText xml:space="preserve"> HYPERLINK \l "_bookmark1" </w:instrText>
          </w:r>
          <w:r>
            <w:fldChar w:fldCharType="separate"/>
          </w:r>
          <w:r>
            <w:rPr>
              <w:spacing w:val="-14"/>
            </w:rPr>
            <w:t>第二章</w:t>
          </w:r>
          <w:r>
            <w:rPr>
              <w:spacing w:val="-24"/>
            </w:rPr>
            <w:t xml:space="preserve"> </w:t>
          </w:r>
          <w:r>
            <w:rPr>
              <w:spacing w:val="-14"/>
            </w:rPr>
            <w:t>投标人须知</w:t>
          </w:r>
          <w:r>
            <w:rPr>
              <w:rFonts w:ascii="Times New Roman" w:eastAsia="Times New Roman"/>
              <w:b w:val="0"/>
            </w:rPr>
            <w:tab/>
          </w:r>
          <w:r>
            <w:rPr>
              <w:spacing w:val="-10"/>
            </w:rPr>
            <w:t>4</w:t>
          </w:r>
          <w:r>
            <w:rPr>
              <w:spacing w:val="-10"/>
            </w:rPr>
            <w:fldChar w:fldCharType="end"/>
          </w:r>
        </w:p>
        <w:p>
          <w:pPr>
            <w:pStyle w:val="11"/>
            <w:tabs>
              <w:tab w:val="right" w:leader="dot" w:pos="9970"/>
            </w:tabs>
          </w:pPr>
          <w:r>
            <w:fldChar w:fldCharType="begin"/>
          </w:r>
          <w:r>
            <w:instrText xml:space="preserve"> HYPERLINK \l "_bookmark2" </w:instrText>
          </w:r>
          <w:r>
            <w:fldChar w:fldCharType="separate"/>
          </w:r>
          <w:r>
            <w:rPr>
              <w:spacing w:val="-14"/>
            </w:rPr>
            <w:t>第三章</w:t>
          </w:r>
          <w:r>
            <w:rPr>
              <w:spacing w:val="-22"/>
            </w:rPr>
            <w:t xml:space="preserve"> </w:t>
          </w:r>
          <w:r>
            <w:rPr>
              <w:spacing w:val="-14"/>
            </w:rPr>
            <w:t>采购需求</w:t>
          </w:r>
          <w:r>
            <w:rPr>
              <w:rFonts w:ascii="Times New Roman" w:eastAsia="Times New Roman"/>
              <w:b w:val="0"/>
            </w:rPr>
            <w:tab/>
          </w:r>
          <w:r>
            <w:rPr>
              <w:spacing w:val="-5"/>
            </w:rPr>
            <w:t>31</w:t>
          </w:r>
          <w:r>
            <w:rPr>
              <w:spacing w:val="-5"/>
            </w:rPr>
            <w:fldChar w:fldCharType="end"/>
          </w:r>
        </w:p>
        <w:p>
          <w:pPr>
            <w:pStyle w:val="11"/>
            <w:tabs>
              <w:tab w:val="right" w:leader="dot" w:pos="9970"/>
            </w:tabs>
            <w:spacing w:before="360"/>
          </w:pPr>
          <w:r>
            <w:fldChar w:fldCharType="begin"/>
          </w:r>
          <w:r>
            <w:instrText xml:space="preserve"> HYPERLINK \l "_bookmark3" </w:instrText>
          </w:r>
          <w:r>
            <w:fldChar w:fldCharType="separate"/>
          </w:r>
          <w:r>
            <w:rPr>
              <w:spacing w:val="-14"/>
            </w:rPr>
            <w:t>第四章</w:t>
          </w:r>
          <w:r>
            <w:rPr>
              <w:spacing w:val="-22"/>
            </w:rPr>
            <w:t xml:space="preserve"> </w:t>
          </w:r>
          <w:r>
            <w:rPr>
              <w:spacing w:val="-14"/>
            </w:rPr>
            <w:t>资格审查</w:t>
          </w:r>
          <w:r>
            <w:rPr>
              <w:rFonts w:ascii="Times New Roman" w:eastAsia="Times New Roman"/>
              <w:b w:val="0"/>
            </w:rPr>
            <w:tab/>
          </w:r>
          <w:r>
            <w:rPr>
              <w:spacing w:val="-5"/>
            </w:rPr>
            <w:t>3</w:t>
          </w:r>
          <w:r>
            <w:rPr>
              <w:rFonts w:hint="eastAsia"/>
              <w:spacing w:val="-5"/>
              <w:lang w:val="en-US" w:eastAsia="zh-CN"/>
            </w:rPr>
            <w:t>3</w:t>
          </w:r>
          <w:r>
            <w:rPr>
              <w:spacing w:val="-5"/>
            </w:rPr>
            <w:fldChar w:fldCharType="end"/>
          </w:r>
        </w:p>
        <w:p>
          <w:pPr>
            <w:pStyle w:val="11"/>
            <w:tabs>
              <w:tab w:val="right" w:leader="dot" w:pos="9970"/>
            </w:tabs>
          </w:pPr>
          <w:r>
            <w:fldChar w:fldCharType="begin"/>
          </w:r>
          <w:r>
            <w:instrText xml:space="preserve"> HYPERLINK \l "_bookmark4" </w:instrText>
          </w:r>
          <w:r>
            <w:fldChar w:fldCharType="separate"/>
          </w:r>
          <w:r>
            <w:rPr>
              <w:spacing w:val="-18"/>
            </w:rPr>
            <w:t>第五章</w:t>
          </w:r>
          <w:r>
            <w:rPr>
              <w:spacing w:val="-30"/>
            </w:rPr>
            <w:t xml:space="preserve"> </w:t>
          </w:r>
          <w:r>
            <w:rPr>
              <w:spacing w:val="-18"/>
            </w:rPr>
            <w:t>评标方法及标准(综合评分法)</w:t>
          </w:r>
          <w:r>
            <w:rPr>
              <w:rFonts w:ascii="Times New Roman" w:eastAsia="Times New Roman"/>
              <w:b w:val="0"/>
            </w:rPr>
            <w:tab/>
          </w:r>
          <w:r>
            <w:rPr>
              <w:spacing w:val="-5"/>
            </w:rPr>
            <w:t>3</w:t>
          </w:r>
          <w:r>
            <w:rPr>
              <w:rFonts w:hint="eastAsia"/>
              <w:spacing w:val="-5"/>
              <w:lang w:val="en-US" w:eastAsia="zh-CN"/>
            </w:rPr>
            <w:t>5</w:t>
          </w:r>
          <w:r>
            <w:rPr>
              <w:spacing w:val="-5"/>
            </w:rPr>
            <w:fldChar w:fldCharType="end"/>
          </w:r>
        </w:p>
        <w:p>
          <w:pPr>
            <w:pStyle w:val="11"/>
            <w:tabs>
              <w:tab w:val="right" w:leader="dot" w:pos="9970"/>
            </w:tabs>
          </w:pPr>
          <w:r>
            <w:fldChar w:fldCharType="begin"/>
          </w:r>
          <w:r>
            <w:instrText xml:space="preserve"> HYPERLINK \l "_bookmark5" </w:instrText>
          </w:r>
          <w:r>
            <w:fldChar w:fldCharType="separate"/>
          </w:r>
          <w:r>
            <w:rPr>
              <w:spacing w:val="-14"/>
            </w:rPr>
            <w:t>第六章</w:t>
          </w:r>
          <w:r>
            <w:rPr>
              <w:spacing w:val="-22"/>
            </w:rPr>
            <w:t xml:space="preserve"> </w:t>
          </w:r>
          <w:r>
            <w:rPr>
              <w:spacing w:val="-14"/>
            </w:rPr>
            <w:t>合同草案</w:t>
          </w:r>
          <w:r>
            <w:rPr>
              <w:rFonts w:ascii="Times New Roman" w:eastAsia="Times New Roman"/>
              <w:b w:val="0"/>
            </w:rPr>
            <w:tab/>
          </w:r>
          <w:r>
            <w:rPr>
              <w:spacing w:val="-5"/>
            </w:rPr>
            <w:t>4</w:t>
          </w:r>
          <w:r>
            <w:rPr>
              <w:rFonts w:hint="eastAsia"/>
              <w:spacing w:val="-5"/>
              <w:lang w:val="en-US" w:eastAsia="zh-CN"/>
            </w:rPr>
            <w:t>5</w:t>
          </w:r>
          <w:r>
            <w:rPr>
              <w:spacing w:val="-5"/>
            </w:rPr>
            <w:fldChar w:fldCharType="end"/>
          </w:r>
        </w:p>
        <w:p>
          <w:pPr>
            <w:pStyle w:val="11"/>
            <w:tabs>
              <w:tab w:val="right" w:leader="dot" w:pos="9967"/>
            </w:tabs>
          </w:pPr>
          <w:r>
            <w:fldChar w:fldCharType="begin"/>
          </w:r>
          <w:r>
            <w:instrText xml:space="preserve"> HYPERLINK \l "_bookmark6" </w:instrText>
          </w:r>
          <w:r>
            <w:fldChar w:fldCharType="separate"/>
          </w:r>
          <w:r>
            <w:rPr>
              <w:spacing w:val="-14"/>
            </w:rPr>
            <w:t>第七章</w:t>
          </w:r>
          <w:r>
            <w:rPr>
              <w:spacing w:val="-23"/>
            </w:rPr>
            <w:t xml:space="preserve"> </w:t>
          </w:r>
          <w:r>
            <w:rPr>
              <w:spacing w:val="-14"/>
            </w:rPr>
            <w:t>投标文件格式</w:t>
          </w:r>
          <w:r>
            <w:rPr>
              <w:rFonts w:ascii="Times New Roman" w:eastAsia="Times New Roman"/>
              <w:b w:val="0"/>
            </w:rPr>
            <w:tab/>
          </w:r>
          <w:r>
            <w:rPr>
              <w:spacing w:val="-5"/>
            </w:rPr>
            <w:t>5</w:t>
          </w:r>
          <w:r>
            <w:rPr>
              <w:rFonts w:hint="eastAsia"/>
              <w:spacing w:val="-5"/>
              <w:lang w:val="en-US" w:eastAsia="zh-CN"/>
            </w:rPr>
            <w:t>4</w:t>
          </w:r>
          <w:r>
            <w:rPr>
              <w:spacing w:val="-5"/>
            </w:rPr>
            <w:fldChar w:fldCharType="end"/>
          </w:r>
        </w:p>
        <w:p>
          <w:r>
            <w:fldChar w:fldCharType="end"/>
          </w:r>
        </w:p>
      </w:sdtContent>
    </w:sdt>
    <w:p>
      <w:pPr>
        <w:spacing w:after="0"/>
        <w:sectPr>
          <w:pgSz w:w="11910" w:h="16840"/>
          <w:pgMar w:top="1100" w:right="720" w:bottom="280" w:left="920" w:header="916" w:footer="0" w:gutter="0"/>
          <w:pgNumType w:fmt="numberInDash"/>
          <w:cols w:space="720" w:num="1"/>
        </w:sectPr>
      </w:pPr>
    </w:p>
    <w:p>
      <w:pPr>
        <w:pStyle w:val="2"/>
        <w:spacing w:before="340"/>
        <w:ind w:left="242" w:right="225"/>
      </w:pPr>
      <w:bookmarkStart w:id="0" w:name="_bookmark0"/>
      <w:bookmarkEnd w:id="0"/>
      <w:bookmarkStart w:id="1" w:name="第一章 招标公告"/>
      <w:bookmarkEnd w:id="1"/>
      <w:r>
        <w:rPr>
          <w:spacing w:val="-16"/>
        </w:rPr>
        <w:t>第一章 招标公告</w:t>
      </w:r>
    </w:p>
    <w:p>
      <w:pPr>
        <w:pStyle w:val="9"/>
        <w:spacing w:before="11"/>
        <w:rPr>
          <w:b/>
          <w:sz w:val="19"/>
        </w:rPr>
      </w:pPr>
      <w:r>
        <mc:AlternateContent>
          <mc:Choice Requires="wps">
            <w:drawing>
              <wp:anchor distT="0" distB="0" distL="0" distR="0" simplePos="0" relativeHeight="251676672" behindDoc="1" locked="0" layoutInCell="1" allowOverlap="1">
                <wp:simplePos x="0" y="0"/>
                <wp:positionH relativeFrom="page">
                  <wp:posOffset>1135380</wp:posOffset>
                </wp:positionH>
                <wp:positionV relativeFrom="paragraph">
                  <wp:posOffset>180975</wp:posOffset>
                </wp:positionV>
                <wp:extent cx="5845175" cy="1408430"/>
                <wp:effectExtent l="0" t="0" r="0" b="0"/>
                <wp:wrapTopAndBottom/>
                <wp:docPr id="4" name="Textbox 4"/>
                <wp:cNvGraphicFramePr/>
                <a:graphic xmlns:a="http://schemas.openxmlformats.org/drawingml/2006/main">
                  <a:graphicData uri="http://schemas.microsoft.com/office/word/2010/wordprocessingShape">
                    <wps:wsp>
                      <wps:cNvSpPr txBox="1"/>
                      <wps:spPr>
                        <a:xfrm>
                          <a:off x="0" y="0"/>
                          <a:ext cx="5845175" cy="1408430"/>
                        </a:xfrm>
                        <a:prstGeom prst="rect">
                          <a:avLst/>
                        </a:prstGeom>
                        <a:ln w="3048">
                          <a:solidFill>
                            <a:srgbClr val="000000"/>
                          </a:solidFill>
                          <a:prstDash val="solid"/>
                        </a:ln>
                      </wps:spPr>
                      <wps:txbx>
                        <w:txbxContent>
                          <w:p>
                            <w:pPr>
                              <w:spacing w:before="194"/>
                              <w:ind w:left="119" w:right="0" w:firstLine="0"/>
                              <w:jc w:val="left"/>
                              <w:rPr>
                                <w:b/>
                                <w:sz w:val="24"/>
                              </w:rPr>
                            </w:pPr>
                            <w:r>
                              <w:rPr>
                                <w:b/>
                                <w:spacing w:val="-12"/>
                                <w:sz w:val="24"/>
                              </w:rPr>
                              <w:t>项目概况：</w:t>
                            </w:r>
                          </w:p>
                          <w:p>
                            <w:pPr>
                              <w:pStyle w:val="9"/>
                              <w:spacing w:before="274" w:line="343" w:lineRule="auto"/>
                              <w:ind w:left="160" w:right="246" w:firstLine="424"/>
                              <w:jc w:val="both"/>
                            </w:pPr>
                            <w:r>
                              <w:rPr>
                                <w:rFonts w:ascii="Times New Roman" w:eastAsia="Times New Roman"/>
                                <w:u w:val="single"/>
                              </w:rPr>
                              <w:t xml:space="preserve"> </w:t>
                            </w:r>
                            <w:r>
                              <w:rPr>
                                <w:u w:val="single"/>
                              </w:rPr>
                              <w:t>新疆农业大学亚心校区葡萄苑餐厅面向社会公开招募餐饮服务团队项目</w:t>
                            </w:r>
                            <w:r>
                              <w:rPr>
                                <w:rFonts w:hint="eastAsia"/>
                                <w:u w:val="single"/>
                                <w:lang w:eastAsia="zh-CN"/>
                              </w:rPr>
                              <w:t>二标包（</w:t>
                            </w:r>
                            <w:r>
                              <w:rPr>
                                <w:rFonts w:hint="eastAsia"/>
                                <w:u w:val="single"/>
                                <w:lang w:val="en-US" w:eastAsia="zh-CN"/>
                              </w:rPr>
                              <w:t>二次</w:t>
                            </w:r>
                            <w:r>
                              <w:rPr>
                                <w:rFonts w:hint="eastAsia"/>
                                <w:u w:val="single"/>
                                <w:lang w:eastAsia="zh-CN"/>
                              </w:rPr>
                              <w:t>）</w:t>
                            </w:r>
                            <w:r>
                              <w:rPr>
                                <w:spacing w:val="-15"/>
                              </w:rPr>
                              <w:t>招标项 目的潜在投标人应在</w:t>
                            </w:r>
                            <w:r>
                              <w:rPr>
                                <w:spacing w:val="-14"/>
                              </w:rPr>
                              <w:t>（政采云平台（</w:t>
                            </w:r>
                            <w:r>
                              <w:fldChar w:fldCharType="begin"/>
                            </w:r>
                            <w:r>
                              <w:instrText xml:space="preserve"> HYPERLINK "https://www.zcygov.cn/" \h </w:instrText>
                            </w:r>
                            <w:r>
                              <w:fldChar w:fldCharType="separate"/>
                            </w:r>
                            <w:r>
                              <w:rPr>
                                <w:spacing w:val="-14"/>
                              </w:rPr>
                              <w:t>https://www.zcygov.cn/</w:t>
                            </w:r>
                            <w:r>
                              <w:rPr>
                                <w:spacing w:val="-14"/>
                              </w:rPr>
                              <w:fldChar w:fldCharType="end"/>
                            </w:r>
                            <w:r>
                              <w:rPr>
                                <w:spacing w:val="-14"/>
                              </w:rPr>
                              <w:t>））获取招标文件，</w:t>
                            </w:r>
                            <w:r>
                              <w:t>并于</w:t>
                            </w:r>
                            <w:r>
                              <w:rPr>
                                <w:rFonts w:ascii="Times New Roman" w:eastAsia="Times New Roman"/>
                                <w:spacing w:val="40"/>
                                <w:u w:val="single"/>
                              </w:rPr>
                              <w:t xml:space="preserve"> </w:t>
                            </w:r>
                            <w:r>
                              <w:rPr>
                                <w:rFonts w:hint="eastAsia"/>
                                <w:u w:val="single"/>
                                <w:lang w:eastAsia="zh-CN"/>
                              </w:rPr>
                              <w:t>2025年</w:t>
                            </w:r>
                            <w:r>
                              <w:rPr>
                                <w:rFonts w:hint="eastAsia"/>
                                <w:u w:val="single"/>
                                <w:lang w:val="en-US" w:eastAsia="zh-CN"/>
                              </w:rPr>
                              <w:t>4</w:t>
                            </w:r>
                            <w:r>
                              <w:rPr>
                                <w:rFonts w:hint="eastAsia"/>
                                <w:u w:val="single"/>
                                <w:lang w:eastAsia="zh-CN"/>
                              </w:rPr>
                              <w:t>月</w:t>
                            </w:r>
                            <w:r>
                              <w:rPr>
                                <w:rFonts w:hint="eastAsia"/>
                                <w:u w:val="single"/>
                                <w:lang w:val="en-US" w:eastAsia="zh-CN"/>
                              </w:rPr>
                              <w:t>2</w:t>
                            </w:r>
                            <w:r>
                              <w:rPr>
                                <w:rFonts w:hint="eastAsia"/>
                                <w:u w:val="single"/>
                                <w:lang w:eastAsia="zh-CN"/>
                              </w:rPr>
                              <w:t>日</w:t>
                            </w:r>
                            <w:r>
                              <w:rPr>
                                <w:u w:val="single"/>
                              </w:rPr>
                              <w:t>11时00分</w:t>
                            </w:r>
                            <w:r>
                              <w:t xml:space="preserve"> （北京时间）前递交投标文件。</w:t>
                            </w:r>
                          </w:p>
                        </w:txbxContent>
                      </wps:txbx>
                      <wps:bodyPr wrap="square" lIns="0" tIns="0" rIns="0" bIns="0" rtlCol="0">
                        <a:noAutofit/>
                      </wps:bodyPr>
                    </wps:wsp>
                  </a:graphicData>
                </a:graphic>
              </wp:anchor>
            </w:drawing>
          </mc:Choice>
          <mc:Fallback>
            <w:pict>
              <v:shape id="Textbox 4" o:spid="_x0000_s1026" o:spt="202" type="#_x0000_t202" style="position:absolute;left:0pt;margin-left:89.4pt;margin-top:14.25pt;height:110.9pt;width:460.25pt;mso-position-horizontal-relative:page;mso-wrap-distance-bottom:0pt;mso-wrap-distance-top:0pt;z-index:-251639808;mso-width-relative:page;mso-height-relative:page;" filled="f" stroked="t" coordsize="21600,21600" o:gfxdata="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nElfZAAAA&#10;CwEAAA8AAAAAAAAAAQAgAAAAIgAAAGRycy9kb3ducmV2LnhtbFBLAQIUABQAAAAIAIdO4kDzepDk&#10;4wEAANgDAAAOAAAAAAAAAAEAIAAAACgBAABkcnMvZTJvRG9jLnhtbFBLBQYAAAAABgAGAFkBAAB9&#10;BQAAAAA=&#10;">
                <v:fill on="f" focussize="0,0"/>
                <v:stroke weight="0.24pt" color="#000000" joinstyle="round"/>
                <v:imagedata o:title=""/>
                <o:lock v:ext="edit" aspectratio="f"/>
                <v:textbox inset="0mm,0mm,0mm,0mm">
                  <w:txbxContent>
                    <w:p>
                      <w:pPr>
                        <w:spacing w:before="194"/>
                        <w:ind w:left="119" w:right="0" w:firstLine="0"/>
                        <w:jc w:val="left"/>
                        <w:rPr>
                          <w:b/>
                          <w:sz w:val="24"/>
                        </w:rPr>
                      </w:pPr>
                      <w:r>
                        <w:rPr>
                          <w:b/>
                          <w:spacing w:val="-12"/>
                          <w:sz w:val="24"/>
                        </w:rPr>
                        <w:t>项目概况：</w:t>
                      </w:r>
                    </w:p>
                    <w:p>
                      <w:pPr>
                        <w:pStyle w:val="9"/>
                        <w:spacing w:before="274" w:line="343" w:lineRule="auto"/>
                        <w:ind w:left="160" w:right="246" w:firstLine="424"/>
                        <w:jc w:val="both"/>
                      </w:pPr>
                      <w:r>
                        <w:rPr>
                          <w:rFonts w:ascii="Times New Roman" w:eastAsia="Times New Roman"/>
                          <w:u w:val="single"/>
                        </w:rPr>
                        <w:t xml:space="preserve"> </w:t>
                      </w:r>
                      <w:r>
                        <w:rPr>
                          <w:u w:val="single"/>
                        </w:rPr>
                        <w:t>新疆农业大学亚心校区葡萄苑餐厅面向社会公开招募餐饮服务团队项目</w:t>
                      </w:r>
                      <w:r>
                        <w:rPr>
                          <w:rFonts w:hint="eastAsia"/>
                          <w:u w:val="single"/>
                          <w:lang w:eastAsia="zh-CN"/>
                        </w:rPr>
                        <w:t>二标包（</w:t>
                      </w:r>
                      <w:r>
                        <w:rPr>
                          <w:rFonts w:hint="eastAsia"/>
                          <w:u w:val="single"/>
                          <w:lang w:val="en-US" w:eastAsia="zh-CN"/>
                        </w:rPr>
                        <w:t>二次</w:t>
                      </w:r>
                      <w:r>
                        <w:rPr>
                          <w:rFonts w:hint="eastAsia"/>
                          <w:u w:val="single"/>
                          <w:lang w:eastAsia="zh-CN"/>
                        </w:rPr>
                        <w:t>）</w:t>
                      </w:r>
                      <w:r>
                        <w:rPr>
                          <w:spacing w:val="-15"/>
                        </w:rPr>
                        <w:t>招标项 目的潜在投标人应在</w:t>
                      </w:r>
                      <w:r>
                        <w:rPr>
                          <w:spacing w:val="-14"/>
                        </w:rPr>
                        <w:t>（政采云平台（</w:t>
                      </w:r>
                      <w:r>
                        <w:fldChar w:fldCharType="begin"/>
                      </w:r>
                      <w:r>
                        <w:instrText xml:space="preserve"> HYPERLINK "https://www.zcygov.cn/" \h </w:instrText>
                      </w:r>
                      <w:r>
                        <w:fldChar w:fldCharType="separate"/>
                      </w:r>
                      <w:r>
                        <w:rPr>
                          <w:spacing w:val="-14"/>
                        </w:rPr>
                        <w:t>https://www.zcygov.cn/</w:t>
                      </w:r>
                      <w:r>
                        <w:rPr>
                          <w:spacing w:val="-14"/>
                        </w:rPr>
                        <w:fldChar w:fldCharType="end"/>
                      </w:r>
                      <w:r>
                        <w:rPr>
                          <w:spacing w:val="-14"/>
                        </w:rPr>
                        <w:t>））获取招标文件，</w:t>
                      </w:r>
                      <w:r>
                        <w:t>并于</w:t>
                      </w:r>
                      <w:r>
                        <w:rPr>
                          <w:rFonts w:ascii="Times New Roman" w:eastAsia="Times New Roman"/>
                          <w:spacing w:val="40"/>
                          <w:u w:val="single"/>
                        </w:rPr>
                        <w:t xml:space="preserve"> </w:t>
                      </w:r>
                      <w:r>
                        <w:rPr>
                          <w:rFonts w:hint="eastAsia"/>
                          <w:u w:val="single"/>
                          <w:lang w:eastAsia="zh-CN"/>
                        </w:rPr>
                        <w:t>2025年</w:t>
                      </w:r>
                      <w:r>
                        <w:rPr>
                          <w:rFonts w:hint="eastAsia"/>
                          <w:u w:val="single"/>
                          <w:lang w:val="en-US" w:eastAsia="zh-CN"/>
                        </w:rPr>
                        <w:t>4</w:t>
                      </w:r>
                      <w:r>
                        <w:rPr>
                          <w:rFonts w:hint="eastAsia"/>
                          <w:u w:val="single"/>
                          <w:lang w:eastAsia="zh-CN"/>
                        </w:rPr>
                        <w:t>月</w:t>
                      </w:r>
                      <w:r>
                        <w:rPr>
                          <w:rFonts w:hint="eastAsia"/>
                          <w:u w:val="single"/>
                          <w:lang w:val="en-US" w:eastAsia="zh-CN"/>
                        </w:rPr>
                        <w:t>2</w:t>
                      </w:r>
                      <w:r>
                        <w:rPr>
                          <w:rFonts w:hint="eastAsia"/>
                          <w:u w:val="single"/>
                          <w:lang w:eastAsia="zh-CN"/>
                        </w:rPr>
                        <w:t>日</w:t>
                      </w:r>
                      <w:r>
                        <w:rPr>
                          <w:u w:val="single"/>
                        </w:rPr>
                        <w:t>11时00分</w:t>
                      </w:r>
                      <w:r>
                        <w:t xml:space="preserve"> （北京时间）前递交投标文件。</w:t>
                      </w:r>
                    </w:p>
                  </w:txbxContent>
                </v:textbox>
                <w10:wrap type="topAndBottom"/>
              </v:shape>
            </w:pict>
          </mc:Fallback>
        </mc:AlternateContent>
      </w:r>
    </w:p>
    <w:p>
      <w:pPr>
        <w:pStyle w:val="8"/>
        <w:spacing w:before="254"/>
        <w:ind w:left="992"/>
      </w:pPr>
      <w:r>
        <w:rPr>
          <w:spacing w:val="-12"/>
        </w:rPr>
        <w:t>一、项目基本情况</w:t>
      </w:r>
    </w:p>
    <w:p>
      <w:pPr>
        <w:pStyle w:val="9"/>
        <w:spacing w:before="65"/>
        <w:rPr>
          <w:b/>
        </w:rPr>
      </w:pPr>
    </w:p>
    <w:p>
      <w:pPr>
        <w:pStyle w:val="15"/>
        <w:numPr>
          <w:ilvl w:val="0"/>
          <w:numId w:val="1"/>
        </w:numPr>
        <w:tabs>
          <w:tab w:val="left" w:pos="1685"/>
        </w:tabs>
        <w:spacing w:before="0" w:after="0" w:line="240" w:lineRule="auto"/>
        <w:ind w:left="1685" w:right="0" w:hanging="203"/>
        <w:jc w:val="left"/>
        <w:rPr>
          <w:sz w:val="24"/>
        </w:rPr>
      </w:pPr>
      <w:r>
        <w:rPr>
          <w:spacing w:val="-10"/>
          <w:sz w:val="24"/>
        </w:rPr>
        <w:t>项目编号：HLYZB02-2025001</w:t>
      </w:r>
      <w:r>
        <w:rPr>
          <w:rFonts w:hint="eastAsia"/>
          <w:spacing w:val="-10"/>
          <w:sz w:val="24"/>
          <w:lang w:val="en-US" w:eastAsia="zh-CN"/>
        </w:rPr>
        <w:t>-2（1）</w:t>
      </w:r>
    </w:p>
    <w:p>
      <w:pPr>
        <w:pStyle w:val="15"/>
        <w:numPr>
          <w:ilvl w:val="0"/>
          <w:numId w:val="1"/>
        </w:numPr>
        <w:tabs>
          <w:tab w:val="left" w:pos="1656"/>
        </w:tabs>
        <w:spacing w:before="228" w:after="0" w:line="276" w:lineRule="auto"/>
        <w:ind w:left="1468" w:right="309" w:firstLine="0"/>
        <w:jc w:val="left"/>
        <w:rPr>
          <w:sz w:val="24"/>
        </w:rPr>
      </w:pPr>
      <w:r>
        <w:rPr>
          <w:spacing w:val="-16"/>
          <w:sz w:val="24"/>
        </w:rPr>
        <w:t>项目名称：</w:t>
      </w:r>
      <w:r>
        <w:rPr>
          <w:rFonts w:hint="eastAsia"/>
          <w:spacing w:val="-16"/>
          <w:sz w:val="24"/>
          <w:u w:val="single"/>
          <w:lang w:eastAsia="zh-CN"/>
        </w:rPr>
        <w:t>新疆农业大学亚心校区葡萄苑餐厅面向社会公开招募餐饮服务团队项目二标包（二次）</w:t>
      </w:r>
    </w:p>
    <w:p>
      <w:pPr>
        <w:pStyle w:val="15"/>
        <w:numPr>
          <w:ilvl w:val="0"/>
          <w:numId w:val="1"/>
        </w:numPr>
        <w:tabs>
          <w:tab w:val="left" w:pos="1685"/>
        </w:tabs>
        <w:spacing w:before="185" w:after="0" w:line="240" w:lineRule="auto"/>
        <w:ind w:left="1685" w:right="0" w:hanging="215"/>
        <w:jc w:val="left"/>
        <w:rPr>
          <w:sz w:val="24"/>
        </w:rPr>
      </w:pPr>
      <w:r>
        <w:rPr>
          <w:spacing w:val="-5"/>
          <w:sz w:val="24"/>
        </w:rPr>
        <w:t>采购方式：公开招标</w:t>
      </w:r>
    </w:p>
    <w:p>
      <w:pPr>
        <w:pStyle w:val="15"/>
        <w:numPr>
          <w:ilvl w:val="0"/>
          <w:numId w:val="1"/>
        </w:numPr>
        <w:tabs>
          <w:tab w:val="left" w:pos="1684"/>
        </w:tabs>
        <w:spacing w:before="230" w:after="0" w:line="240" w:lineRule="auto"/>
        <w:ind w:left="1684" w:right="0" w:hanging="219"/>
        <w:jc w:val="left"/>
        <w:rPr>
          <w:sz w:val="24"/>
        </w:rPr>
      </w:pPr>
      <w:r>
        <w:rPr>
          <w:sz w:val="24"/>
        </w:rPr>
        <w:t>项目预算金额：</w:t>
      </w:r>
      <w:r>
        <w:rPr>
          <w:rFonts w:ascii="Times New Roman" w:eastAsia="Times New Roman"/>
          <w:sz w:val="24"/>
          <w:u w:val="single"/>
        </w:rPr>
        <w:t>250</w:t>
      </w:r>
      <w:r>
        <w:rPr>
          <w:spacing w:val="-5"/>
          <w:sz w:val="24"/>
        </w:rPr>
        <w:t>万元</w:t>
      </w:r>
    </w:p>
    <w:p>
      <w:pPr>
        <w:pStyle w:val="15"/>
        <w:numPr>
          <w:ilvl w:val="0"/>
          <w:numId w:val="1"/>
        </w:numPr>
        <w:tabs>
          <w:tab w:val="left" w:pos="1687"/>
        </w:tabs>
        <w:spacing w:before="230" w:after="0" w:line="240" w:lineRule="auto"/>
        <w:ind w:left="1687" w:right="0" w:hanging="217"/>
        <w:jc w:val="left"/>
        <w:rPr>
          <w:sz w:val="24"/>
        </w:rPr>
      </w:pPr>
      <w:r>
        <w:rPr>
          <w:spacing w:val="-2"/>
          <w:sz w:val="24"/>
        </w:rPr>
        <w:t>最高限价：</w:t>
      </w:r>
      <w:r>
        <w:rPr>
          <w:rFonts w:ascii="Times New Roman" w:eastAsia="Times New Roman"/>
          <w:spacing w:val="-2"/>
          <w:sz w:val="24"/>
          <w:u w:val="single"/>
        </w:rPr>
        <w:t>250</w:t>
      </w:r>
      <w:r>
        <w:rPr>
          <w:spacing w:val="-6"/>
          <w:sz w:val="24"/>
        </w:rPr>
        <w:t>万元</w:t>
      </w:r>
    </w:p>
    <w:p>
      <w:pPr>
        <w:pStyle w:val="15"/>
        <w:numPr>
          <w:ilvl w:val="0"/>
          <w:numId w:val="1"/>
        </w:numPr>
        <w:tabs>
          <w:tab w:val="left" w:pos="1520"/>
          <w:tab w:val="left" w:pos="1722"/>
        </w:tabs>
        <w:spacing w:before="159" w:after="0" w:line="276" w:lineRule="auto"/>
        <w:ind w:left="1520" w:right="1134" w:hanging="15"/>
        <w:jc w:val="left"/>
        <w:rPr>
          <w:sz w:val="24"/>
        </w:rPr>
      </w:pPr>
      <w:r>
        <w:rPr>
          <w:spacing w:val="-2"/>
          <w:sz w:val="24"/>
        </w:rPr>
        <w:t>采购需求：包括三楼餐厅招募餐饮服务团队，具体要求详见招标文件；</w:t>
      </w:r>
      <w:r>
        <w:rPr>
          <w:spacing w:val="-4"/>
          <w:sz w:val="24"/>
        </w:rPr>
        <w:t>备注：无</w:t>
      </w:r>
    </w:p>
    <w:p>
      <w:pPr>
        <w:pStyle w:val="15"/>
        <w:numPr>
          <w:ilvl w:val="0"/>
          <w:numId w:val="1"/>
        </w:numPr>
        <w:tabs>
          <w:tab w:val="left" w:pos="1687"/>
        </w:tabs>
        <w:spacing w:before="108" w:after="0" w:line="310" w:lineRule="exact"/>
        <w:ind w:left="1687" w:right="0" w:hanging="215"/>
        <w:jc w:val="left"/>
        <w:rPr>
          <w:sz w:val="24"/>
        </w:rPr>
      </w:pPr>
      <w:r>
        <w:rPr>
          <w:spacing w:val="-4"/>
          <w:sz w:val="24"/>
        </w:rPr>
        <w:t>合同服务履行期限：</w:t>
      </w:r>
      <w:r>
        <w:rPr>
          <w:rFonts w:ascii="Times New Roman" w:eastAsia="Times New Roman"/>
          <w:spacing w:val="-4"/>
          <w:sz w:val="24"/>
          <w:u w:val="single"/>
        </w:rPr>
        <w:t>3</w:t>
      </w:r>
      <w:r>
        <w:rPr>
          <w:spacing w:val="-10"/>
          <w:sz w:val="24"/>
          <w:u w:val="single"/>
        </w:rPr>
        <w:t>年</w:t>
      </w:r>
    </w:p>
    <w:p>
      <w:pPr>
        <w:spacing w:before="0" w:line="215" w:lineRule="exact"/>
        <w:ind w:left="204" w:right="231" w:firstLine="0"/>
        <w:jc w:val="center"/>
        <w:rPr>
          <w:sz w:val="21"/>
        </w:rPr>
      </w:pPr>
      <w:r>
        <w:rPr>
          <w:spacing w:val="-10"/>
          <w:sz w:val="21"/>
        </w:rPr>
        <w:t>1</w:t>
      </w:r>
    </w:p>
    <w:p>
      <w:pPr>
        <w:pStyle w:val="15"/>
        <w:numPr>
          <w:ilvl w:val="0"/>
          <w:numId w:val="1"/>
        </w:numPr>
        <w:tabs>
          <w:tab w:val="left" w:pos="1674"/>
          <w:tab w:val="left" w:pos="5643"/>
        </w:tabs>
        <w:spacing w:before="0" w:after="0" w:line="388" w:lineRule="exact"/>
        <w:ind w:left="1674" w:right="0" w:hanging="206"/>
        <w:jc w:val="left"/>
        <w:rPr>
          <w:sz w:val="24"/>
        </w:rPr>
      </w:pPr>
      <w:r>
        <w:rPr>
          <w:spacing w:val="-8"/>
          <w:sz w:val="24"/>
        </w:rPr>
        <w:t>本项目是否接受联合体投标：</w:t>
      </w:r>
      <w:r>
        <w:rPr>
          <w:spacing w:val="-76"/>
          <w:sz w:val="24"/>
        </w:rPr>
        <w:t xml:space="preserve"> </w:t>
      </w:r>
      <w:r>
        <w:rPr>
          <w:rFonts w:hint="eastAsia"/>
          <w:spacing w:val="-8"/>
          <w:sz w:val="24"/>
          <w:lang w:eastAsia="zh-CN"/>
        </w:rPr>
        <w:t>□</w:t>
      </w:r>
      <w:r>
        <w:rPr>
          <w:spacing w:val="-10"/>
          <w:sz w:val="24"/>
        </w:rPr>
        <w:t>是</w:t>
      </w:r>
      <w:r>
        <w:rPr>
          <w:sz w:val="24"/>
        </w:rPr>
        <w:tab/>
      </w:r>
      <w:r>
        <w:rPr>
          <w:rFonts w:hint="eastAsia"/>
          <w:spacing w:val="-8"/>
          <w:sz w:val="24"/>
          <w:lang w:eastAsia="zh-CN"/>
        </w:rPr>
        <w:t>☑</w:t>
      </w:r>
      <w:r>
        <w:rPr>
          <w:rFonts w:hint="eastAsia"/>
          <w:spacing w:val="-8"/>
          <w:sz w:val="24"/>
          <w:lang w:val="en-US" w:eastAsia="zh-CN"/>
        </w:rPr>
        <w:t>否</w:t>
      </w:r>
    </w:p>
    <w:p>
      <w:pPr>
        <w:pStyle w:val="8"/>
        <w:spacing w:before="172"/>
        <w:ind w:left="1468"/>
      </w:pPr>
      <w:r>
        <w:rPr>
          <w:spacing w:val="-10"/>
        </w:rPr>
        <w:t>二、申请人的资格要求</w:t>
      </w:r>
    </w:p>
    <w:p>
      <w:pPr>
        <w:pStyle w:val="15"/>
        <w:numPr>
          <w:ilvl w:val="0"/>
          <w:numId w:val="2"/>
        </w:numPr>
        <w:tabs>
          <w:tab w:val="left" w:pos="1599"/>
        </w:tabs>
        <w:spacing w:before="72" w:after="0" w:line="240" w:lineRule="auto"/>
        <w:ind w:left="1599" w:right="0" w:hanging="215"/>
        <w:jc w:val="left"/>
        <w:rPr>
          <w:sz w:val="24"/>
        </w:rPr>
      </w:pPr>
      <w:r>
        <w:rPr>
          <w:spacing w:val="-5"/>
          <w:sz w:val="24"/>
        </w:rPr>
        <w:t>满足《中华人民共和国政府采购法》第二十二条规定；</w:t>
      </w:r>
    </w:p>
    <w:p>
      <w:pPr>
        <w:pStyle w:val="15"/>
        <w:numPr>
          <w:ilvl w:val="0"/>
          <w:numId w:val="2"/>
        </w:numPr>
        <w:tabs>
          <w:tab w:val="left" w:pos="323"/>
        </w:tabs>
        <w:spacing w:before="230" w:after="0" w:line="240" w:lineRule="auto"/>
        <w:ind w:left="323" w:right="0" w:hanging="191"/>
        <w:jc w:val="center"/>
        <w:rPr>
          <w:sz w:val="24"/>
        </w:rPr>
      </w:pPr>
      <w:r>
        <w:rPr>
          <w:spacing w:val="-16"/>
          <w:sz w:val="24"/>
        </w:rPr>
        <w:t>落实政府采购政策需满足的资格要求：本项目为专门面向小微企业采购的项</w:t>
      </w:r>
    </w:p>
    <w:p>
      <w:pPr>
        <w:pStyle w:val="9"/>
        <w:spacing w:before="75"/>
        <w:ind w:left="321" w:right="225"/>
        <w:jc w:val="center"/>
      </w:pPr>
      <w:r>
        <w:rPr>
          <w:spacing w:val="-6"/>
        </w:rPr>
        <w:t>目，供应商须为小型或微型企业（监狱企业或残疾人福利性单位视同小微企业）</w:t>
      </w:r>
      <w:r>
        <w:rPr>
          <w:spacing w:val="-10"/>
        </w:rPr>
        <w:t>。</w:t>
      </w:r>
    </w:p>
    <w:p>
      <w:pPr>
        <w:pStyle w:val="15"/>
        <w:numPr>
          <w:ilvl w:val="0"/>
          <w:numId w:val="2"/>
        </w:numPr>
        <w:tabs>
          <w:tab w:val="left" w:pos="196"/>
        </w:tabs>
        <w:spacing w:before="74" w:after="0" w:line="240" w:lineRule="auto"/>
        <w:ind w:left="196" w:right="4797" w:hanging="196"/>
        <w:jc w:val="center"/>
        <w:rPr>
          <w:sz w:val="24"/>
        </w:rPr>
      </w:pPr>
      <w:r>
        <w:rPr>
          <w:spacing w:val="-12"/>
          <w:sz w:val="24"/>
        </w:rPr>
        <w:t>本项目的特定资格要求：</w:t>
      </w:r>
    </w:p>
    <w:p>
      <w:pPr>
        <w:pStyle w:val="15"/>
        <w:numPr>
          <w:ilvl w:val="0"/>
          <w:numId w:val="3"/>
        </w:numPr>
        <w:tabs>
          <w:tab w:val="left" w:pos="2283"/>
        </w:tabs>
        <w:spacing w:before="231" w:after="0" w:line="240" w:lineRule="auto"/>
        <w:ind w:left="2283" w:right="0" w:hanging="849"/>
        <w:jc w:val="left"/>
        <w:rPr>
          <w:sz w:val="24"/>
        </w:rPr>
      </w:pPr>
      <w:r>
        <w:rPr>
          <w:spacing w:val="-9"/>
          <w:sz w:val="24"/>
        </w:rPr>
        <w:t>须具备有效的《餐饮服务许可证》或《食品经营许可证》；</w:t>
      </w:r>
    </w:p>
    <w:p>
      <w:pPr>
        <w:pStyle w:val="15"/>
        <w:numPr>
          <w:ilvl w:val="0"/>
          <w:numId w:val="3"/>
        </w:numPr>
        <w:tabs>
          <w:tab w:val="left" w:pos="2271"/>
        </w:tabs>
        <w:spacing w:before="230" w:after="0" w:line="276" w:lineRule="auto"/>
        <w:ind w:left="951" w:right="1158" w:firstLine="480"/>
        <w:jc w:val="left"/>
        <w:rPr>
          <w:sz w:val="24"/>
        </w:rPr>
      </w:pPr>
      <w:r>
        <w:rPr>
          <w:spacing w:val="-6"/>
          <w:sz w:val="24"/>
        </w:rPr>
        <w:t>法定代表人或单位负责人为同一人或者存在直接控股、管理关系的</w:t>
      </w:r>
      <w:r>
        <w:rPr>
          <w:spacing w:val="-2"/>
          <w:sz w:val="24"/>
        </w:rPr>
        <w:t>不同供应商，不得参加同一合同项下的政府采购活动。</w:t>
      </w:r>
    </w:p>
    <w:p>
      <w:pPr>
        <w:pStyle w:val="15"/>
        <w:numPr>
          <w:ilvl w:val="0"/>
          <w:numId w:val="3"/>
        </w:numPr>
        <w:tabs>
          <w:tab w:val="left" w:pos="1142"/>
        </w:tabs>
        <w:spacing w:before="29" w:after="0" w:line="240" w:lineRule="auto"/>
        <w:ind w:left="1142" w:right="0" w:hanging="862"/>
        <w:jc w:val="center"/>
        <w:rPr>
          <w:sz w:val="24"/>
        </w:rPr>
      </w:pPr>
      <w:r>
        <w:rPr>
          <w:spacing w:val="-7"/>
          <w:sz w:val="24"/>
        </w:rPr>
        <w:t>除单一来源采购项目外，为采购项目提供整体设计、规范编制或者</w:t>
      </w:r>
    </w:p>
    <w:p>
      <w:pPr>
        <w:pStyle w:val="9"/>
        <w:spacing w:before="74"/>
        <w:ind w:left="429" w:right="225"/>
        <w:jc w:val="center"/>
      </w:pPr>
      <w:r>
        <w:rPr>
          <w:spacing w:val="-5"/>
        </w:rPr>
        <w:t>项目管理、监理、检测等服务的供应商，不得再参加该采购项目的其他采购活动。</w:t>
      </w:r>
    </w:p>
    <w:p>
      <w:pPr>
        <w:pStyle w:val="15"/>
        <w:numPr>
          <w:ilvl w:val="0"/>
          <w:numId w:val="3"/>
        </w:numPr>
        <w:tabs>
          <w:tab w:val="left" w:pos="2291"/>
        </w:tabs>
        <w:spacing w:before="75" w:after="0" w:line="276" w:lineRule="auto"/>
        <w:ind w:left="949" w:right="953" w:firstLine="482"/>
        <w:jc w:val="left"/>
        <w:rPr>
          <w:sz w:val="24"/>
        </w:rPr>
      </w:pPr>
      <w:r>
        <w:rPr>
          <w:spacing w:val="-2"/>
          <w:sz w:val="24"/>
        </w:rPr>
        <w:t>供应商的信用行为：在资格审查阶段经查询，未被列入“失信被执行人”、“重大税收违法失信主体”、“政府采购严重违法失信行为记录名单”其中之一。如有以上不良信用记录之一的，其</w:t>
      </w:r>
      <w:r>
        <w:rPr>
          <w:b/>
          <w:spacing w:val="-2"/>
          <w:sz w:val="24"/>
        </w:rPr>
        <w:t>投标无效</w:t>
      </w:r>
      <w:r>
        <w:rPr>
          <w:spacing w:val="-2"/>
          <w:sz w:val="24"/>
        </w:rPr>
        <w:t>。</w:t>
      </w:r>
    </w:p>
    <w:p>
      <w:pPr>
        <w:spacing w:after="0" w:line="276" w:lineRule="auto"/>
        <w:jc w:val="left"/>
        <w:rPr>
          <w:sz w:val="24"/>
        </w:rPr>
        <w:sectPr>
          <w:headerReference r:id="rId6" w:type="default"/>
          <w:footerReference r:id="rId7" w:type="default"/>
          <w:pgSz w:w="11910" w:h="16840"/>
          <w:pgMar w:top="1100" w:right="720" w:bottom="1160" w:left="920" w:header="918" w:footer="978" w:gutter="0"/>
          <w:pgNumType w:fmt="numberInDash" w:start="1"/>
          <w:cols w:space="720" w:num="1"/>
        </w:sectPr>
      </w:pPr>
    </w:p>
    <w:p>
      <w:pPr>
        <w:pStyle w:val="8"/>
        <w:spacing w:before="44"/>
        <w:ind w:left="887"/>
      </w:pPr>
      <w:r>
        <w:rPr>
          <w:spacing w:val="-12"/>
        </w:rPr>
        <w:t>三、获取招标文件</w:t>
      </w:r>
    </w:p>
    <w:p>
      <w:pPr>
        <w:pStyle w:val="9"/>
        <w:spacing w:before="75"/>
        <w:ind w:left="1372"/>
      </w:pPr>
      <w:r>
        <w:rPr>
          <w:spacing w:val="-4"/>
          <w:sz w:val="22"/>
        </w:rPr>
        <w:t>（1）</w:t>
      </w:r>
      <w:r>
        <w:rPr>
          <w:spacing w:val="-48"/>
          <w:sz w:val="22"/>
        </w:rPr>
        <w:t xml:space="preserve"> </w:t>
      </w:r>
      <w:r>
        <w:rPr>
          <w:spacing w:val="-4"/>
        </w:rPr>
        <w:t>时间：2025年</w:t>
      </w:r>
      <w:r>
        <w:rPr>
          <w:rFonts w:hint="eastAsia"/>
          <w:spacing w:val="-4"/>
          <w:lang w:val="en-US" w:eastAsia="zh-CN"/>
        </w:rPr>
        <w:t>03</w:t>
      </w:r>
      <w:r>
        <w:rPr>
          <w:spacing w:val="-4"/>
        </w:rPr>
        <w:t>月1</w:t>
      </w:r>
      <w:r>
        <w:rPr>
          <w:rFonts w:hint="eastAsia"/>
          <w:spacing w:val="-4"/>
          <w:lang w:val="en-US" w:eastAsia="zh-CN"/>
        </w:rPr>
        <w:t>2</w:t>
      </w:r>
      <w:r>
        <w:rPr>
          <w:spacing w:val="-4"/>
        </w:rPr>
        <w:t>日至2025年</w:t>
      </w:r>
      <w:r>
        <w:rPr>
          <w:rFonts w:hint="eastAsia"/>
          <w:spacing w:val="-4"/>
          <w:lang w:val="en-US" w:eastAsia="zh-CN"/>
        </w:rPr>
        <w:t>03</w:t>
      </w:r>
      <w:r>
        <w:rPr>
          <w:spacing w:val="-4"/>
        </w:rPr>
        <w:t>月1</w:t>
      </w:r>
      <w:r>
        <w:rPr>
          <w:rFonts w:hint="eastAsia"/>
          <w:spacing w:val="-4"/>
          <w:lang w:val="en-US" w:eastAsia="zh-CN"/>
        </w:rPr>
        <w:t>9</w:t>
      </w:r>
      <w:r>
        <w:rPr>
          <w:spacing w:val="-5"/>
        </w:rPr>
        <w:t xml:space="preserve">日，每天上午 </w:t>
      </w:r>
      <w:r>
        <w:rPr>
          <w:spacing w:val="-4"/>
        </w:rPr>
        <w:t>00:00</w:t>
      </w:r>
      <w:r>
        <w:rPr>
          <w:spacing w:val="-10"/>
        </w:rPr>
        <w:t xml:space="preserve"> 至 </w:t>
      </w:r>
      <w:r>
        <w:rPr>
          <w:spacing w:val="-4"/>
        </w:rPr>
        <w:t>14:00</w:t>
      </w:r>
    </w:p>
    <w:p>
      <w:pPr>
        <w:pStyle w:val="9"/>
        <w:spacing w:before="48"/>
        <w:ind w:left="896"/>
      </w:pPr>
      <w:r>
        <w:rPr>
          <w:spacing w:val="-10"/>
        </w:rPr>
        <w:t xml:space="preserve">， 下午 </w:t>
      </w:r>
      <w:r>
        <w:rPr>
          <w:spacing w:val="-2"/>
        </w:rPr>
        <w:t>14:00</w:t>
      </w:r>
      <w:r>
        <w:rPr>
          <w:spacing w:val="-15"/>
        </w:rPr>
        <w:t xml:space="preserve"> 至 </w:t>
      </w:r>
      <w:r>
        <w:rPr>
          <w:spacing w:val="-2"/>
        </w:rPr>
        <w:t>23:59（北京时间，法定节假日除外</w:t>
      </w:r>
      <w:r>
        <w:rPr>
          <w:spacing w:val="-10"/>
        </w:rPr>
        <w:t>）</w:t>
      </w:r>
    </w:p>
    <w:p>
      <w:pPr>
        <w:pStyle w:val="15"/>
        <w:numPr>
          <w:ilvl w:val="0"/>
          <w:numId w:val="4"/>
        </w:numPr>
        <w:tabs>
          <w:tab w:val="left" w:pos="1973"/>
        </w:tabs>
        <w:spacing w:before="72" w:after="0" w:line="240" w:lineRule="auto"/>
        <w:ind w:left="1973" w:right="0" w:hanging="599"/>
        <w:jc w:val="left"/>
        <w:rPr>
          <w:sz w:val="24"/>
        </w:rPr>
      </w:pPr>
      <w:r>
        <w:rPr>
          <w:spacing w:val="-4"/>
          <w:sz w:val="24"/>
        </w:rPr>
        <w:t>地点：新疆政府采购网政采云平台（</w:t>
      </w:r>
      <w:r>
        <w:fldChar w:fldCharType="begin"/>
      </w:r>
      <w:r>
        <w:instrText xml:space="preserve"> HYPERLINK "http://www.zcygov.cn/" \h </w:instrText>
      </w:r>
      <w:r>
        <w:fldChar w:fldCharType="separate"/>
      </w:r>
      <w:r>
        <w:rPr>
          <w:spacing w:val="-4"/>
          <w:sz w:val="24"/>
        </w:rPr>
        <w:t>www.zcygov.cn</w:t>
      </w:r>
      <w:r>
        <w:rPr>
          <w:spacing w:val="-4"/>
          <w:sz w:val="24"/>
        </w:rPr>
        <w:fldChar w:fldCharType="end"/>
      </w:r>
      <w:r>
        <w:rPr>
          <w:spacing w:val="-4"/>
          <w:sz w:val="24"/>
        </w:rPr>
        <w:t>）</w:t>
      </w:r>
      <w:r>
        <w:rPr>
          <w:spacing w:val="-10"/>
          <w:sz w:val="24"/>
        </w:rPr>
        <w:t>。</w:t>
      </w:r>
    </w:p>
    <w:p>
      <w:pPr>
        <w:pStyle w:val="15"/>
        <w:numPr>
          <w:ilvl w:val="0"/>
          <w:numId w:val="4"/>
        </w:numPr>
        <w:tabs>
          <w:tab w:val="left" w:pos="1972"/>
        </w:tabs>
        <w:spacing w:before="81" w:after="0" w:line="276" w:lineRule="auto"/>
        <w:ind w:left="887" w:right="1004" w:firstLine="484"/>
        <w:jc w:val="left"/>
        <w:rPr>
          <w:sz w:val="24"/>
        </w:rPr>
      </w:pPr>
      <w:r>
        <w:rPr>
          <w:spacing w:val="-2"/>
          <w:sz w:val="24"/>
        </w:rPr>
        <w:t>方式：供应商登录政采云平台 https://</w:t>
      </w:r>
      <w:r>
        <w:fldChar w:fldCharType="begin"/>
      </w:r>
      <w:r>
        <w:instrText xml:space="preserve"> HYPERLINK "http://www.zcygov.cn/在线申请获取" \h </w:instrText>
      </w:r>
      <w:r>
        <w:fldChar w:fldCharType="separate"/>
      </w:r>
      <w:r>
        <w:rPr>
          <w:spacing w:val="-2"/>
          <w:sz w:val="24"/>
        </w:rPr>
        <w:t>www.zcygov.cn/在线申请获取</w:t>
      </w:r>
      <w:r>
        <w:rPr>
          <w:spacing w:val="-2"/>
          <w:sz w:val="24"/>
        </w:rPr>
        <w:fldChar w:fldCharType="end"/>
      </w:r>
      <w:r>
        <w:rPr>
          <w:spacing w:val="-4"/>
          <w:sz w:val="24"/>
        </w:rPr>
        <w:t>采购文件（</w:t>
      </w:r>
      <w:r>
        <w:rPr>
          <w:spacing w:val="-7"/>
          <w:sz w:val="24"/>
        </w:rPr>
        <w:t>进入“项目采购 ”应用，在获取采购文件菜单中选择项目，申请获取</w:t>
      </w:r>
      <w:r>
        <w:rPr>
          <w:spacing w:val="-2"/>
          <w:sz w:val="24"/>
        </w:rPr>
        <w:t>采购文件）</w:t>
      </w:r>
    </w:p>
    <w:p>
      <w:pPr>
        <w:pStyle w:val="15"/>
        <w:numPr>
          <w:ilvl w:val="0"/>
          <w:numId w:val="4"/>
        </w:numPr>
        <w:tabs>
          <w:tab w:val="left" w:pos="1965"/>
        </w:tabs>
        <w:spacing w:before="30" w:after="0" w:line="240" w:lineRule="auto"/>
        <w:ind w:left="1965" w:right="0" w:hanging="591"/>
        <w:jc w:val="left"/>
        <w:rPr>
          <w:sz w:val="24"/>
        </w:rPr>
      </w:pPr>
      <w:r>
        <w:rPr>
          <w:spacing w:val="-6"/>
          <w:sz w:val="24"/>
        </w:rPr>
        <w:t>售价（元）：0</w:t>
      </w:r>
    </w:p>
    <w:p>
      <w:pPr>
        <w:pStyle w:val="8"/>
        <w:spacing w:before="209"/>
        <w:ind w:left="911"/>
      </w:pPr>
      <w:r>
        <w:rPr>
          <w:spacing w:val="-14"/>
        </w:rPr>
        <w:t>四、提交投标文件截止时间/开标时间、递交方式和开标地点</w:t>
      </w:r>
    </w:p>
    <w:p>
      <w:pPr>
        <w:pStyle w:val="15"/>
        <w:numPr>
          <w:ilvl w:val="0"/>
          <w:numId w:val="5"/>
        </w:numPr>
        <w:tabs>
          <w:tab w:val="left" w:pos="2288"/>
        </w:tabs>
        <w:spacing w:before="72" w:after="0" w:line="240" w:lineRule="auto"/>
        <w:ind w:left="2288" w:right="0" w:hanging="854"/>
        <w:jc w:val="left"/>
        <w:rPr>
          <w:sz w:val="24"/>
        </w:rPr>
      </w:pPr>
      <w:r>
        <w:rPr>
          <w:spacing w:val="-4"/>
          <w:sz w:val="24"/>
        </w:rPr>
        <w:t>提交投标文件截止时间：</w:t>
      </w:r>
      <w:r>
        <w:rPr>
          <w:rFonts w:hint="eastAsia"/>
          <w:spacing w:val="-4"/>
          <w:sz w:val="24"/>
          <w:lang w:eastAsia="zh-CN"/>
        </w:rPr>
        <w:t>2025年</w:t>
      </w:r>
      <w:r>
        <w:rPr>
          <w:rFonts w:hint="eastAsia"/>
          <w:spacing w:val="-4"/>
          <w:sz w:val="24"/>
          <w:lang w:val="en-US" w:eastAsia="zh-CN"/>
        </w:rPr>
        <w:t>4</w:t>
      </w:r>
      <w:r>
        <w:rPr>
          <w:rFonts w:hint="eastAsia"/>
          <w:spacing w:val="-4"/>
          <w:sz w:val="24"/>
          <w:lang w:eastAsia="zh-CN"/>
        </w:rPr>
        <w:t>月</w:t>
      </w:r>
      <w:r>
        <w:rPr>
          <w:rFonts w:hint="eastAsia"/>
          <w:spacing w:val="-4"/>
          <w:sz w:val="24"/>
          <w:lang w:val="en-US" w:eastAsia="zh-CN"/>
        </w:rPr>
        <w:t>2</w:t>
      </w:r>
      <w:r>
        <w:rPr>
          <w:rFonts w:hint="eastAsia"/>
          <w:spacing w:val="-4"/>
          <w:sz w:val="24"/>
          <w:lang w:eastAsia="zh-CN"/>
        </w:rPr>
        <w:t>日</w:t>
      </w:r>
      <w:r>
        <w:rPr>
          <w:spacing w:val="-11"/>
          <w:sz w:val="24"/>
        </w:rPr>
        <w:t xml:space="preserve"> </w:t>
      </w:r>
      <w:r>
        <w:rPr>
          <w:spacing w:val="-4"/>
          <w:sz w:val="24"/>
        </w:rPr>
        <w:t>11:00（北京时间</w:t>
      </w:r>
      <w:r>
        <w:rPr>
          <w:spacing w:val="-10"/>
          <w:sz w:val="24"/>
        </w:rPr>
        <w:t>）</w:t>
      </w:r>
    </w:p>
    <w:p>
      <w:pPr>
        <w:pStyle w:val="15"/>
        <w:numPr>
          <w:ilvl w:val="0"/>
          <w:numId w:val="5"/>
        </w:numPr>
        <w:tabs>
          <w:tab w:val="left" w:pos="2283"/>
        </w:tabs>
        <w:spacing w:before="74" w:after="0" w:line="240" w:lineRule="auto"/>
        <w:ind w:left="2283" w:right="0" w:hanging="849"/>
        <w:jc w:val="left"/>
        <w:rPr>
          <w:sz w:val="24"/>
        </w:rPr>
      </w:pPr>
      <w:r>
        <w:rPr>
          <w:spacing w:val="-7"/>
          <w:sz w:val="24"/>
        </w:rPr>
        <w:t>投标地点：请登录政采云投标客户端投标</w:t>
      </w:r>
    </w:p>
    <w:p>
      <w:pPr>
        <w:pStyle w:val="15"/>
        <w:numPr>
          <w:ilvl w:val="0"/>
          <w:numId w:val="5"/>
        </w:numPr>
        <w:tabs>
          <w:tab w:val="left" w:pos="2288"/>
        </w:tabs>
        <w:spacing w:before="75" w:after="0" w:line="240" w:lineRule="auto"/>
        <w:ind w:left="2288" w:right="0" w:hanging="854"/>
        <w:jc w:val="left"/>
        <w:rPr>
          <w:sz w:val="24"/>
        </w:rPr>
      </w:pPr>
      <w:r>
        <w:rPr>
          <w:spacing w:val="-4"/>
          <w:sz w:val="24"/>
        </w:rPr>
        <w:t>开标时间：</w:t>
      </w:r>
      <w:r>
        <w:rPr>
          <w:rFonts w:hint="eastAsia"/>
          <w:spacing w:val="-4"/>
          <w:sz w:val="24"/>
          <w:lang w:eastAsia="zh-CN"/>
        </w:rPr>
        <w:t>2025年</w:t>
      </w:r>
      <w:r>
        <w:rPr>
          <w:rFonts w:hint="eastAsia"/>
          <w:spacing w:val="-4"/>
          <w:sz w:val="24"/>
          <w:lang w:val="en-US" w:eastAsia="zh-CN"/>
        </w:rPr>
        <w:t>4</w:t>
      </w:r>
      <w:r>
        <w:rPr>
          <w:rFonts w:hint="eastAsia"/>
          <w:spacing w:val="-4"/>
          <w:sz w:val="24"/>
          <w:lang w:eastAsia="zh-CN"/>
        </w:rPr>
        <w:t>月</w:t>
      </w:r>
      <w:r>
        <w:rPr>
          <w:rFonts w:hint="eastAsia"/>
          <w:spacing w:val="-4"/>
          <w:sz w:val="24"/>
          <w:lang w:val="en-US" w:eastAsia="zh-CN"/>
        </w:rPr>
        <w:t>2</w:t>
      </w:r>
      <w:r>
        <w:rPr>
          <w:rFonts w:hint="eastAsia"/>
          <w:spacing w:val="-4"/>
          <w:sz w:val="24"/>
          <w:lang w:eastAsia="zh-CN"/>
        </w:rPr>
        <w:t>日</w:t>
      </w:r>
      <w:r>
        <w:rPr>
          <w:spacing w:val="-10"/>
          <w:sz w:val="24"/>
        </w:rPr>
        <w:t xml:space="preserve"> </w:t>
      </w:r>
      <w:r>
        <w:rPr>
          <w:spacing w:val="-4"/>
          <w:sz w:val="24"/>
        </w:rPr>
        <w:t>11:00（北京时间</w:t>
      </w:r>
      <w:r>
        <w:rPr>
          <w:spacing w:val="-10"/>
          <w:sz w:val="24"/>
        </w:rPr>
        <w:t>）</w:t>
      </w:r>
    </w:p>
    <w:p>
      <w:pPr>
        <w:pStyle w:val="15"/>
        <w:numPr>
          <w:ilvl w:val="0"/>
          <w:numId w:val="5"/>
        </w:numPr>
        <w:tabs>
          <w:tab w:val="left" w:pos="2274"/>
        </w:tabs>
        <w:spacing w:before="74" w:after="0" w:line="276" w:lineRule="auto"/>
        <w:ind w:left="932" w:right="1168" w:firstLine="499"/>
        <w:jc w:val="left"/>
        <w:rPr>
          <w:sz w:val="24"/>
        </w:rPr>
      </w:pPr>
      <w:r>
        <w:rPr>
          <w:spacing w:val="-4"/>
          <w:sz w:val="24"/>
        </w:rPr>
        <w:t>开标地点：投标人登录政采云平台https://</w:t>
      </w:r>
      <w:r>
        <w:fldChar w:fldCharType="begin"/>
      </w:r>
      <w:r>
        <w:instrText xml:space="preserve"> HYPERLINK "http://www.zcygov.cn/" \h </w:instrText>
      </w:r>
      <w:r>
        <w:fldChar w:fldCharType="separate"/>
      </w:r>
      <w:r>
        <w:rPr>
          <w:spacing w:val="-4"/>
          <w:sz w:val="24"/>
        </w:rPr>
        <w:t>www.zcygov.cn/</w:t>
      </w:r>
      <w:r>
        <w:rPr>
          <w:spacing w:val="-4"/>
          <w:sz w:val="24"/>
        </w:rPr>
        <w:fldChar w:fldCharType="end"/>
      </w:r>
      <w:r>
        <w:rPr>
          <w:spacing w:val="-4"/>
          <w:sz w:val="24"/>
        </w:rPr>
        <w:t xml:space="preserve">，进入 </w:t>
      </w:r>
      <w:r>
        <w:rPr>
          <w:sz w:val="24"/>
        </w:rPr>
        <w:t>“项目采购-开标评标-右边选择对应项目点击“进入项目”进入开标大厅。</w:t>
      </w:r>
    </w:p>
    <w:p>
      <w:pPr>
        <w:pStyle w:val="8"/>
        <w:spacing w:before="29"/>
        <w:ind w:left="891"/>
      </w:pPr>
      <w:r>
        <w:rPr>
          <w:spacing w:val="-10"/>
        </w:rPr>
        <w:t>五、公告期限</w:t>
      </w:r>
    </w:p>
    <w:p>
      <w:pPr>
        <w:spacing w:before="77" w:line="300" w:lineRule="auto"/>
        <w:ind w:left="889" w:right="5173" w:firstLine="518"/>
        <w:jc w:val="left"/>
        <w:rPr>
          <w:b/>
          <w:sz w:val="24"/>
        </w:rPr>
      </w:pPr>
      <w:r>
        <w:rPr>
          <w:spacing w:val="-16"/>
          <w:sz w:val="24"/>
        </w:rPr>
        <w:t xml:space="preserve">自招标公告发布之日起 </w:t>
      </w:r>
      <w:r>
        <w:rPr>
          <w:spacing w:val="-14"/>
          <w:sz w:val="24"/>
        </w:rPr>
        <w:t>5</w:t>
      </w:r>
      <w:r>
        <w:rPr>
          <w:spacing w:val="-19"/>
          <w:sz w:val="24"/>
        </w:rPr>
        <w:t xml:space="preserve"> 个工作日。</w:t>
      </w:r>
      <w:r>
        <w:rPr>
          <w:b/>
          <w:spacing w:val="-2"/>
          <w:sz w:val="24"/>
        </w:rPr>
        <w:t>六、其他补充事宜</w:t>
      </w:r>
    </w:p>
    <w:p>
      <w:pPr>
        <w:pStyle w:val="9"/>
        <w:spacing w:before="156"/>
        <w:ind w:left="1386"/>
      </w:pPr>
      <w:r>
        <w:rPr>
          <w:spacing w:val="-10"/>
        </w:rPr>
        <w:t>1、本项目实行网上投标，采用电子投标文件，公告在新疆政府采购网发布；</w:t>
      </w:r>
    </w:p>
    <w:p>
      <w:pPr>
        <w:pStyle w:val="9"/>
        <w:spacing w:before="235"/>
        <w:ind w:left="1369"/>
      </w:pPr>
      <w:r>
        <w:rPr>
          <w:spacing w:val="-10"/>
        </w:rPr>
        <w:t>2、请投标单位随时关注本项目的澄清、答疑、变更事项。</w:t>
      </w:r>
    </w:p>
    <w:p>
      <w:pPr>
        <w:pStyle w:val="9"/>
        <w:spacing w:before="235" w:line="276" w:lineRule="auto"/>
        <w:ind w:left="988" w:right="299" w:firstLine="381"/>
      </w:pPr>
      <w:r>
        <w:rPr>
          <w:spacing w:val="-6"/>
        </w:rPr>
        <w:t>3、本项目实行电子招投标，供应商须登录政采云平台申请获取招标文件，并通过政</w:t>
      </w:r>
      <w:r>
        <w:rPr>
          <w:spacing w:val="-4"/>
        </w:rPr>
        <w:t>采云电子投标客户端制作响应文件，同时自行承担与投标有关的一切费用。</w:t>
      </w:r>
    </w:p>
    <w:p>
      <w:pPr>
        <w:pStyle w:val="9"/>
        <w:spacing w:before="187" w:line="276" w:lineRule="auto"/>
        <w:ind w:left="992" w:right="124" w:firstLine="372"/>
      </w:pPr>
      <w:r>
        <w:rPr>
          <w:spacing w:val="-6"/>
        </w:rPr>
        <w:t>4、各供应商应在开标前确保成为新疆维吾尔自治区政府采购网正式注册入库供应商，</w:t>
      </w:r>
      <w:r>
        <w:rPr>
          <w:spacing w:val="-2"/>
        </w:rPr>
        <w:t>并完成CA数字证书申领。因未注册入库、未办理CA数字证书等原因造成无法投标或投标失败等后果由供应商自行承担。</w:t>
      </w:r>
    </w:p>
    <w:p>
      <w:pPr>
        <w:pStyle w:val="9"/>
        <w:spacing w:before="191" w:line="276" w:lineRule="auto"/>
        <w:ind w:left="985" w:right="311" w:firstLine="384"/>
        <w:jc w:val="both"/>
      </w:pPr>
      <w:r>
        <w:rPr>
          <w:spacing w:val="-6"/>
        </w:rPr>
        <w:t>5、有意向参与新疆区域电子开评标的供应商，可访问新疆数字证书认证中心官方网站（</w:t>
      </w:r>
      <w:r>
        <w:fldChar w:fldCharType="begin"/>
      </w:r>
      <w:r>
        <w:instrText xml:space="preserve"> HYPERLINK "https://www.xjca.com.cn/" \h </w:instrText>
      </w:r>
      <w:r>
        <w:fldChar w:fldCharType="separate"/>
      </w:r>
      <w:r>
        <w:rPr>
          <w:spacing w:val="-6"/>
        </w:rPr>
        <w:t>https://www.xjca.com.cn/</w:t>
      </w:r>
      <w:r>
        <w:rPr>
          <w:spacing w:val="-6"/>
        </w:rPr>
        <w:fldChar w:fldCharType="end"/>
      </w:r>
      <w:r>
        <w:rPr>
          <w:spacing w:val="-6"/>
        </w:rPr>
        <w:t>）或下载“新疆政务通”APP自行进行申领。如需咨询，</w:t>
      </w:r>
      <w:r>
        <w:rPr>
          <w:spacing w:val="-2"/>
        </w:rPr>
        <w:t>请联系新疆CA服务热线0991-2819290。</w:t>
      </w:r>
    </w:p>
    <w:p>
      <w:pPr>
        <w:pStyle w:val="9"/>
        <w:spacing w:before="304" w:line="276" w:lineRule="auto"/>
        <w:ind w:left="988" w:right="112" w:firstLine="379"/>
      </w:pPr>
      <w:r>
        <w:rPr>
          <w:spacing w:val="-6"/>
        </w:rPr>
        <w:t>6、供应商可前往新疆政府采购网（</w:t>
      </w:r>
      <w:r>
        <w:fldChar w:fldCharType="begin"/>
      </w:r>
      <w:r>
        <w:instrText xml:space="preserve"> HYPERLINK "http://www.ccgp-xinjiang.gov.cn/" \h </w:instrText>
      </w:r>
      <w:r>
        <w:fldChar w:fldCharType="separate"/>
      </w:r>
      <w:r>
        <w:rPr>
          <w:spacing w:val="-6"/>
        </w:rPr>
        <w:t>http://www.ccgp-xinjiang.gov.cn/</w:t>
      </w:r>
      <w:r>
        <w:rPr>
          <w:spacing w:val="-6"/>
        </w:rPr>
        <w:fldChar w:fldCharType="end"/>
      </w:r>
      <w:r>
        <w:rPr>
          <w:spacing w:val="-6"/>
        </w:rPr>
        <w:t>）下载专区，</w:t>
      </w:r>
      <w:r>
        <w:rPr>
          <w:spacing w:val="-2"/>
        </w:rPr>
        <w:t>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pStyle w:val="9"/>
        <w:spacing w:before="192" w:line="276" w:lineRule="auto"/>
        <w:ind w:left="988" w:right="323" w:firstLine="384"/>
      </w:pPr>
      <w:r>
        <w:rPr>
          <w:spacing w:val="-6"/>
        </w:rPr>
        <w:t>7、本项目采用不见面开标，供应商须在投标截止时间前通过CA在政采云平台上传加</w:t>
      </w:r>
      <w:r>
        <w:rPr>
          <w:spacing w:val="-2"/>
        </w:rPr>
        <w:t>密的电子响应文件。</w:t>
      </w:r>
    </w:p>
    <w:p>
      <w:pPr>
        <w:spacing w:after="0" w:line="276" w:lineRule="auto"/>
        <w:sectPr>
          <w:pgSz w:w="11910" w:h="16840"/>
          <w:pgMar w:top="1100" w:right="720" w:bottom="1180" w:left="920" w:header="918" w:footer="978" w:gutter="0"/>
          <w:pgNumType w:fmt="numberInDash"/>
          <w:cols w:space="720" w:num="1"/>
        </w:sectPr>
      </w:pPr>
    </w:p>
    <w:p>
      <w:pPr>
        <w:pStyle w:val="9"/>
        <w:spacing w:before="44" w:line="276" w:lineRule="auto"/>
        <w:ind w:left="988" w:right="287" w:firstLine="379"/>
        <w:jc w:val="both"/>
      </w:pPr>
      <w:r>
        <w:rPr>
          <w:spacing w:val="-8"/>
        </w:rPr>
        <w:t>8、供应商在开标前须提前配置好电脑浏览器（建议使用360浏览器或谷歌浏览器），</w:t>
      </w:r>
      <w:r>
        <w:rPr>
          <w:spacing w:val="-4"/>
        </w:rPr>
        <w:t>开标时请使用制作加密电子响应文件的CA锁进行解密及报价确认。本项目响应文件解密时间定为30分钟，如因自身原因导致无法正常解密，后果由供应商自行承担。</w:t>
      </w:r>
    </w:p>
    <w:p>
      <w:pPr>
        <w:spacing w:before="33" w:line="297" w:lineRule="auto"/>
        <w:ind w:left="1388" w:right="4679" w:hanging="504"/>
        <w:jc w:val="left"/>
        <w:rPr>
          <w:sz w:val="24"/>
        </w:rPr>
      </w:pPr>
      <w:r>
        <w:rPr>
          <w:b/>
          <w:spacing w:val="-8"/>
          <w:sz w:val="24"/>
        </w:rPr>
        <w:t xml:space="preserve">七、对本次招标提出询问，请按以下方式联系 </w:t>
      </w:r>
      <w:r>
        <w:rPr>
          <w:spacing w:val="-2"/>
          <w:sz w:val="24"/>
        </w:rPr>
        <w:t>1.采购人信息</w:t>
      </w:r>
    </w:p>
    <w:p>
      <w:pPr>
        <w:pStyle w:val="9"/>
        <w:tabs>
          <w:tab w:val="left" w:pos="2075"/>
        </w:tabs>
        <w:spacing w:before="159"/>
        <w:ind w:left="1372"/>
      </w:pPr>
      <w:r>
        <w:rPr>
          <w:spacing w:val="-10"/>
        </w:rPr>
        <w:t>名</w:t>
      </w:r>
      <w:r>
        <w:tab/>
      </w:r>
      <w:r>
        <w:rPr>
          <w:spacing w:val="-6"/>
        </w:rPr>
        <w:t>称：新疆农业大</w:t>
      </w:r>
      <w:r>
        <w:rPr>
          <w:spacing w:val="-10"/>
        </w:rPr>
        <w:t>学</w:t>
      </w:r>
    </w:p>
    <w:p>
      <w:pPr>
        <w:pStyle w:val="9"/>
        <w:tabs>
          <w:tab w:val="left" w:pos="2091"/>
        </w:tabs>
        <w:spacing w:before="233" w:line="276" w:lineRule="auto"/>
        <w:ind w:left="1369" w:right="3361"/>
        <w:rPr>
          <w:spacing w:val="-6"/>
        </w:rPr>
      </w:pPr>
      <w:r>
        <w:rPr>
          <w:spacing w:val="-10"/>
        </w:rPr>
        <w:t>地</w:t>
      </w:r>
      <w:r>
        <w:tab/>
      </w:r>
      <w:r>
        <w:rPr>
          <w:spacing w:val="-6"/>
        </w:rPr>
        <w:t>址：新疆乌鲁木齐市沙依巴克区农大东路311号</w:t>
      </w:r>
    </w:p>
    <w:p>
      <w:pPr>
        <w:pStyle w:val="9"/>
        <w:tabs>
          <w:tab w:val="left" w:pos="2091"/>
        </w:tabs>
        <w:spacing w:before="233" w:line="276" w:lineRule="auto"/>
        <w:ind w:left="1369" w:right="3361"/>
        <w:rPr>
          <w:spacing w:val="-2"/>
        </w:rPr>
      </w:pPr>
      <w:r>
        <w:rPr>
          <w:spacing w:val="-2"/>
        </w:rPr>
        <w:t>联系方式：18001103117</w:t>
      </w:r>
    </w:p>
    <w:p>
      <w:pPr>
        <w:pStyle w:val="9"/>
        <w:tabs>
          <w:tab w:val="left" w:pos="2091"/>
        </w:tabs>
        <w:spacing w:before="233" w:line="276" w:lineRule="auto"/>
        <w:ind w:left="1369" w:right="3361"/>
        <w:rPr>
          <w:spacing w:val="-2"/>
        </w:rPr>
      </w:pPr>
    </w:p>
    <w:p>
      <w:pPr>
        <w:pStyle w:val="15"/>
        <w:numPr>
          <w:ilvl w:val="0"/>
          <w:numId w:val="6"/>
        </w:numPr>
        <w:tabs>
          <w:tab w:val="left" w:pos="1601"/>
        </w:tabs>
        <w:spacing w:before="34" w:after="0" w:line="240" w:lineRule="auto"/>
        <w:ind w:left="1601" w:right="0" w:hanging="229"/>
        <w:jc w:val="left"/>
        <w:rPr>
          <w:sz w:val="24"/>
        </w:rPr>
      </w:pPr>
      <w:r>
        <w:rPr>
          <w:spacing w:val="-7"/>
          <w:sz w:val="24"/>
        </w:rPr>
        <w:t>采购代理机构信息</w:t>
      </w:r>
    </w:p>
    <w:p>
      <w:pPr>
        <w:pStyle w:val="9"/>
        <w:tabs>
          <w:tab w:val="left" w:pos="2082"/>
        </w:tabs>
        <w:spacing w:before="235"/>
        <w:ind w:left="1372"/>
      </w:pPr>
      <w:r>
        <w:rPr>
          <w:spacing w:val="-10"/>
        </w:rPr>
        <w:t>名</w:t>
      </w:r>
      <w:r>
        <w:tab/>
      </w:r>
      <w:r>
        <w:rPr>
          <w:spacing w:val="-6"/>
        </w:rPr>
        <w:t>称：新疆宏力源工程项目管理有限公</w:t>
      </w:r>
      <w:r>
        <w:rPr>
          <w:spacing w:val="-10"/>
        </w:rPr>
        <w:t>司</w:t>
      </w:r>
    </w:p>
    <w:p>
      <w:pPr>
        <w:pStyle w:val="9"/>
        <w:tabs>
          <w:tab w:val="left" w:pos="2070"/>
        </w:tabs>
        <w:spacing w:before="233" w:line="276" w:lineRule="auto"/>
        <w:ind w:left="1369" w:right="1012"/>
        <w:rPr>
          <w:spacing w:val="-6"/>
        </w:rPr>
      </w:pPr>
      <w:r>
        <w:rPr>
          <w:spacing w:val="-10"/>
        </w:rPr>
        <w:t>地</w:t>
      </w:r>
      <w:r>
        <w:tab/>
      </w:r>
      <w:r>
        <w:rPr>
          <w:spacing w:val="-6"/>
        </w:rPr>
        <w:t>址：新疆乌鲁木齐高新区（新市区）四平路266号科创花苑B3办公1501</w:t>
      </w:r>
    </w:p>
    <w:p>
      <w:pPr>
        <w:pStyle w:val="9"/>
        <w:tabs>
          <w:tab w:val="left" w:pos="2070"/>
        </w:tabs>
        <w:spacing w:before="233" w:line="276" w:lineRule="auto"/>
        <w:ind w:left="1369" w:right="1012"/>
      </w:pPr>
      <w:r>
        <w:t>联系方式：李工 13579862091</w:t>
      </w:r>
    </w:p>
    <w:p>
      <w:pPr>
        <w:pStyle w:val="9"/>
        <w:tabs>
          <w:tab w:val="left" w:pos="2070"/>
        </w:tabs>
        <w:spacing w:before="233" w:line="276" w:lineRule="auto"/>
        <w:ind w:left="1369" w:right="1012"/>
      </w:pPr>
    </w:p>
    <w:p>
      <w:pPr>
        <w:pStyle w:val="15"/>
        <w:numPr>
          <w:ilvl w:val="0"/>
          <w:numId w:val="6"/>
        </w:numPr>
        <w:tabs>
          <w:tab w:val="left" w:pos="1603"/>
        </w:tabs>
        <w:spacing w:before="36" w:after="0" w:line="420" w:lineRule="auto"/>
        <w:ind w:left="1374" w:right="7009" w:firstLine="0"/>
        <w:jc w:val="left"/>
        <w:rPr>
          <w:sz w:val="24"/>
        </w:rPr>
      </w:pPr>
      <w:r>
        <w:rPr>
          <w:spacing w:val="-2"/>
          <w:sz w:val="24"/>
        </w:rPr>
        <w:t xml:space="preserve">项目联系方式 </w:t>
      </w:r>
      <w:r>
        <w:rPr>
          <w:spacing w:val="-6"/>
          <w:sz w:val="24"/>
        </w:rPr>
        <w:t>项目联系人：李工</w:t>
      </w:r>
    </w:p>
    <w:p>
      <w:pPr>
        <w:pStyle w:val="9"/>
        <w:tabs>
          <w:tab w:val="left" w:pos="2322"/>
        </w:tabs>
        <w:spacing w:line="310" w:lineRule="exact"/>
        <w:ind w:left="1398"/>
      </w:pPr>
      <w:r>
        <w:rPr>
          <w:spacing w:val="-10"/>
        </w:rPr>
        <w:t>电</w:t>
      </w:r>
      <w:r>
        <w:tab/>
      </w:r>
      <w:r>
        <w:rPr>
          <w:spacing w:val="-5"/>
        </w:rPr>
        <w:t>话</w:t>
      </w:r>
      <w:r>
        <w:rPr>
          <w:spacing w:val="-2"/>
        </w:rPr>
        <w:t>：13579862091</w:t>
      </w:r>
    </w:p>
    <w:p>
      <w:pPr>
        <w:spacing w:after="0" w:line="310" w:lineRule="exact"/>
        <w:sectPr>
          <w:pgSz w:w="11910" w:h="16840"/>
          <w:pgMar w:top="1100" w:right="720" w:bottom="1180" w:left="920" w:header="918" w:footer="978" w:gutter="0"/>
          <w:pgNumType w:fmt="numberInDash"/>
          <w:cols w:space="720" w:num="1"/>
        </w:sectPr>
      </w:pPr>
    </w:p>
    <w:p>
      <w:pPr>
        <w:pStyle w:val="2"/>
        <w:spacing w:before="378"/>
        <w:ind w:right="386"/>
      </w:pPr>
      <w:bookmarkStart w:id="2" w:name="_bookmark1"/>
      <w:bookmarkEnd w:id="2"/>
      <w:bookmarkStart w:id="3" w:name="第二章 投标人须知"/>
      <w:bookmarkEnd w:id="3"/>
      <w:r>
        <w:rPr>
          <w:spacing w:val="-16"/>
        </w:rPr>
        <w:t>第二章 投标人须知</w:t>
      </w:r>
    </w:p>
    <w:p>
      <w:pPr>
        <w:pStyle w:val="6"/>
        <w:spacing w:before="425"/>
      </w:pPr>
      <w:r>
        <w:rPr>
          <w:spacing w:val="-16"/>
        </w:rPr>
        <w:t>一、投标人须知前附表</w:t>
      </w:r>
    </w:p>
    <w:p>
      <w:pPr>
        <w:pStyle w:val="9"/>
        <w:spacing w:before="308" w:after="7" w:line="228" w:lineRule="auto"/>
        <w:ind w:left="872" w:right="1072" w:firstLine="499"/>
        <w:jc w:val="both"/>
      </w:pPr>
      <w:r>
        <w:rPr>
          <w:spacing w:val="-4"/>
        </w:rPr>
        <w:t xml:space="preserve">投标人应仔细阅读本招标文件的第二章“投标人须知”，下面所列资料是对 </w:t>
      </w:r>
      <w:r>
        <w:rPr>
          <w:spacing w:val="-2"/>
        </w:rPr>
        <w:t>“投标人须知”的具体补充和说明，如有矛盾，应以本表为准。标记“</w:t>
      </w:r>
      <w:r>
        <w:rPr>
          <w:rFonts w:ascii="Segoe UI Symbol" w:hAnsi="Segoe UI Symbol" w:eastAsia="Segoe UI Symbol"/>
          <w:spacing w:val="-2"/>
        </w:rPr>
        <w:t>☑</w:t>
      </w:r>
      <w:r>
        <w:rPr>
          <w:spacing w:val="-2"/>
        </w:rPr>
        <w:t>”的选项意为适用于本项目，标记“□”的选项意为不适用于本项目。</w:t>
      </w:r>
    </w:p>
    <w:tbl>
      <w:tblPr>
        <w:tblStyle w:val="12"/>
        <w:tblW w:w="0" w:type="auto"/>
        <w:tblInd w:w="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1"/>
        <w:gridCol w:w="1694"/>
        <w:gridCol w:w="6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51" w:type="dxa"/>
            <w:shd w:val="clear" w:color="auto" w:fill="D6D6D6"/>
          </w:tcPr>
          <w:p>
            <w:pPr>
              <w:pStyle w:val="16"/>
              <w:spacing w:before="37"/>
              <w:ind w:left="23"/>
              <w:rPr>
                <w:b/>
                <w:sz w:val="21"/>
              </w:rPr>
            </w:pPr>
            <w:r>
              <w:rPr>
                <w:b/>
                <w:spacing w:val="-12"/>
                <w:sz w:val="21"/>
              </w:rPr>
              <w:t>条款号</w:t>
            </w:r>
          </w:p>
        </w:tc>
        <w:tc>
          <w:tcPr>
            <w:tcW w:w="1694" w:type="dxa"/>
            <w:shd w:val="clear" w:color="auto" w:fill="D6D6D6"/>
          </w:tcPr>
          <w:p>
            <w:pPr>
              <w:pStyle w:val="16"/>
              <w:spacing w:before="37"/>
              <w:ind w:left="397"/>
              <w:rPr>
                <w:b/>
                <w:sz w:val="21"/>
              </w:rPr>
            </w:pPr>
            <w:r>
              <w:rPr>
                <w:b/>
                <w:spacing w:val="-12"/>
                <w:sz w:val="21"/>
              </w:rPr>
              <w:t>条款名称</w:t>
            </w:r>
          </w:p>
        </w:tc>
        <w:tc>
          <w:tcPr>
            <w:tcW w:w="6874" w:type="dxa"/>
            <w:shd w:val="clear" w:color="auto" w:fill="D6D6D6"/>
          </w:tcPr>
          <w:p>
            <w:pPr>
              <w:pStyle w:val="16"/>
              <w:spacing w:before="37"/>
              <w:ind w:left="42"/>
              <w:rPr>
                <w:b/>
                <w:sz w:val="21"/>
              </w:rPr>
            </w:pPr>
            <w:r>
              <w:rPr>
                <w:b/>
                <w:spacing w:val="8"/>
                <w:sz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6" w:hRule="atLeast"/>
        </w:trPr>
        <w:tc>
          <w:tcPr>
            <w:tcW w:w="951" w:type="dxa"/>
            <w:tcBorders>
              <w:left w:val="single" w:color="000000" w:sz="2" w:space="0"/>
              <w:right w:val="single" w:color="000000" w:sz="2" w:space="0"/>
            </w:tcBorders>
            <w:vAlign w:val="center"/>
          </w:tcPr>
          <w:p>
            <w:pPr>
              <w:pStyle w:val="16"/>
              <w:spacing w:before="33"/>
              <w:ind w:left="21"/>
              <w:jc w:val="center"/>
              <w:rPr>
                <w:sz w:val="21"/>
              </w:rPr>
            </w:pPr>
            <w:r>
              <w:rPr>
                <w:spacing w:val="-5"/>
                <w:sz w:val="21"/>
              </w:rPr>
              <w:t>2.5</w:t>
            </w:r>
          </w:p>
        </w:tc>
        <w:tc>
          <w:tcPr>
            <w:tcW w:w="1694" w:type="dxa"/>
            <w:tcBorders>
              <w:left w:val="single" w:color="000000" w:sz="2" w:space="0"/>
              <w:right w:val="single" w:color="000000" w:sz="2" w:space="0"/>
            </w:tcBorders>
            <w:vAlign w:val="center"/>
          </w:tcPr>
          <w:p>
            <w:pPr>
              <w:pStyle w:val="16"/>
              <w:spacing w:before="40" w:line="280" w:lineRule="atLeast"/>
              <w:ind w:left="119" w:right="336" w:hanging="3"/>
              <w:jc w:val="center"/>
              <w:rPr>
                <w:sz w:val="21"/>
              </w:rPr>
            </w:pPr>
            <w:r>
              <w:rPr>
                <w:spacing w:val="-6"/>
                <w:sz w:val="21"/>
              </w:rPr>
              <w:t>服务包含的内</w:t>
            </w:r>
            <w:r>
              <w:rPr>
                <w:spacing w:val="-10"/>
                <w:sz w:val="21"/>
              </w:rPr>
              <w:t>容</w:t>
            </w:r>
          </w:p>
        </w:tc>
        <w:tc>
          <w:tcPr>
            <w:tcW w:w="6874" w:type="dxa"/>
            <w:tcBorders>
              <w:left w:val="single" w:color="000000" w:sz="2" w:space="0"/>
              <w:bottom w:val="single" w:color="000000" w:sz="2" w:space="0"/>
              <w:right w:val="single" w:color="000000" w:sz="2" w:space="0"/>
            </w:tcBorders>
          </w:tcPr>
          <w:p>
            <w:pPr>
              <w:pStyle w:val="16"/>
              <w:spacing w:before="31"/>
              <w:ind w:left="122"/>
              <w:rPr>
                <w:sz w:val="22"/>
                <w:szCs w:val="22"/>
              </w:rPr>
            </w:pPr>
            <w:r>
              <w:rPr>
                <w:spacing w:val="-12"/>
                <w:sz w:val="22"/>
                <w:szCs w:val="22"/>
              </w:rPr>
              <w:t>基本概况：</w:t>
            </w:r>
          </w:p>
          <w:p>
            <w:pPr>
              <w:pStyle w:val="16"/>
              <w:spacing w:before="3"/>
              <w:ind w:left="122"/>
              <w:rPr>
                <w:spacing w:val="-4"/>
                <w:sz w:val="22"/>
                <w:szCs w:val="22"/>
              </w:rPr>
            </w:pPr>
            <w:r>
              <w:rPr>
                <w:rFonts w:hint="eastAsia"/>
                <w:spacing w:val="-4"/>
                <w:sz w:val="22"/>
                <w:szCs w:val="22"/>
                <w:lang w:eastAsia="zh-CN"/>
              </w:rPr>
              <w:t>二标包</w:t>
            </w:r>
            <w:r>
              <w:rPr>
                <w:spacing w:val="-4"/>
                <w:sz w:val="22"/>
                <w:szCs w:val="22"/>
              </w:rPr>
              <w:t>：葡萄苑餐厅三楼,服务范围为餐饮服务（早、中、晚餐等</w:t>
            </w:r>
            <w:r>
              <w:rPr>
                <w:spacing w:val="-5"/>
                <w:sz w:val="22"/>
                <w:szCs w:val="22"/>
              </w:rPr>
              <w:t>），</w:t>
            </w:r>
          </w:p>
          <w:p>
            <w:pPr>
              <w:pStyle w:val="16"/>
              <w:spacing w:before="6"/>
              <w:ind w:left="122"/>
              <w:rPr>
                <w:sz w:val="22"/>
                <w:szCs w:val="22"/>
              </w:rPr>
            </w:pPr>
            <w:r>
              <w:rPr>
                <w:spacing w:val="-2"/>
                <w:sz w:val="22"/>
                <w:szCs w:val="22"/>
              </w:rPr>
              <w:t>每层面积均为1386.82平方米，预算金额250</w:t>
            </w:r>
            <w:r>
              <w:rPr>
                <w:spacing w:val="-3"/>
                <w:sz w:val="22"/>
                <w:szCs w:val="22"/>
              </w:rPr>
              <w:t>万元，供应商以餐饮服务团队</w:t>
            </w:r>
            <w:r>
              <w:rPr>
                <w:spacing w:val="-4"/>
                <w:sz w:val="22"/>
                <w:szCs w:val="22"/>
              </w:rPr>
              <w:t>方式提供一日三餐中华传统美食服务，要求餐厅窗口数量不得低于10</w:t>
            </w:r>
            <w:r>
              <w:rPr>
                <w:spacing w:val="-7"/>
                <w:sz w:val="22"/>
                <w:szCs w:val="22"/>
              </w:rPr>
              <w:t>个。</w:t>
            </w:r>
          </w:p>
          <w:p>
            <w:pPr>
              <w:pStyle w:val="16"/>
              <w:spacing w:before="18"/>
              <w:ind w:left="122"/>
              <w:rPr>
                <w:sz w:val="22"/>
                <w:szCs w:val="22"/>
              </w:rPr>
            </w:pPr>
            <w:r>
              <w:rPr>
                <w:spacing w:val="-5"/>
                <w:sz w:val="22"/>
                <w:szCs w:val="22"/>
              </w:rPr>
              <w:t>服务地点：新疆农业大学亚心校区葡萄苑餐厅。</w:t>
            </w:r>
          </w:p>
          <w:p>
            <w:pPr>
              <w:pStyle w:val="16"/>
              <w:spacing w:before="10" w:line="266" w:lineRule="exact"/>
              <w:ind w:left="124"/>
              <w:rPr>
                <w:sz w:val="22"/>
                <w:szCs w:val="22"/>
              </w:rPr>
            </w:pPr>
            <w:r>
              <w:rPr>
                <w:spacing w:val="-10"/>
                <w:sz w:val="22"/>
                <w:szCs w:val="22"/>
              </w:rPr>
              <w:t>★经营管理模式：</w:t>
            </w:r>
          </w:p>
          <w:p>
            <w:pPr>
              <w:bidi w:val="0"/>
              <w:ind w:firstLine="440" w:firstLineChars="200"/>
              <w:rPr>
                <w:sz w:val="22"/>
                <w:szCs w:val="22"/>
              </w:rPr>
            </w:pPr>
            <w:r>
              <w:rPr>
                <w:rFonts w:hint="default"/>
                <w:sz w:val="22"/>
                <w:szCs w:val="22"/>
                <w:lang w:val="en-US" w:eastAsia="zh-CN"/>
              </w:rPr>
              <w:t>1.</w:t>
            </w:r>
            <w:r>
              <w:rPr>
                <w:rFonts w:hint="eastAsia"/>
                <w:sz w:val="22"/>
                <w:szCs w:val="22"/>
                <w:lang w:val="en-US" w:eastAsia="zh-CN"/>
              </w:rPr>
              <w:t xml:space="preserve">学校授权后勤服务处饮食中心履行监督管理职能。 </w:t>
            </w:r>
          </w:p>
          <w:p>
            <w:pPr>
              <w:bidi w:val="0"/>
              <w:ind w:firstLine="440" w:firstLineChars="200"/>
              <w:rPr>
                <w:sz w:val="22"/>
                <w:szCs w:val="22"/>
              </w:rPr>
            </w:pPr>
            <w:r>
              <w:rPr>
                <w:rFonts w:hint="eastAsia"/>
                <w:sz w:val="22"/>
                <w:szCs w:val="22"/>
                <w:lang w:val="en-US" w:eastAsia="zh-CN"/>
              </w:rPr>
              <w:t xml:space="preserve">2.学校提供经营所需基本条件，除供水、供电、供气、供暖正常检修或相关设备出现意外等情况外，确保水、电、天然气及暖气的供应。 </w:t>
            </w:r>
          </w:p>
          <w:p>
            <w:pPr>
              <w:bidi w:val="0"/>
              <w:ind w:firstLine="440" w:firstLineChars="200"/>
              <w:rPr>
                <w:sz w:val="22"/>
                <w:szCs w:val="22"/>
              </w:rPr>
            </w:pPr>
            <w:r>
              <w:rPr>
                <w:rFonts w:hint="eastAsia"/>
                <w:sz w:val="22"/>
                <w:szCs w:val="22"/>
                <w:lang w:val="en-US" w:eastAsia="zh-CN"/>
              </w:rPr>
              <w:t xml:space="preserve">3.在经营期间，餐饮服务团队承担设备设施故障维修的经费。 </w:t>
            </w:r>
          </w:p>
          <w:p>
            <w:pPr>
              <w:bidi w:val="0"/>
              <w:ind w:firstLine="440" w:firstLineChars="200"/>
              <w:rPr>
                <w:sz w:val="22"/>
                <w:szCs w:val="22"/>
              </w:rPr>
            </w:pPr>
            <w:r>
              <w:rPr>
                <w:rFonts w:hint="eastAsia"/>
                <w:sz w:val="22"/>
                <w:szCs w:val="22"/>
                <w:lang w:val="en-US" w:eastAsia="zh-CN"/>
              </w:rPr>
              <w:t xml:space="preserve">4.餐饮服务团队需要执行学校统一采购、统一配送、统一核算，严禁自行购买食材。 </w:t>
            </w:r>
          </w:p>
          <w:p>
            <w:pPr>
              <w:bidi w:val="0"/>
              <w:ind w:firstLine="440" w:firstLineChars="200"/>
              <w:rPr>
                <w:sz w:val="22"/>
                <w:szCs w:val="22"/>
              </w:rPr>
            </w:pPr>
            <w:r>
              <w:rPr>
                <w:rFonts w:hint="eastAsia"/>
                <w:sz w:val="22"/>
                <w:szCs w:val="22"/>
                <w:lang w:val="en-US" w:eastAsia="zh-CN"/>
              </w:rPr>
              <w:t xml:space="preserve">5.餐饮服务团队遵守学校财务管理关于校园托管餐厅的统一规定，使用校园一卡通收费系统，结算/核算工作要求内容真实合法，程序符合规定，不得使用其他未经允许的收款方式。 </w:t>
            </w:r>
          </w:p>
          <w:p>
            <w:pPr>
              <w:pStyle w:val="16"/>
              <w:spacing w:before="12" w:line="266" w:lineRule="exact"/>
              <w:ind w:left="124"/>
              <w:rPr>
                <w:sz w:val="22"/>
                <w:szCs w:val="22"/>
              </w:rPr>
            </w:pPr>
            <w:r>
              <w:rPr>
                <w:spacing w:val="-10"/>
                <w:sz w:val="22"/>
                <w:szCs w:val="22"/>
              </w:rPr>
              <w:t>★团队配置要求：</w:t>
            </w:r>
          </w:p>
          <w:p>
            <w:pPr>
              <w:bidi w:val="0"/>
              <w:ind w:firstLine="440" w:firstLineChars="200"/>
              <w:rPr>
                <w:sz w:val="22"/>
                <w:szCs w:val="22"/>
              </w:rPr>
            </w:pPr>
            <w:r>
              <w:rPr>
                <w:rFonts w:hint="eastAsia"/>
                <w:sz w:val="22"/>
                <w:szCs w:val="22"/>
                <w:lang w:eastAsia="zh-CN"/>
              </w:rPr>
              <w:t>二标包</w:t>
            </w:r>
            <w:r>
              <w:rPr>
                <w:sz w:val="22"/>
                <w:szCs w:val="22"/>
              </w:rPr>
              <w:t>（葡萄苑餐厅三楼项目）</w:t>
            </w:r>
            <w:r>
              <w:rPr>
                <w:rFonts w:hint="eastAsia"/>
                <w:sz w:val="22"/>
                <w:szCs w:val="22"/>
                <w:lang w:val="en-US" w:eastAsia="zh-CN"/>
              </w:rPr>
              <w:t>工作人员不得超于</w:t>
            </w:r>
            <w:r>
              <w:rPr>
                <w:rFonts w:hint="default"/>
                <w:sz w:val="22"/>
                <w:szCs w:val="22"/>
                <w:lang w:val="en-US" w:eastAsia="zh-CN"/>
              </w:rPr>
              <w:t>30</w:t>
            </w:r>
            <w:r>
              <w:rPr>
                <w:rFonts w:hint="eastAsia"/>
                <w:sz w:val="22"/>
                <w:szCs w:val="22"/>
                <w:lang w:val="en-US" w:eastAsia="zh-CN"/>
              </w:rPr>
              <w:t>人，岗位职数可根据餐厅实际经营项目情况调整，男性年龄</w:t>
            </w:r>
            <w:r>
              <w:rPr>
                <w:sz w:val="22"/>
                <w:szCs w:val="22"/>
                <w:lang w:val="en-US" w:eastAsia="zh-CN"/>
              </w:rPr>
              <w:t>55</w:t>
            </w:r>
            <w:r>
              <w:rPr>
                <w:rFonts w:hint="eastAsia"/>
                <w:sz w:val="22"/>
                <w:szCs w:val="22"/>
                <w:lang w:val="en-US" w:eastAsia="zh-CN"/>
              </w:rPr>
              <w:t>周岁以下，女性年龄50周岁以下；要求厨师不少于</w:t>
            </w:r>
            <w:r>
              <w:rPr>
                <w:rFonts w:hint="default"/>
                <w:sz w:val="22"/>
                <w:szCs w:val="22"/>
                <w:lang w:val="en-US" w:eastAsia="zh-CN"/>
              </w:rPr>
              <w:t>5</w:t>
            </w:r>
            <w:r>
              <w:rPr>
                <w:rFonts w:hint="eastAsia"/>
                <w:sz w:val="22"/>
                <w:szCs w:val="22"/>
                <w:lang w:val="en-US" w:eastAsia="zh-CN"/>
              </w:rPr>
              <w:t>人，其中具备高级（或国家职业资格三级）及以上（含三级）厨师资格的不少于</w:t>
            </w:r>
            <w:r>
              <w:rPr>
                <w:rFonts w:hint="default"/>
                <w:sz w:val="22"/>
                <w:szCs w:val="22"/>
                <w:lang w:val="en-US" w:eastAsia="zh-CN"/>
              </w:rPr>
              <w:t>1</w:t>
            </w:r>
            <w:r>
              <w:rPr>
                <w:rFonts w:hint="eastAsia"/>
                <w:sz w:val="22"/>
                <w:szCs w:val="22"/>
                <w:lang w:val="en-US" w:eastAsia="zh-CN"/>
              </w:rPr>
              <w:t>名；具备中级（或国家职业资格四级）及以上（含四级）厨师资格的不少于</w:t>
            </w:r>
            <w:r>
              <w:rPr>
                <w:rFonts w:hint="default"/>
                <w:sz w:val="22"/>
                <w:szCs w:val="22"/>
                <w:lang w:val="en-US" w:eastAsia="zh-CN"/>
              </w:rPr>
              <w:t>1</w:t>
            </w:r>
            <w:r>
              <w:rPr>
                <w:rFonts w:hint="eastAsia"/>
                <w:sz w:val="22"/>
                <w:szCs w:val="22"/>
                <w:lang w:val="en-US" w:eastAsia="zh-CN"/>
              </w:rPr>
              <w:t>名。并提供人员配置清单及有效的身份证、健康证扫描件、健康体检报告。对无健康证或健康检测不合格者严禁使用。</w:t>
            </w:r>
          </w:p>
          <w:p>
            <w:pPr>
              <w:pStyle w:val="16"/>
              <w:spacing w:before="23"/>
              <w:rPr>
                <w:sz w:val="22"/>
                <w:szCs w:val="22"/>
              </w:rPr>
            </w:pPr>
            <w:r>
              <w:rPr>
                <w:spacing w:val="-2"/>
                <w:sz w:val="22"/>
                <w:szCs w:val="22"/>
              </w:rPr>
              <w:t>★服务期限：餐饮服务期限3</w:t>
            </w:r>
            <w:r>
              <w:rPr>
                <w:spacing w:val="-6"/>
                <w:sz w:val="22"/>
                <w:szCs w:val="22"/>
              </w:rPr>
              <w:t>年。</w:t>
            </w:r>
          </w:p>
          <w:p>
            <w:pPr>
              <w:pStyle w:val="16"/>
              <w:spacing w:before="8"/>
              <w:ind w:left="119"/>
              <w:rPr>
                <w:sz w:val="21"/>
              </w:rPr>
            </w:pPr>
            <w:r>
              <w:rPr>
                <w:rFonts w:hint="eastAsia"/>
                <w:sz w:val="22"/>
                <w:szCs w:val="22"/>
                <w:lang w:val="en-US" w:eastAsia="zh-CN"/>
              </w:rPr>
              <w:t>采用固定周期和不定期考核相结合，一年一综合考核。如无违法、违规、违约行为和安全责任事故，且每年综合管理考核及满意度调查都达</w:t>
            </w:r>
            <w:r>
              <w:rPr>
                <w:rFonts w:hint="default"/>
                <w:sz w:val="22"/>
                <w:szCs w:val="22"/>
                <w:lang w:val="en-US" w:eastAsia="zh-CN"/>
              </w:rPr>
              <w:t>80</w:t>
            </w:r>
            <w:r>
              <w:rPr>
                <w:rFonts w:hint="eastAsia"/>
                <w:sz w:val="22"/>
                <w:szCs w:val="22"/>
                <w:lang w:val="en-US" w:eastAsia="zh-CN"/>
              </w:rPr>
              <w:t>分以上，方可继续履行下一年度合同，否则采购人有权终止合同并重新选择服务单位。</w:t>
            </w:r>
          </w:p>
        </w:tc>
      </w:tr>
    </w:tbl>
    <w:p>
      <w:pPr>
        <w:spacing w:after="0"/>
        <w:rPr>
          <w:sz w:val="21"/>
        </w:rPr>
        <w:sectPr>
          <w:headerReference r:id="rId8" w:type="default"/>
          <w:footerReference r:id="rId9" w:type="default"/>
          <w:pgSz w:w="11910" w:h="16840"/>
          <w:pgMar w:top="1100" w:right="720" w:bottom="560" w:left="920" w:header="916" w:footer="0" w:gutter="0"/>
          <w:pgNumType w:fmt="numberInDash"/>
          <w:cols w:space="720" w:num="1"/>
        </w:sectPr>
      </w:pPr>
    </w:p>
    <w:p>
      <w:pPr>
        <w:pStyle w:val="9"/>
        <w:spacing w:before="1"/>
        <w:rPr>
          <w:sz w:val="20"/>
        </w:rPr>
      </w:pPr>
    </w:p>
    <w:tbl>
      <w:tblPr>
        <w:tblStyle w:val="12"/>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
        <w:gridCol w:w="1695"/>
        <w:gridCol w:w="6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949" w:type="dxa"/>
            <w:tcBorders>
              <w:left w:val="single" w:color="000000" w:sz="2" w:space="0"/>
              <w:bottom w:val="single" w:color="000000" w:sz="2" w:space="0"/>
              <w:right w:val="single" w:color="000000" w:sz="2" w:space="0"/>
            </w:tcBorders>
          </w:tcPr>
          <w:p>
            <w:pPr>
              <w:pStyle w:val="16"/>
              <w:rPr>
                <w:rFonts w:ascii="Times New Roman"/>
                <w:sz w:val="20"/>
              </w:rPr>
            </w:pPr>
          </w:p>
        </w:tc>
        <w:tc>
          <w:tcPr>
            <w:tcW w:w="1695" w:type="dxa"/>
            <w:tcBorders>
              <w:left w:val="single" w:color="000000" w:sz="2" w:space="0"/>
              <w:bottom w:val="single" w:color="000000" w:sz="2" w:space="0"/>
              <w:right w:val="single" w:color="000000" w:sz="2" w:space="0"/>
            </w:tcBorders>
          </w:tcPr>
          <w:p>
            <w:pPr>
              <w:pStyle w:val="16"/>
              <w:rPr>
                <w:rFonts w:ascii="Times New Roman"/>
                <w:sz w:val="20"/>
              </w:rPr>
            </w:pPr>
          </w:p>
        </w:tc>
        <w:tc>
          <w:tcPr>
            <w:tcW w:w="6874" w:type="dxa"/>
            <w:tcBorders>
              <w:left w:val="single" w:color="000000" w:sz="2" w:space="0"/>
              <w:bottom w:val="single" w:color="000000" w:sz="2" w:space="0"/>
              <w:right w:val="single" w:color="000000" w:sz="2" w:space="0"/>
            </w:tcBorders>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9" w:hRule="atLeast"/>
        </w:trPr>
        <w:tc>
          <w:tcPr>
            <w:tcW w:w="949" w:type="dxa"/>
            <w:tcBorders>
              <w:top w:val="single" w:color="000000" w:sz="2" w:space="0"/>
              <w:left w:val="single" w:color="000000" w:sz="2" w:space="0"/>
              <w:bottom w:val="single" w:color="000000" w:sz="2" w:space="0"/>
              <w:right w:val="single" w:color="000000" w:sz="2" w:space="0"/>
            </w:tcBorders>
          </w:tcPr>
          <w:p>
            <w:pPr>
              <w:pStyle w:val="16"/>
              <w:spacing w:before="60"/>
              <w:rPr>
                <w:sz w:val="21"/>
              </w:rPr>
            </w:pPr>
          </w:p>
          <w:p>
            <w:pPr>
              <w:pStyle w:val="16"/>
              <w:ind w:left="17"/>
              <w:rPr>
                <w:sz w:val="21"/>
              </w:rPr>
            </w:pPr>
            <w:r>
              <w:rPr>
                <w:spacing w:val="-5"/>
                <w:sz w:val="21"/>
              </w:rPr>
              <w:t>9.1</w:t>
            </w:r>
          </w:p>
        </w:tc>
        <w:tc>
          <w:tcPr>
            <w:tcW w:w="1695" w:type="dxa"/>
            <w:tcBorders>
              <w:top w:val="single" w:color="000000" w:sz="2" w:space="0"/>
              <w:left w:val="single" w:color="000000" w:sz="2" w:space="0"/>
              <w:bottom w:val="single" w:color="000000" w:sz="2" w:space="0"/>
              <w:right w:val="single" w:color="000000" w:sz="2" w:space="0"/>
            </w:tcBorders>
          </w:tcPr>
          <w:p>
            <w:pPr>
              <w:pStyle w:val="16"/>
              <w:spacing w:before="60"/>
              <w:rPr>
                <w:sz w:val="21"/>
              </w:rPr>
            </w:pPr>
          </w:p>
          <w:p>
            <w:pPr>
              <w:pStyle w:val="16"/>
              <w:ind w:left="117"/>
              <w:rPr>
                <w:sz w:val="21"/>
              </w:rPr>
            </w:pPr>
            <w:r>
              <w:rPr>
                <w:spacing w:val="-9"/>
                <w:sz w:val="21"/>
              </w:rPr>
              <w:t>现场考察</w:t>
            </w:r>
          </w:p>
        </w:tc>
        <w:tc>
          <w:tcPr>
            <w:tcW w:w="6874" w:type="dxa"/>
            <w:tcBorders>
              <w:top w:val="single" w:color="000000" w:sz="2" w:space="0"/>
              <w:left w:val="single" w:color="000000" w:sz="2" w:space="0"/>
              <w:bottom w:val="single" w:color="000000" w:sz="2" w:space="0"/>
              <w:right w:val="single" w:color="000000" w:sz="2" w:space="0"/>
            </w:tcBorders>
          </w:tcPr>
          <w:p>
            <w:pPr>
              <w:pStyle w:val="16"/>
              <w:spacing w:before="45" w:line="247" w:lineRule="auto"/>
              <w:ind w:left="128" w:right="4141"/>
              <w:rPr>
                <w:sz w:val="21"/>
              </w:rPr>
            </w:pPr>
            <w:r>
              <w:rPr>
                <w:rFonts w:ascii="Wingdings" w:hAnsi="Wingdings" w:eastAsia="Wingdings"/>
                <w:spacing w:val="-10"/>
                <w:sz w:val="21"/>
              </w:rPr>
              <w:t></w:t>
            </w:r>
            <w:r>
              <w:rPr>
                <w:spacing w:val="-10"/>
                <w:sz w:val="21"/>
              </w:rPr>
              <w:t xml:space="preserve">不组织，投标人自行前往。 </w:t>
            </w:r>
            <w:r>
              <w:rPr>
                <w:rFonts w:ascii="Wingdings" w:hAnsi="Wingdings" w:eastAsia="Wingdings"/>
                <w:spacing w:val="-10"/>
                <w:sz w:val="21"/>
              </w:rPr>
              <w:sym w:font="Wingdings" w:char="00FE"/>
            </w:r>
            <w:r>
              <w:rPr>
                <w:spacing w:val="-10"/>
                <w:sz w:val="21"/>
              </w:rPr>
              <w:t>组织</w:t>
            </w:r>
          </w:p>
          <w:p>
            <w:pPr>
              <w:pStyle w:val="16"/>
              <w:spacing w:before="25"/>
              <w:ind w:left="208"/>
              <w:rPr>
                <w:color w:val="FF0000"/>
                <w:sz w:val="21"/>
                <w:u w:val="single"/>
              </w:rPr>
            </w:pPr>
            <w:r>
              <w:rPr>
                <w:spacing w:val="-10"/>
                <w:sz w:val="21"/>
              </w:rPr>
              <w:t>时间：</w:t>
            </w:r>
            <w:r>
              <w:rPr>
                <w:color w:val="FF0000"/>
                <w:spacing w:val="-10"/>
                <w:sz w:val="21"/>
                <w:highlight w:val="none"/>
                <w:u w:val="single"/>
              </w:rPr>
              <w:t>2025年</w:t>
            </w:r>
            <w:r>
              <w:rPr>
                <w:rFonts w:hint="eastAsia"/>
                <w:color w:val="FF0000"/>
                <w:spacing w:val="-10"/>
                <w:sz w:val="21"/>
                <w:highlight w:val="none"/>
                <w:u w:val="single"/>
                <w:lang w:val="en-US" w:eastAsia="zh-CN"/>
              </w:rPr>
              <w:t>3</w:t>
            </w:r>
            <w:r>
              <w:rPr>
                <w:color w:val="FF0000"/>
                <w:spacing w:val="-10"/>
                <w:sz w:val="21"/>
                <w:highlight w:val="none"/>
                <w:u w:val="single"/>
              </w:rPr>
              <w:t>月</w:t>
            </w:r>
            <w:r>
              <w:rPr>
                <w:rFonts w:hint="eastAsia"/>
                <w:color w:val="FF0000"/>
                <w:spacing w:val="-10"/>
                <w:sz w:val="21"/>
                <w:highlight w:val="none"/>
                <w:u w:val="single"/>
                <w:lang w:val="en-US" w:eastAsia="zh-CN"/>
              </w:rPr>
              <w:t>21</w:t>
            </w:r>
            <w:r>
              <w:rPr>
                <w:color w:val="FF0000"/>
                <w:spacing w:val="-10"/>
                <w:sz w:val="21"/>
                <w:highlight w:val="none"/>
                <w:u w:val="single"/>
              </w:rPr>
              <w:t>日12点现</w:t>
            </w:r>
            <w:r>
              <w:rPr>
                <w:color w:val="FF0000"/>
                <w:spacing w:val="-10"/>
                <w:sz w:val="21"/>
                <w:u w:val="single"/>
              </w:rPr>
              <w:t>场踏勘</w:t>
            </w:r>
          </w:p>
          <w:p>
            <w:pPr>
              <w:pStyle w:val="16"/>
              <w:spacing w:before="44" w:line="254" w:lineRule="auto"/>
              <w:ind w:left="16" w:right="337" w:firstLine="189"/>
              <w:jc w:val="both"/>
              <w:rPr>
                <w:sz w:val="21"/>
              </w:rPr>
            </w:pPr>
            <w:r>
              <w:rPr>
                <w:spacing w:val="-16"/>
                <w:sz w:val="21"/>
              </w:rPr>
              <w:t>地点：供应商须在此之前，</w:t>
            </w:r>
            <w:r>
              <w:fldChar w:fldCharType="begin"/>
            </w:r>
            <w:r>
              <w:instrText xml:space="preserve"> HYPERLINK "mailto:将踏勘人员信息发送至3762040205@qq.com" \h </w:instrText>
            </w:r>
            <w:r>
              <w:fldChar w:fldCharType="separate"/>
            </w:r>
            <w:r>
              <w:rPr>
                <w:spacing w:val="-16"/>
                <w:sz w:val="21"/>
              </w:rPr>
              <w:t>将踏勘人员信息发送至3762040205@qq.com</w:t>
            </w:r>
            <w:r>
              <w:rPr>
                <w:spacing w:val="-16"/>
                <w:sz w:val="21"/>
              </w:rPr>
              <w:fldChar w:fldCharType="end"/>
            </w:r>
            <w:r>
              <w:rPr>
                <w:spacing w:val="-11"/>
                <w:sz w:val="21"/>
              </w:rPr>
              <w:t xml:space="preserve"> 踏勘</w:t>
            </w:r>
            <w:r>
              <w:rPr>
                <w:spacing w:val="-14"/>
                <w:sz w:val="21"/>
              </w:rPr>
              <w:t>人员信息包含：踏勘人员姓名、联系方式、身份证正反面图片、车牌号（若</w:t>
            </w:r>
            <w:r>
              <w:rPr>
                <w:spacing w:val="-2"/>
                <w:sz w:val="21"/>
              </w:rPr>
              <w:t>有），并致电13579862091。</w:t>
            </w:r>
          </w:p>
          <w:p>
            <w:pPr>
              <w:pStyle w:val="16"/>
              <w:spacing w:before="27"/>
              <w:ind w:left="16" w:firstLine="192"/>
              <w:rPr>
                <w:sz w:val="21"/>
              </w:rPr>
            </w:pPr>
            <w:r>
              <w:rPr>
                <w:spacing w:val="-3"/>
                <w:sz w:val="21"/>
              </w:rPr>
              <w:t>未勘察现场或勘察工作不详细的投标方中标后，不得以不完全了解现场</w:t>
            </w:r>
          </w:p>
          <w:p>
            <w:pPr>
              <w:pStyle w:val="16"/>
              <w:spacing w:before="6" w:line="242" w:lineRule="auto"/>
              <w:ind w:left="16" w:right="137"/>
              <w:rPr>
                <w:sz w:val="21"/>
              </w:rPr>
            </w:pPr>
            <w:r>
              <w:rPr>
                <w:spacing w:val="-2"/>
                <w:sz w:val="21"/>
              </w:rPr>
              <w:t>情况为理由而向采购人提出任何索赔或其他要求，对此采购人不承担任何责任并将不作任何答复。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7" w:hRule="atLeast"/>
        </w:trPr>
        <w:tc>
          <w:tcPr>
            <w:tcW w:w="949" w:type="dxa"/>
            <w:tcBorders>
              <w:top w:val="single" w:color="000000" w:sz="2" w:space="0"/>
              <w:left w:val="single" w:color="000000" w:sz="2" w:space="0"/>
              <w:bottom w:val="single" w:color="000000" w:sz="2" w:space="0"/>
              <w:right w:val="single" w:color="000000" w:sz="2" w:space="0"/>
            </w:tcBorders>
          </w:tcPr>
          <w:p>
            <w:pPr>
              <w:pStyle w:val="16"/>
              <w:spacing w:before="63"/>
              <w:rPr>
                <w:sz w:val="21"/>
              </w:rPr>
            </w:pPr>
          </w:p>
          <w:p>
            <w:pPr>
              <w:pStyle w:val="16"/>
              <w:ind w:left="17"/>
              <w:rPr>
                <w:sz w:val="21"/>
              </w:rPr>
            </w:pPr>
            <w:r>
              <w:rPr>
                <w:spacing w:val="-5"/>
                <w:sz w:val="21"/>
              </w:rPr>
              <w:t>9.5</w:t>
            </w:r>
          </w:p>
        </w:tc>
        <w:tc>
          <w:tcPr>
            <w:tcW w:w="1695" w:type="dxa"/>
            <w:tcBorders>
              <w:top w:val="single" w:color="000000" w:sz="2" w:space="0"/>
              <w:left w:val="single" w:color="000000" w:sz="2" w:space="0"/>
              <w:bottom w:val="single" w:color="000000" w:sz="2" w:space="0"/>
              <w:right w:val="single" w:color="000000" w:sz="2" w:space="0"/>
            </w:tcBorders>
          </w:tcPr>
          <w:p>
            <w:pPr>
              <w:pStyle w:val="16"/>
              <w:spacing w:before="60"/>
              <w:rPr>
                <w:sz w:val="21"/>
              </w:rPr>
            </w:pPr>
          </w:p>
          <w:p>
            <w:pPr>
              <w:pStyle w:val="16"/>
              <w:spacing w:before="1"/>
              <w:ind w:left="117"/>
              <w:rPr>
                <w:sz w:val="21"/>
              </w:rPr>
            </w:pPr>
            <w:r>
              <w:rPr>
                <w:spacing w:val="-9"/>
                <w:sz w:val="21"/>
              </w:rPr>
              <w:t>答疑会</w:t>
            </w:r>
          </w:p>
        </w:tc>
        <w:tc>
          <w:tcPr>
            <w:tcW w:w="6874" w:type="dxa"/>
            <w:tcBorders>
              <w:top w:val="single" w:color="000000" w:sz="2" w:space="0"/>
              <w:left w:val="single" w:color="000000" w:sz="2" w:space="0"/>
              <w:bottom w:val="single" w:color="000000" w:sz="2" w:space="0"/>
              <w:right w:val="single" w:color="000000" w:sz="2" w:space="0"/>
            </w:tcBorders>
          </w:tcPr>
          <w:p>
            <w:pPr>
              <w:pStyle w:val="16"/>
              <w:spacing w:before="40" w:line="261" w:lineRule="auto"/>
              <w:ind w:left="330" w:right="5950" w:hanging="202"/>
              <w:rPr>
                <w:rFonts w:hint="eastAsia" w:eastAsia="宋体"/>
                <w:spacing w:val="-10"/>
                <w:sz w:val="21"/>
                <w:lang w:val="en-US" w:eastAsia="zh-CN"/>
              </w:rPr>
            </w:pPr>
            <w:r>
              <w:rPr>
                <w:rFonts w:ascii="Wingdings" w:hAnsi="Wingdings" w:eastAsia="Wingdings"/>
                <w:spacing w:val="-10"/>
                <w:sz w:val="21"/>
              </w:rPr>
              <w:sym w:font="Wingdings" w:char="00FE"/>
            </w:r>
            <w:r>
              <w:rPr>
                <w:spacing w:val="-10"/>
                <w:sz w:val="21"/>
              </w:rPr>
              <w:t>不</w:t>
            </w:r>
            <w:r>
              <w:rPr>
                <w:rFonts w:hint="eastAsia"/>
                <w:spacing w:val="-10"/>
                <w:sz w:val="21"/>
                <w:lang w:val="en-US" w:eastAsia="zh-CN"/>
              </w:rPr>
              <w:t>组织</w:t>
            </w:r>
          </w:p>
          <w:p>
            <w:pPr>
              <w:pStyle w:val="16"/>
              <w:spacing w:before="40" w:line="261" w:lineRule="auto"/>
              <w:ind w:left="330" w:right="5950" w:hanging="202"/>
              <w:rPr>
                <w:sz w:val="21"/>
              </w:rPr>
            </w:pPr>
            <w:r>
              <w:rPr>
                <w:rFonts w:ascii="Wingdings" w:hAnsi="Wingdings" w:eastAsia="Wingdings"/>
                <w:spacing w:val="-10"/>
                <w:sz w:val="21"/>
              </w:rPr>
              <w:t></w:t>
            </w:r>
            <w:r>
              <w:rPr>
                <w:spacing w:val="-10"/>
                <w:sz w:val="21"/>
              </w:rPr>
              <w:t>组织</w:t>
            </w:r>
          </w:p>
          <w:p>
            <w:pPr>
              <w:pStyle w:val="16"/>
              <w:spacing w:before="15" w:line="252" w:lineRule="auto"/>
              <w:ind w:left="359" w:right="5617" w:firstLine="9"/>
              <w:rPr>
                <w:sz w:val="21"/>
              </w:rPr>
            </w:pPr>
            <w:r>
              <w:rPr>
                <w:spacing w:val="-16"/>
                <w:sz w:val="21"/>
              </w:rPr>
              <w:t>时间：/。地点：/。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949" w:type="dxa"/>
            <w:tcBorders>
              <w:top w:val="single" w:color="000000" w:sz="2" w:space="0"/>
              <w:left w:val="single" w:color="000000" w:sz="2" w:space="0"/>
              <w:bottom w:val="single" w:color="000000" w:sz="2" w:space="0"/>
              <w:right w:val="single" w:color="000000" w:sz="2" w:space="0"/>
            </w:tcBorders>
          </w:tcPr>
          <w:p>
            <w:pPr>
              <w:pStyle w:val="16"/>
              <w:spacing w:before="62"/>
              <w:rPr>
                <w:sz w:val="21"/>
              </w:rPr>
            </w:pPr>
          </w:p>
          <w:p>
            <w:pPr>
              <w:pStyle w:val="16"/>
              <w:ind w:left="32"/>
              <w:rPr>
                <w:sz w:val="21"/>
              </w:rPr>
            </w:pPr>
            <w:r>
              <w:rPr>
                <w:spacing w:val="-4"/>
                <w:sz w:val="21"/>
              </w:rPr>
              <w:t>12.1</w:t>
            </w:r>
          </w:p>
        </w:tc>
        <w:tc>
          <w:tcPr>
            <w:tcW w:w="1695" w:type="dxa"/>
            <w:tcBorders>
              <w:top w:val="single" w:color="000000" w:sz="2" w:space="0"/>
              <w:left w:val="single" w:color="000000" w:sz="2" w:space="0"/>
              <w:bottom w:val="single" w:color="000000" w:sz="2" w:space="0"/>
              <w:right w:val="single" w:color="000000" w:sz="2" w:space="0"/>
            </w:tcBorders>
          </w:tcPr>
          <w:p>
            <w:pPr>
              <w:pStyle w:val="16"/>
              <w:spacing w:before="64"/>
              <w:rPr>
                <w:sz w:val="21"/>
              </w:rPr>
            </w:pPr>
          </w:p>
          <w:p>
            <w:pPr>
              <w:pStyle w:val="16"/>
              <w:ind w:left="117"/>
              <w:rPr>
                <w:sz w:val="21"/>
              </w:rPr>
            </w:pPr>
            <w:r>
              <w:rPr>
                <w:spacing w:val="-10"/>
                <w:sz w:val="21"/>
              </w:rPr>
              <w:t>询问</w:t>
            </w:r>
          </w:p>
        </w:tc>
        <w:tc>
          <w:tcPr>
            <w:tcW w:w="6874" w:type="dxa"/>
            <w:tcBorders>
              <w:top w:val="single" w:color="000000" w:sz="2" w:space="0"/>
              <w:left w:val="single" w:color="000000" w:sz="2" w:space="0"/>
              <w:bottom w:val="single" w:color="000000" w:sz="2" w:space="0"/>
              <w:right w:val="single" w:color="000000" w:sz="2" w:space="0"/>
            </w:tcBorders>
          </w:tcPr>
          <w:p>
            <w:pPr>
              <w:pStyle w:val="16"/>
              <w:numPr>
                <w:ilvl w:val="0"/>
                <w:numId w:val="7"/>
              </w:numPr>
              <w:tabs>
                <w:tab w:val="left" w:pos="349"/>
              </w:tabs>
              <w:spacing w:before="32" w:after="0" w:line="240" w:lineRule="auto"/>
              <w:ind w:left="349" w:right="0" w:hanging="213"/>
              <w:jc w:val="left"/>
              <w:rPr>
                <w:sz w:val="21"/>
              </w:rPr>
            </w:pPr>
            <w:r>
              <w:rPr>
                <w:spacing w:val="-8"/>
                <w:sz w:val="21"/>
              </w:rPr>
              <w:t>方式：</w:t>
            </w:r>
          </w:p>
          <w:p>
            <w:pPr>
              <w:pStyle w:val="16"/>
              <w:spacing w:before="36" w:line="252" w:lineRule="auto"/>
              <w:ind w:left="8" w:right="267"/>
              <w:rPr>
                <w:sz w:val="21"/>
              </w:rPr>
            </w:pPr>
            <w:r>
              <w:rPr>
                <w:spacing w:val="-6"/>
                <w:sz w:val="21"/>
              </w:rPr>
              <w:t>在供应商客户端中按照格式填写询问函，并在生成询问函后加盖电子印章</w:t>
            </w:r>
            <w:r>
              <w:rPr>
                <w:spacing w:val="-4"/>
                <w:sz w:val="21"/>
              </w:rPr>
              <w:t>提交；</w:t>
            </w:r>
          </w:p>
          <w:p>
            <w:pPr>
              <w:pStyle w:val="16"/>
              <w:spacing w:before="3"/>
              <w:ind w:left="8"/>
              <w:rPr>
                <w:sz w:val="21"/>
              </w:rPr>
            </w:pPr>
            <w:r>
              <w:rPr>
                <w:spacing w:val="-4"/>
                <w:sz w:val="21"/>
              </w:rPr>
              <w:t>其他询问方式：</w:t>
            </w:r>
            <w:r>
              <w:fldChar w:fldCharType="begin"/>
            </w:r>
            <w:r>
              <w:instrText xml:space="preserve"> HYPERLINK "mailto:发送至邮箱3762040205@qq.com" \h </w:instrText>
            </w:r>
            <w:r>
              <w:fldChar w:fldCharType="separate"/>
            </w:r>
            <w:r>
              <w:rPr>
                <w:spacing w:val="-4"/>
                <w:sz w:val="21"/>
              </w:rPr>
              <w:t>发送</w:t>
            </w:r>
            <w:r>
              <w:rPr>
                <w:spacing w:val="-4"/>
                <w:sz w:val="21"/>
                <w:u w:val="single"/>
              </w:rPr>
              <w:t>至</w:t>
            </w:r>
            <w:r>
              <w:rPr>
                <w:spacing w:val="-4"/>
                <w:sz w:val="21"/>
              </w:rPr>
              <w:t>邮箱</w:t>
            </w:r>
            <w:r>
              <w:rPr>
                <w:spacing w:val="-4"/>
                <w:sz w:val="21"/>
                <w:u w:val="single"/>
              </w:rPr>
              <w:t>3762040205@qq.com</w:t>
            </w:r>
            <w:r>
              <w:rPr>
                <w:spacing w:val="-4"/>
                <w:sz w:val="21"/>
                <w:u w:val="single"/>
              </w:rPr>
              <w:fldChar w:fldCharType="end"/>
            </w:r>
            <w:r>
              <w:rPr>
                <w:spacing w:val="-4"/>
                <w:sz w:val="21"/>
                <w:u w:val="single"/>
              </w:rPr>
              <w:t>，并致电13579862091</w:t>
            </w:r>
            <w:r>
              <w:rPr>
                <w:spacing w:val="-10"/>
                <w:sz w:val="21"/>
              </w:rPr>
              <w:t>。</w:t>
            </w:r>
          </w:p>
          <w:p>
            <w:pPr>
              <w:pStyle w:val="16"/>
              <w:numPr>
                <w:ilvl w:val="0"/>
                <w:numId w:val="7"/>
              </w:numPr>
              <w:tabs>
                <w:tab w:val="left" w:pos="312"/>
                <w:tab w:val="left" w:pos="359"/>
              </w:tabs>
              <w:spacing w:before="48" w:after="0" w:line="244" w:lineRule="auto"/>
              <w:ind w:left="359" w:right="133" w:hanging="238"/>
              <w:jc w:val="left"/>
              <w:rPr>
                <w:sz w:val="21"/>
              </w:rPr>
            </w:pPr>
            <w:r>
              <w:rPr>
                <w:spacing w:val="-16"/>
                <w:sz w:val="21"/>
              </w:rPr>
              <w:t>时间要求：根据《中华人民共和国财政部令第94号文件》接受投标人疑问或</w:t>
            </w:r>
            <w:r>
              <w:rPr>
                <w:spacing w:val="-2"/>
                <w:sz w:val="21"/>
              </w:rPr>
              <w:t>澄清要求（逾期不予受理）。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949" w:type="dxa"/>
            <w:tcBorders>
              <w:top w:val="single" w:color="000000" w:sz="2" w:space="0"/>
              <w:left w:val="single" w:color="000000" w:sz="2" w:space="0"/>
              <w:bottom w:val="single" w:color="000000" w:sz="2" w:space="0"/>
              <w:right w:val="single" w:color="000000" w:sz="2" w:space="0"/>
            </w:tcBorders>
          </w:tcPr>
          <w:p>
            <w:pPr>
              <w:pStyle w:val="16"/>
              <w:spacing w:before="38"/>
              <w:ind w:left="32"/>
              <w:rPr>
                <w:sz w:val="21"/>
              </w:rPr>
            </w:pPr>
            <w:r>
              <w:rPr>
                <w:spacing w:val="-4"/>
                <w:sz w:val="21"/>
              </w:rPr>
              <w:t>14.1</w:t>
            </w:r>
          </w:p>
        </w:tc>
        <w:tc>
          <w:tcPr>
            <w:tcW w:w="1695" w:type="dxa"/>
            <w:tcBorders>
              <w:top w:val="single" w:color="000000" w:sz="2" w:space="0"/>
              <w:left w:val="single" w:color="000000" w:sz="2" w:space="0"/>
              <w:bottom w:val="single" w:color="000000" w:sz="2" w:space="0"/>
              <w:right w:val="single" w:color="000000" w:sz="2" w:space="0"/>
            </w:tcBorders>
          </w:tcPr>
          <w:p>
            <w:pPr>
              <w:pStyle w:val="16"/>
              <w:spacing w:before="35"/>
              <w:ind w:left="115"/>
              <w:rPr>
                <w:sz w:val="21"/>
              </w:rPr>
            </w:pPr>
            <w:r>
              <w:rPr>
                <w:spacing w:val="-11"/>
                <w:sz w:val="21"/>
              </w:rPr>
              <w:t>报价方式</w:t>
            </w:r>
          </w:p>
        </w:tc>
        <w:tc>
          <w:tcPr>
            <w:tcW w:w="6874" w:type="dxa"/>
            <w:tcBorders>
              <w:top w:val="single" w:color="000000" w:sz="2" w:space="0"/>
              <w:left w:val="single" w:color="000000" w:sz="2" w:space="0"/>
              <w:bottom w:val="single" w:color="000000" w:sz="2" w:space="0"/>
              <w:right w:val="single" w:color="000000" w:sz="2" w:space="0"/>
            </w:tcBorders>
          </w:tcPr>
          <w:p>
            <w:pPr>
              <w:pStyle w:val="16"/>
              <w:spacing w:before="35"/>
              <w:ind w:left="133"/>
              <w:rPr>
                <w:sz w:val="21"/>
              </w:rPr>
            </w:pPr>
            <w:r>
              <w:rPr>
                <w:spacing w:val="-8"/>
                <w:sz w:val="21"/>
              </w:rPr>
              <w:t>1</w:t>
            </w:r>
            <w:r>
              <w:rPr>
                <w:spacing w:val="-9"/>
                <w:sz w:val="21"/>
              </w:rPr>
              <w:t>、报价方式；自主报价。</w:t>
            </w:r>
          </w:p>
          <w:p>
            <w:pPr>
              <w:pStyle w:val="16"/>
              <w:spacing w:before="27"/>
              <w:ind w:left="121"/>
              <w:rPr>
                <w:sz w:val="21"/>
              </w:rPr>
            </w:pPr>
            <w:r>
              <w:rPr>
                <w:spacing w:val="-6"/>
                <w:sz w:val="21"/>
              </w:rPr>
              <w:t>2</w:t>
            </w:r>
            <w:r>
              <w:rPr>
                <w:spacing w:val="-7"/>
                <w:sz w:val="21"/>
              </w:rPr>
              <w:t>、报价要求：餐饮服务费支付比例；</w:t>
            </w:r>
          </w:p>
          <w:p>
            <w:pPr>
              <w:pStyle w:val="16"/>
              <w:spacing w:before="27"/>
              <w:ind w:left="124"/>
              <w:rPr>
                <w:sz w:val="21"/>
              </w:rPr>
            </w:pPr>
            <w:r>
              <w:rPr>
                <w:spacing w:val="-8"/>
                <w:sz w:val="21"/>
              </w:rPr>
              <w:t>3</w:t>
            </w:r>
            <w:r>
              <w:rPr>
                <w:spacing w:val="-9"/>
                <w:sz w:val="21"/>
              </w:rPr>
              <w:t>、餐饮服务费支付：</w:t>
            </w:r>
          </w:p>
          <w:p>
            <w:pPr>
              <w:pStyle w:val="16"/>
              <w:spacing w:before="24" w:line="232" w:lineRule="auto"/>
              <w:ind w:left="119" w:right="353"/>
              <w:rPr>
                <w:sz w:val="21"/>
              </w:rPr>
            </w:pPr>
            <w:r>
              <w:rPr>
                <w:rFonts w:hint="eastAsia"/>
                <w:spacing w:val="-2"/>
                <w:sz w:val="21"/>
                <w:lang w:eastAsia="zh-CN"/>
              </w:rPr>
              <w:t>二标包</w:t>
            </w:r>
            <w:r>
              <w:rPr>
                <w:spacing w:val="-2"/>
                <w:sz w:val="21"/>
              </w:rPr>
              <w:t>：餐饮服务支付比例占不得高于占每期收入的6</w:t>
            </w:r>
            <w:r>
              <w:rPr>
                <w:rFonts w:hint="eastAsia"/>
                <w:spacing w:val="-2"/>
                <w:sz w:val="21"/>
                <w:lang w:val="en-US" w:eastAsia="zh-CN"/>
              </w:rPr>
              <w:t>7</w:t>
            </w:r>
            <w:r>
              <w:rPr>
                <w:spacing w:val="-2"/>
                <w:sz w:val="21"/>
              </w:rPr>
              <w:t>%（根据实际报价执行）。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49" w:type="dxa"/>
            <w:tcBorders>
              <w:top w:val="single" w:color="000000" w:sz="2" w:space="0"/>
              <w:left w:val="single" w:color="000000" w:sz="2" w:space="0"/>
              <w:bottom w:val="single" w:color="000000" w:sz="2" w:space="0"/>
              <w:right w:val="single" w:color="000000" w:sz="2" w:space="0"/>
            </w:tcBorders>
          </w:tcPr>
          <w:p>
            <w:pPr>
              <w:pStyle w:val="16"/>
              <w:spacing w:before="39"/>
              <w:ind w:left="32"/>
              <w:rPr>
                <w:sz w:val="21"/>
              </w:rPr>
            </w:pPr>
            <w:r>
              <w:rPr>
                <w:spacing w:val="-4"/>
                <w:sz w:val="21"/>
              </w:rPr>
              <w:t>15.1</w:t>
            </w:r>
          </w:p>
        </w:tc>
        <w:tc>
          <w:tcPr>
            <w:tcW w:w="1695" w:type="dxa"/>
            <w:tcBorders>
              <w:top w:val="single" w:color="000000" w:sz="2" w:space="0"/>
              <w:left w:val="single" w:color="000000" w:sz="2" w:space="0"/>
              <w:bottom w:val="single" w:color="000000" w:sz="2" w:space="0"/>
              <w:right w:val="single" w:color="000000" w:sz="2" w:space="0"/>
            </w:tcBorders>
          </w:tcPr>
          <w:p>
            <w:pPr>
              <w:pStyle w:val="16"/>
              <w:spacing w:before="39"/>
              <w:ind w:left="119"/>
              <w:rPr>
                <w:sz w:val="21"/>
              </w:rPr>
            </w:pPr>
            <w:r>
              <w:rPr>
                <w:spacing w:val="-9"/>
                <w:sz w:val="21"/>
              </w:rPr>
              <w:t>投标有效期</w:t>
            </w:r>
          </w:p>
        </w:tc>
        <w:tc>
          <w:tcPr>
            <w:tcW w:w="6874" w:type="dxa"/>
            <w:tcBorders>
              <w:top w:val="single" w:color="000000" w:sz="2" w:space="0"/>
              <w:left w:val="single" w:color="000000" w:sz="2" w:space="0"/>
              <w:bottom w:val="single" w:color="000000" w:sz="2" w:space="0"/>
              <w:right w:val="single" w:color="000000" w:sz="2" w:space="0"/>
            </w:tcBorders>
          </w:tcPr>
          <w:p>
            <w:pPr>
              <w:pStyle w:val="16"/>
              <w:spacing w:before="39"/>
              <w:ind w:left="121"/>
              <w:rPr>
                <w:sz w:val="21"/>
              </w:rPr>
            </w:pPr>
            <w:r>
              <w:rPr>
                <w:spacing w:val="-19"/>
                <w:sz w:val="21"/>
              </w:rPr>
              <w:t xml:space="preserve">投标截止时间后 </w:t>
            </w:r>
            <w:r>
              <w:rPr>
                <w:spacing w:val="-16"/>
                <w:sz w:val="21"/>
                <w:u w:val="single"/>
              </w:rPr>
              <w:t>90</w:t>
            </w:r>
            <w:r>
              <w:rPr>
                <w:spacing w:val="-13"/>
                <w:sz w:val="21"/>
              </w:rPr>
              <w:t xml:space="preserve"> 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0" w:hRule="atLeast"/>
        </w:trPr>
        <w:tc>
          <w:tcPr>
            <w:tcW w:w="949" w:type="dxa"/>
            <w:tcBorders>
              <w:top w:val="single" w:color="000000" w:sz="2" w:space="0"/>
              <w:left w:val="single" w:color="000000" w:sz="2" w:space="0"/>
              <w:bottom w:val="single" w:color="000000" w:sz="2" w:space="0"/>
              <w:right w:val="single" w:color="000000" w:sz="2" w:space="0"/>
            </w:tcBorders>
          </w:tcPr>
          <w:p>
            <w:pPr>
              <w:pStyle w:val="16"/>
              <w:rPr>
                <w:sz w:val="21"/>
              </w:rPr>
            </w:pPr>
          </w:p>
          <w:p>
            <w:pPr>
              <w:pStyle w:val="16"/>
              <w:rPr>
                <w:sz w:val="21"/>
              </w:rPr>
            </w:pPr>
          </w:p>
          <w:p>
            <w:pPr>
              <w:pStyle w:val="16"/>
              <w:rPr>
                <w:sz w:val="21"/>
              </w:rPr>
            </w:pPr>
          </w:p>
          <w:p>
            <w:pPr>
              <w:pStyle w:val="16"/>
              <w:rPr>
                <w:sz w:val="21"/>
              </w:rPr>
            </w:pPr>
          </w:p>
          <w:p>
            <w:pPr>
              <w:pStyle w:val="16"/>
              <w:rPr>
                <w:sz w:val="21"/>
              </w:rPr>
            </w:pPr>
          </w:p>
          <w:p>
            <w:pPr>
              <w:pStyle w:val="16"/>
              <w:spacing w:before="200"/>
              <w:rPr>
                <w:sz w:val="21"/>
              </w:rPr>
            </w:pPr>
          </w:p>
          <w:p>
            <w:pPr>
              <w:pStyle w:val="16"/>
              <w:ind w:left="32"/>
              <w:rPr>
                <w:sz w:val="21"/>
              </w:rPr>
            </w:pPr>
            <w:r>
              <w:rPr>
                <w:spacing w:val="-4"/>
                <w:sz w:val="21"/>
              </w:rPr>
              <w:t>17.1</w:t>
            </w:r>
          </w:p>
        </w:tc>
        <w:tc>
          <w:tcPr>
            <w:tcW w:w="1695" w:type="dxa"/>
            <w:tcBorders>
              <w:top w:val="single" w:color="000000" w:sz="2" w:space="0"/>
              <w:left w:val="single" w:color="000000" w:sz="2" w:space="0"/>
              <w:bottom w:val="single" w:color="000000" w:sz="2" w:space="0"/>
              <w:right w:val="single" w:color="000000" w:sz="2" w:space="0"/>
            </w:tcBorders>
          </w:tcPr>
          <w:p>
            <w:pPr>
              <w:pStyle w:val="16"/>
              <w:rPr>
                <w:sz w:val="21"/>
              </w:rPr>
            </w:pPr>
          </w:p>
          <w:p>
            <w:pPr>
              <w:pStyle w:val="16"/>
              <w:rPr>
                <w:sz w:val="21"/>
              </w:rPr>
            </w:pPr>
          </w:p>
          <w:p>
            <w:pPr>
              <w:pStyle w:val="16"/>
              <w:rPr>
                <w:sz w:val="21"/>
              </w:rPr>
            </w:pPr>
          </w:p>
          <w:p>
            <w:pPr>
              <w:pStyle w:val="16"/>
              <w:rPr>
                <w:sz w:val="21"/>
              </w:rPr>
            </w:pPr>
          </w:p>
          <w:p>
            <w:pPr>
              <w:pStyle w:val="16"/>
              <w:rPr>
                <w:sz w:val="21"/>
              </w:rPr>
            </w:pPr>
          </w:p>
          <w:p>
            <w:pPr>
              <w:pStyle w:val="16"/>
              <w:spacing w:before="200"/>
              <w:rPr>
                <w:sz w:val="21"/>
              </w:rPr>
            </w:pPr>
          </w:p>
          <w:p>
            <w:pPr>
              <w:pStyle w:val="16"/>
              <w:ind w:left="119"/>
              <w:rPr>
                <w:sz w:val="21"/>
              </w:rPr>
            </w:pPr>
            <w:r>
              <w:rPr>
                <w:spacing w:val="-9"/>
                <w:sz w:val="21"/>
              </w:rPr>
              <w:t>投标保证金</w:t>
            </w:r>
          </w:p>
        </w:tc>
        <w:tc>
          <w:tcPr>
            <w:tcW w:w="6874" w:type="dxa"/>
            <w:tcBorders>
              <w:top w:val="single" w:color="000000" w:sz="2" w:space="0"/>
              <w:left w:val="single" w:color="000000" w:sz="2" w:space="0"/>
              <w:bottom w:val="single" w:color="000000" w:sz="2" w:space="0"/>
              <w:right w:val="single" w:color="000000" w:sz="2" w:space="0"/>
            </w:tcBorders>
          </w:tcPr>
          <w:p>
            <w:pPr>
              <w:pStyle w:val="16"/>
              <w:numPr>
                <w:ilvl w:val="0"/>
                <w:numId w:val="8"/>
              </w:numPr>
              <w:tabs>
                <w:tab w:val="left" w:pos="349"/>
              </w:tabs>
              <w:spacing w:before="30" w:after="0" w:line="240" w:lineRule="auto"/>
              <w:ind w:left="349" w:right="0" w:hanging="213"/>
              <w:jc w:val="left"/>
              <w:rPr>
                <w:sz w:val="21"/>
              </w:rPr>
            </w:pPr>
            <w:r>
              <w:rPr>
                <w:spacing w:val="-8"/>
                <w:sz w:val="21"/>
              </w:rPr>
              <w:t>金额：</w:t>
            </w:r>
          </w:p>
          <w:p>
            <w:pPr>
              <w:pStyle w:val="16"/>
              <w:spacing w:before="39"/>
              <w:ind w:left="428"/>
              <w:rPr>
                <w:sz w:val="21"/>
              </w:rPr>
            </w:pPr>
            <w:r>
              <w:rPr>
                <w:rFonts w:hint="eastAsia"/>
                <w:spacing w:val="-2"/>
                <w:sz w:val="21"/>
                <w:lang w:eastAsia="zh-CN"/>
              </w:rPr>
              <w:t>二标包</w:t>
            </w:r>
            <w:r>
              <w:rPr>
                <w:spacing w:val="-2"/>
                <w:sz w:val="21"/>
              </w:rPr>
              <w:t>小写：40000.00</w:t>
            </w:r>
            <w:r>
              <w:rPr>
                <w:spacing w:val="-6"/>
                <w:sz w:val="21"/>
              </w:rPr>
              <w:t>元 大写：肆万元整</w:t>
            </w:r>
          </w:p>
          <w:p>
            <w:pPr>
              <w:pStyle w:val="16"/>
              <w:numPr>
                <w:ilvl w:val="0"/>
                <w:numId w:val="8"/>
              </w:numPr>
              <w:tabs>
                <w:tab w:val="left" w:pos="438"/>
              </w:tabs>
              <w:spacing w:before="14" w:after="0" w:line="256" w:lineRule="auto"/>
              <w:ind w:left="20" w:right="51" w:firstLine="100"/>
              <w:jc w:val="left"/>
              <w:rPr>
                <w:sz w:val="21"/>
              </w:rPr>
            </w:pPr>
            <w:r>
              <w:rPr>
                <w:spacing w:val="-2"/>
                <w:sz w:val="21"/>
              </w:rPr>
              <w:t xml:space="preserve">支付方式：投标人可自主选择以支票、汇票、本票、电汇、转账、网 </w:t>
            </w:r>
            <w:r>
              <w:rPr>
                <w:spacing w:val="-6"/>
                <w:sz w:val="21"/>
              </w:rPr>
              <w:t>银、保函等非现金形式缴纳或提交保证金，投标人未按照招标文件要求提交</w:t>
            </w:r>
            <w:r>
              <w:rPr>
                <w:spacing w:val="-2"/>
                <w:sz w:val="21"/>
              </w:rPr>
              <w:t>投标保证金的，投标无效。</w:t>
            </w:r>
          </w:p>
          <w:p>
            <w:pPr>
              <w:pStyle w:val="16"/>
              <w:numPr>
                <w:ilvl w:val="0"/>
                <w:numId w:val="8"/>
              </w:numPr>
              <w:tabs>
                <w:tab w:val="left" w:pos="457"/>
              </w:tabs>
              <w:spacing w:before="10" w:after="0" w:line="240" w:lineRule="auto"/>
              <w:ind w:left="457" w:right="0" w:hanging="333"/>
              <w:jc w:val="left"/>
              <w:rPr>
                <w:sz w:val="21"/>
              </w:rPr>
            </w:pPr>
            <w:r>
              <w:rPr>
                <w:spacing w:val="-9"/>
                <w:sz w:val="21"/>
              </w:rPr>
              <w:t>银行信息：</w:t>
            </w:r>
          </w:p>
          <w:p>
            <w:pPr>
              <w:pStyle w:val="16"/>
              <w:spacing w:before="39" w:line="254" w:lineRule="auto"/>
              <w:ind w:left="445" w:right="2314" w:firstLine="2"/>
              <w:rPr>
                <w:sz w:val="21"/>
              </w:rPr>
            </w:pPr>
            <w:r>
              <w:rPr>
                <w:spacing w:val="-6"/>
                <w:sz w:val="21"/>
              </w:rPr>
              <w:t>账户名称：新疆宏力源工程项目管理有限公司</w:t>
            </w:r>
            <w:r>
              <w:rPr>
                <w:spacing w:val="-2"/>
                <w:sz w:val="21"/>
              </w:rPr>
              <w:t>开户行：农行乌鲁木齐经济技术开发区支行 开户行行号：103881001085</w:t>
            </w:r>
          </w:p>
          <w:p>
            <w:pPr>
              <w:pStyle w:val="16"/>
              <w:spacing w:before="10" w:line="259" w:lineRule="auto"/>
              <w:ind w:left="119" w:right="53" w:firstLine="2"/>
              <w:rPr>
                <w:sz w:val="21"/>
              </w:rPr>
            </w:pPr>
            <w:r>
              <w:rPr>
                <w:spacing w:val="-4"/>
                <w:sz w:val="21"/>
              </w:rPr>
              <w:t xml:space="preserve">账号：30010801040011925（汇款时请备注项目简称、标段号及汇款事由） </w:t>
            </w:r>
            <w:r>
              <w:rPr>
                <w:spacing w:val="-2"/>
                <w:sz w:val="21"/>
              </w:rPr>
              <w:t>4.投标保证金退还：除招标文件规定不予退还投标保证金情形外，投标人</w:t>
            </w:r>
            <w:r>
              <w:rPr>
                <w:spacing w:val="-6"/>
                <w:sz w:val="21"/>
              </w:rPr>
              <w:t>投标保证按以下流程退还：未中标投标人的投标保证金可在公示期结束后5</w:t>
            </w:r>
            <w:r>
              <w:rPr>
                <w:spacing w:val="-2"/>
                <w:sz w:val="21"/>
              </w:rPr>
              <w:t>个工作日内退还；中标人的投标保证金在中标人与采购人签订供货合同，并提交履约保证金（若需要）和支付招标代理服务费后，凭合同原件办理</w:t>
            </w:r>
            <w:r>
              <w:rPr>
                <w:spacing w:val="-6"/>
                <w:sz w:val="21"/>
              </w:rPr>
              <w:t>退还手续，提交资料（开户信息、汇款凭证及供货合同）后5个工作日内退</w:t>
            </w:r>
            <w:r>
              <w:rPr>
                <w:spacing w:val="-2"/>
                <w:sz w:val="21"/>
              </w:rPr>
              <w:t>还。所有退保证金的单位均需提供以下资料：</w:t>
            </w:r>
          </w:p>
        </w:tc>
      </w:tr>
    </w:tbl>
    <w:p>
      <w:pPr>
        <w:spacing w:after="0" w:line="259" w:lineRule="auto"/>
        <w:rPr>
          <w:sz w:val="21"/>
        </w:rPr>
        <w:sectPr>
          <w:headerReference r:id="rId10" w:type="default"/>
          <w:footerReference r:id="rId11" w:type="default"/>
          <w:pgSz w:w="11910" w:h="16840"/>
          <w:pgMar w:top="1100" w:right="720" w:bottom="1180" w:left="920" w:header="918" w:footer="981" w:gutter="0"/>
          <w:pgNumType w:fmt="numberInDash"/>
          <w:cols w:space="720" w:num="1"/>
        </w:sectPr>
      </w:pPr>
    </w:p>
    <w:p>
      <w:pPr>
        <w:pStyle w:val="9"/>
        <w:spacing w:before="1"/>
        <w:rPr>
          <w:sz w:val="20"/>
        </w:rPr>
      </w:pPr>
    </w:p>
    <w:tbl>
      <w:tblPr>
        <w:tblStyle w:val="12"/>
        <w:tblW w:w="0" w:type="auto"/>
        <w:tblInd w:w="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1695"/>
        <w:gridCol w:w="6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5" w:hRule="atLeast"/>
        </w:trPr>
        <w:tc>
          <w:tcPr>
            <w:tcW w:w="949" w:type="dxa"/>
          </w:tcPr>
          <w:p>
            <w:pPr>
              <w:pStyle w:val="16"/>
              <w:rPr>
                <w:rFonts w:ascii="Times New Roman"/>
                <w:sz w:val="20"/>
              </w:rPr>
            </w:pPr>
          </w:p>
        </w:tc>
        <w:tc>
          <w:tcPr>
            <w:tcW w:w="1695" w:type="dxa"/>
          </w:tcPr>
          <w:p>
            <w:pPr>
              <w:pStyle w:val="16"/>
              <w:rPr>
                <w:rFonts w:ascii="Times New Roman"/>
                <w:sz w:val="20"/>
              </w:rPr>
            </w:pPr>
          </w:p>
        </w:tc>
        <w:tc>
          <w:tcPr>
            <w:tcW w:w="6874" w:type="dxa"/>
          </w:tcPr>
          <w:p>
            <w:pPr>
              <w:pStyle w:val="16"/>
              <w:spacing w:before="10" w:line="259" w:lineRule="auto"/>
              <w:ind w:left="119" w:right="53" w:firstLine="2"/>
              <w:rPr>
                <w:rFonts w:ascii="宋体" w:hAnsi="宋体" w:eastAsia="宋体" w:cs="宋体"/>
                <w:spacing w:val="-6"/>
                <w:sz w:val="21"/>
              </w:rPr>
            </w:pPr>
            <w:r>
              <w:rPr>
                <w:rFonts w:ascii="宋体" w:hAnsi="宋体" w:eastAsia="宋体" w:cs="宋体"/>
                <w:spacing w:val="-6"/>
                <w:sz w:val="21"/>
              </w:rPr>
              <w:t>打印并加盖供应商公章的账户信息：行名、行号、户名、账号，及保证金汇款凭证。</w:t>
            </w:r>
          </w:p>
          <w:p>
            <w:pPr>
              <w:pStyle w:val="16"/>
              <w:spacing w:before="10" w:line="259" w:lineRule="auto"/>
              <w:ind w:left="119" w:right="53" w:firstLine="2"/>
              <w:rPr>
                <w:rFonts w:ascii="宋体" w:hAnsi="宋体" w:eastAsia="宋体" w:cs="宋体"/>
                <w:spacing w:val="-6"/>
                <w:sz w:val="21"/>
              </w:rPr>
            </w:pPr>
            <w:r>
              <w:rPr>
                <w:rFonts w:ascii="宋体" w:hAnsi="宋体" w:eastAsia="宋体" w:cs="宋体"/>
                <w:spacing w:val="-6"/>
                <w:sz w:val="21"/>
              </w:rPr>
              <w:t>加盖投标人财务公章的第二联复写收据原件，收据中需写明项目名称及项目编号、金额等信息。</w:t>
            </w:r>
          </w:p>
          <w:p>
            <w:pPr>
              <w:pStyle w:val="16"/>
              <w:spacing w:before="10" w:line="259" w:lineRule="auto"/>
              <w:ind w:left="119" w:right="53" w:firstLine="2"/>
              <w:rPr>
                <w:rFonts w:ascii="宋体" w:hAnsi="宋体" w:eastAsia="宋体" w:cs="宋体"/>
                <w:spacing w:val="-6"/>
                <w:sz w:val="21"/>
              </w:rPr>
            </w:pPr>
            <w:r>
              <w:rPr>
                <w:rFonts w:ascii="宋体" w:hAnsi="宋体" w:eastAsia="宋体" w:cs="宋体"/>
                <w:spacing w:val="-6"/>
                <w:sz w:val="21"/>
              </w:rPr>
              <w:t>备注：1.以上各类机构出具的以担保函、保证保险承担责任的方式均须满</w:t>
            </w:r>
          </w:p>
          <w:p>
            <w:pPr>
              <w:pStyle w:val="16"/>
              <w:spacing w:before="10" w:line="259" w:lineRule="auto"/>
              <w:ind w:left="119" w:right="53" w:firstLine="2"/>
              <w:rPr>
                <w:rFonts w:ascii="宋体" w:hAnsi="宋体" w:eastAsia="宋体" w:cs="宋体"/>
                <w:spacing w:val="-6"/>
                <w:sz w:val="21"/>
              </w:rPr>
            </w:pPr>
            <w:r>
              <w:rPr>
                <w:rFonts w:ascii="宋体" w:hAnsi="宋体" w:eastAsia="宋体" w:cs="宋体"/>
                <w:spacing w:val="-6"/>
                <w:sz w:val="21"/>
              </w:rPr>
              <w:t>足无条件见索即付条件。2.以担保函、保证保险形式缴纳投标保证金的，受益人和收取单位须为采购人。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949" w:type="dxa"/>
          </w:tcPr>
          <w:p>
            <w:pPr>
              <w:pStyle w:val="16"/>
              <w:spacing w:before="62"/>
              <w:rPr>
                <w:sz w:val="21"/>
              </w:rPr>
            </w:pPr>
          </w:p>
          <w:p>
            <w:pPr>
              <w:pStyle w:val="16"/>
              <w:ind w:right="251"/>
              <w:jc w:val="right"/>
              <w:rPr>
                <w:sz w:val="21"/>
              </w:rPr>
            </w:pPr>
            <w:r>
              <w:rPr>
                <w:spacing w:val="-4"/>
                <w:sz w:val="21"/>
              </w:rPr>
              <w:t>25.3</w:t>
            </w:r>
          </w:p>
        </w:tc>
        <w:tc>
          <w:tcPr>
            <w:tcW w:w="1695" w:type="dxa"/>
          </w:tcPr>
          <w:p>
            <w:pPr>
              <w:pStyle w:val="16"/>
              <w:spacing w:before="52" w:line="252" w:lineRule="auto"/>
              <w:ind w:left="134" w:right="339" w:hanging="20"/>
              <w:rPr>
                <w:sz w:val="21"/>
              </w:rPr>
            </w:pPr>
            <w:r>
              <w:rPr>
                <w:spacing w:val="-6"/>
                <w:sz w:val="21"/>
              </w:rPr>
              <w:t>解密投标文件</w:t>
            </w:r>
            <w:r>
              <w:rPr>
                <w:spacing w:val="-4"/>
                <w:sz w:val="21"/>
              </w:rPr>
              <w:t>的时限</w:t>
            </w:r>
          </w:p>
        </w:tc>
        <w:tc>
          <w:tcPr>
            <w:tcW w:w="6874" w:type="dxa"/>
          </w:tcPr>
          <w:p>
            <w:pPr>
              <w:pStyle w:val="16"/>
              <w:spacing w:before="10" w:line="259" w:lineRule="auto"/>
              <w:ind w:left="119" w:right="53" w:firstLine="2"/>
              <w:rPr>
                <w:rFonts w:ascii="宋体" w:hAnsi="宋体" w:eastAsia="宋体" w:cs="宋体"/>
                <w:spacing w:val="-6"/>
                <w:sz w:val="21"/>
              </w:rPr>
            </w:pPr>
            <w:r>
              <w:rPr>
                <w:rFonts w:ascii="宋体" w:hAnsi="宋体" w:eastAsia="宋体" w:cs="宋体"/>
                <w:spacing w:val="-6"/>
                <w:sz w:val="21"/>
              </w:rPr>
              <w:t>不见面开标默认解密时长：30分钟。</w:t>
            </w:r>
          </w:p>
          <w:p>
            <w:pPr>
              <w:pStyle w:val="16"/>
              <w:spacing w:before="10" w:line="259" w:lineRule="auto"/>
              <w:ind w:left="119" w:right="53" w:firstLine="2"/>
              <w:rPr>
                <w:rFonts w:ascii="宋体" w:hAnsi="宋体" w:eastAsia="宋体" w:cs="宋体"/>
                <w:spacing w:val="-6"/>
                <w:sz w:val="21"/>
              </w:rPr>
            </w:pPr>
            <w:r>
              <w:rPr>
                <w:rFonts w:ascii="宋体" w:hAnsi="宋体" w:eastAsia="宋体" w:cs="宋体"/>
                <w:spacing w:val="-6"/>
                <w:sz w:val="21"/>
              </w:rPr>
              <w:t>除因交易平台发生故障导致投标文件无法按时解密外，投标文件未按时解密的，视为未按规定提交投标文件。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49" w:type="dxa"/>
          </w:tcPr>
          <w:p>
            <w:pPr>
              <w:pStyle w:val="16"/>
              <w:spacing w:before="34"/>
              <w:ind w:right="251"/>
              <w:jc w:val="right"/>
              <w:rPr>
                <w:sz w:val="21"/>
              </w:rPr>
            </w:pPr>
            <w:r>
              <w:rPr>
                <w:spacing w:val="-4"/>
                <w:sz w:val="21"/>
              </w:rPr>
              <w:t>29.1</w:t>
            </w:r>
          </w:p>
        </w:tc>
        <w:tc>
          <w:tcPr>
            <w:tcW w:w="1695" w:type="dxa"/>
          </w:tcPr>
          <w:p>
            <w:pPr>
              <w:pStyle w:val="16"/>
              <w:spacing w:before="34"/>
              <w:ind w:left="115"/>
              <w:rPr>
                <w:sz w:val="21"/>
              </w:rPr>
            </w:pPr>
            <w:r>
              <w:rPr>
                <w:spacing w:val="-10"/>
                <w:sz w:val="21"/>
              </w:rPr>
              <w:t>评标方法</w:t>
            </w:r>
          </w:p>
        </w:tc>
        <w:tc>
          <w:tcPr>
            <w:tcW w:w="6874" w:type="dxa"/>
            <w:vAlign w:val="center"/>
          </w:tcPr>
          <w:p>
            <w:pPr>
              <w:pStyle w:val="16"/>
              <w:spacing w:before="10" w:line="259" w:lineRule="auto"/>
              <w:ind w:left="119" w:right="53" w:firstLine="2"/>
              <w:rPr>
                <w:rFonts w:ascii="宋体" w:hAnsi="宋体" w:eastAsia="宋体" w:cs="宋体"/>
                <w:spacing w:val="-6"/>
                <w:sz w:val="21"/>
              </w:rPr>
            </w:pPr>
            <w:r>
              <w:rPr>
                <w:rFonts w:ascii="宋体" w:hAnsi="宋体" w:eastAsia="宋体" w:cs="宋体"/>
                <w:spacing w:val="-6"/>
                <w:sz w:val="21"/>
                <w:lang w:val="en-US" w:eastAsia="zh-CN"/>
              </w:rPr>
              <w:sym w:font="Wingdings" w:char="00FE"/>
            </w:r>
            <w:r>
              <w:rPr>
                <w:rFonts w:hint="eastAsia" w:ascii="宋体" w:hAnsi="宋体" w:eastAsia="宋体" w:cs="宋体"/>
                <w:spacing w:val="-6"/>
                <w:sz w:val="21"/>
                <w:lang w:val="en-US" w:eastAsia="zh-CN"/>
              </w:rPr>
              <w:t xml:space="preserve">综合评分法 </w:t>
            </w:r>
          </w:p>
          <w:p>
            <w:pPr>
              <w:pStyle w:val="16"/>
              <w:spacing w:before="10" w:line="259" w:lineRule="auto"/>
              <w:ind w:left="119" w:right="53" w:firstLine="2"/>
              <w:rPr>
                <w:rFonts w:ascii="宋体" w:hAnsi="宋体" w:eastAsia="宋体" w:cs="宋体"/>
                <w:spacing w:val="-6"/>
                <w:sz w:val="21"/>
              </w:rPr>
            </w:pPr>
            <w:r>
              <w:rPr>
                <w:rFonts w:hint="default" w:ascii="宋体" w:hAnsi="宋体" w:eastAsia="宋体" w:cs="宋体"/>
                <w:spacing w:val="-6"/>
                <w:sz w:val="21"/>
                <w:lang w:val="en-US" w:eastAsia="zh-CN"/>
              </w:rPr>
              <w:t></w:t>
            </w:r>
            <w:r>
              <w:rPr>
                <w:rFonts w:hint="eastAsia" w:ascii="宋体" w:hAnsi="宋体" w:eastAsia="宋体" w:cs="宋体"/>
                <w:spacing w:val="-6"/>
                <w:sz w:val="21"/>
                <w:lang w:val="en-US" w:eastAsia="zh-CN"/>
              </w:rPr>
              <w:t>最低评标价法</w:t>
            </w:r>
          </w:p>
          <w:p>
            <w:pPr>
              <w:pStyle w:val="16"/>
              <w:spacing w:before="10" w:line="259" w:lineRule="auto"/>
              <w:ind w:left="119" w:right="53" w:firstLine="2"/>
              <w:rPr>
                <w:rFonts w:ascii="宋体" w:hAnsi="宋体" w:eastAsia="宋体" w:cs="宋体"/>
                <w:spacing w:val="-6"/>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949" w:type="dxa"/>
          </w:tcPr>
          <w:p>
            <w:pPr>
              <w:pStyle w:val="16"/>
              <w:spacing w:before="37"/>
              <w:ind w:right="251"/>
              <w:jc w:val="right"/>
              <w:rPr>
                <w:sz w:val="21"/>
              </w:rPr>
            </w:pPr>
            <w:r>
              <w:rPr>
                <w:spacing w:val="-4"/>
                <w:sz w:val="21"/>
              </w:rPr>
              <w:t>29.3</w:t>
            </w:r>
          </w:p>
        </w:tc>
        <w:tc>
          <w:tcPr>
            <w:tcW w:w="1695" w:type="dxa"/>
          </w:tcPr>
          <w:p>
            <w:pPr>
              <w:pStyle w:val="16"/>
              <w:spacing w:before="49" w:line="272" w:lineRule="exact"/>
              <w:ind w:left="117" w:right="336"/>
              <w:rPr>
                <w:sz w:val="21"/>
              </w:rPr>
            </w:pPr>
            <w:r>
              <w:rPr>
                <w:spacing w:val="-6"/>
                <w:sz w:val="21"/>
              </w:rPr>
              <w:t>推荐中标候选</w:t>
            </w:r>
            <w:r>
              <w:rPr>
                <w:spacing w:val="-10"/>
                <w:sz w:val="21"/>
              </w:rPr>
              <w:t>人</w:t>
            </w:r>
          </w:p>
        </w:tc>
        <w:tc>
          <w:tcPr>
            <w:tcW w:w="6874" w:type="dxa"/>
          </w:tcPr>
          <w:p>
            <w:pPr>
              <w:pStyle w:val="16"/>
              <w:spacing w:before="10" w:line="259" w:lineRule="auto"/>
              <w:ind w:left="119" w:right="53" w:firstLine="2"/>
              <w:rPr>
                <w:rFonts w:ascii="宋体" w:hAnsi="宋体" w:eastAsia="宋体" w:cs="宋体"/>
                <w:spacing w:val="-6"/>
                <w:sz w:val="21"/>
              </w:rPr>
            </w:pPr>
            <w:r>
              <w:rPr>
                <w:rFonts w:ascii="宋体" w:hAnsi="宋体" w:eastAsia="宋体" w:cs="宋体"/>
                <w:spacing w:val="-6"/>
                <w:sz w:val="21"/>
              </w:rPr>
              <w:t>中标候选人数量 3 家</w:t>
            </w:r>
            <w:bookmarkStart w:id="14" w:name="_GoBack"/>
            <w:bookmarkEnd w:id="14"/>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949" w:type="dxa"/>
          </w:tcPr>
          <w:p>
            <w:pPr>
              <w:pStyle w:val="16"/>
              <w:spacing w:before="34"/>
              <w:ind w:right="251"/>
              <w:jc w:val="right"/>
              <w:rPr>
                <w:sz w:val="21"/>
              </w:rPr>
            </w:pPr>
            <w:r>
              <w:rPr>
                <w:spacing w:val="-4"/>
                <w:sz w:val="21"/>
              </w:rPr>
              <w:t>30.1</w:t>
            </w:r>
          </w:p>
        </w:tc>
        <w:tc>
          <w:tcPr>
            <w:tcW w:w="1695" w:type="dxa"/>
          </w:tcPr>
          <w:p>
            <w:pPr>
              <w:pStyle w:val="16"/>
              <w:spacing w:before="36"/>
              <w:ind w:left="117"/>
              <w:rPr>
                <w:sz w:val="21"/>
              </w:rPr>
            </w:pPr>
            <w:r>
              <w:rPr>
                <w:spacing w:val="-9"/>
                <w:sz w:val="21"/>
              </w:rPr>
              <w:t>确定中标人</w:t>
            </w:r>
          </w:p>
        </w:tc>
        <w:tc>
          <w:tcPr>
            <w:tcW w:w="6874" w:type="dxa"/>
          </w:tcPr>
          <w:p>
            <w:pPr>
              <w:pStyle w:val="16"/>
              <w:spacing w:before="10" w:line="259" w:lineRule="auto"/>
              <w:ind w:left="119" w:right="53" w:firstLine="2"/>
              <w:rPr>
                <w:rFonts w:ascii="宋体" w:hAnsi="宋体" w:eastAsia="宋体" w:cs="宋体"/>
                <w:spacing w:val="-6"/>
                <w:sz w:val="21"/>
              </w:rPr>
            </w:pPr>
            <w:r>
              <w:rPr>
                <w:rFonts w:ascii="宋体" w:hAnsi="宋体" w:eastAsia="宋体" w:cs="宋体"/>
                <w:spacing w:val="-6"/>
                <w:sz w:val="21"/>
              </w:rPr>
              <w:drawing>
                <wp:inline distT="0" distB="0" distL="0" distR="0">
                  <wp:extent cx="98425" cy="103505"/>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9" cstate="print"/>
                          <a:stretch>
                            <a:fillRect/>
                          </a:stretch>
                        </pic:blipFill>
                        <pic:spPr>
                          <a:xfrm>
                            <a:off x="0" y="0"/>
                            <a:ext cx="98473" cy="103632"/>
                          </a:xfrm>
                          <a:prstGeom prst="rect">
                            <a:avLst/>
                          </a:prstGeom>
                        </pic:spPr>
                      </pic:pic>
                    </a:graphicData>
                  </a:graphic>
                </wp:inline>
              </w:drawing>
            </w:r>
            <w:r>
              <w:rPr>
                <w:rFonts w:ascii="宋体" w:hAnsi="宋体" w:eastAsia="宋体" w:cs="宋体"/>
                <w:spacing w:val="-6"/>
                <w:sz w:val="21"/>
              </w:rPr>
              <w:t>采购人按评审报告中推荐的中标候选人排序确定中标人。采购人委托评标委员会直接确定中标人。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8" w:hRule="atLeast"/>
        </w:trPr>
        <w:tc>
          <w:tcPr>
            <w:tcW w:w="949" w:type="dxa"/>
          </w:tcPr>
          <w:p>
            <w:pPr>
              <w:pStyle w:val="16"/>
              <w:rPr>
                <w:sz w:val="21"/>
              </w:rPr>
            </w:pPr>
          </w:p>
          <w:p>
            <w:pPr>
              <w:pStyle w:val="16"/>
              <w:rPr>
                <w:sz w:val="21"/>
              </w:rPr>
            </w:pPr>
          </w:p>
          <w:p>
            <w:pPr>
              <w:pStyle w:val="16"/>
              <w:spacing w:before="116"/>
              <w:rPr>
                <w:sz w:val="21"/>
              </w:rPr>
            </w:pPr>
          </w:p>
          <w:p>
            <w:pPr>
              <w:pStyle w:val="16"/>
              <w:ind w:right="251"/>
              <w:jc w:val="right"/>
              <w:rPr>
                <w:sz w:val="21"/>
              </w:rPr>
            </w:pPr>
            <w:r>
              <w:rPr>
                <w:spacing w:val="-4"/>
                <w:sz w:val="21"/>
              </w:rPr>
              <w:t>33.1</w:t>
            </w:r>
          </w:p>
        </w:tc>
        <w:tc>
          <w:tcPr>
            <w:tcW w:w="1695" w:type="dxa"/>
          </w:tcPr>
          <w:p>
            <w:pPr>
              <w:pStyle w:val="16"/>
              <w:rPr>
                <w:sz w:val="21"/>
              </w:rPr>
            </w:pPr>
          </w:p>
          <w:p>
            <w:pPr>
              <w:pStyle w:val="16"/>
              <w:rPr>
                <w:sz w:val="21"/>
              </w:rPr>
            </w:pPr>
          </w:p>
          <w:p>
            <w:pPr>
              <w:pStyle w:val="16"/>
              <w:spacing w:before="116"/>
              <w:rPr>
                <w:sz w:val="21"/>
              </w:rPr>
            </w:pPr>
          </w:p>
          <w:p>
            <w:pPr>
              <w:pStyle w:val="16"/>
              <w:ind w:left="11"/>
              <w:rPr>
                <w:sz w:val="21"/>
              </w:rPr>
            </w:pPr>
            <w:r>
              <w:rPr>
                <w:spacing w:val="-7"/>
                <w:sz w:val="21"/>
              </w:rPr>
              <w:t>★履约保证金</w:t>
            </w:r>
          </w:p>
        </w:tc>
        <w:tc>
          <w:tcPr>
            <w:tcW w:w="6874" w:type="dxa"/>
          </w:tcPr>
          <w:p>
            <w:pPr>
              <w:pStyle w:val="16"/>
              <w:spacing w:before="10" w:line="259" w:lineRule="auto"/>
              <w:ind w:left="119" w:right="53" w:firstLine="2"/>
              <w:rPr>
                <w:rFonts w:ascii="宋体" w:hAnsi="宋体" w:eastAsia="宋体" w:cs="宋体"/>
                <w:spacing w:val="-6"/>
                <w:sz w:val="21"/>
              </w:rPr>
            </w:pPr>
            <w:r>
              <w:rPr>
                <w:rFonts w:ascii="宋体" w:hAnsi="宋体" w:eastAsia="宋体" w:cs="宋体"/>
                <w:spacing w:val="-6"/>
                <w:sz w:val="21"/>
              </w:rPr>
              <w:t>开业履约保证金：为更好的履行职责，做好食堂托管服务工作，中标方在中标公示有效后，需一次性向甲方指定账户缴纳人民币10万元做为如期开业履约保证金。餐厅后堂设备设施以及基本建设功能按时完成并如期营业的，该保证金在开业当月会无息返还。发生延误按照每三天扣除履约入场保证金的10%计算延期损失，扣完为止。扣完仍未符合营业，按合同相应条款执行。</w:t>
            </w:r>
          </w:p>
          <w:p>
            <w:pPr>
              <w:pStyle w:val="16"/>
              <w:spacing w:before="10" w:line="259" w:lineRule="auto"/>
              <w:ind w:left="119" w:right="53" w:firstLine="2"/>
              <w:rPr>
                <w:rFonts w:ascii="宋体" w:hAnsi="宋体" w:eastAsia="宋体" w:cs="宋体"/>
                <w:spacing w:val="-6"/>
                <w:sz w:val="21"/>
              </w:rPr>
            </w:pPr>
            <w:r>
              <w:rPr>
                <w:rFonts w:ascii="宋体" w:hAnsi="宋体" w:eastAsia="宋体" w:cs="宋体"/>
                <w:spacing w:val="-6"/>
                <w:sz w:val="21"/>
              </w:rPr>
              <w:t>合同履约经营保证金：预算金额的10%，中标企业应在取得合法营业执照后开业前一次性缴纳入甲方指定账户。若发生违约行为，按照合同相应条款执行，当履约保证金不足以支付违约处罚时， 甲方可提出解约。合同到期，保证金无息退还。</w:t>
            </w:r>
          </w:p>
          <w:p>
            <w:pPr>
              <w:pStyle w:val="16"/>
              <w:spacing w:before="10" w:line="259" w:lineRule="auto"/>
              <w:ind w:left="119" w:right="53" w:firstLine="2"/>
              <w:rPr>
                <w:rFonts w:ascii="宋体" w:hAnsi="宋体" w:eastAsia="宋体" w:cs="宋体"/>
                <w:spacing w:val="-6"/>
                <w:sz w:val="21"/>
              </w:rPr>
            </w:pPr>
            <w:r>
              <w:rPr>
                <w:rFonts w:ascii="宋体" w:hAnsi="宋体" w:eastAsia="宋体" w:cs="宋体"/>
                <w:spacing w:val="-6"/>
                <w:sz w:val="21"/>
              </w:rPr>
              <w:t>注意事项：</w:t>
            </w:r>
          </w:p>
          <w:p>
            <w:pPr>
              <w:pStyle w:val="16"/>
              <w:spacing w:before="10" w:line="259" w:lineRule="auto"/>
              <w:ind w:left="119" w:right="53" w:firstLine="2"/>
              <w:rPr>
                <w:rFonts w:ascii="宋体" w:hAnsi="宋体" w:eastAsia="宋体" w:cs="宋体"/>
                <w:spacing w:val="-6"/>
                <w:sz w:val="21"/>
              </w:rPr>
            </w:pPr>
            <w:r>
              <w:rPr>
                <w:rFonts w:ascii="宋体" w:hAnsi="宋体" w:eastAsia="宋体" w:cs="宋体"/>
                <w:spacing w:val="-6"/>
                <w:sz w:val="21"/>
              </w:rPr>
              <w:t>以上各类机构出具的以担保函、保证保险承担责任的方式均须满足无条件见索即付条件。</w:t>
            </w:r>
          </w:p>
          <w:p>
            <w:pPr>
              <w:pStyle w:val="16"/>
              <w:spacing w:before="10" w:line="259" w:lineRule="auto"/>
              <w:ind w:left="119" w:right="53" w:firstLine="2"/>
              <w:rPr>
                <w:rFonts w:ascii="宋体" w:hAnsi="宋体" w:eastAsia="宋体" w:cs="宋体"/>
                <w:spacing w:val="-6"/>
                <w:sz w:val="21"/>
              </w:rPr>
            </w:pPr>
            <w:r>
              <w:rPr>
                <w:rFonts w:ascii="宋体" w:hAnsi="宋体" w:eastAsia="宋体" w:cs="宋体"/>
                <w:spacing w:val="-6"/>
                <w:sz w:val="21"/>
              </w:rPr>
              <w:t>以担保函、保证保险形式缴纳履约保证金的，受益人和收取单位须为采购人。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7" w:hRule="atLeast"/>
        </w:trPr>
        <w:tc>
          <w:tcPr>
            <w:tcW w:w="949" w:type="dxa"/>
          </w:tcPr>
          <w:p>
            <w:pPr>
              <w:pStyle w:val="16"/>
              <w:rPr>
                <w:sz w:val="21"/>
              </w:rPr>
            </w:pPr>
          </w:p>
          <w:p>
            <w:pPr>
              <w:pStyle w:val="16"/>
              <w:spacing w:before="91"/>
              <w:rPr>
                <w:sz w:val="21"/>
              </w:rPr>
            </w:pPr>
          </w:p>
          <w:p>
            <w:pPr>
              <w:pStyle w:val="16"/>
              <w:ind w:left="20"/>
              <w:rPr>
                <w:sz w:val="21"/>
              </w:rPr>
            </w:pPr>
            <w:r>
              <w:rPr>
                <w:spacing w:val="-4"/>
                <w:sz w:val="21"/>
              </w:rPr>
              <w:t>34.5</w:t>
            </w:r>
          </w:p>
        </w:tc>
        <w:tc>
          <w:tcPr>
            <w:tcW w:w="1695" w:type="dxa"/>
          </w:tcPr>
          <w:p>
            <w:pPr>
              <w:pStyle w:val="16"/>
              <w:rPr>
                <w:sz w:val="21"/>
              </w:rPr>
            </w:pPr>
          </w:p>
          <w:p>
            <w:pPr>
              <w:pStyle w:val="16"/>
              <w:spacing w:before="91"/>
              <w:rPr>
                <w:sz w:val="21"/>
              </w:rPr>
            </w:pPr>
          </w:p>
          <w:p>
            <w:pPr>
              <w:pStyle w:val="16"/>
              <w:ind w:left="136"/>
              <w:rPr>
                <w:sz w:val="21"/>
              </w:rPr>
            </w:pPr>
            <w:r>
              <w:rPr>
                <w:spacing w:val="-10"/>
                <w:sz w:val="21"/>
              </w:rPr>
              <w:t>中标后分包</w:t>
            </w:r>
          </w:p>
        </w:tc>
        <w:tc>
          <w:tcPr>
            <w:tcW w:w="6874" w:type="dxa"/>
          </w:tcPr>
          <w:p>
            <w:pPr>
              <w:pStyle w:val="16"/>
              <w:spacing w:before="44" w:line="265" w:lineRule="exact"/>
              <w:ind w:left="121"/>
              <w:rPr>
                <w:sz w:val="21"/>
              </w:rPr>
            </w:pPr>
            <w:r>
              <w:rPr>
                <w:spacing w:val="-9"/>
                <w:sz w:val="21"/>
              </w:rPr>
              <w:t>本项目的非主体、非关键性工作是否允许分包：</w:t>
            </w:r>
          </w:p>
          <w:p>
            <w:pPr>
              <w:pStyle w:val="16"/>
              <w:spacing w:line="262" w:lineRule="exact"/>
              <w:ind w:left="620"/>
              <w:rPr>
                <w:spacing w:val="-10"/>
                <w:sz w:val="21"/>
              </w:rPr>
            </w:pPr>
            <w:r>
              <w:rPr>
                <w:rFonts w:hint="eastAsia"/>
                <w:spacing w:val="-10"/>
                <w:sz w:val="21"/>
                <w:lang w:eastAsia="zh-CN"/>
              </w:rPr>
              <w:t>☑</w:t>
            </w:r>
            <w:r>
              <w:rPr>
                <w:rFonts w:hint="eastAsia"/>
                <w:spacing w:val="-10"/>
                <w:sz w:val="21"/>
                <w:lang w:val="en-US" w:eastAsia="zh-CN"/>
              </w:rPr>
              <w:t>不</w:t>
            </w:r>
            <w:r>
              <w:rPr>
                <w:spacing w:val="-10"/>
                <w:sz w:val="21"/>
              </w:rPr>
              <w:t>允许</w:t>
            </w:r>
          </w:p>
          <w:p>
            <w:pPr>
              <w:pStyle w:val="16"/>
              <w:spacing w:line="262" w:lineRule="exact"/>
              <w:ind w:left="620"/>
              <w:rPr>
                <w:sz w:val="21"/>
              </w:rPr>
            </w:pPr>
            <w:r>
              <w:rPr>
                <w:rFonts w:hint="eastAsia"/>
                <w:spacing w:val="-10"/>
                <w:sz w:val="21"/>
                <w:lang w:eastAsia="zh-CN"/>
              </w:rPr>
              <w:t>□</w:t>
            </w:r>
            <w:r>
              <w:rPr>
                <w:spacing w:val="-10"/>
                <w:sz w:val="21"/>
              </w:rPr>
              <w:t>允许，具体要求：</w:t>
            </w:r>
          </w:p>
          <w:p>
            <w:pPr>
              <w:pStyle w:val="16"/>
              <w:numPr>
                <w:ilvl w:val="0"/>
                <w:numId w:val="9"/>
              </w:numPr>
              <w:tabs>
                <w:tab w:val="left" w:pos="951"/>
              </w:tabs>
              <w:spacing w:before="14" w:after="0" w:line="240" w:lineRule="auto"/>
              <w:ind w:left="951" w:right="0" w:hanging="215"/>
              <w:jc w:val="left"/>
              <w:rPr>
                <w:sz w:val="21"/>
              </w:rPr>
            </w:pPr>
            <w:r>
              <w:rPr>
                <w:spacing w:val="-4"/>
                <w:sz w:val="21"/>
              </w:rPr>
              <w:t>可以分包履行的具体内容：</w:t>
            </w:r>
            <w:r>
              <w:rPr>
                <w:rFonts w:hint="eastAsia"/>
                <w:spacing w:val="2"/>
                <w:position w:val="-2"/>
                <w:sz w:val="21"/>
                <w:lang w:val="en-US" w:eastAsia="zh-CN"/>
              </w:rPr>
              <w:t>/</w:t>
            </w:r>
            <w:r>
              <w:rPr>
                <w:spacing w:val="-10"/>
                <w:sz w:val="21"/>
              </w:rPr>
              <w:t>；</w:t>
            </w:r>
          </w:p>
          <w:p>
            <w:pPr>
              <w:pStyle w:val="16"/>
              <w:numPr>
                <w:ilvl w:val="0"/>
                <w:numId w:val="9"/>
              </w:numPr>
              <w:tabs>
                <w:tab w:val="left" w:pos="938"/>
              </w:tabs>
              <w:spacing w:before="14" w:after="0" w:line="280" w:lineRule="exact"/>
              <w:ind w:left="938" w:right="0" w:hanging="217"/>
              <w:jc w:val="left"/>
              <w:rPr>
                <w:sz w:val="21"/>
              </w:rPr>
            </w:pPr>
            <w:r>
              <w:rPr>
                <w:spacing w:val="-4"/>
                <w:sz w:val="21"/>
              </w:rPr>
              <w:t>允许分包的金额或者比例：</w:t>
            </w:r>
            <w:r>
              <w:rPr>
                <w:rFonts w:hint="eastAsia"/>
                <w:spacing w:val="-4"/>
                <w:sz w:val="21"/>
                <w:lang w:val="en-US" w:eastAsia="zh-CN"/>
              </w:rPr>
              <w:t>/</w:t>
            </w:r>
            <w:r>
              <w:rPr>
                <w:spacing w:val="-10"/>
                <w:sz w:val="21"/>
              </w:rPr>
              <w:t>；</w:t>
            </w:r>
          </w:p>
          <w:p>
            <w:pPr>
              <w:pStyle w:val="16"/>
              <w:numPr>
                <w:ilvl w:val="0"/>
                <w:numId w:val="9"/>
              </w:numPr>
              <w:tabs>
                <w:tab w:val="left" w:pos="943"/>
                <w:tab w:val="left" w:pos="2742"/>
              </w:tabs>
              <w:spacing w:before="0" w:after="0" w:line="280" w:lineRule="exact"/>
              <w:ind w:left="943" w:right="0" w:hanging="219"/>
              <w:jc w:val="left"/>
              <w:rPr>
                <w:sz w:val="21"/>
              </w:rPr>
            </w:pPr>
            <w:r>
              <w:rPr>
                <w:spacing w:val="-2"/>
                <w:sz w:val="21"/>
              </w:rPr>
              <w:t>其他要求</w:t>
            </w:r>
            <w:r>
              <w:rPr>
                <w:spacing w:val="-10"/>
                <w:sz w:val="21"/>
              </w:rPr>
              <w:t>：</w:t>
            </w:r>
            <w:r>
              <w:rPr>
                <w:rFonts w:hint="eastAsia"/>
                <w:sz w:val="21"/>
                <w:lang w:val="en-US" w:eastAsia="zh-CN"/>
              </w:rPr>
              <w:t>/</w:t>
            </w:r>
            <w:r>
              <w:rPr>
                <w:spacing w:val="-10"/>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7" w:hRule="atLeast"/>
        </w:trPr>
        <w:tc>
          <w:tcPr>
            <w:tcW w:w="949" w:type="dxa"/>
          </w:tcPr>
          <w:p>
            <w:pPr>
              <w:pStyle w:val="16"/>
              <w:spacing w:before="75"/>
              <w:rPr>
                <w:sz w:val="21"/>
              </w:rPr>
            </w:pPr>
          </w:p>
          <w:p>
            <w:pPr>
              <w:pStyle w:val="16"/>
              <w:spacing w:before="1"/>
              <w:ind w:left="20"/>
              <w:rPr>
                <w:sz w:val="21"/>
              </w:rPr>
            </w:pPr>
            <w:r>
              <w:rPr>
                <w:spacing w:val="-4"/>
                <w:sz w:val="21"/>
              </w:rPr>
              <w:t>35.1</w:t>
            </w:r>
          </w:p>
        </w:tc>
        <w:tc>
          <w:tcPr>
            <w:tcW w:w="1695" w:type="dxa"/>
          </w:tcPr>
          <w:p>
            <w:pPr>
              <w:pStyle w:val="16"/>
              <w:spacing w:before="75"/>
              <w:rPr>
                <w:sz w:val="21"/>
              </w:rPr>
            </w:pPr>
          </w:p>
          <w:p>
            <w:pPr>
              <w:pStyle w:val="16"/>
              <w:spacing w:before="1"/>
              <w:ind w:left="117"/>
              <w:rPr>
                <w:sz w:val="21"/>
              </w:rPr>
            </w:pPr>
            <w:r>
              <w:rPr>
                <w:spacing w:val="-10"/>
                <w:sz w:val="21"/>
              </w:rPr>
              <w:t>质疑</w:t>
            </w:r>
          </w:p>
        </w:tc>
        <w:tc>
          <w:tcPr>
            <w:tcW w:w="6874" w:type="dxa"/>
          </w:tcPr>
          <w:p>
            <w:pPr>
              <w:pStyle w:val="16"/>
              <w:spacing w:before="49" w:line="261" w:lineRule="auto"/>
              <w:ind w:left="119" w:right="3872" w:firstLine="2"/>
              <w:rPr>
                <w:sz w:val="21"/>
              </w:rPr>
            </w:pPr>
            <w:r>
              <w:rPr>
                <w:spacing w:val="-6"/>
                <w:sz w:val="21"/>
              </w:rPr>
              <w:t>递交方式：书面及电子文档递交</w:t>
            </w:r>
            <w:r>
              <w:rPr>
                <w:spacing w:val="-2"/>
                <w:sz w:val="21"/>
              </w:rPr>
              <w:t>接收部门：招标人或代理机构</w:t>
            </w:r>
          </w:p>
          <w:p>
            <w:pPr>
              <w:pStyle w:val="16"/>
              <w:spacing w:before="5"/>
              <w:ind w:left="121"/>
              <w:rPr>
                <w:sz w:val="21"/>
              </w:rPr>
            </w:pPr>
            <w:r>
              <w:rPr>
                <w:spacing w:val="-6"/>
                <w:sz w:val="21"/>
              </w:rPr>
              <w:t>联系电话：13579862091、18001103117</w:t>
            </w:r>
          </w:p>
          <w:p>
            <w:pPr>
              <w:pStyle w:val="16"/>
              <w:spacing w:before="41" w:line="256" w:lineRule="auto"/>
              <w:ind w:left="133" w:right="265" w:hanging="15"/>
              <w:rPr>
                <w:sz w:val="21"/>
              </w:rPr>
            </w:pPr>
            <w:r>
              <w:rPr>
                <w:spacing w:val="-6"/>
                <w:sz w:val="21"/>
              </w:rPr>
              <w:t xml:space="preserve">通讯地址：新疆乌鲁木齐高新区（新市区）四平路266号科创花苑B3办公 </w:t>
            </w:r>
            <w:r>
              <w:rPr>
                <w:spacing w:val="-4"/>
                <w:sz w:val="21"/>
              </w:rPr>
              <w:t>1501</w:t>
            </w:r>
          </w:p>
        </w:tc>
      </w:tr>
    </w:tbl>
    <w:p>
      <w:pPr>
        <w:spacing w:after="0" w:line="256" w:lineRule="auto"/>
        <w:rPr>
          <w:sz w:val="21"/>
        </w:rPr>
        <w:sectPr>
          <w:pgSz w:w="11910" w:h="16840"/>
          <w:pgMar w:top="1100" w:right="720" w:bottom="1180" w:left="920" w:header="918" w:footer="981" w:gutter="0"/>
          <w:pgNumType w:fmt="numberInDash"/>
          <w:cols w:space="720" w:num="1"/>
        </w:sectPr>
      </w:pPr>
    </w:p>
    <w:p>
      <w:pPr>
        <w:pStyle w:val="9"/>
        <w:spacing w:before="1"/>
        <w:rPr>
          <w:sz w:val="20"/>
        </w:rPr>
      </w:pPr>
    </w:p>
    <w:tbl>
      <w:tblPr>
        <w:tblStyle w:val="12"/>
        <w:tblW w:w="0" w:type="auto"/>
        <w:tblInd w:w="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1695"/>
        <w:gridCol w:w="6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5" w:hRule="atLeast"/>
        </w:trPr>
        <w:tc>
          <w:tcPr>
            <w:tcW w:w="949" w:type="dxa"/>
          </w:tcPr>
          <w:p>
            <w:pPr>
              <w:pStyle w:val="16"/>
              <w:spacing w:before="61"/>
              <w:rPr>
                <w:sz w:val="21"/>
              </w:rPr>
            </w:pPr>
          </w:p>
          <w:p>
            <w:pPr>
              <w:pStyle w:val="16"/>
              <w:ind w:left="20"/>
              <w:rPr>
                <w:sz w:val="21"/>
              </w:rPr>
            </w:pPr>
            <w:r>
              <w:rPr>
                <w:spacing w:val="-4"/>
                <w:sz w:val="21"/>
              </w:rPr>
              <w:t>38.1</w:t>
            </w:r>
          </w:p>
        </w:tc>
        <w:tc>
          <w:tcPr>
            <w:tcW w:w="1695" w:type="dxa"/>
          </w:tcPr>
          <w:p>
            <w:pPr>
              <w:pStyle w:val="16"/>
              <w:spacing w:before="80"/>
              <w:rPr>
                <w:sz w:val="21"/>
              </w:rPr>
            </w:pPr>
          </w:p>
          <w:p>
            <w:pPr>
              <w:pStyle w:val="16"/>
              <w:spacing w:line="252" w:lineRule="auto"/>
              <w:ind w:left="127" w:right="339" w:hanging="12"/>
              <w:rPr>
                <w:sz w:val="21"/>
              </w:rPr>
            </w:pPr>
            <w:r>
              <w:rPr>
                <w:spacing w:val="-6"/>
                <w:sz w:val="21"/>
              </w:rPr>
              <w:t>采购代理服务</w:t>
            </w:r>
            <w:r>
              <w:rPr>
                <w:spacing w:val="-10"/>
                <w:sz w:val="21"/>
              </w:rPr>
              <w:t>费</w:t>
            </w:r>
          </w:p>
        </w:tc>
        <w:tc>
          <w:tcPr>
            <w:tcW w:w="6874" w:type="dxa"/>
          </w:tcPr>
          <w:p>
            <w:pPr>
              <w:pStyle w:val="16"/>
              <w:numPr>
                <w:ilvl w:val="0"/>
                <w:numId w:val="10"/>
              </w:numPr>
              <w:tabs>
                <w:tab w:val="left" w:pos="353"/>
              </w:tabs>
              <w:spacing w:before="30" w:after="0" w:line="240" w:lineRule="auto"/>
              <w:ind w:left="353" w:right="0" w:hanging="217"/>
              <w:jc w:val="both"/>
              <w:rPr>
                <w:sz w:val="21"/>
              </w:rPr>
            </w:pPr>
            <w:r>
              <w:rPr>
                <w:sz w:val="21"/>
              </w:rPr>
              <w:t>收费对象：</w:t>
            </w:r>
            <w:r>
              <w:rPr>
                <w:spacing w:val="-10"/>
                <w:sz w:val="21"/>
              </w:rPr>
              <w:t>□</w:t>
            </w:r>
            <w:r>
              <w:rPr>
                <w:sz w:val="21"/>
              </w:rPr>
              <w:t>采购人支付</w:t>
            </w:r>
            <w:r>
              <w:rPr>
                <w:rFonts w:hint="eastAsia"/>
                <w:sz w:val="21"/>
                <w:lang w:val="en-US" w:eastAsia="zh-CN"/>
              </w:rPr>
              <w:t xml:space="preserve">   </w:t>
            </w:r>
            <w:r>
              <w:rPr>
                <w:spacing w:val="-14"/>
                <w:sz w:val="21"/>
              </w:rPr>
              <w:t xml:space="preserve"> </w:t>
            </w:r>
            <w:r>
              <w:rPr>
                <w:rFonts w:hint="eastAsia"/>
                <w:spacing w:val="-10"/>
                <w:sz w:val="21"/>
                <w:lang w:eastAsia="zh-CN"/>
              </w:rPr>
              <w:t>☑</w:t>
            </w:r>
            <w:r>
              <w:rPr>
                <w:sz w:val="21"/>
              </w:rPr>
              <w:t>中标人支</w:t>
            </w:r>
            <w:r>
              <w:rPr>
                <w:spacing w:val="-10"/>
                <w:sz w:val="21"/>
              </w:rPr>
              <w:t>付</w:t>
            </w:r>
          </w:p>
          <w:p>
            <w:pPr>
              <w:pStyle w:val="16"/>
              <w:numPr>
                <w:ilvl w:val="0"/>
                <w:numId w:val="10"/>
              </w:numPr>
              <w:tabs>
                <w:tab w:val="left" w:pos="340"/>
                <w:tab w:val="left" w:pos="359"/>
              </w:tabs>
              <w:spacing w:before="36" w:after="0" w:line="244" w:lineRule="auto"/>
              <w:ind w:left="359" w:right="113" w:hanging="238"/>
              <w:jc w:val="both"/>
              <w:rPr>
                <w:sz w:val="21"/>
              </w:rPr>
            </w:pPr>
            <w:r>
              <w:rPr>
                <w:sz w:val="21"/>
              </w:rPr>
              <w:t>收费标准：参照国家发展计划委员会文件（计价格[2002]1980</w:t>
            </w:r>
            <w:r>
              <w:rPr>
                <w:spacing w:val="-10"/>
                <w:sz w:val="21"/>
              </w:rPr>
              <w:t xml:space="preserve"> 号文</w:t>
            </w:r>
            <w:r>
              <w:rPr>
                <w:sz w:val="21"/>
              </w:rPr>
              <w:t>）和（发改办价格[2003]857</w:t>
            </w:r>
            <w:r>
              <w:rPr>
                <w:spacing w:val="-8"/>
                <w:sz w:val="21"/>
              </w:rPr>
              <w:t xml:space="preserve"> 号文件</w:t>
            </w:r>
            <w:r>
              <w:rPr>
                <w:sz w:val="21"/>
              </w:rPr>
              <w:t>），以采购金额为基准价按70%向中</w:t>
            </w:r>
            <w:r>
              <w:rPr>
                <w:spacing w:val="-2"/>
                <w:sz w:val="21"/>
              </w:rPr>
              <w:t>标单位收取代理服务费。</w:t>
            </w:r>
          </w:p>
          <w:p>
            <w:pPr>
              <w:pStyle w:val="16"/>
              <w:numPr>
                <w:ilvl w:val="0"/>
                <w:numId w:val="10"/>
              </w:numPr>
              <w:tabs>
                <w:tab w:val="left" w:pos="343"/>
              </w:tabs>
              <w:spacing w:before="23" w:after="0" w:line="240" w:lineRule="auto"/>
              <w:ind w:left="343" w:right="0" w:hanging="219"/>
              <w:jc w:val="left"/>
              <w:rPr>
                <w:sz w:val="21"/>
              </w:rPr>
            </w:pPr>
            <w:r>
              <w:rPr>
                <w:spacing w:val="-3"/>
                <w:sz w:val="21"/>
              </w:rPr>
              <w:t>收取时间：中标通知书发出时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949" w:type="dxa"/>
          </w:tcPr>
          <w:p>
            <w:pPr>
              <w:pStyle w:val="16"/>
              <w:spacing w:before="33"/>
              <w:ind w:left="15"/>
              <w:rPr>
                <w:sz w:val="21"/>
              </w:rPr>
            </w:pPr>
            <w:r>
              <w:rPr>
                <w:spacing w:val="-4"/>
                <w:sz w:val="21"/>
              </w:rPr>
              <w:t>41.1</w:t>
            </w:r>
          </w:p>
        </w:tc>
        <w:tc>
          <w:tcPr>
            <w:tcW w:w="1695" w:type="dxa"/>
          </w:tcPr>
          <w:p>
            <w:pPr>
              <w:pStyle w:val="16"/>
              <w:spacing w:before="54" w:line="249" w:lineRule="auto"/>
              <w:ind w:left="117" w:right="339" w:firstLine="2"/>
              <w:rPr>
                <w:sz w:val="21"/>
              </w:rPr>
            </w:pPr>
            <w:r>
              <w:rPr>
                <w:spacing w:val="-8"/>
                <w:sz w:val="21"/>
              </w:rPr>
              <w:t>是否接受进口</w:t>
            </w:r>
            <w:r>
              <w:rPr>
                <w:spacing w:val="-6"/>
                <w:sz w:val="21"/>
              </w:rPr>
              <w:t>产品</w:t>
            </w:r>
          </w:p>
        </w:tc>
        <w:tc>
          <w:tcPr>
            <w:tcW w:w="6874" w:type="dxa"/>
          </w:tcPr>
          <w:p>
            <w:pPr>
              <w:pStyle w:val="16"/>
              <w:spacing w:line="262" w:lineRule="exact"/>
              <w:ind w:firstLine="190" w:firstLineChars="100"/>
              <w:rPr>
                <w:rFonts w:hint="default" w:eastAsia="宋体"/>
                <w:spacing w:val="-10"/>
                <w:sz w:val="21"/>
                <w:lang w:val="en-US" w:eastAsia="zh-CN"/>
              </w:rPr>
            </w:pPr>
            <w:r>
              <w:rPr>
                <w:rFonts w:hint="eastAsia"/>
                <w:spacing w:val="-10"/>
                <w:sz w:val="21"/>
                <w:lang w:eastAsia="zh-CN"/>
              </w:rPr>
              <w:t>☑</w:t>
            </w:r>
            <w:r>
              <w:rPr>
                <w:rFonts w:hint="eastAsia"/>
                <w:spacing w:val="-10"/>
                <w:sz w:val="21"/>
                <w:lang w:val="en-US" w:eastAsia="zh-CN"/>
              </w:rPr>
              <w:t>不接受</w:t>
            </w:r>
          </w:p>
          <w:p>
            <w:pPr>
              <w:pStyle w:val="16"/>
              <w:spacing w:before="53" w:line="249" w:lineRule="auto"/>
              <w:ind w:right="5957" w:firstLine="190" w:firstLineChars="100"/>
              <w:rPr>
                <w:rFonts w:hint="default" w:eastAsia="宋体"/>
                <w:spacing w:val="-4"/>
                <w:sz w:val="21"/>
                <w:lang w:val="en-US" w:eastAsia="zh-CN"/>
              </w:rPr>
            </w:pPr>
            <w:r>
              <w:rPr>
                <w:rFonts w:hint="eastAsia"/>
                <w:spacing w:val="-10"/>
                <w:sz w:val="21"/>
                <w:lang w:eastAsia="zh-CN"/>
              </w:rPr>
              <w:t>□</w:t>
            </w:r>
            <w:r>
              <w:rPr>
                <w:rFonts w:hint="eastAsia"/>
                <w:spacing w:val="-10"/>
                <w:sz w:val="21"/>
                <w:lang w:val="en-US" w:eastAsia="zh-CN"/>
              </w:rPr>
              <w:t>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49" w:type="dxa"/>
            <w:vMerge w:val="restart"/>
          </w:tcPr>
          <w:p>
            <w:pPr>
              <w:pStyle w:val="16"/>
              <w:spacing w:line="258" w:lineRule="exact"/>
              <w:ind w:left="15"/>
              <w:rPr>
                <w:sz w:val="21"/>
              </w:rPr>
            </w:pPr>
            <w:r>
              <w:rPr>
                <w:spacing w:val="-5"/>
                <w:sz w:val="21"/>
              </w:rPr>
              <w:t>42</w:t>
            </w:r>
          </w:p>
        </w:tc>
        <w:tc>
          <w:tcPr>
            <w:tcW w:w="1695" w:type="dxa"/>
            <w:vMerge w:val="restart"/>
          </w:tcPr>
          <w:p>
            <w:pPr>
              <w:pStyle w:val="16"/>
              <w:spacing w:before="53" w:line="257" w:lineRule="exact"/>
              <w:ind w:left="117"/>
              <w:rPr>
                <w:spacing w:val="-9"/>
                <w:sz w:val="21"/>
              </w:rPr>
            </w:pPr>
            <w:r>
              <w:rPr>
                <w:spacing w:val="-9"/>
                <w:sz w:val="21"/>
              </w:rPr>
              <w:t>支持中小企业</w:t>
            </w:r>
          </w:p>
          <w:p>
            <w:pPr>
              <w:pStyle w:val="16"/>
              <w:spacing w:line="255" w:lineRule="exact"/>
              <w:ind w:left="115"/>
              <w:rPr>
                <w:sz w:val="21"/>
              </w:rPr>
            </w:pPr>
            <w:r>
              <w:rPr>
                <w:spacing w:val="-8"/>
                <w:sz w:val="21"/>
              </w:rPr>
              <w:t>政策（</w:t>
            </w:r>
            <w:r>
              <w:rPr>
                <w:spacing w:val="-9"/>
                <w:sz w:val="21"/>
              </w:rPr>
              <w:t>非专门</w:t>
            </w:r>
          </w:p>
          <w:p>
            <w:pPr>
              <w:pStyle w:val="16"/>
              <w:spacing w:before="1" w:line="257" w:lineRule="exact"/>
              <w:ind w:left="115"/>
              <w:rPr>
                <w:sz w:val="21"/>
              </w:rPr>
            </w:pPr>
            <w:r>
              <w:rPr>
                <w:spacing w:val="-9"/>
                <w:sz w:val="21"/>
              </w:rPr>
              <w:t>面向中小企业</w:t>
            </w:r>
          </w:p>
          <w:p>
            <w:pPr>
              <w:pStyle w:val="16"/>
              <w:spacing w:line="263" w:lineRule="exact"/>
              <w:ind w:left="115"/>
              <w:rPr>
                <w:sz w:val="21"/>
              </w:rPr>
            </w:pPr>
            <w:r>
              <w:rPr>
                <w:spacing w:val="-7"/>
                <w:sz w:val="21"/>
              </w:rPr>
              <w:t>采购项目适</w:t>
            </w:r>
          </w:p>
          <w:p>
            <w:pPr>
              <w:pStyle w:val="16"/>
              <w:spacing w:before="6"/>
              <w:ind w:left="117"/>
              <w:rPr>
                <w:sz w:val="21"/>
              </w:rPr>
            </w:pPr>
            <w:r>
              <w:rPr>
                <w:spacing w:val="-9"/>
                <w:sz w:val="21"/>
              </w:rPr>
              <w:t>用</w:t>
            </w:r>
            <w:r>
              <w:rPr>
                <w:spacing w:val="-10"/>
                <w:sz w:val="21"/>
              </w:rPr>
              <w:t>）</w:t>
            </w:r>
          </w:p>
        </w:tc>
        <w:tc>
          <w:tcPr>
            <w:tcW w:w="6874" w:type="dxa"/>
            <w:vMerge w:val="restart"/>
            <w:tcBorders>
              <w:bottom w:val="single" w:color="000000" w:sz="6" w:space="0"/>
            </w:tcBorders>
          </w:tcPr>
          <w:p>
            <w:pPr>
              <w:pStyle w:val="16"/>
              <w:spacing w:before="51"/>
              <w:ind w:right="-15"/>
              <w:jc w:val="right"/>
              <w:rPr>
                <w:sz w:val="21"/>
              </w:rPr>
            </w:pPr>
            <w:r>
              <w:rPr>
                <w:spacing w:val="-2"/>
                <w:sz w:val="21"/>
              </w:rPr>
              <w:t>1、本项目为专门面向小微企业（含小型、微型企业）</w:t>
            </w:r>
            <w:r>
              <w:rPr>
                <w:spacing w:val="-1"/>
                <w:sz w:val="21"/>
              </w:rPr>
              <w:t>采购项目，根 据①</w:t>
            </w:r>
          </w:p>
          <w:p>
            <w:pPr>
              <w:pStyle w:val="16"/>
              <w:spacing w:before="22" w:line="259" w:lineRule="auto"/>
              <w:ind w:left="20" w:right="-15" w:firstLine="84"/>
              <w:jc w:val="right"/>
              <w:rPr>
                <w:sz w:val="21"/>
              </w:rPr>
            </w:pPr>
            <w:r>
              <w:rPr>
                <w:spacing w:val="-6"/>
                <w:sz w:val="21"/>
              </w:rPr>
              <w:t>《政府采购促进中小企业发展办法》（财库〔2020〕46号</w:t>
            </w:r>
            <w:r>
              <w:rPr>
                <w:spacing w:val="-52"/>
                <w:sz w:val="21"/>
              </w:rPr>
              <w:t>）</w:t>
            </w:r>
            <w:r>
              <w:rPr>
                <w:spacing w:val="-13"/>
                <w:sz w:val="21"/>
              </w:rPr>
              <w:t>；《关于进一 步</w:t>
            </w:r>
            <w:r>
              <w:rPr>
                <w:sz w:val="21"/>
              </w:rPr>
              <w:t>加大政府采购支持中小企业力度的通知》（财库﹝2022﹞</w:t>
            </w:r>
            <w:r>
              <w:rPr>
                <w:spacing w:val="-40"/>
                <w:sz w:val="21"/>
              </w:rPr>
              <w:t xml:space="preserve"> </w:t>
            </w:r>
            <w:r>
              <w:rPr>
                <w:sz w:val="21"/>
              </w:rPr>
              <w:t>19 号）②《财 政部、司法部关于政府采购支持监狱企业发展有关问题的通知》（</w:t>
            </w:r>
            <w:r>
              <w:rPr>
                <w:spacing w:val="-5"/>
                <w:sz w:val="21"/>
              </w:rPr>
              <w:t>财库</w:t>
            </w:r>
          </w:p>
          <w:p>
            <w:pPr>
              <w:pStyle w:val="16"/>
              <w:spacing w:before="1" w:line="259" w:lineRule="auto"/>
              <w:ind w:left="8" w:right="-15" w:firstLine="2"/>
              <w:jc w:val="both"/>
              <w:rPr>
                <w:sz w:val="21"/>
              </w:rPr>
            </w:pPr>
            <w:r>
              <w:rPr>
                <w:sz w:val="21"/>
              </w:rPr>
              <w:t>〔2014〕68号）； ③《财政部、民政部、中国残疾人联合会关于促进残疾</w:t>
            </w:r>
            <w:r>
              <w:rPr>
                <w:spacing w:val="-2"/>
                <w:sz w:val="21"/>
              </w:rPr>
              <w:t>人就业政府采购政策的通知》财库〔2017〕141号的规定，本项目按照政府</w:t>
            </w:r>
            <w:r>
              <w:rPr>
                <w:spacing w:val="-1"/>
                <w:sz w:val="21"/>
              </w:rPr>
              <w:t>采购政策全部预留给小型企业及微型企业，对于小型、微型企业、残疾人</w:t>
            </w:r>
          </w:p>
          <w:p>
            <w:pPr>
              <w:pStyle w:val="16"/>
              <w:spacing w:line="280" w:lineRule="atLeast"/>
              <w:ind w:left="8" w:right="15"/>
              <w:rPr>
                <w:sz w:val="21"/>
              </w:rPr>
            </w:pPr>
            <w:r>
              <w:rPr>
                <w:spacing w:val="-2"/>
                <w:sz w:val="21"/>
              </w:rPr>
              <w:t>福利单位、监狱企业、以拟分包形式参加投标的企业、以与小型或微型企业组成联合体投标的企业，均不再进行价格扣除。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949" w:type="dxa"/>
            <w:vMerge w:val="continue"/>
          </w:tcPr>
          <w:p>
            <w:pPr>
              <w:pStyle w:val="16"/>
              <w:rPr>
                <w:rFonts w:ascii="Times New Roman"/>
                <w:sz w:val="20"/>
              </w:rPr>
            </w:pPr>
          </w:p>
        </w:tc>
        <w:tc>
          <w:tcPr>
            <w:tcW w:w="1695" w:type="dxa"/>
            <w:vMerge w:val="continue"/>
          </w:tcPr>
          <w:p>
            <w:pPr>
              <w:pStyle w:val="16"/>
              <w:rPr>
                <w:rFonts w:ascii="Times New Roman"/>
                <w:sz w:val="20"/>
              </w:rPr>
            </w:pPr>
          </w:p>
        </w:tc>
        <w:tc>
          <w:tcPr>
            <w:tcW w:w="6874" w:type="dxa"/>
            <w:tcBorders>
              <w:top w:val="single" w:color="000000" w:sz="6" w:space="0"/>
            </w:tcBorders>
          </w:tcPr>
          <w:p>
            <w:pPr>
              <w:pStyle w:val="16"/>
              <w:spacing w:before="17" w:line="275" w:lineRule="exact"/>
              <w:ind w:left="25"/>
              <w:rPr>
                <w:spacing w:val="-4"/>
                <w:sz w:val="22"/>
              </w:rPr>
            </w:pPr>
            <w:r>
              <w:rPr>
                <w:spacing w:val="-4"/>
                <w:sz w:val="22"/>
              </w:rPr>
              <w:t>1</w:t>
            </w:r>
            <w:r>
              <w:rPr>
                <w:spacing w:val="4"/>
                <w:sz w:val="22"/>
              </w:rPr>
              <w:t xml:space="preserve">. </w:t>
            </w:r>
            <w:r>
              <w:rPr>
                <w:spacing w:val="-5"/>
                <w:sz w:val="21"/>
              </w:rPr>
              <w:t>小型和微型企业价格扣除：</w:t>
            </w:r>
            <w:r>
              <w:rPr>
                <w:spacing w:val="-5"/>
                <w:sz w:val="21"/>
                <w:u w:val="single"/>
              </w:rPr>
              <w:t>/</w:t>
            </w:r>
            <w:r>
              <w:rPr>
                <w:rFonts w:hint="eastAsia"/>
                <w:spacing w:val="-5"/>
                <w:sz w:val="21"/>
                <w:lang w:val="en-US" w:eastAsia="zh-CN"/>
              </w:rPr>
              <w:t xml:space="preserve"> </w:t>
            </w:r>
            <w:r>
              <w:rPr>
                <w:spacing w:val="-5"/>
                <w:sz w:val="21"/>
              </w:rPr>
              <w:t>%。</w:t>
            </w:r>
          </w:p>
          <w:p>
            <w:pPr>
              <w:pStyle w:val="16"/>
              <w:spacing w:before="5" w:line="274" w:lineRule="exact"/>
              <w:ind w:left="11"/>
              <w:rPr>
                <w:sz w:val="21"/>
              </w:rPr>
            </w:pPr>
            <w:r>
              <w:rPr>
                <w:spacing w:val="-2"/>
                <w:sz w:val="22"/>
              </w:rPr>
              <w:t>2</w:t>
            </w:r>
            <w:r>
              <w:rPr>
                <w:spacing w:val="-8"/>
                <w:sz w:val="22"/>
              </w:rPr>
              <w:t xml:space="preserve">. </w:t>
            </w:r>
            <w:r>
              <w:rPr>
                <w:spacing w:val="-3"/>
                <w:sz w:val="21"/>
              </w:rPr>
              <w:t>监狱企业价格扣除：同小型和微型企业。</w:t>
            </w:r>
          </w:p>
          <w:p>
            <w:pPr>
              <w:pStyle w:val="16"/>
              <w:spacing w:before="4" w:line="275" w:lineRule="exact"/>
              <w:ind w:left="13"/>
              <w:rPr>
                <w:sz w:val="21"/>
              </w:rPr>
            </w:pPr>
            <w:r>
              <w:rPr>
                <w:spacing w:val="-4"/>
                <w:sz w:val="22"/>
              </w:rPr>
              <w:t>3</w:t>
            </w:r>
            <w:r>
              <w:rPr>
                <w:spacing w:val="10"/>
                <w:sz w:val="22"/>
              </w:rPr>
              <w:t xml:space="preserve">. </w:t>
            </w:r>
            <w:r>
              <w:rPr>
                <w:spacing w:val="-5"/>
                <w:sz w:val="21"/>
              </w:rPr>
              <w:t>残疾人福利性单位价格扣除：同小型和微型企业。</w:t>
            </w:r>
          </w:p>
          <w:p>
            <w:pPr>
              <w:pStyle w:val="16"/>
              <w:spacing w:before="5" w:line="282" w:lineRule="exact"/>
              <w:ind w:left="8"/>
              <w:rPr>
                <w:sz w:val="21"/>
              </w:rPr>
            </w:pPr>
            <w:r>
              <w:rPr>
                <w:spacing w:val="-2"/>
                <w:sz w:val="22"/>
              </w:rPr>
              <w:t>4</w:t>
            </w:r>
            <w:r>
              <w:rPr>
                <w:spacing w:val="-1"/>
                <w:sz w:val="22"/>
              </w:rPr>
              <w:t xml:space="preserve">. </w:t>
            </w:r>
            <w:r>
              <w:rPr>
                <w:spacing w:val="-3"/>
                <w:sz w:val="21"/>
              </w:rPr>
              <w:t>符合条件的联合体价格扣除：/。</w:t>
            </w:r>
          </w:p>
          <w:p>
            <w:pPr>
              <w:pStyle w:val="16"/>
              <w:spacing w:before="23" w:line="228" w:lineRule="auto"/>
              <w:ind w:left="11" w:right="161" w:firstLine="2"/>
              <w:jc w:val="both"/>
              <w:rPr>
                <w:sz w:val="21"/>
              </w:rPr>
            </w:pPr>
            <w:r>
              <w:rPr>
                <w:sz w:val="22"/>
              </w:rPr>
              <w:t>5</w:t>
            </w:r>
            <w:r>
              <w:rPr>
                <w:spacing w:val="38"/>
                <w:sz w:val="22"/>
              </w:rPr>
              <w:t xml:space="preserve">. </w:t>
            </w:r>
            <w:r>
              <w:rPr>
                <w:spacing w:val="-3"/>
                <w:sz w:val="21"/>
              </w:rPr>
              <w:t>符合条件的向小微企业分包的大中型企业价格扣除：/。（允许大中型企业向小微企业分包的项目适用）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949" w:type="dxa"/>
          </w:tcPr>
          <w:p>
            <w:pPr>
              <w:pStyle w:val="16"/>
              <w:rPr>
                <w:sz w:val="21"/>
              </w:rPr>
            </w:pPr>
          </w:p>
          <w:p>
            <w:pPr>
              <w:pStyle w:val="16"/>
              <w:rPr>
                <w:sz w:val="21"/>
              </w:rPr>
            </w:pPr>
          </w:p>
          <w:p>
            <w:pPr>
              <w:pStyle w:val="16"/>
              <w:spacing w:before="119"/>
              <w:rPr>
                <w:sz w:val="21"/>
              </w:rPr>
            </w:pPr>
          </w:p>
          <w:p>
            <w:pPr>
              <w:pStyle w:val="16"/>
              <w:ind w:left="15"/>
              <w:rPr>
                <w:sz w:val="21"/>
              </w:rPr>
            </w:pPr>
            <w:r>
              <w:rPr>
                <w:spacing w:val="-4"/>
                <w:sz w:val="21"/>
              </w:rPr>
              <w:t>42.5</w:t>
            </w:r>
          </w:p>
        </w:tc>
        <w:tc>
          <w:tcPr>
            <w:tcW w:w="1695" w:type="dxa"/>
            <w:tcBorders>
              <w:right w:val="single" w:color="000000" w:sz="6" w:space="0"/>
            </w:tcBorders>
          </w:tcPr>
          <w:p>
            <w:pPr>
              <w:pStyle w:val="16"/>
              <w:spacing w:before="50" w:line="252" w:lineRule="auto"/>
              <w:ind w:left="131" w:right="314"/>
              <w:jc w:val="both"/>
              <w:rPr>
                <w:sz w:val="21"/>
              </w:rPr>
            </w:pPr>
            <w:r>
              <w:rPr>
                <w:spacing w:val="-6"/>
                <w:sz w:val="21"/>
              </w:rPr>
              <w:t>标的所属行业参照后附《工</w:t>
            </w:r>
            <w:r>
              <w:rPr>
                <w:spacing w:val="-2"/>
                <w:sz w:val="21"/>
              </w:rPr>
              <w:t>信部联企业</w:t>
            </w:r>
          </w:p>
          <w:p>
            <w:pPr>
              <w:pStyle w:val="16"/>
              <w:spacing w:before="38"/>
              <w:ind w:left="155"/>
              <w:rPr>
                <w:sz w:val="21"/>
              </w:rPr>
            </w:pPr>
            <w:r>
              <w:rPr>
                <w:spacing w:val="-8"/>
                <w:sz w:val="21"/>
              </w:rPr>
              <w:t>〔2011〕300</w:t>
            </w:r>
          </w:p>
          <w:p>
            <w:pPr>
              <w:pStyle w:val="16"/>
              <w:spacing w:before="10" w:line="257" w:lineRule="exact"/>
              <w:ind w:left="136"/>
              <w:rPr>
                <w:sz w:val="21"/>
              </w:rPr>
            </w:pPr>
            <w:r>
              <w:rPr>
                <w:spacing w:val="-10"/>
                <w:sz w:val="21"/>
              </w:rPr>
              <w:t>号》</w:t>
            </w:r>
          </w:p>
        </w:tc>
        <w:tc>
          <w:tcPr>
            <w:tcW w:w="6874" w:type="dxa"/>
            <w:tcBorders>
              <w:left w:val="single" w:color="000000" w:sz="6" w:space="0"/>
            </w:tcBorders>
          </w:tcPr>
          <w:p>
            <w:pPr>
              <w:pStyle w:val="16"/>
              <w:spacing w:before="9"/>
              <w:rPr>
                <w:sz w:val="21"/>
              </w:rPr>
            </w:pPr>
          </w:p>
          <w:p>
            <w:pPr>
              <w:pStyle w:val="16"/>
              <w:rPr>
                <w:rFonts w:ascii="Times New Roman"/>
                <w:sz w:val="20"/>
              </w:rPr>
            </w:pPr>
            <w:r>
              <w:rPr>
                <w:spacing w:val="-6"/>
                <w:sz w:val="21"/>
              </w:rPr>
              <w:t>本项目采购标的对应的中小企业划分标准所属行业：</w:t>
            </w:r>
            <w:r>
              <w:rPr>
                <w:spacing w:val="-8"/>
                <w:sz w:val="21"/>
                <w:u w:val="single"/>
              </w:rPr>
              <w:t>餐饮业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949" w:type="dxa"/>
          </w:tcPr>
          <w:p>
            <w:pPr>
              <w:pStyle w:val="16"/>
              <w:spacing w:before="71"/>
              <w:rPr>
                <w:sz w:val="21"/>
              </w:rPr>
            </w:pPr>
          </w:p>
          <w:p>
            <w:pPr>
              <w:pStyle w:val="16"/>
              <w:ind w:left="15"/>
              <w:rPr>
                <w:sz w:val="21"/>
              </w:rPr>
            </w:pPr>
            <w:r>
              <w:rPr>
                <w:spacing w:val="-4"/>
                <w:sz w:val="21"/>
              </w:rPr>
              <w:t>43.5</w:t>
            </w:r>
          </w:p>
        </w:tc>
        <w:tc>
          <w:tcPr>
            <w:tcW w:w="1695" w:type="dxa"/>
            <w:tcBorders>
              <w:right w:val="single" w:color="000000" w:sz="6" w:space="0"/>
            </w:tcBorders>
          </w:tcPr>
          <w:p>
            <w:pPr>
              <w:pStyle w:val="16"/>
              <w:spacing w:before="88"/>
              <w:rPr>
                <w:sz w:val="21"/>
              </w:rPr>
            </w:pPr>
          </w:p>
          <w:p>
            <w:pPr>
              <w:pStyle w:val="16"/>
              <w:spacing w:line="252" w:lineRule="auto"/>
              <w:ind w:left="115" w:right="334"/>
              <w:rPr>
                <w:sz w:val="21"/>
              </w:rPr>
            </w:pPr>
            <w:r>
              <w:rPr>
                <w:spacing w:val="-6"/>
                <w:sz w:val="21"/>
              </w:rPr>
              <w:t>优先采购创新</w:t>
            </w:r>
            <w:r>
              <w:rPr>
                <w:spacing w:val="-9"/>
                <w:sz w:val="21"/>
              </w:rPr>
              <w:t>节能环保产品</w:t>
            </w:r>
          </w:p>
        </w:tc>
        <w:tc>
          <w:tcPr>
            <w:tcW w:w="6874" w:type="dxa"/>
            <w:tcBorders>
              <w:left w:val="single" w:color="000000" w:sz="6" w:space="0"/>
            </w:tcBorders>
          </w:tcPr>
          <w:p>
            <w:pPr>
              <w:pStyle w:val="16"/>
              <w:spacing w:before="61" w:line="249" w:lineRule="auto"/>
              <w:ind w:left="114" w:right="157"/>
              <w:rPr>
                <w:sz w:val="21"/>
              </w:rPr>
            </w:pPr>
            <w:r>
              <w:rPr>
                <w:spacing w:val="-6"/>
                <w:sz w:val="21"/>
              </w:rPr>
              <w:t>所响应产品纳入创新产品应用示范推荐目录内企业、所响应产品获得节能</w:t>
            </w:r>
            <w:r>
              <w:rPr>
                <w:sz w:val="21"/>
              </w:rPr>
              <w:t>产品或环境标志产品认证证书的供应商报价给予</w:t>
            </w:r>
            <w:r>
              <w:rPr>
                <w:rFonts w:hint="eastAsia"/>
                <w:sz w:val="21"/>
                <w:u w:val="single"/>
                <w:lang w:val="en-US" w:eastAsia="zh-CN"/>
              </w:rPr>
              <w:t xml:space="preserve"> / </w:t>
            </w:r>
            <w:r>
              <w:rPr>
                <w:sz w:val="21"/>
              </w:rPr>
              <w:t>的价格扣除。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2" w:hRule="atLeast"/>
        </w:trPr>
        <w:tc>
          <w:tcPr>
            <w:tcW w:w="9518" w:type="dxa"/>
            <w:gridSpan w:val="3"/>
          </w:tcPr>
          <w:p>
            <w:pPr>
              <w:pStyle w:val="16"/>
              <w:spacing w:before="40"/>
              <w:ind w:left="120"/>
              <w:rPr>
                <w:sz w:val="21"/>
              </w:rPr>
            </w:pPr>
            <w:r>
              <w:rPr>
                <w:spacing w:val="-4"/>
                <w:sz w:val="21"/>
              </w:rPr>
              <w:t>备注:</w:t>
            </w:r>
          </w:p>
          <w:p>
            <w:pPr>
              <w:pStyle w:val="16"/>
              <w:tabs>
                <w:tab w:val="left" w:pos="8705"/>
              </w:tabs>
              <w:spacing w:before="42" w:line="232" w:lineRule="auto"/>
              <w:ind w:left="120" w:right="164" w:firstLine="16"/>
              <w:rPr>
                <w:sz w:val="21"/>
              </w:rPr>
            </w:pPr>
            <w:r>
              <w:rPr>
                <w:spacing w:val="-4"/>
                <w:sz w:val="24"/>
              </w:rPr>
              <w:t>1.</w:t>
            </w:r>
            <w:r>
              <w:rPr>
                <w:spacing w:val="-26"/>
                <w:sz w:val="24"/>
              </w:rPr>
              <w:t xml:space="preserve"> </w:t>
            </w:r>
            <w:r>
              <w:rPr>
                <w:spacing w:val="-4"/>
                <w:sz w:val="21"/>
              </w:rPr>
              <w:t>除本招标文件另有规定外，招标文件中出现的类似于“近三年”或“前三年”、“近五年”或“前</w:t>
            </w:r>
            <w:r>
              <w:rPr>
                <w:spacing w:val="-2"/>
                <w:sz w:val="21"/>
              </w:rPr>
              <w:t>五年”均指递交投标文件截止时间之前三年或前五年，以此类推。如：递交投标文件时间为</w:t>
            </w:r>
            <w:r>
              <w:rPr>
                <w:sz w:val="21"/>
              </w:rPr>
              <w:tab/>
            </w:r>
            <w:r>
              <w:rPr>
                <w:spacing w:val="-10"/>
                <w:sz w:val="21"/>
              </w:rPr>
              <w:t>年</w:t>
            </w:r>
          </w:p>
          <w:p>
            <w:pPr>
              <w:pStyle w:val="16"/>
              <w:tabs>
                <w:tab w:val="left" w:pos="684"/>
                <w:tab w:val="left" w:pos="3007"/>
                <w:tab w:val="left" w:pos="3533"/>
                <w:tab w:val="left" w:pos="4092"/>
                <w:tab w:val="left" w:pos="4791"/>
                <w:tab w:val="left" w:pos="5321"/>
                <w:tab w:val="left" w:pos="5878"/>
              </w:tabs>
              <w:spacing w:before="11"/>
              <w:ind w:left="123"/>
              <w:rPr>
                <w:sz w:val="21"/>
              </w:rPr>
            </w:pPr>
            <w:r>
              <w:rPr>
                <w:spacing w:val="-10"/>
                <w:sz w:val="21"/>
              </w:rPr>
              <w:t>月</w:t>
            </w:r>
            <w:r>
              <w:rPr>
                <w:sz w:val="21"/>
              </w:rPr>
              <w:tab/>
            </w:r>
            <w:r>
              <w:rPr>
                <w:spacing w:val="-10"/>
                <w:sz w:val="21"/>
              </w:rPr>
              <w:t>日，则“近三年”是指</w:t>
            </w:r>
            <w:r>
              <w:rPr>
                <w:sz w:val="21"/>
              </w:rPr>
              <w:tab/>
            </w:r>
            <w:r>
              <w:rPr>
                <w:spacing w:val="-10"/>
                <w:sz w:val="21"/>
              </w:rPr>
              <w:t>年</w:t>
            </w:r>
            <w:r>
              <w:rPr>
                <w:sz w:val="21"/>
              </w:rPr>
              <w:tab/>
            </w:r>
            <w:r>
              <w:rPr>
                <w:spacing w:val="-10"/>
                <w:sz w:val="21"/>
              </w:rPr>
              <w:t>月</w:t>
            </w:r>
            <w:r>
              <w:rPr>
                <w:sz w:val="21"/>
              </w:rPr>
              <w:tab/>
            </w:r>
            <w:r>
              <w:rPr>
                <w:spacing w:val="-9"/>
                <w:sz w:val="21"/>
              </w:rPr>
              <w:t>日</w:t>
            </w:r>
            <w:r>
              <w:rPr>
                <w:spacing w:val="-10"/>
                <w:sz w:val="21"/>
              </w:rPr>
              <w:t>至</w:t>
            </w:r>
            <w:r>
              <w:rPr>
                <w:sz w:val="21"/>
              </w:rPr>
              <w:tab/>
            </w:r>
            <w:r>
              <w:rPr>
                <w:spacing w:val="-10"/>
                <w:sz w:val="21"/>
              </w:rPr>
              <w:t>年</w:t>
            </w:r>
            <w:r>
              <w:rPr>
                <w:sz w:val="21"/>
              </w:rPr>
              <w:tab/>
            </w:r>
            <w:r>
              <w:rPr>
                <w:spacing w:val="-10"/>
                <w:sz w:val="21"/>
              </w:rPr>
              <w:t>月</w:t>
            </w:r>
            <w:r>
              <w:rPr>
                <w:sz w:val="21"/>
              </w:rPr>
              <w:tab/>
            </w:r>
            <w:r>
              <w:rPr>
                <w:spacing w:val="-9"/>
                <w:sz w:val="21"/>
              </w:rPr>
              <w:t>日</w:t>
            </w:r>
            <w:r>
              <w:rPr>
                <w:spacing w:val="-10"/>
                <w:sz w:val="21"/>
              </w:rPr>
              <w:t>。</w:t>
            </w:r>
          </w:p>
          <w:p>
            <w:pPr>
              <w:pStyle w:val="16"/>
              <w:spacing w:before="12" w:line="263" w:lineRule="exact"/>
              <w:ind w:left="10"/>
              <w:rPr>
                <w:sz w:val="21"/>
              </w:rPr>
            </w:pPr>
            <w:r>
              <w:rPr>
                <w:spacing w:val="-10"/>
                <w:sz w:val="21"/>
              </w:rPr>
              <w:t>本招标文件所称的“以上”、“以下”、“ 内”、“以内”，包括本数；所称的“不足”，不包括本数。</w:t>
            </w:r>
          </w:p>
        </w:tc>
      </w:tr>
    </w:tbl>
    <w:p>
      <w:pPr>
        <w:spacing w:after="0" w:line="263" w:lineRule="exact"/>
        <w:rPr>
          <w:sz w:val="21"/>
        </w:rPr>
        <w:sectPr>
          <w:pgSz w:w="11910" w:h="16840"/>
          <w:pgMar w:top="1100" w:right="720" w:bottom="1180" w:left="920" w:header="918" w:footer="981" w:gutter="0"/>
          <w:pgNumType w:fmt="numberInDash"/>
          <w:cols w:space="720" w:num="1"/>
        </w:sectPr>
      </w:pPr>
    </w:p>
    <w:p>
      <w:pPr>
        <w:pStyle w:val="9"/>
        <w:spacing w:before="213"/>
        <w:rPr>
          <w:sz w:val="28"/>
        </w:rPr>
      </w:pPr>
    </w:p>
    <w:p>
      <w:pPr>
        <w:pStyle w:val="6"/>
      </w:pPr>
      <w:r>
        <w:rPr>
          <w:spacing w:val="-16"/>
        </w:rPr>
        <w:t>二、投标人须知</w:t>
      </w:r>
    </w:p>
    <w:p>
      <w:pPr>
        <w:pStyle w:val="8"/>
        <w:spacing w:before="267" w:line="316" w:lineRule="auto"/>
        <w:ind w:left="906" w:right="8214" w:hanging="12"/>
      </w:pPr>
      <w:r>
        <w:rPr>
          <w:spacing w:val="-12"/>
        </w:rPr>
        <w:t xml:space="preserve">（一）总则 </w:t>
      </w:r>
      <w:r>
        <w:rPr>
          <w:spacing w:val="-14"/>
        </w:rPr>
        <w:t>1.适用范围</w:t>
      </w:r>
    </w:p>
    <w:p>
      <w:pPr>
        <w:pStyle w:val="9"/>
        <w:spacing w:before="31"/>
        <w:ind w:left="1384"/>
      </w:pPr>
      <w:r>
        <w:rPr>
          <w:spacing w:val="-6"/>
        </w:rPr>
        <w:t>1.1</w:t>
      </w:r>
      <w:r>
        <w:rPr>
          <w:spacing w:val="-7"/>
        </w:rPr>
        <w:t xml:space="preserve"> 本招标文件仅适用于本项目的采购活动。</w:t>
      </w:r>
    </w:p>
    <w:p>
      <w:pPr>
        <w:pStyle w:val="8"/>
        <w:numPr>
          <w:ilvl w:val="0"/>
          <w:numId w:val="11"/>
        </w:numPr>
        <w:tabs>
          <w:tab w:val="left" w:pos="1135"/>
        </w:tabs>
        <w:spacing w:before="156" w:after="0" w:line="240" w:lineRule="auto"/>
        <w:ind w:left="1135" w:right="0" w:hanging="246"/>
        <w:jc w:val="both"/>
      </w:pPr>
      <w:r>
        <w:rPr>
          <w:spacing w:val="-14"/>
        </w:rPr>
        <w:t>基本定义</w:t>
      </w:r>
    </w:p>
    <w:p>
      <w:pPr>
        <w:pStyle w:val="15"/>
        <w:numPr>
          <w:ilvl w:val="1"/>
          <w:numId w:val="11"/>
        </w:numPr>
        <w:tabs>
          <w:tab w:val="left" w:pos="1814"/>
        </w:tabs>
        <w:spacing w:before="156" w:after="0" w:line="290" w:lineRule="auto"/>
        <w:ind w:left="889" w:right="1072" w:firstLine="480"/>
        <w:jc w:val="both"/>
        <w:rPr>
          <w:sz w:val="24"/>
        </w:rPr>
      </w:pPr>
      <w:r>
        <w:rPr>
          <w:spacing w:val="-4"/>
          <w:sz w:val="24"/>
        </w:rPr>
        <w:t>根据《中华人民共和国政府采购法》及其实施条例等有关法律、法规和</w:t>
      </w:r>
      <w:r>
        <w:rPr>
          <w:spacing w:val="-2"/>
          <w:sz w:val="24"/>
        </w:rPr>
        <w:t>规章的规定，制定本招标文件。</w:t>
      </w:r>
    </w:p>
    <w:p>
      <w:pPr>
        <w:pStyle w:val="15"/>
        <w:numPr>
          <w:ilvl w:val="1"/>
          <w:numId w:val="11"/>
        </w:numPr>
        <w:tabs>
          <w:tab w:val="left" w:pos="1810"/>
        </w:tabs>
        <w:spacing w:before="157" w:after="0" w:line="240" w:lineRule="auto"/>
        <w:ind w:left="1810" w:right="0" w:hanging="438"/>
        <w:jc w:val="both"/>
        <w:rPr>
          <w:sz w:val="24"/>
        </w:rPr>
      </w:pPr>
      <w:r>
        <w:rPr>
          <w:spacing w:val="-5"/>
          <w:sz w:val="24"/>
        </w:rPr>
        <w:t>采购人：指依法进行政府采购的国家机关、事业单位、团体组织。</w:t>
      </w:r>
    </w:p>
    <w:p>
      <w:pPr>
        <w:pStyle w:val="15"/>
        <w:numPr>
          <w:ilvl w:val="1"/>
          <w:numId w:val="11"/>
        </w:numPr>
        <w:tabs>
          <w:tab w:val="left" w:pos="1814"/>
        </w:tabs>
        <w:spacing w:before="175" w:after="0" w:line="288" w:lineRule="auto"/>
        <w:ind w:left="887" w:right="1072" w:firstLine="482"/>
        <w:jc w:val="both"/>
        <w:rPr>
          <w:sz w:val="24"/>
        </w:rPr>
      </w:pPr>
      <w:r>
        <w:rPr>
          <w:spacing w:val="-4"/>
          <w:sz w:val="24"/>
        </w:rPr>
        <w:t>采购代理机构：指依法进行政府采购的国家机关、事业单位、团体组织</w:t>
      </w:r>
      <w:r>
        <w:rPr>
          <w:spacing w:val="-2"/>
          <w:sz w:val="24"/>
        </w:rPr>
        <w:t>委托的采购代理机构。</w:t>
      </w:r>
    </w:p>
    <w:p>
      <w:pPr>
        <w:pStyle w:val="15"/>
        <w:numPr>
          <w:ilvl w:val="1"/>
          <w:numId w:val="11"/>
        </w:numPr>
        <w:tabs>
          <w:tab w:val="left" w:pos="1813"/>
        </w:tabs>
        <w:spacing w:before="185" w:after="0" w:line="312" w:lineRule="auto"/>
        <w:ind w:left="891" w:right="1072" w:firstLine="477"/>
        <w:jc w:val="both"/>
        <w:rPr>
          <w:sz w:val="24"/>
        </w:rPr>
      </w:pPr>
      <w:r>
        <w:rPr>
          <w:spacing w:val="-4"/>
          <w:sz w:val="24"/>
        </w:rPr>
        <w:t>政府采购监督管理部门：各级人民政府财政部门是负责政府采购监督管理的部门，依法履行对政府采购活动的监督管理职责。各级人民政府其他有关部</w:t>
      </w:r>
      <w:r>
        <w:rPr>
          <w:spacing w:val="-2"/>
          <w:sz w:val="24"/>
        </w:rPr>
        <w:t>门依法履行与政府采购活动有关的监督管理职责。</w:t>
      </w:r>
    </w:p>
    <w:p>
      <w:pPr>
        <w:pStyle w:val="15"/>
        <w:numPr>
          <w:ilvl w:val="1"/>
          <w:numId w:val="11"/>
        </w:numPr>
        <w:tabs>
          <w:tab w:val="left" w:pos="1882"/>
        </w:tabs>
        <w:spacing w:before="158" w:after="0" w:line="240" w:lineRule="auto"/>
        <w:ind w:left="1882" w:right="0" w:hanging="510"/>
        <w:jc w:val="both"/>
        <w:rPr>
          <w:sz w:val="24"/>
        </w:rPr>
      </w:pPr>
      <w:r>
        <w:rPr>
          <w:spacing w:val="-5"/>
          <w:sz w:val="24"/>
        </w:rPr>
        <w:t>服务包含的内容见“投标人须知前附表”。</w:t>
      </w:r>
    </w:p>
    <w:p>
      <w:pPr>
        <w:pStyle w:val="15"/>
        <w:numPr>
          <w:ilvl w:val="1"/>
          <w:numId w:val="11"/>
        </w:numPr>
        <w:tabs>
          <w:tab w:val="left" w:pos="1807"/>
        </w:tabs>
        <w:spacing w:before="178" w:after="0" w:line="324" w:lineRule="auto"/>
        <w:ind w:left="887" w:right="1069" w:firstLine="482"/>
        <w:jc w:val="both"/>
        <w:rPr>
          <w:sz w:val="24"/>
        </w:rPr>
      </w:pPr>
      <w:r>
        <w:rPr>
          <w:spacing w:val="-6"/>
          <w:sz w:val="24"/>
        </w:rPr>
        <w:t>投标人（</w:t>
      </w:r>
      <w:r>
        <w:rPr>
          <w:spacing w:val="-8"/>
          <w:sz w:val="24"/>
        </w:rPr>
        <w:t>也称“供应商”、“ 申请人”</w:t>
      </w:r>
      <w:r>
        <w:rPr>
          <w:spacing w:val="-6"/>
          <w:sz w:val="24"/>
        </w:rPr>
        <w:t>）：指向采购人提供货物、工程</w:t>
      </w:r>
      <w:r>
        <w:rPr>
          <w:spacing w:val="-4"/>
          <w:sz w:val="24"/>
        </w:rPr>
        <w:t>或者服务的法人、其他组织或者自然人。分支机构不得参加政府采购活动，但银行、保险、石油石化、电力、电信等有行业特殊情况的除外。本项目的投标人须</w:t>
      </w:r>
      <w:r>
        <w:rPr>
          <w:spacing w:val="-2"/>
          <w:sz w:val="24"/>
        </w:rPr>
        <w:t>满足以下条件：</w:t>
      </w:r>
    </w:p>
    <w:p>
      <w:pPr>
        <w:pStyle w:val="15"/>
        <w:numPr>
          <w:ilvl w:val="2"/>
          <w:numId w:val="11"/>
        </w:numPr>
        <w:tabs>
          <w:tab w:val="left" w:pos="2037"/>
        </w:tabs>
        <w:spacing w:before="177" w:after="0" w:line="285" w:lineRule="auto"/>
        <w:ind w:left="891" w:right="1074" w:firstLine="480"/>
        <w:jc w:val="both"/>
        <w:rPr>
          <w:sz w:val="24"/>
        </w:rPr>
      </w:pPr>
      <w:r>
        <w:rPr>
          <w:spacing w:val="-2"/>
          <w:sz w:val="24"/>
        </w:rPr>
        <w:t>具备《中华人民共和国政府采购法》第二十二条规定的条件，遵守本项目采购人本级和上级财政部门政府采购的有关规定。</w:t>
      </w:r>
    </w:p>
    <w:p>
      <w:pPr>
        <w:pStyle w:val="15"/>
        <w:numPr>
          <w:ilvl w:val="2"/>
          <w:numId w:val="11"/>
        </w:numPr>
        <w:tabs>
          <w:tab w:val="left" w:pos="2048"/>
        </w:tabs>
        <w:spacing w:before="168" w:after="0" w:line="240" w:lineRule="auto"/>
        <w:ind w:left="2048" w:right="0" w:hanging="676"/>
        <w:jc w:val="both"/>
        <w:rPr>
          <w:sz w:val="24"/>
        </w:rPr>
      </w:pPr>
      <w:r>
        <w:rPr>
          <w:spacing w:val="-5"/>
          <w:sz w:val="24"/>
        </w:rPr>
        <w:t>以招标公告中发布的方式依法获得了本项目的招标文件。</w:t>
      </w:r>
    </w:p>
    <w:p>
      <w:pPr>
        <w:pStyle w:val="15"/>
        <w:numPr>
          <w:ilvl w:val="2"/>
          <w:numId w:val="11"/>
        </w:numPr>
        <w:tabs>
          <w:tab w:val="left" w:pos="2036"/>
        </w:tabs>
        <w:spacing w:before="153" w:after="0" w:line="240" w:lineRule="auto"/>
        <w:ind w:left="2036" w:right="0" w:hanging="664"/>
        <w:jc w:val="both"/>
        <w:rPr>
          <w:sz w:val="24"/>
        </w:rPr>
      </w:pPr>
      <w:r>
        <w:rPr>
          <w:spacing w:val="-5"/>
          <w:sz w:val="24"/>
        </w:rPr>
        <w:t>符合本招标文件规定并参加投标的供应商。</w:t>
      </w:r>
    </w:p>
    <w:p>
      <w:pPr>
        <w:pStyle w:val="15"/>
        <w:numPr>
          <w:ilvl w:val="1"/>
          <w:numId w:val="11"/>
        </w:numPr>
        <w:tabs>
          <w:tab w:val="left" w:pos="1810"/>
        </w:tabs>
        <w:spacing w:before="156" w:after="0" w:line="240" w:lineRule="auto"/>
        <w:ind w:left="1810" w:right="0" w:hanging="438"/>
        <w:jc w:val="both"/>
        <w:rPr>
          <w:sz w:val="24"/>
        </w:rPr>
      </w:pPr>
      <w:r>
        <w:rPr>
          <w:spacing w:val="-5"/>
          <w:sz w:val="24"/>
        </w:rPr>
        <w:t>潜在投标人、潜在供应商：指符合本招标文件规定的供应商。</w:t>
      </w:r>
    </w:p>
    <w:p>
      <w:pPr>
        <w:pStyle w:val="8"/>
        <w:numPr>
          <w:ilvl w:val="0"/>
          <w:numId w:val="11"/>
        </w:numPr>
        <w:tabs>
          <w:tab w:val="left" w:pos="1141"/>
        </w:tabs>
        <w:spacing w:before="156" w:after="0" w:line="240" w:lineRule="auto"/>
        <w:ind w:left="1141" w:right="0" w:hanging="250"/>
        <w:jc w:val="both"/>
      </w:pPr>
      <w:r>
        <w:rPr>
          <w:spacing w:val="-16"/>
        </w:rPr>
        <w:t>资金来源</w:t>
      </w:r>
    </w:p>
    <w:p>
      <w:pPr>
        <w:pStyle w:val="15"/>
        <w:numPr>
          <w:ilvl w:val="1"/>
          <w:numId w:val="11"/>
        </w:numPr>
        <w:tabs>
          <w:tab w:val="left" w:pos="1837"/>
        </w:tabs>
        <w:spacing w:before="156" w:after="0" w:line="350" w:lineRule="auto"/>
        <w:ind w:left="889" w:right="1062" w:firstLine="482"/>
        <w:jc w:val="both"/>
        <w:rPr>
          <w:sz w:val="24"/>
        </w:rPr>
      </w:pPr>
      <w:r>
        <w:rPr>
          <w:spacing w:val="-4"/>
          <w:sz w:val="24"/>
        </w:rPr>
        <w:t>资金来源：为财政性资金即纳入预算管理的资金。以财政性资金作为还款来源的借贷资金，视同财政性资金。财政性资金与非财政性资金无法分割采购</w:t>
      </w:r>
      <w:r>
        <w:rPr>
          <w:spacing w:val="-2"/>
          <w:sz w:val="24"/>
        </w:rPr>
        <w:t>的，统一适用《中华人民共和国政府采购法》及其实施条例。</w:t>
      </w:r>
    </w:p>
    <w:p>
      <w:pPr>
        <w:pStyle w:val="8"/>
        <w:numPr>
          <w:ilvl w:val="0"/>
          <w:numId w:val="11"/>
        </w:numPr>
        <w:tabs>
          <w:tab w:val="left" w:pos="1134"/>
        </w:tabs>
        <w:spacing w:before="14" w:after="0" w:line="240" w:lineRule="auto"/>
        <w:ind w:left="1134" w:right="0" w:hanging="250"/>
        <w:jc w:val="both"/>
      </w:pPr>
      <w:r>
        <w:rPr>
          <w:spacing w:val="-14"/>
        </w:rPr>
        <w:t>投标人资格要求</w:t>
      </w:r>
    </w:p>
    <w:p>
      <w:pPr>
        <w:pStyle w:val="15"/>
        <w:numPr>
          <w:ilvl w:val="1"/>
          <w:numId w:val="11"/>
        </w:numPr>
        <w:tabs>
          <w:tab w:val="left" w:pos="1819"/>
        </w:tabs>
        <w:spacing w:before="134" w:after="0" w:line="240" w:lineRule="auto"/>
        <w:ind w:left="1819" w:right="0" w:hanging="452"/>
        <w:jc w:val="both"/>
        <w:rPr>
          <w:sz w:val="24"/>
        </w:rPr>
      </w:pPr>
      <w:r>
        <w:rPr>
          <w:spacing w:val="-5"/>
          <w:sz w:val="24"/>
        </w:rPr>
        <w:t>投标人资格要求：见“第一章 招标公告”；</w:t>
      </w:r>
    </w:p>
    <w:p>
      <w:pPr>
        <w:spacing w:after="0" w:line="240" w:lineRule="auto"/>
        <w:jc w:val="both"/>
        <w:rPr>
          <w:sz w:val="24"/>
        </w:rPr>
        <w:sectPr>
          <w:pgSz w:w="11910" w:h="16840"/>
          <w:pgMar w:top="1100" w:right="720" w:bottom="1180" w:left="920" w:header="918" w:footer="981" w:gutter="0"/>
          <w:pgNumType w:fmt="numberInDash"/>
          <w:cols w:space="720" w:num="1"/>
        </w:sectPr>
      </w:pPr>
    </w:p>
    <w:p>
      <w:pPr>
        <w:pStyle w:val="9"/>
        <w:spacing w:before="94"/>
      </w:pPr>
    </w:p>
    <w:p>
      <w:pPr>
        <w:pStyle w:val="15"/>
        <w:numPr>
          <w:ilvl w:val="1"/>
          <w:numId w:val="11"/>
        </w:numPr>
        <w:tabs>
          <w:tab w:val="left" w:pos="1719"/>
        </w:tabs>
        <w:spacing w:before="1" w:after="0" w:line="240" w:lineRule="auto"/>
        <w:ind w:left="1719" w:right="0" w:hanging="352"/>
        <w:jc w:val="both"/>
        <w:rPr>
          <w:sz w:val="24"/>
        </w:rPr>
      </w:pPr>
      <w:r>
        <w:rPr>
          <w:spacing w:val="-6"/>
          <w:sz w:val="24"/>
        </w:rPr>
        <w:t>“第一章 招标公告”规定接受联合体投标的，还应遵守以下规定：</w:t>
      </w:r>
    </w:p>
    <w:p>
      <w:pPr>
        <w:pStyle w:val="15"/>
        <w:numPr>
          <w:ilvl w:val="2"/>
          <w:numId w:val="11"/>
        </w:numPr>
        <w:tabs>
          <w:tab w:val="left" w:pos="2031"/>
        </w:tabs>
        <w:spacing w:before="177" w:after="0" w:line="312" w:lineRule="auto"/>
        <w:ind w:left="887" w:right="1072" w:firstLine="480"/>
        <w:jc w:val="both"/>
        <w:rPr>
          <w:sz w:val="24"/>
        </w:rPr>
      </w:pPr>
      <w:r>
        <w:rPr>
          <w:spacing w:val="-2"/>
          <w:sz w:val="24"/>
        </w:rPr>
        <w:t>两个以上的自然人、法人或者其他组织可以组成一个联合体，以一个</w:t>
      </w:r>
      <w:r>
        <w:rPr>
          <w:spacing w:val="-4"/>
          <w:sz w:val="24"/>
        </w:rPr>
        <w:t>投标人的身份共同参加政府采购。以联合体形式进行政府采购的，参加联合体的</w:t>
      </w:r>
      <w:r>
        <w:rPr>
          <w:spacing w:val="-2"/>
          <w:sz w:val="24"/>
        </w:rPr>
        <w:t>供应商均应当具备《中华人民共和国政府采购法》第二十二条规定的条件。</w:t>
      </w:r>
    </w:p>
    <w:p>
      <w:pPr>
        <w:pStyle w:val="15"/>
        <w:numPr>
          <w:ilvl w:val="2"/>
          <w:numId w:val="11"/>
        </w:numPr>
        <w:tabs>
          <w:tab w:val="left" w:pos="2030"/>
        </w:tabs>
        <w:spacing w:before="180" w:after="0" w:line="312" w:lineRule="auto"/>
        <w:ind w:left="889" w:right="1072" w:firstLine="477"/>
        <w:jc w:val="both"/>
        <w:rPr>
          <w:sz w:val="24"/>
        </w:rPr>
      </w:pPr>
      <w:r>
        <w:rPr>
          <w:spacing w:val="-2"/>
          <w:sz w:val="24"/>
        </w:rPr>
        <w:t>联合体各方应按招标文件提供的格式签订联合体协议书，明确约定联</w:t>
      </w:r>
      <w:r>
        <w:rPr>
          <w:spacing w:val="-16"/>
          <w:sz w:val="24"/>
        </w:rPr>
        <w:t>合体各方承担的工作和相应的责任，并将联合体协议书作为投标文件的一部分提交，</w:t>
      </w:r>
      <w:r>
        <w:rPr>
          <w:spacing w:val="-2"/>
          <w:sz w:val="24"/>
        </w:rPr>
        <w:t>该协议书对联合体所有成员均具有法律约束力。</w:t>
      </w:r>
    </w:p>
    <w:p>
      <w:pPr>
        <w:pStyle w:val="15"/>
        <w:numPr>
          <w:ilvl w:val="2"/>
          <w:numId w:val="11"/>
        </w:numPr>
        <w:tabs>
          <w:tab w:val="left" w:pos="2030"/>
        </w:tabs>
        <w:spacing w:before="180" w:after="0" w:line="288" w:lineRule="auto"/>
        <w:ind w:left="889" w:right="1072" w:firstLine="477"/>
        <w:jc w:val="both"/>
        <w:rPr>
          <w:sz w:val="24"/>
        </w:rPr>
      </w:pPr>
      <w:r>
        <w:rPr>
          <w:spacing w:val="-2"/>
          <w:sz w:val="24"/>
        </w:rPr>
        <w:t>联合体中有同类资质的供应商按照联合体分工承担相同工作的，应当按照资质等级较低的供应商确定资质等级。</w:t>
      </w:r>
    </w:p>
    <w:p>
      <w:pPr>
        <w:pStyle w:val="15"/>
        <w:numPr>
          <w:ilvl w:val="2"/>
          <w:numId w:val="11"/>
        </w:numPr>
        <w:tabs>
          <w:tab w:val="left" w:pos="2050"/>
        </w:tabs>
        <w:spacing w:before="180" w:after="0" w:line="312" w:lineRule="auto"/>
        <w:ind w:left="891" w:right="1064" w:firstLine="475"/>
        <w:jc w:val="both"/>
        <w:rPr>
          <w:sz w:val="24"/>
        </w:rPr>
      </w:pPr>
      <w:r>
        <w:rPr>
          <w:spacing w:val="-2"/>
          <w:sz w:val="24"/>
        </w:rPr>
        <w:t>以联合体形式参加政府采购活动的，联合体各方不得再单独参加或者</w:t>
      </w:r>
      <w:r>
        <w:rPr>
          <w:spacing w:val="-10"/>
          <w:sz w:val="24"/>
        </w:rPr>
        <w:t>与其他供应商另外组成联合体参加同一合同项下的投标，否则相关投标将被认定为</w:t>
      </w:r>
      <w:r>
        <w:rPr>
          <w:b/>
          <w:spacing w:val="-2"/>
          <w:sz w:val="24"/>
        </w:rPr>
        <w:t>投标无效</w:t>
      </w:r>
      <w:r>
        <w:rPr>
          <w:spacing w:val="-2"/>
          <w:sz w:val="24"/>
        </w:rPr>
        <w:t>。</w:t>
      </w:r>
    </w:p>
    <w:p>
      <w:pPr>
        <w:pStyle w:val="15"/>
        <w:numPr>
          <w:ilvl w:val="2"/>
          <w:numId w:val="11"/>
        </w:numPr>
        <w:tabs>
          <w:tab w:val="left" w:pos="2032"/>
        </w:tabs>
        <w:spacing w:before="180" w:after="0" w:line="312" w:lineRule="auto"/>
        <w:ind w:left="889" w:right="1074" w:firstLine="477"/>
        <w:jc w:val="both"/>
        <w:rPr>
          <w:sz w:val="24"/>
        </w:rPr>
      </w:pPr>
      <w:r>
        <w:rPr>
          <w:spacing w:val="-2"/>
          <w:sz w:val="24"/>
        </w:rPr>
        <w:t>大中型企业、其他自然人、法人或者非法人组织与小型、微型企业组</w:t>
      </w:r>
      <w:r>
        <w:rPr>
          <w:spacing w:val="-4"/>
          <w:sz w:val="24"/>
        </w:rPr>
        <w:t>成联合体共同参加投标的，联合体协议书中应写明小型、微型企业的合同金额占</w:t>
      </w:r>
      <w:r>
        <w:rPr>
          <w:spacing w:val="-2"/>
          <w:sz w:val="24"/>
        </w:rPr>
        <w:t>到联合体投标合同总金额的比例。</w:t>
      </w:r>
    </w:p>
    <w:p>
      <w:pPr>
        <w:pStyle w:val="15"/>
        <w:numPr>
          <w:ilvl w:val="2"/>
          <w:numId w:val="11"/>
        </w:numPr>
        <w:tabs>
          <w:tab w:val="left" w:pos="2031"/>
        </w:tabs>
        <w:spacing w:before="183" w:after="0" w:line="328" w:lineRule="auto"/>
        <w:ind w:left="887" w:right="1048" w:firstLine="480"/>
        <w:jc w:val="both"/>
        <w:rPr>
          <w:sz w:val="24"/>
        </w:rPr>
      </w:pPr>
      <w:r>
        <w:rPr>
          <w:spacing w:val="-2"/>
          <w:sz w:val="24"/>
        </w:rPr>
        <w:t>联合体中标的，采购合同应由联合体各成员的合法授权代表签字及加</w:t>
      </w:r>
      <w:r>
        <w:rPr>
          <w:spacing w:val="-22"/>
          <w:sz w:val="24"/>
        </w:rPr>
        <w:t>盖联合体各成员公章，并对联合体成员作为整体和他们各自作为独立体均具有法律约束</w:t>
      </w:r>
      <w:r>
        <w:rPr>
          <w:spacing w:val="-4"/>
          <w:sz w:val="24"/>
        </w:rPr>
        <w:t>力，但若该签字或公章不齐全或缺乏，该联合体的牵头人的签署或类似的意思表</w:t>
      </w:r>
      <w:r>
        <w:rPr>
          <w:spacing w:val="-10"/>
          <w:sz w:val="24"/>
        </w:rPr>
        <w:t>示人具有代表该联合体的签署或意思表示的法律效力，并且据此各成员为履行合同</w:t>
      </w:r>
      <w:r>
        <w:rPr>
          <w:spacing w:val="-2"/>
          <w:sz w:val="24"/>
        </w:rPr>
        <w:t>应向采购人与采购代理机构承担连带责任。</w:t>
      </w:r>
    </w:p>
    <w:p>
      <w:pPr>
        <w:pStyle w:val="15"/>
        <w:numPr>
          <w:ilvl w:val="2"/>
          <w:numId w:val="11"/>
        </w:numPr>
        <w:tabs>
          <w:tab w:val="left" w:pos="2022"/>
        </w:tabs>
        <w:spacing w:before="171" w:after="0" w:line="240" w:lineRule="auto"/>
        <w:ind w:left="2022" w:right="0" w:hanging="655"/>
        <w:jc w:val="both"/>
        <w:rPr>
          <w:sz w:val="24"/>
        </w:rPr>
      </w:pPr>
      <w:r>
        <w:rPr>
          <w:spacing w:val="-7"/>
          <w:sz w:val="24"/>
        </w:rPr>
        <w:t>联合体或其成员不得将其在合同项下的权利或义务全部或部分转让</w:t>
      </w:r>
    </w:p>
    <w:p>
      <w:pPr>
        <w:pStyle w:val="9"/>
        <w:spacing w:before="175" w:line="345" w:lineRule="auto"/>
        <w:ind w:left="906" w:right="959" w:hanging="17"/>
      </w:pPr>
      <w:r>
        <w:rPr>
          <w:spacing w:val="-30"/>
        </w:rPr>
        <w:t>给第三人，有关分包事项须事先取得采购人书面同意并且须遵守相关法律、法规、本次招标</w:t>
      </w:r>
      <w:r>
        <w:rPr>
          <w:spacing w:val="-2"/>
        </w:rPr>
        <w:t>的全部相关规定。</w:t>
      </w:r>
    </w:p>
    <w:p>
      <w:pPr>
        <w:pStyle w:val="15"/>
        <w:numPr>
          <w:ilvl w:val="2"/>
          <w:numId w:val="11"/>
        </w:numPr>
        <w:tabs>
          <w:tab w:val="left" w:pos="2024"/>
        </w:tabs>
        <w:spacing w:before="33" w:after="0" w:line="345" w:lineRule="auto"/>
        <w:ind w:left="884" w:right="1276" w:firstLine="480"/>
        <w:jc w:val="left"/>
        <w:rPr>
          <w:sz w:val="24"/>
        </w:rPr>
      </w:pPr>
      <w:r>
        <w:rPr>
          <w:spacing w:val="-6"/>
          <w:sz w:val="24"/>
        </w:rPr>
        <w:t>对联合体投标的其他资格要求见“第一章 招标公告”中的“二、申</w:t>
      </w:r>
      <w:r>
        <w:rPr>
          <w:spacing w:val="-2"/>
          <w:sz w:val="24"/>
        </w:rPr>
        <w:t>请人的资格要求”。</w:t>
      </w:r>
    </w:p>
    <w:p>
      <w:pPr>
        <w:pStyle w:val="8"/>
        <w:numPr>
          <w:ilvl w:val="0"/>
          <w:numId w:val="11"/>
        </w:numPr>
        <w:tabs>
          <w:tab w:val="left" w:pos="1146"/>
        </w:tabs>
        <w:spacing w:before="13" w:after="0" w:line="240" w:lineRule="auto"/>
        <w:ind w:left="1146" w:right="0" w:hanging="255"/>
        <w:jc w:val="left"/>
      </w:pPr>
      <w:r>
        <w:rPr>
          <w:spacing w:val="-18"/>
        </w:rPr>
        <w:t>费用承担</w:t>
      </w:r>
    </w:p>
    <w:p>
      <w:pPr>
        <w:pStyle w:val="15"/>
        <w:numPr>
          <w:ilvl w:val="1"/>
          <w:numId w:val="11"/>
        </w:numPr>
        <w:tabs>
          <w:tab w:val="left" w:pos="1823"/>
        </w:tabs>
        <w:spacing w:before="140" w:after="0" w:line="240" w:lineRule="auto"/>
        <w:ind w:left="1823" w:right="0" w:hanging="447"/>
        <w:jc w:val="left"/>
        <w:rPr>
          <w:sz w:val="24"/>
        </w:rPr>
      </w:pPr>
      <w:r>
        <w:rPr>
          <w:spacing w:val="-9"/>
          <w:sz w:val="24"/>
        </w:rPr>
        <w:t>不论投标的结果如何，投标人应承担所有与准备和参加投标有关的费用。</w:t>
      </w:r>
    </w:p>
    <w:p>
      <w:pPr>
        <w:pStyle w:val="8"/>
        <w:numPr>
          <w:ilvl w:val="0"/>
          <w:numId w:val="11"/>
        </w:numPr>
        <w:tabs>
          <w:tab w:val="left" w:pos="1133"/>
        </w:tabs>
        <w:spacing w:before="153" w:after="0" w:line="240" w:lineRule="auto"/>
        <w:ind w:left="1133" w:right="0" w:hanging="246"/>
        <w:jc w:val="left"/>
      </w:pPr>
      <w:r>
        <w:rPr>
          <w:spacing w:val="-13"/>
        </w:rPr>
        <w:t>保密</w:t>
      </w:r>
    </w:p>
    <w:p>
      <w:pPr>
        <w:pStyle w:val="15"/>
        <w:numPr>
          <w:ilvl w:val="1"/>
          <w:numId w:val="11"/>
        </w:numPr>
        <w:tabs>
          <w:tab w:val="left" w:pos="1869"/>
        </w:tabs>
        <w:spacing w:before="159" w:after="0" w:line="345" w:lineRule="auto"/>
        <w:ind w:left="887" w:right="1341" w:firstLine="482"/>
        <w:jc w:val="left"/>
        <w:rPr>
          <w:sz w:val="24"/>
        </w:rPr>
      </w:pPr>
      <w:r>
        <w:rPr>
          <w:spacing w:val="-6"/>
          <w:sz w:val="24"/>
        </w:rPr>
        <w:t>参与招标投标活动的各方应对招标文件和投标文件中的商业和技术等</w:t>
      </w:r>
      <w:r>
        <w:rPr>
          <w:spacing w:val="-2"/>
          <w:sz w:val="24"/>
        </w:rPr>
        <w:t>秘密保密，否则应承担相应的法律责任。</w:t>
      </w:r>
    </w:p>
    <w:p>
      <w:pPr>
        <w:spacing w:after="0" w:line="345" w:lineRule="auto"/>
        <w:jc w:val="left"/>
        <w:rPr>
          <w:sz w:val="24"/>
        </w:rPr>
        <w:sectPr>
          <w:pgSz w:w="11910" w:h="16840"/>
          <w:pgMar w:top="1100" w:right="720" w:bottom="1180" w:left="920" w:header="918" w:footer="981" w:gutter="0"/>
          <w:pgNumType w:fmt="numberInDash"/>
          <w:cols w:space="720" w:num="1"/>
        </w:sectPr>
      </w:pPr>
    </w:p>
    <w:p>
      <w:pPr>
        <w:pStyle w:val="9"/>
        <w:spacing w:before="116"/>
      </w:pPr>
    </w:p>
    <w:p>
      <w:pPr>
        <w:pStyle w:val="15"/>
        <w:numPr>
          <w:ilvl w:val="1"/>
          <w:numId w:val="11"/>
        </w:numPr>
        <w:tabs>
          <w:tab w:val="left" w:pos="1869"/>
        </w:tabs>
        <w:spacing w:before="0" w:after="0" w:line="331" w:lineRule="auto"/>
        <w:ind w:left="887" w:right="1096" w:firstLine="482"/>
        <w:jc w:val="both"/>
        <w:rPr>
          <w:sz w:val="24"/>
        </w:rPr>
      </w:pPr>
      <w:r>
        <w:rPr>
          <w:spacing w:val="-6"/>
          <w:sz w:val="24"/>
        </w:rPr>
        <w:t>投标人自领取招标文件之日起，须承担本招标项目保密义务，不得将因</w:t>
      </w:r>
      <w:r>
        <w:rPr>
          <w:spacing w:val="-4"/>
          <w:sz w:val="24"/>
        </w:rPr>
        <w:t>本次招标获得的信息向第三人外传。由采购人向投标人提供的图纸、详细资料、</w:t>
      </w:r>
      <w:r>
        <w:rPr>
          <w:spacing w:val="-34"/>
          <w:sz w:val="24"/>
        </w:rPr>
        <w:t>样品、模型、模件和所有其它资料，被视为保密资料，仅被用于它所规定的用途。除非得到</w:t>
      </w:r>
      <w:r>
        <w:rPr>
          <w:spacing w:val="-4"/>
          <w:sz w:val="24"/>
        </w:rPr>
        <w:t>采购人的同意，不能向任何第三方透露。开标结束后，应采购人要求，投标人应</w:t>
      </w:r>
      <w:r>
        <w:rPr>
          <w:spacing w:val="-2"/>
          <w:sz w:val="24"/>
        </w:rPr>
        <w:t>归还所有从采购人处获得的保密资料。</w:t>
      </w:r>
    </w:p>
    <w:p>
      <w:pPr>
        <w:pStyle w:val="15"/>
        <w:numPr>
          <w:ilvl w:val="1"/>
          <w:numId w:val="11"/>
        </w:numPr>
        <w:tabs>
          <w:tab w:val="left" w:pos="1874"/>
        </w:tabs>
        <w:spacing w:before="178" w:after="0" w:line="288" w:lineRule="auto"/>
        <w:ind w:left="889" w:right="1103" w:firstLine="480"/>
        <w:jc w:val="both"/>
        <w:rPr>
          <w:sz w:val="24"/>
        </w:rPr>
      </w:pPr>
      <w:r>
        <w:rPr>
          <w:spacing w:val="-6"/>
          <w:sz w:val="24"/>
        </w:rPr>
        <w:t>采购代理机构有权将投标人提供的所有资料向有关政府部门或评审投标</w:t>
      </w:r>
      <w:r>
        <w:rPr>
          <w:spacing w:val="-2"/>
          <w:sz w:val="24"/>
        </w:rPr>
        <w:t>文件的有关人员披露。</w:t>
      </w:r>
    </w:p>
    <w:p>
      <w:pPr>
        <w:pStyle w:val="15"/>
        <w:numPr>
          <w:ilvl w:val="1"/>
          <w:numId w:val="11"/>
        </w:numPr>
        <w:tabs>
          <w:tab w:val="left" w:pos="1857"/>
        </w:tabs>
        <w:spacing w:before="182" w:after="0" w:line="288" w:lineRule="auto"/>
        <w:ind w:left="889" w:right="1223" w:firstLine="480"/>
        <w:jc w:val="both"/>
        <w:rPr>
          <w:sz w:val="24"/>
        </w:rPr>
      </w:pPr>
      <w:r>
        <w:rPr>
          <w:spacing w:val="-10"/>
          <w:sz w:val="24"/>
        </w:rPr>
        <w:t>各级人民政府财政部门对政府采购活动进行监督检查，有权查阅、复制</w:t>
      </w:r>
      <w:r>
        <w:rPr>
          <w:spacing w:val="-2"/>
          <w:sz w:val="24"/>
        </w:rPr>
        <w:t>有关文件、资料，相关单位和人员应当予以配合。</w:t>
      </w:r>
    </w:p>
    <w:p>
      <w:pPr>
        <w:pStyle w:val="8"/>
        <w:numPr>
          <w:ilvl w:val="0"/>
          <w:numId w:val="11"/>
        </w:numPr>
        <w:tabs>
          <w:tab w:val="left" w:pos="1134"/>
        </w:tabs>
        <w:spacing w:before="163" w:after="0" w:line="240" w:lineRule="auto"/>
        <w:ind w:left="1134" w:right="0" w:hanging="243"/>
        <w:jc w:val="both"/>
      </w:pPr>
      <w:r>
        <w:rPr>
          <w:spacing w:val="-14"/>
        </w:rPr>
        <w:t>语言文字</w:t>
      </w:r>
    </w:p>
    <w:p>
      <w:pPr>
        <w:pStyle w:val="15"/>
        <w:numPr>
          <w:ilvl w:val="1"/>
          <w:numId w:val="11"/>
        </w:numPr>
        <w:tabs>
          <w:tab w:val="left" w:pos="1816"/>
        </w:tabs>
        <w:spacing w:before="159" w:after="0" w:line="350" w:lineRule="auto"/>
        <w:ind w:left="889" w:right="1062" w:firstLine="482"/>
        <w:jc w:val="both"/>
        <w:rPr>
          <w:sz w:val="24"/>
        </w:rPr>
      </w:pPr>
      <w:r>
        <w:rPr>
          <w:spacing w:val="-2"/>
          <w:sz w:val="24"/>
        </w:rPr>
        <w:t>招标投标过程文件使用的语言文字为中文。专用术语使用外文的，应附</w:t>
      </w:r>
      <w:r>
        <w:rPr>
          <w:spacing w:val="-4"/>
          <w:sz w:val="24"/>
        </w:rPr>
        <w:t>有中文注释。投标人提交的支持资料和已印制的文献可以用外文，但相应内容应附有中文翻译本，在解释投标文件时以中文翻译本为准。未附中文翻译本或翻译</w:t>
      </w:r>
      <w:r>
        <w:rPr>
          <w:spacing w:val="-2"/>
          <w:sz w:val="24"/>
        </w:rPr>
        <w:t>本中文内容明显与外文内容不一致的，其不利后果由投标人自行承担。</w:t>
      </w:r>
    </w:p>
    <w:p>
      <w:pPr>
        <w:pStyle w:val="8"/>
        <w:numPr>
          <w:ilvl w:val="0"/>
          <w:numId w:val="11"/>
        </w:numPr>
        <w:tabs>
          <w:tab w:val="left" w:pos="1135"/>
        </w:tabs>
        <w:spacing w:before="18" w:after="0" w:line="240" w:lineRule="auto"/>
        <w:ind w:left="1135" w:right="0" w:hanging="248"/>
        <w:jc w:val="both"/>
      </w:pPr>
      <w:r>
        <w:rPr>
          <w:spacing w:val="-14"/>
        </w:rPr>
        <w:t>计量单位</w:t>
      </w:r>
    </w:p>
    <w:p>
      <w:pPr>
        <w:pStyle w:val="15"/>
        <w:numPr>
          <w:ilvl w:val="1"/>
          <w:numId w:val="11"/>
        </w:numPr>
        <w:tabs>
          <w:tab w:val="left" w:pos="1821"/>
        </w:tabs>
        <w:spacing w:before="137" w:after="0" w:line="240" w:lineRule="auto"/>
        <w:ind w:left="1821" w:right="0" w:hanging="452"/>
        <w:jc w:val="both"/>
        <w:rPr>
          <w:sz w:val="24"/>
        </w:rPr>
      </w:pPr>
      <w:r>
        <w:rPr>
          <w:spacing w:val="-7"/>
          <w:sz w:val="24"/>
        </w:rPr>
        <w:t>所有计量均采用中华人民共和国法定计量单位。</w:t>
      </w:r>
    </w:p>
    <w:p>
      <w:pPr>
        <w:pStyle w:val="8"/>
        <w:numPr>
          <w:ilvl w:val="0"/>
          <w:numId w:val="11"/>
        </w:numPr>
        <w:tabs>
          <w:tab w:val="left" w:pos="1137"/>
        </w:tabs>
        <w:spacing w:before="159" w:after="0" w:line="240" w:lineRule="auto"/>
        <w:ind w:left="1137" w:right="0" w:hanging="250"/>
        <w:jc w:val="both"/>
      </w:pPr>
      <w:r>
        <w:rPr>
          <w:spacing w:val="-14"/>
        </w:rPr>
        <w:t>现场考察和答疑会</w:t>
      </w:r>
    </w:p>
    <w:p>
      <w:pPr>
        <w:pStyle w:val="15"/>
        <w:numPr>
          <w:ilvl w:val="1"/>
          <w:numId w:val="11"/>
        </w:numPr>
        <w:tabs>
          <w:tab w:val="left" w:pos="1832"/>
        </w:tabs>
        <w:spacing w:before="156" w:after="0" w:line="288" w:lineRule="auto"/>
        <w:ind w:left="891" w:right="1064" w:firstLine="475"/>
        <w:jc w:val="both"/>
        <w:rPr>
          <w:sz w:val="24"/>
        </w:rPr>
      </w:pPr>
      <w:r>
        <w:rPr>
          <w:spacing w:val="-4"/>
          <w:sz w:val="24"/>
        </w:rPr>
        <w:t>“投标人须知前附表”规定组织现场考察的，采购代理机构按“投标人</w:t>
      </w:r>
      <w:r>
        <w:rPr>
          <w:spacing w:val="-2"/>
          <w:sz w:val="24"/>
        </w:rPr>
        <w:t>须知前附表”规定的时间、地点组织投标人项目现场考察。</w:t>
      </w:r>
    </w:p>
    <w:p>
      <w:pPr>
        <w:pStyle w:val="15"/>
        <w:numPr>
          <w:ilvl w:val="1"/>
          <w:numId w:val="11"/>
        </w:numPr>
        <w:tabs>
          <w:tab w:val="left" w:pos="1869"/>
        </w:tabs>
        <w:spacing w:before="161" w:after="0" w:line="240" w:lineRule="auto"/>
        <w:ind w:left="1869" w:right="0" w:hanging="500"/>
        <w:jc w:val="both"/>
        <w:rPr>
          <w:sz w:val="24"/>
        </w:rPr>
      </w:pPr>
      <w:r>
        <w:rPr>
          <w:spacing w:val="-7"/>
          <w:sz w:val="24"/>
        </w:rPr>
        <w:t>投标人现场考察发生的费用自理。</w:t>
      </w:r>
    </w:p>
    <w:p>
      <w:pPr>
        <w:pStyle w:val="15"/>
        <w:numPr>
          <w:ilvl w:val="1"/>
          <w:numId w:val="11"/>
        </w:numPr>
        <w:tabs>
          <w:tab w:val="left" w:pos="1878"/>
        </w:tabs>
        <w:spacing w:before="177" w:after="0" w:line="288" w:lineRule="auto"/>
        <w:ind w:left="889" w:right="1067" w:firstLine="477"/>
        <w:jc w:val="both"/>
        <w:rPr>
          <w:sz w:val="24"/>
        </w:rPr>
      </w:pPr>
      <w:r>
        <w:rPr>
          <w:spacing w:val="-6"/>
          <w:sz w:val="24"/>
        </w:rPr>
        <w:t>在现场考察中，因投标人自身原因发生的人员伤亡和财产损失，由投标</w:t>
      </w:r>
      <w:r>
        <w:rPr>
          <w:spacing w:val="-2"/>
          <w:sz w:val="24"/>
        </w:rPr>
        <w:t>人自行负责。</w:t>
      </w:r>
    </w:p>
    <w:p>
      <w:pPr>
        <w:pStyle w:val="15"/>
        <w:numPr>
          <w:ilvl w:val="1"/>
          <w:numId w:val="11"/>
        </w:numPr>
        <w:tabs>
          <w:tab w:val="left" w:pos="1848"/>
        </w:tabs>
        <w:spacing w:before="183" w:after="0" w:line="312" w:lineRule="auto"/>
        <w:ind w:left="887" w:right="1048" w:firstLine="480"/>
        <w:jc w:val="both"/>
        <w:rPr>
          <w:sz w:val="24"/>
        </w:rPr>
      </w:pPr>
      <w:r>
        <w:rPr>
          <w:spacing w:val="-10"/>
          <w:sz w:val="24"/>
        </w:rPr>
        <w:t>采购人在现场考察中介绍的项目场地和相关的周边环境情况，仅供投标人</w:t>
      </w:r>
      <w:r>
        <w:rPr>
          <w:spacing w:val="-16"/>
          <w:sz w:val="24"/>
        </w:rPr>
        <w:t>在编制投标文件时参考，采购人和采购代理机构不对投标人据此作出的判断和决策负</w:t>
      </w:r>
      <w:r>
        <w:rPr>
          <w:spacing w:val="-6"/>
          <w:sz w:val="24"/>
        </w:rPr>
        <w:t>责。</w:t>
      </w:r>
    </w:p>
    <w:p>
      <w:pPr>
        <w:pStyle w:val="15"/>
        <w:numPr>
          <w:ilvl w:val="1"/>
          <w:numId w:val="11"/>
        </w:numPr>
        <w:tabs>
          <w:tab w:val="left" w:pos="1832"/>
        </w:tabs>
        <w:spacing w:before="180" w:after="0" w:line="288" w:lineRule="auto"/>
        <w:ind w:left="891" w:right="1067" w:firstLine="475"/>
        <w:jc w:val="both"/>
        <w:rPr>
          <w:sz w:val="24"/>
        </w:rPr>
      </w:pPr>
      <w:r>
        <w:rPr>
          <w:spacing w:val="-4"/>
          <w:sz w:val="24"/>
        </w:rPr>
        <w:t>“投标人须知前附表”规定召开答疑会的，采购代理机构按“投标人须</w:t>
      </w:r>
      <w:r>
        <w:rPr>
          <w:spacing w:val="-2"/>
          <w:sz w:val="24"/>
        </w:rPr>
        <w:t>知前附表”规定的时间和地点召开答疑会，澄清投标人提出的问题。</w:t>
      </w:r>
    </w:p>
    <w:p>
      <w:pPr>
        <w:pStyle w:val="15"/>
        <w:numPr>
          <w:ilvl w:val="1"/>
          <w:numId w:val="11"/>
        </w:numPr>
        <w:tabs>
          <w:tab w:val="left" w:pos="1888"/>
        </w:tabs>
        <w:spacing w:before="182" w:after="0" w:line="288" w:lineRule="auto"/>
        <w:ind w:left="887" w:right="884" w:firstLine="480"/>
        <w:jc w:val="both"/>
        <w:rPr>
          <w:sz w:val="24"/>
        </w:rPr>
      </w:pPr>
      <w:r>
        <w:rPr>
          <w:spacing w:val="-6"/>
          <w:sz w:val="24"/>
        </w:rPr>
        <w:t>由于未参加现场考察或未参加标前答疑会而导致对项目实际情况不了解，</w:t>
      </w:r>
      <w:r>
        <w:rPr>
          <w:spacing w:val="-4"/>
          <w:sz w:val="24"/>
        </w:rPr>
        <w:t>影响投标文件编制、投标报价准确性、综合因素响应不全面等问题的，由投标人</w:t>
      </w:r>
    </w:p>
    <w:p>
      <w:pPr>
        <w:pStyle w:val="9"/>
        <w:spacing w:before="163"/>
        <w:ind w:left="928"/>
      </w:pPr>
      <w:r>
        <w:rPr>
          <w:spacing w:val="-11"/>
        </w:rPr>
        <w:t>自行承担不利评审后果。</w:t>
      </w:r>
    </w:p>
    <w:p>
      <w:pPr>
        <w:spacing w:after="0"/>
        <w:sectPr>
          <w:pgSz w:w="11910" w:h="16840"/>
          <w:pgMar w:top="1100" w:right="720" w:bottom="1180" w:left="920" w:header="918" w:footer="981" w:gutter="0"/>
          <w:pgNumType w:fmt="numberInDash"/>
          <w:cols w:space="720" w:num="1"/>
        </w:sectPr>
      </w:pPr>
    </w:p>
    <w:p>
      <w:pPr>
        <w:pStyle w:val="9"/>
        <w:spacing w:before="18"/>
      </w:pPr>
    </w:p>
    <w:p>
      <w:pPr>
        <w:pStyle w:val="8"/>
        <w:numPr>
          <w:ilvl w:val="0"/>
          <w:numId w:val="11"/>
        </w:numPr>
        <w:tabs>
          <w:tab w:val="left" w:pos="1276"/>
        </w:tabs>
        <w:spacing w:before="0" w:after="0" w:line="240" w:lineRule="auto"/>
        <w:ind w:left="1276" w:right="0" w:hanging="375"/>
        <w:jc w:val="left"/>
      </w:pPr>
      <w:r>
        <w:rPr>
          <w:spacing w:val="-18"/>
        </w:rPr>
        <w:t>电子投标说明</w:t>
      </w:r>
    </w:p>
    <w:p>
      <w:pPr>
        <w:pStyle w:val="15"/>
        <w:numPr>
          <w:ilvl w:val="1"/>
          <w:numId w:val="11"/>
        </w:numPr>
        <w:tabs>
          <w:tab w:val="left" w:pos="2001"/>
        </w:tabs>
        <w:spacing w:before="153" w:after="0" w:line="340" w:lineRule="auto"/>
        <w:ind w:left="887" w:right="954" w:firstLine="496"/>
        <w:jc w:val="left"/>
        <w:rPr>
          <w:sz w:val="24"/>
        </w:rPr>
      </w:pPr>
      <w:r>
        <w:rPr>
          <w:spacing w:val="-6"/>
          <w:sz w:val="24"/>
        </w:rPr>
        <w:t>本次采购采用电子交易方式，电子交易平台为新疆政府采购电子交易云</w:t>
      </w:r>
      <w:r>
        <w:rPr>
          <w:spacing w:val="-10"/>
          <w:sz w:val="24"/>
        </w:rPr>
        <w:t>平台（网址：</w:t>
      </w:r>
      <w:r>
        <w:fldChar w:fldCharType="begin"/>
      </w:r>
      <w:r>
        <w:instrText xml:space="preserve"> HYPERLINK "http://www.zcygov.cn/" \h </w:instrText>
      </w:r>
      <w:r>
        <w:fldChar w:fldCharType="separate"/>
      </w:r>
      <w:r>
        <w:rPr>
          <w:spacing w:val="-10"/>
          <w:sz w:val="24"/>
        </w:rPr>
        <w:t>https://www.zcygov.cn/</w:t>
      </w:r>
      <w:r>
        <w:rPr>
          <w:spacing w:val="-10"/>
          <w:sz w:val="24"/>
        </w:rPr>
        <w:fldChar w:fldCharType="end"/>
      </w:r>
      <w:r>
        <w:rPr>
          <w:spacing w:val="-10"/>
          <w:sz w:val="24"/>
        </w:rPr>
        <w:t>）。投标人参与本项目电子交易活动前，应在</w:t>
      </w:r>
      <w:r>
        <w:rPr>
          <w:spacing w:val="-1"/>
          <w:sz w:val="24"/>
        </w:rPr>
        <w:t xml:space="preserve">政采云平台上注册供应商账号。编制电子投标文件前还需申领 </w:t>
      </w:r>
      <w:r>
        <w:rPr>
          <w:sz w:val="24"/>
        </w:rPr>
        <w:t>CA</w:t>
      </w:r>
      <w:r>
        <w:rPr>
          <w:spacing w:val="-3"/>
          <w:sz w:val="24"/>
        </w:rPr>
        <w:t xml:space="preserve"> 证书并绑定帐</w:t>
      </w:r>
      <w:r>
        <w:rPr>
          <w:spacing w:val="-1"/>
          <w:sz w:val="24"/>
        </w:rPr>
        <w:t xml:space="preserve">号。投标人应充分考虑完成平台注册、申领 </w:t>
      </w:r>
      <w:r>
        <w:rPr>
          <w:sz w:val="24"/>
        </w:rPr>
        <w:t>CA</w:t>
      </w:r>
      <w:r>
        <w:rPr>
          <w:spacing w:val="-4"/>
          <w:sz w:val="24"/>
        </w:rPr>
        <w:t xml:space="preserve"> 证书等所需的时间。潜在投标人</w:t>
      </w:r>
      <w:r>
        <w:rPr>
          <w:spacing w:val="-10"/>
          <w:sz w:val="24"/>
        </w:rPr>
        <w:t>领取文件须提前完成注册、CA 证书和电子签章申领和绑定、下载投标客户端。因未</w:t>
      </w:r>
      <w:r>
        <w:rPr>
          <w:spacing w:val="-18"/>
          <w:sz w:val="24"/>
        </w:rPr>
        <w:t xml:space="preserve">办理 </w:t>
      </w:r>
      <w:r>
        <w:rPr>
          <w:spacing w:val="-14"/>
          <w:sz w:val="24"/>
        </w:rPr>
        <w:t>CA</w:t>
      </w:r>
      <w:r>
        <w:rPr>
          <w:spacing w:val="-18"/>
          <w:sz w:val="24"/>
        </w:rPr>
        <w:t xml:space="preserve"> 数字证书、</w:t>
      </w:r>
      <w:r>
        <w:rPr>
          <w:spacing w:val="-14"/>
          <w:sz w:val="24"/>
        </w:rPr>
        <w:t>CA</w:t>
      </w:r>
      <w:r>
        <w:rPr>
          <w:spacing w:val="-18"/>
          <w:sz w:val="24"/>
        </w:rPr>
        <w:t xml:space="preserve"> 证书故障、操作不当等原因造成无法投标或投标失败等后果由</w:t>
      </w:r>
      <w:r>
        <w:rPr>
          <w:spacing w:val="-26"/>
          <w:sz w:val="24"/>
        </w:rPr>
        <w:t>投标人自行承担。投标人登录新疆政府采购网“供应商注册”—“新疆政府采购供应商入</w:t>
      </w:r>
      <w:r>
        <w:rPr>
          <w:spacing w:val="-2"/>
          <w:sz w:val="24"/>
        </w:rPr>
        <w:t>驻登记”—“立即登记”进行自助注册绑定。</w:t>
      </w:r>
    </w:p>
    <w:p>
      <w:pPr>
        <w:pStyle w:val="15"/>
        <w:numPr>
          <w:ilvl w:val="1"/>
          <w:numId w:val="11"/>
        </w:numPr>
        <w:tabs>
          <w:tab w:val="left" w:pos="2020"/>
        </w:tabs>
        <w:spacing w:before="186" w:after="0" w:line="331" w:lineRule="auto"/>
        <w:ind w:left="887" w:right="1064" w:firstLine="496"/>
        <w:jc w:val="both"/>
        <w:rPr>
          <w:sz w:val="24"/>
        </w:rPr>
      </w:pPr>
      <w:r>
        <w:rPr>
          <w:spacing w:val="-2"/>
          <w:sz w:val="24"/>
        </w:rPr>
        <w:t>投标人将新疆政府采购电子交易云平台电子交易客户端下载、安装完</w:t>
      </w:r>
      <w:r>
        <w:rPr>
          <w:spacing w:val="-10"/>
          <w:sz w:val="24"/>
        </w:rPr>
        <w:t xml:space="preserve">成后，可通过账号密码或 </w:t>
      </w:r>
      <w:r>
        <w:rPr>
          <w:spacing w:val="-8"/>
          <w:sz w:val="24"/>
        </w:rPr>
        <w:t>CA</w:t>
      </w:r>
      <w:r>
        <w:rPr>
          <w:spacing w:val="-12"/>
          <w:sz w:val="24"/>
        </w:rPr>
        <w:t xml:space="preserve"> 登录客户端进行投标文件制作。在使用政采云投标客</w:t>
      </w:r>
      <w:r>
        <w:rPr>
          <w:spacing w:val="-5"/>
          <w:sz w:val="24"/>
        </w:rPr>
        <w:t xml:space="preserve">户端时，建议使用 </w:t>
      </w:r>
      <w:r>
        <w:rPr>
          <w:spacing w:val="-2"/>
          <w:sz w:val="24"/>
        </w:rPr>
        <w:t>WIN7</w:t>
      </w:r>
      <w:r>
        <w:rPr>
          <w:spacing w:val="-7"/>
          <w:sz w:val="24"/>
        </w:rPr>
        <w:t xml:space="preserve"> 及以上操作系统。投标人登录新疆政府采购网“下载专</w:t>
      </w:r>
      <w:r>
        <w:rPr>
          <w:spacing w:val="-10"/>
          <w:sz w:val="24"/>
        </w:rPr>
        <w:t>区”—“ 电子招投标客户端下载”下载相关客户端，如有问题可拨打政采云客户</w:t>
      </w:r>
      <w:r>
        <w:rPr>
          <w:sz w:val="24"/>
        </w:rPr>
        <w:t>服务热线 95763 进行咨询。</w:t>
      </w:r>
    </w:p>
    <w:p>
      <w:pPr>
        <w:pStyle w:val="15"/>
        <w:numPr>
          <w:ilvl w:val="1"/>
          <w:numId w:val="11"/>
        </w:numPr>
        <w:tabs>
          <w:tab w:val="left" w:pos="2022"/>
        </w:tabs>
        <w:spacing w:before="172" w:after="0" w:line="290" w:lineRule="auto"/>
        <w:ind w:left="884" w:right="1100" w:firstLine="499"/>
        <w:jc w:val="both"/>
        <w:rPr>
          <w:sz w:val="24"/>
        </w:rPr>
      </w:pPr>
      <w:r>
        <w:rPr>
          <w:spacing w:val="-4"/>
          <w:sz w:val="24"/>
        </w:rPr>
        <w:t>加密的电子投标文件应在投标文件递交截止时间前通过政采云平台上</w:t>
      </w:r>
      <w:r>
        <w:rPr>
          <w:spacing w:val="-2"/>
          <w:sz w:val="24"/>
        </w:rPr>
        <w:t>传完成。逾期上传或者未上传指定地点的投标文件，不予受理。</w:t>
      </w:r>
    </w:p>
    <w:p>
      <w:pPr>
        <w:pStyle w:val="15"/>
        <w:numPr>
          <w:ilvl w:val="1"/>
          <w:numId w:val="11"/>
        </w:numPr>
        <w:tabs>
          <w:tab w:val="left" w:pos="2003"/>
        </w:tabs>
        <w:spacing w:before="181" w:after="0" w:line="312" w:lineRule="auto"/>
        <w:ind w:left="889" w:right="976" w:firstLine="494"/>
        <w:jc w:val="both"/>
        <w:rPr>
          <w:sz w:val="24"/>
        </w:rPr>
      </w:pPr>
      <w:r>
        <w:rPr>
          <w:spacing w:val="-6"/>
          <w:sz w:val="24"/>
        </w:rPr>
        <w:t>投标人在开标前须提前配置好电脑及浏览器，开标时请使用制作加密电</w:t>
      </w:r>
      <w:r>
        <w:rPr>
          <w:spacing w:val="-9"/>
          <w:sz w:val="24"/>
        </w:rPr>
        <w:t xml:space="preserve">子投标文件的 </w:t>
      </w:r>
      <w:r>
        <w:rPr>
          <w:spacing w:val="-6"/>
          <w:sz w:val="24"/>
        </w:rPr>
        <w:t>CA</w:t>
      </w:r>
      <w:r>
        <w:rPr>
          <w:spacing w:val="-10"/>
          <w:sz w:val="24"/>
        </w:rPr>
        <w:t xml:space="preserve"> 锁进行解密及报价确认。本项目投标文件解密时间详见“投标人</w:t>
      </w:r>
      <w:r>
        <w:rPr>
          <w:spacing w:val="-2"/>
          <w:sz w:val="24"/>
        </w:rPr>
        <w:t>须知前附表”，如因自身原因导致无法正常解密，后果由投标人自行承担。</w:t>
      </w:r>
    </w:p>
    <w:p>
      <w:pPr>
        <w:pStyle w:val="15"/>
        <w:numPr>
          <w:ilvl w:val="1"/>
          <w:numId w:val="11"/>
        </w:numPr>
        <w:tabs>
          <w:tab w:val="left" w:pos="2008"/>
        </w:tabs>
        <w:spacing w:before="140" w:after="0" w:line="304" w:lineRule="auto"/>
        <w:ind w:left="884" w:right="1218" w:firstLine="499"/>
        <w:jc w:val="left"/>
        <w:rPr>
          <w:sz w:val="24"/>
        </w:rPr>
      </w:pPr>
      <w:r>
        <w:rPr>
          <w:spacing w:val="-6"/>
          <w:sz w:val="24"/>
        </w:rPr>
        <w:t>如遇“新疆政府采购电子交易云平台（网址：</w:t>
      </w:r>
      <w:r>
        <w:fldChar w:fldCharType="begin"/>
      </w:r>
      <w:r>
        <w:instrText xml:space="preserve"> HYPERLINK "http://www.zcygov.c/" \h </w:instrText>
      </w:r>
      <w:r>
        <w:fldChar w:fldCharType="separate"/>
      </w:r>
      <w:r>
        <w:rPr>
          <w:spacing w:val="-6"/>
          <w:sz w:val="24"/>
        </w:rPr>
        <w:t>https://www.zcygov.c</w:t>
      </w:r>
      <w:r>
        <w:rPr>
          <w:spacing w:val="-6"/>
          <w:sz w:val="24"/>
        </w:rPr>
        <w:fldChar w:fldCharType="end"/>
      </w:r>
      <w:r>
        <w:rPr>
          <w:spacing w:val="-6"/>
          <w:sz w:val="24"/>
        </w:rPr>
        <w:t xml:space="preserve"> </w:t>
      </w:r>
      <w:r>
        <w:rPr>
          <w:spacing w:val="-2"/>
          <w:sz w:val="24"/>
        </w:rPr>
        <w:t>n/）”电子交易规则调整，以最新要求为准。</w:t>
      </w:r>
    </w:p>
    <w:p>
      <w:pPr>
        <w:pStyle w:val="15"/>
        <w:numPr>
          <w:ilvl w:val="1"/>
          <w:numId w:val="11"/>
        </w:numPr>
        <w:tabs>
          <w:tab w:val="left" w:pos="2022"/>
        </w:tabs>
        <w:spacing w:before="177" w:after="0" w:line="312" w:lineRule="auto"/>
        <w:ind w:left="889" w:right="985" w:firstLine="494"/>
        <w:jc w:val="left"/>
        <w:rPr>
          <w:sz w:val="24"/>
        </w:rPr>
      </w:pPr>
      <w:r>
        <w:rPr>
          <w:spacing w:val="-8"/>
          <w:sz w:val="24"/>
        </w:rPr>
        <w:t>电子交易系统咨询：投标人应当充分考虑到电子投标可能会发生的各种</w:t>
      </w:r>
      <w:r>
        <w:rPr>
          <w:spacing w:val="-5"/>
          <w:sz w:val="24"/>
        </w:rPr>
        <w:t>问题和风险，特别是投标文件签署、提交等问题，可按照“第一章 招标公告”的</w:t>
      </w:r>
      <w:r>
        <w:rPr>
          <w:spacing w:val="-2"/>
          <w:sz w:val="24"/>
        </w:rPr>
        <w:t>联系方式咨询相关人员。</w:t>
      </w:r>
    </w:p>
    <w:p>
      <w:pPr>
        <w:pStyle w:val="15"/>
        <w:numPr>
          <w:ilvl w:val="1"/>
          <w:numId w:val="11"/>
        </w:numPr>
        <w:tabs>
          <w:tab w:val="left" w:pos="2024"/>
        </w:tabs>
        <w:spacing w:before="177" w:after="0" w:line="336" w:lineRule="auto"/>
        <w:ind w:left="889" w:right="985" w:firstLine="494"/>
        <w:jc w:val="left"/>
        <w:rPr>
          <w:sz w:val="24"/>
        </w:rPr>
      </w:pPr>
      <w:r>
        <w:rPr>
          <w:spacing w:val="-8"/>
          <w:sz w:val="24"/>
        </w:rPr>
        <w:t>由于本项目采用电子招标方式，潜在投标人的名单将在提交投标文件截</w:t>
      </w:r>
      <w:r>
        <w:rPr>
          <w:spacing w:val="-2"/>
          <w:sz w:val="24"/>
        </w:rPr>
        <w:t>止时间后才会解密。因此，采购人或采购代理机构无法通过传统的传真或邮件方</w:t>
      </w:r>
      <w:r>
        <w:rPr>
          <w:spacing w:val="-20"/>
          <w:sz w:val="24"/>
        </w:rPr>
        <w:t>式，将招标文件的澄清或修改内容逐一通知到每位已获取招标文件的潜在投标人。为确</w:t>
      </w:r>
      <w:r>
        <w:rPr>
          <w:spacing w:val="-8"/>
          <w:sz w:val="24"/>
        </w:rPr>
        <w:t>保信息的及时性和准确性，澄清或修改的内容将仅在政采云平台以更正公告的形式</w:t>
      </w:r>
      <w:r>
        <w:rPr>
          <w:spacing w:val="-26"/>
          <w:sz w:val="24"/>
        </w:rPr>
        <w:t>发布。潜在投标人需密切关注该网站，及时查看并下载相关更正公告。若因潜在投标人未</w:t>
      </w:r>
      <w:r>
        <w:rPr>
          <w:spacing w:val="-2"/>
          <w:sz w:val="24"/>
        </w:rPr>
        <w:t>能及时查看或下载相关更正公告，而导致的一切后果，将由潜</w:t>
      </w:r>
    </w:p>
    <w:p>
      <w:pPr>
        <w:spacing w:after="0" w:line="336" w:lineRule="auto"/>
        <w:jc w:val="left"/>
        <w:rPr>
          <w:sz w:val="24"/>
        </w:rPr>
        <w:sectPr>
          <w:pgSz w:w="11910" w:h="16840"/>
          <w:pgMar w:top="1100" w:right="720" w:bottom="1180" w:left="920" w:header="918" w:footer="981" w:gutter="0"/>
          <w:pgNumType w:fmt="numberInDash"/>
          <w:cols w:space="720" w:num="1"/>
        </w:sectPr>
      </w:pPr>
    </w:p>
    <w:p>
      <w:pPr>
        <w:pStyle w:val="9"/>
        <w:spacing w:before="94"/>
      </w:pPr>
    </w:p>
    <w:p>
      <w:pPr>
        <w:pStyle w:val="9"/>
        <w:spacing w:before="1"/>
        <w:ind w:left="887"/>
      </w:pPr>
      <w:r>
        <w:rPr>
          <w:spacing w:val="-7"/>
        </w:rPr>
        <w:t>在投标人自行承担。</w:t>
      </w:r>
    </w:p>
    <w:p>
      <w:pPr>
        <w:pStyle w:val="8"/>
        <w:spacing w:before="218" w:line="316" w:lineRule="auto"/>
        <w:ind w:left="889" w:right="7225" w:firstLine="4"/>
      </w:pPr>
      <w:r>
        <w:rPr>
          <w:spacing w:val="-2"/>
        </w:rPr>
        <w:t>（二）</w:t>
      </w:r>
      <w:r>
        <w:rPr>
          <w:spacing w:val="-7"/>
        </w:rPr>
        <w:t xml:space="preserve">招标文件 </w:t>
      </w:r>
      <w:r>
        <w:rPr>
          <w:spacing w:val="-2"/>
        </w:rPr>
        <w:t>11.招标文件的组成</w:t>
      </w:r>
    </w:p>
    <w:p>
      <w:pPr>
        <w:pStyle w:val="15"/>
        <w:numPr>
          <w:ilvl w:val="1"/>
          <w:numId w:val="12"/>
        </w:numPr>
        <w:tabs>
          <w:tab w:val="left" w:pos="1878"/>
        </w:tabs>
        <w:spacing w:before="52" w:after="0" w:line="345" w:lineRule="auto"/>
        <w:ind w:left="887" w:right="1218" w:firstLine="496"/>
        <w:jc w:val="left"/>
        <w:rPr>
          <w:sz w:val="24"/>
        </w:rPr>
      </w:pPr>
      <w:r>
        <w:rPr>
          <w:spacing w:val="-15"/>
          <w:sz w:val="24"/>
        </w:rPr>
        <w:t xml:space="preserve">本招标文件包括下列文件及根据本章第 </w:t>
      </w:r>
      <w:r>
        <w:rPr>
          <w:spacing w:val="-14"/>
          <w:sz w:val="24"/>
        </w:rPr>
        <w:t>9</w:t>
      </w:r>
      <w:r>
        <w:rPr>
          <w:spacing w:val="-25"/>
          <w:sz w:val="24"/>
        </w:rPr>
        <w:t xml:space="preserve"> 款、第</w:t>
      </w:r>
      <w:r>
        <w:rPr>
          <w:spacing w:val="-14"/>
          <w:sz w:val="24"/>
        </w:rPr>
        <w:t>12</w:t>
      </w:r>
      <w:r>
        <w:rPr>
          <w:spacing w:val="-17"/>
          <w:sz w:val="24"/>
        </w:rPr>
        <w:t xml:space="preserve"> 款对招标文件所作的</w:t>
      </w:r>
      <w:r>
        <w:rPr>
          <w:spacing w:val="-2"/>
          <w:sz w:val="24"/>
        </w:rPr>
        <w:t>澄清或者修改。</w:t>
      </w:r>
    </w:p>
    <w:p>
      <w:pPr>
        <w:pStyle w:val="9"/>
        <w:spacing w:before="35" w:line="350" w:lineRule="auto"/>
        <w:ind w:left="1367" w:right="6956"/>
      </w:pPr>
      <w:r>
        <w:t>第一章 招标公告</w:t>
      </w:r>
      <w:r>
        <w:rPr>
          <w:spacing w:val="-14"/>
        </w:rPr>
        <w:t>第二章 投标人须知第三章 采购需求第</w:t>
      </w:r>
      <w:r>
        <w:t>四章 资格审查</w:t>
      </w:r>
    </w:p>
    <w:p>
      <w:pPr>
        <w:pStyle w:val="9"/>
        <w:spacing w:before="41" w:line="343" w:lineRule="auto"/>
        <w:ind w:left="1367" w:right="6500"/>
      </w:pPr>
      <w:r>
        <w:rPr>
          <w:spacing w:val="-15"/>
        </w:rPr>
        <w:t>第五章 评标方法及标准</w:t>
      </w:r>
      <w:r>
        <w:t>第六章 合同草案</w:t>
      </w:r>
    </w:p>
    <w:p>
      <w:pPr>
        <w:pStyle w:val="9"/>
        <w:spacing w:before="15"/>
        <w:ind w:left="1367"/>
      </w:pPr>
      <w:r>
        <w:rPr>
          <w:spacing w:val="-7"/>
        </w:rPr>
        <w:t>第七章 投标文件的格式</w:t>
      </w:r>
    </w:p>
    <w:p>
      <w:pPr>
        <w:pStyle w:val="8"/>
        <w:numPr>
          <w:ilvl w:val="0"/>
          <w:numId w:val="13"/>
        </w:numPr>
        <w:tabs>
          <w:tab w:val="left" w:pos="1217"/>
        </w:tabs>
        <w:spacing w:before="158" w:after="0" w:line="240" w:lineRule="auto"/>
        <w:ind w:left="1217" w:right="0" w:hanging="313"/>
        <w:jc w:val="left"/>
      </w:pPr>
      <w:r>
        <w:rPr>
          <w:spacing w:val="-9"/>
        </w:rPr>
        <w:t>招标文件的询问、澄清或者修改</w:t>
      </w:r>
    </w:p>
    <w:p>
      <w:pPr>
        <w:pStyle w:val="15"/>
        <w:numPr>
          <w:ilvl w:val="1"/>
          <w:numId w:val="13"/>
        </w:numPr>
        <w:tabs>
          <w:tab w:val="left" w:pos="1962"/>
        </w:tabs>
        <w:spacing w:before="156" w:after="0" w:line="355" w:lineRule="auto"/>
        <w:ind w:left="889" w:right="983" w:firstLine="494"/>
        <w:jc w:val="left"/>
        <w:rPr>
          <w:sz w:val="24"/>
        </w:rPr>
      </w:pPr>
      <w:r>
        <w:rPr>
          <w:spacing w:val="-6"/>
          <w:sz w:val="24"/>
        </w:rPr>
        <w:t>投标人对采购项目有疑问的，可以按照“投标人须知前附表”中的规定</w:t>
      </w:r>
      <w:r>
        <w:rPr>
          <w:spacing w:val="-2"/>
          <w:sz w:val="24"/>
        </w:rPr>
        <w:t>提出询问。提出后，请投标人及时通过交易平台“答疑文件下载”栏目查看答疑</w:t>
      </w:r>
      <w:r>
        <w:rPr>
          <w:spacing w:val="-32"/>
          <w:sz w:val="24"/>
        </w:rPr>
        <w:t>文件或澄清文件。必要时，采购代理机构将组织相关专家召开答疑会，如召开，答疑会安排</w:t>
      </w:r>
      <w:r>
        <w:rPr>
          <w:spacing w:val="-8"/>
          <w:sz w:val="24"/>
        </w:rPr>
        <w:t>另行通知。采购人或采购代理机构将在收到询问后依法予以答复。对招标文件询问</w:t>
      </w:r>
      <w:r>
        <w:rPr>
          <w:spacing w:val="-18"/>
          <w:sz w:val="24"/>
        </w:rPr>
        <w:t>的答复，在必要时将以澄清形式推送给每个获取招标文件的潜在投标人(答复中不包括</w:t>
      </w:r>
      <w:r>
        <w:rPr>
          <w:spacing w:val="-2"/>
          <w:sz w:val="24"/>
        </w:rPr>
        <w:t>问题的来源)。</w:t>
      </w:r>
    </w:p>
    <w:p>
      <w:pPr>
        <w:pStyle w:val="9"/>
        <w:spacing w:before="25" w:line="350" w:lineRule="auto"/>
        <w:ind w:left="887" w:right="1057" w:firstLine="482"/>
        <w:jc w:val="both"/>
      </w:pPr>
      <w:r>
        <w:rPr>
          <w:spacing w:val="-10"/>
        </w:rPr>
        <w:t>投标人在规定的时间内未对招标文件提出疑问或要求澄清的，采购代理机构将</w:t>
      </w:r>
      <w:r>
        <w:rPr>
          <w:spacing w:val="-3"/>
        </w:rPr>
        <w:t>视其为同意，对在“投标人须知前附表”中“提出询问的时间要求”之后就招标</w:t>
      </w:r>
      <w:r>
        <w:rPr>
          <w:spacing w:val="-2"/>
        </w:rPr>
        <w:t>文件内容提出的疑问及澄清要求将不予受理。</w:t>
      </w:r>
    </w:p>
    <w:p>
      <w:pPr>
        <w:pStyle w:val="15"/>
        <w:numPr>
          <w:ilvl w:val="1"/>
          <w:numId w:val="13"/>
        </w:numPr>
        <w:tabs>
          <w:tab w:val="left" w:pos="1983"/>
        </w:tabs>
        <w:spacing w:before="31" w:after="0" w:line="312" w:lineRule="auto"/>
        <w:ind w:left="887" w:right="1085" w:firstLine="496"/>
        <w:jc w:val="both"/>
        <w:rPr>
          <w:sz w:val="24"/>
        </w:rPr>
      </w:pPr>
      <w:r>
        <w:rPr>
          <w:spacing w:val="-2"/>
          <w:sz w:val="24"/>
        </w:rPr>
        <w:t>采购人或者采购代理机构可以对已发出的招标文件进行必要的澄清或</w:t>
      </w:r>
      <w:r>
        <w:rPr>
          <w:spacing w:val="-4"/>
          <w:sz w:val="24"/>
        </w:rPr>
        <w:t>者修改。澄清或修改的内容为招标文件的组成部分，并对所有获取招标文件的潜</w:t>
      </w:r>
      <w:r>
        <w:rPr>
          <w:spacing w:val="-2"/>
          <w:sz w:val="24"/>
        </w:rPr>
        <w:t>在投标人具有约束力。</w:t>
      </w:r>
    </w:p>
    <w:p>
      <w:pPr>
        <w:pStyle w:val="15"/>
        <w:numPr>
          <w:ilvl w:val="1"/>
          <w:numId w:val="13"/>
        </w:numPr>
        <w:tabs>
          <w:tab w:val="left" w:pos="1983"/>
        </w:tabs>
        <w:spacing w:before="182" w:after="0" w:line="324" w:lineRule="auto"/>
        <w:ind w:left="887" w:right="1085" w:firstLine="496"/>
        <w:jc w:val="both"/>
        <w:rPr>
          <w:sz w:val="24"/>
        </w:rPr>
      </w:pPr>
      <w:r>
        <w:rPr>
          <w:spacing w:val="-2"/>
          <w:sz w:val="24"/>
        </w:rPr>
        <w:t>招标文件的澄清或者修改以当面交接、邮寄、传真或电子邮件、网站</w:t>
      </w:r>
      <w:r>
        <w:rPr>
          <w:spacing w:val="-4"/>
          <w:sz w:val="24"/>
        </w:rPr>
        <w:t>披露等其中至少一种方式，发给所有领取招标文件的潜在投标人，但不包括问题的来源。澄清或者修改的内容可能影响投标文件编制的，采购人或者采购代理机</w:t>
      </w:r>
      <w:r>
        <w:rPr>
          <w:spacing w:val="-10"/>
          <w:sz w:val="24"/>
        </w:rPr>
        <w:t xml:space="preserve">构应当在投标截止时间至少 </w:t>
      </w:r>
      <w:r>
        <w:rPr>
          <w:spacing w:val="-8"/>
          <w:sz w:val="24"/>
        </w:rPr>
        <w:t>15 日前，以书面形式通知所有获取招标文件的潜在</w:t>
      </w:r>
    </w:p>
    <w:p>
      <w:pPr>
        <w:pStyle w:val="9"/>
        <w:spacing w:before="156"/>
        <w:ind w:left="891"/>
        <w:jc w:val="both"/>
      </w:pPr>
      <w:r>
        <w:rPr>
          <w:spacing w:val="-20"/>
        </w:rPr>
        <w:t xml:space="preserve">投标人；不足 </w:t>
      </w:r>
      <w:r>
        <w:rPr>
          <w:spacing w:val="-18"/>
        </w:rPr>
        <w:t>15 日的，采购人或者采购代理机构应当顺延提交投标文件的截止</w:t>
      </w:r>
    </w:p>
    <w:p>
      <w:pPr>
        <w:spacing w:after="0"/>
        <w:jc w:val="both"/>
        <w:sectPr>
          <w:pgSz w:w="11910" w:h="16840"/>
          <w:pgMar w:top="1100" w:right="720" w:bottom="1180" w:left="920" w:header="918" w:footer="981" w:gutter="0"/>
          <w:pgNumType w:fmt="numberInDash"/>
          <w:cols w:space="720" w:num="1"/>
        </w:sectPr>
      </w:pPr>
    </w:p>
    <w:p>
      <w:pPr>
        <w:pStyle w:val="9"/>
        <w:spacing w:before="97"/>
      </w:pPr>
    </w:p>
    <w:p>
      <w:pPr>
        <w:pStyle w:val="9"/>
        <w:ind w:left="899"/>
      </w:pPr>
      <w:r>
        <w:rPr>
          <w:spacing w:val="-10"/>
        </w:rPr>
        <w:t>时间。</w:t>
      </w:r>
    </w:p>
    <w:p>
      <w:pPr>
        <w:pStyle w:val="15"/>
        <w:numPr>
          <w:ilvl w:val="1"/>
          <w:numId w:val="13"/>
        </w:numPr>
        <w:tabs>
          <w:tab w:val="left" w:pos="1974"/>
        </w:tabs>
        <w:spacing w:before="173" w:after="0" w:line="288" w:lineRule="auto"/>
        <w:ind w:left="889" w:right="1098" w:firstLine="496"/>
        <w:jc w:val="both"/>
        <w:rPr>
          <w:sz w:val="24"/>
        </w:rPr>
      </w:pPr>
      <w:r>
        <w:rPr>
          <w:spacing w:val="-1"/>
          <w:sz w:val="24"/>
        </w:rPr>
        <w:t>“投标人须知”所称“书面形式”包括系统消息、政府采购云平台发</w:t>
      </w:r>
      <w:r>
        <w:rPr>
          <w:spacing w:val="-2"/>
          <w:sz w:val="24"/>
        </w:rPr>
        <w:t>布的公告。</w:t>
      </w:r>
    </w:p>
    <w:p>
      <w:pPr>
        <w:pStyle w:val="15"/>
        <w:numPr>
          <w:ilvl w:val="1"/>
          <w:numId w:val="13"/>
        </w:numPr>
        <w:tabs>
          <w:tab w:val="left" w:pos="1942"/>
        </w:tabs>
        <w:spacing w:before="182" w:after="0" w:line="324" w:lineRule="auto"/>
        <w:ind w:left="887" w:right="1074" w:firstLine="499"/>
        <w:jc w:val="both"/>
        <w:rPr>
          <w:sz w:val="24"/>
        </w:rPr>
      </w:pPr>
      <w:r>
        <w:rPr>
          <w:spacing w:val="-2"/>
          <w:sz w:val="24"/>
        </w:rPr>
        <w:t>采购代理机构一旦对招标文件作出了澄清、修改，即刻发生效力，采</w:t>
      </w:r>
      <w:r>
        <w:rPr>
          <w:spacing w:val="-4"/>
          <w:sz w:val="24"/>
        </w:rPr>
        <w:t>购代理机构有关的澄清、修改文件，将作为招标文件的组成部分，对所有现实的或潜在的投标人均具有约束力，而无论是否已经实际收到上述文件。同时，采购</w:t>
      </w:r>
      <w:r>
        <w:rPr>
          <w:spacing w:val="-2"/>
          <w:sz w:val="24"/>
        </w:rPr>
        <w:t>代理机构和投标人的权利及义务将受到新的截止期的约束。</w:t>
      </w:r>
    </w:p>
    <w:p>
      <w:pPr>
        <w:pStyle w:val="15"/>
        <w:numPr>
          <w:ilvl w:val="1"/>
          <w:numId w:val="13"/>
        </w:numPr>
        <w:tabs>
          <w:tab w:val="left" w:pos="1941"/>
        </w:tabs>
        <w:spacing w:before="180" w:after="0" w:line="328" w:lineRule="auto"/>
        <w:ind w:left="889" w:right="1074" w:firstLine="496"/>
        <w:jc w:val="both"/>
        <w:rPr>
          <w:sz w:val="24"/>
        </w:rPr>
      </w:pPr>
      <w:r>
        <w:rPr>
          <w:spacing w:val="-2"/>
          <w:sz w:val="24"/>
        </w:rPr>
        <w:t>采购代理机构对招标文件作出的澄清、修改在平台内进行披露，请投</w:t>
      </w:r>
      <w:r>
        <w:rPr>
          <w:spacing w:val="-4"/>
          <w:sz w:val="24"/>
        </w:rPr>
        <w:t>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w:t>
      </w:r>
      <w:r>
        <w:rPr>
          <w:spacing w:val="-2"/>
          <w:sz w:val="24"/>
        </w:rPr>
        <w:t>不一致时，以最后发布的内容为准。</w:t>
      </w:r>
    </w:p>
    <w:p>
      <w:pPr>
        <w:pStyle w:val="8"/>
        <w:spacing w:before="232" w:line="350" w:lineRule="auto"/>
        <w:ind w:left="599" w:right="7693" w:firstLine="295"/>
      </w:pPr>
      <w:r>
        <w:rPr>
          <w:spacing w:val="-2"/>
        </w:rPr>
        <w:t xml:space="preserve">（三）投标文件 </w:t>
      </w:r>
      <w:r>
        <w:rPr>
          <w:spacing w:val="-10"/>
        </w:rPr>
        <w:t>13.投标文件的组成</w:t>
      </w:r>
    </w:p>
    <w:p>
      <w:pPr>
        <w:pStyle w:val="15"/>
        <w:numPr>
          <w:ilvl w:val="1"/>
          <w:numId w:val="14"/>
        </w:numPr>
        <w:tabs>
          <w:tab w:val="left" w:pos="1912"/>
        </w:tabs>
        <w:spacing w:before="8" w:after="0" w:line="290" w:lineRule="auto"/>
        <w:ind w:left="894" w:right="1098" w:firstLine="492"/>
        <w:jc w:val="both"/>
        <w:rPr>
          <w:sz w:val="24"/>
        </w:rPr>
      </w:pPr>
      <w:r>
        <w:rPr>
          <w:spacing w:val="-8"/>
          <w:sz w:val="24"/>
        </w:rPr>
        <w:t>投标人应完整地按招标文件提供的投标文件格式及要求编写投标文件，</w:t>
      </w:r>
      <w:r>
        <w:rPr>
          <w:sz w:val="24"/>
        </w:rPr>
        <w:t>具体内容详见“第七章 投标文件格式”的相关内容。</w:t>
      </w:r>
    </w:p>
    <w:p>
      <w:pPr>
        <w:pStyle w:val="15"/>
        <w:numPr>
          <w:ilvl w:val="1"/>
          <w:numId w:val="14"/>
        </w:numPr>
        <w:tabs>
          <w:tab w:val="left" w:pos="1946"/>
        </w:tabs>
        <w:spacing w:before="176" w:after="0" w:line="312" w:lineRule="auto"/>
        <w:ind w:left="887" w:right="1076" w:firstLine="499"/>
        <w:jc w:val="both"/>
        <w:rPr>
          <w:sz w:val="24"/>
        </w:rPr>
      </w:pPr>
      <w:r>
        <w:rPr>
          <w:spacing w:val="-2"/>
          <w:sz w:val="24"/>
        </w:rPr>
        <w:t>投标人应提交招标文件要求的证明文件，证明其投标内容符合招标文</w:t>
      </w:r>
      <w:r>
        <w:rPr>
          <w:spacing w:val="-4"/>
          <w:sz w:val="24"/>
        </w:rPr>
        <w:t>件规定，该证明文件是投标文件的一部分。证明文件形式可以是文字资料、图纸</w:t>
      </w:r>
      <w:r>
        <w:rPr>
          <w:spacing w:val="-2"/>
          <w:sz w:val="24"/>
        </w:rPr>
        <w:t>和数据等。</w:t>
      </w:r>
    </w:p>
    <w:p>
      <w:pPr>
        <w:pStyle w:val="15"/>
        <w:numPr>
          <w:ilvl w:val="1"/>
          <w:numId w:val="14"/>
        </w:numPr>
        <w:tabs>
          <w:tab w:val="left" w:pos="1946"/>
        </w:tabs>
        <w:spacing w:before="183" w:after="0" w:line="288" w:lineRule="auto"/>
        <w:ind w:left="935" w:right="1076" w:firstLine="451"/>
        <w:jc w:val="both"/>
        <w:rPr>
          <w:sz w:val="24"/>
        </w:rPr>
      </w:pPr>
      <w:r>
        <w:rPr>
          <w:spacing w:val="-2"/>
          <w:sz w:val="24"/>
        </w:rPr>
        <w:t>为保证公平公正，除非本招标文件另有规定或说明，投标人对同一项目投标时，不得同时提供备选投标方案。</w:t>
      </w:r>
    </w:p>
    <w:p>
      <w:pPr>
        <w:pStyle w:val="8"/>
        <w:numPr>
          <w:ilvl w:val="0"/>
          <w:numId w:val="15"/>
        </w:numPr>
        <w:tabs>
          <w:tab w:val="left" w:pos="1251"/>
        </w:tabs>
        <w:spacing w:before="163" w:after="0" w:line="240" w:lineRule="auto"/>
        <w:ind w:left="1251" w:right="0" w:hanging="467"/>
        <w:jc w:val="both"/>
      </w:pPr>
      <w:r>
        <w:rPr>
          <w:spacing w:val="-12"/>
        </w:rPr>
        <w:t>投标报价</w:t>
      </w:r>
    </w:p>
    <w:p>
      <w:pPr>
        <w:pStyle w:val="15"/>
        <w:numPr>
          <w:ilvl w:val="1"/>
          <w:numId w:val="15"/>
        </w:numPr>
        <w:tabs>
          <w:tab w:val="left" w:pos="1965"/>
        </w:tabs>
        <w:spacing w:before="139" w:after="0" w:line="240" w:lineRule="auto"/>
        <w:ind w:left="1965" w:right="0" w:hanging="579"/>
        <w:jc w:val="both"/>
        <w:rPr>
          <w:sz w:val="24"/>
        </w:rPr>
      </w:pPr>
      <w:r>
        <w:rPr>
          <w:spacing w:val="-7"/>
          <w:sz w:val="24"/>
        </w:rPr>
        <w:t>投标人的报价均应本招标文件规定的报价方式进行报价。</w:t>
      </w:r>
    </w:p>
    <w:p>
      <w:pPr>
        <w:pStyle w:val="15"/>
        <w:numPr>
          <w:ilvl w:val="1"/>
          <w:numId w:val="15"/>
        </w:numPr>
        <w:tabs>
          <w:tab w:val="left" w:pos="1985"/>
        </w:tabs>
        <w:spacing w:before="173" w:after="0" w:line="312" w:lineRule="auto"/>
        <w:ind w:left="889" w:right="1081" w:firstLine="496"/>
        <w:jc w:val="both"/>
        <w:rPr>
          <w:sz w:val="24"/>
        </w:rPr>
      </w:pPr>
      <w:r>
        <w:rPr>
          <w:spacing w:val="-2"/>
          <w:sz w:val="24"/>
        </w:rPr>
        <w:t>投标人应按照本招标文件规定的报价方式进行报价，投标报价中不得</w:t>
      </w:r>
      <w:r>
        <w:rPr>
          <w:spacing w:val="-4"/>
          <w:sz w:val="24"/>
        </w:rPr>
        <w:t>包含招标文件要求以外的内容，否则，在评标时不予核减。投标报价中也不得遗</w:t>
      </w:r>
      <w:r>
        <w:rPr>
          <w:spacing w:val="-2"/>
          <w:sz w:val="24"/>
        </w:rPr>
        <w:t>漏招标文件所要求的内容，否则其</w:t>
      </w:r>
      <w:r>
        <w:rPr>
          <w:b/>
          <w:spacing w:val="-2"/>
          <w:sz w:val="24"/>
        </w:rPr>
        <w:t>投标无效</w:t>
      </w:r>
      <w:r>
        <w:rPr>
          <w:spacing w:val="-2"/>
          <w:sz w:val="24"/>
        </w:rPr>
        <w:t>。</w:t>
      </w:r>
    </w:p>
    <w:p>
      <w:pPr>
        <w:pStyle w:val="15"/>
        <w:numPr>
          <w:ilvl w:val="1"/>
          <w:numId w:val="15"/>
        </w:numPr>
        <w:tabs>
          <w:tab w:val="left" w:pos="1929"/>
        </w:tabs>
        <w:spacing w:before="185" w:after="0" w:line="324" w:lineRule="auto"/>
        <w:ind w:left="887" w:right="1230" w:firstLine="499"/>
        <w:jc w:val="both"/>
        <w:rPr>
          <w:sz w:val="24"/>
        </w:rPr>
      </w:pPr>
      <w:r>
        <w:rPr>
          <w:spacing w:val="-4"/>
          <w:sz w:val="24"/>
        </w:rPr>
        <w:t>投标人的报价应包括为完成本项目所发生的一切费用和税费，采购人</w:t>
      </w:r>
      <w:r>
        <w:rPr>
          <w:spacing w:val="-8"/>
          <w:sz w:val="24"/>
        </w:rPr>
        <w:t>将不再支付报价以外的任何费用。只要投报了一个确定数额的总价，无论分项价</w:t>
      </w:r>
      <w:r>
        <w:rPr>
          <w:spacing w:val="-14"/>
          <w:sz w:val="24"/>
        </w:rPr>
        <w:t>格是否全部填报了相应的金额或免费字样，报价应被视为已经包含了但并不限于本</w:t>
      </w:r>
      <w:r>
        <w:rPr>
          <w:spacing w:val="-10"/>
          <w:sz w:val="24"/>
        </w:rPr>
        <w:t>次招标全部采购需求所应提供的服务，以及伴随的货物和工程等的费用和所需</w:t>
      </w:r>
    </w:p>
    <w:p>
      <w:pPr>
        <w:spacing w:after="0" w:line="324" w:lineRule="auto"/>
        <w:jc w:val="both"/>
        <w:rPr>
          <w:sz w:val="24"/>
        </w:rPr>
        <w:sectPr>
          <w:pgSz w:w="11910" w:h="16840"/>
          <w:pgMar w:top="1100" w:right="720" w:bottom="1180" w:left="920" w:header="918" w:footer="981" w:gutter="0"/>
          <w:pgNumType w:fmt="numberInDash"/>
          <w:cols w:space="720" w:num="1"/>
        </w:sectPr>
      </w:pPr>
    </w:p>
    <w:p>
      <w:pPr>
        <w:pStyle w:val="9"/>
        <w:spacing w:before="116"/>
      </w:pPr>
    </w:p>
    <w:p>
      <w:pPr>
        <w:pStyle w:val="9"/>
        <w:spacing w:line="343" w:lineRule="auto"/>
        <w:ind w:left="884" w:right="1254"/>
      </w:pPr>
      <w:r>
        <w:rPr>
          <w:spacing w:val="-8"/>
        </w:rPr>
        <w:t>缴纳的所有价格、税、费。在其他情况下，由于分项报价填报不完整、不清楚或</w:t>
      </w:r>
      <w:r>
        <w:rPr>
          <w:spacing w:val="-2"/>
        </w:rPr>
        <w:t>存在其他任何失误，所导致的任何不利后果均应当由投标人自行承担。</w:t>
      </w:r>
    </w:p>
    <w:p>
      <w:pPr>
        <w:pStyle w:val="15"/>
        <w:numPr>
          <w:ilvl w:val="1"/>
          <w:numId w:val="15"/>
        </w:numPr>
        <w:tabs>
          <w:tab w:val="left" w:pos="1926"/>
        </w:tabs>
        <w:spacing w:before="37" w:after="0" w:line="290" w:lineRule="auto"/>
        <w:ind w:left="891" w:right="1283" w:firstLine="492"/>
        <w:jc w:val="left"/>
        <w:rPr>
          <w:sz w:val="24"/>
        </w:rPr>
      </w:pPr>
      <w:r>
        <w:rPr>
          <w:spacing w:val="-6"/>
          <w:sz w:val="24"/>
        </w:rPr>
        <w:t>投标人的报价应包括但不限于按照招标文件要求完成本项目的全部相</w:t>
      </w:r>
      <w:r>
        <w:rPr>
          <w:spacing w:val="-4"/>
          <w:sz w:val="24"/>
        </w:rPr>
        <w:t>关费用。</w:t>
      </w:r>
    </w:p>
    <w:p>
      <w:pPr>
        <w:pStyle w:val="15"/>
        <w:numPr>
          <w:ilvl w:val="1"/>
          <w:numId w:val="15"/>
        </w:numPr>
        <w:tabs>
          <w:tab w:val="left" w:pos="1975"/>
        </w:tabs>
        <w:spacing w:before="154" w:after="0" w:line="362" w:lineRule="auto"/>
        <w:ind w:left="887" w:right="666" w:firstLine="499"/>
        <w:jc w:val="left"/>
        <w:rPr>
          <w:sz w:val="24"/>
        </w:rPr>
      </w:pPr>
      <w:r>
        <w:rPr>
          <w:spacing w:val="-2"/>
          <w:sz w:val="24"/>
        </w:rPr>
        <w:t xml:space="preserve">投标人须严格按照分项报价表规定的内容填写服务单价以及其他事项。 </w:t>
      </w:r>
      <w:r>
        <w:rPr>
          <w:spacing w:val="-12"/>
          <w:sz w:val="24"/>
        </w:rPr>
        <w:t>投标人应根据本招标文件的规定和要求、市场价格水平及其走势、投标人的管理水平、</w:t>
      </w:r>
      <w:r>
        <w:rPr>
          <w:spacing w:val="-18"/>
          <w:sz w:val="24"/>
        </w:rPr>
        <w:t>投标人的方案和由这些因素决定的投标人之于本项目的成本水平等提出自己的报价。报价应合理，并包含完成本招标文件采购需求全部内容的所有费用，所有根据本招标文件或其</w:t>
      </w:r>
      <w:r>
        <w:rPr>
          <w:spacing w:val="-14"/>
          <w:sz w:val="24"/>
        </w:rPr>
        <w:t>它原因应由投标人支付的税款和其他应交纳的费用都</w:t>
      </w:r>
    </w:p>
    <w:p>
      <w:pPr>
        <w:pStyle w:val="9"/>
        <w:spacing w:line="292" w:lineRule="exact"/>
        <w:ind w:left="887"/>
      </w:pPr>
      <w:r>
        <w:rPr>
          <w:spacing w:val="-5"/>
        </w:rPr>
        <w:t>应包括在投标人提交的投标报价中。</w:t>
      </w:r>
    </w:p>
    <w:p>
      <w:pPr>
        <w:pStyle w:val="15"/>
        <w:numPr>
          <w:ilvl w:val="1"/>
          <w:numId w:val="15"/>
        </w:numPr>
        <w:tabs>
          <w:tab w:val="left" w:pos="1969"/>
        </w:tabs>
        <w:spacing w:before="149" w:after="0" w:line="240" w:lineRule="auto"/>
        <w:ind w:left="1969" w:right="0" w:hanging="583"/>
        <w:jc w:val="both"/>
        <w:rPr>
          <w:sz w:val="24"/>
        </w:rPr>
      </w:pPr>
      <w:r>
        <w:rPr>
          <w:spacing w:val="-5"/>
          <w:sz w:val="24"/>
        </w:rPr>
        <w:t>投标人在投标文件中注明免费的项目将视为包含在投标报价中。</w:t>
      </w:r>
    </w:p>
    <w:p>
      <w:pPr>
        <w:pStyle w:val="15"/>
        <w:numPr>
          <w:ilvl w:val="1"/>
          <w:numId w:val="15"/>
        </w:numPr>
        <w:tabs>
          <w:tab w:val="left" w:pos="1983"/>
        </w:tabs>
        <w:spacing w:before="175" w:after="0" w:line="312" w:lineRule="auto"/>
        <w:ind w:left="891" w:right="1079" w:firstLine="492"/>
        <w:jc w:val="both"/>
        <w:rPr>
          <w:sz w:val="24"/>
        </w:rPr>
      </w:pPr>
      <w:r>
        <w:rPr>
          <w:spacing w:val="-2"/>
          <w:sz w:val="24"/>
        </w:rPr>
        <w:t>每一种采购内容只允许有一个报价，否则其</w:t>
      </w:r>
      <w:r>
        <w:rPr>
          <w:b/>
          <w:spacing w:val="-2"/>
          <w:sz w:val="24"/>
        </w:rPr>
        <w:t>投标无效</w:t>
      </w:r>
      <w:r>
        <w:rPr>
          <w:spacing w:val="-2"/>
          <w:sz w:val="24"/>
        </w:rPr>
        <w:t>。除非招标文件</w:t>
      </w:r>
      <w:r>
        <w:rPr>
          <w:spacing w:val="-4"/>
          <w:sz w:val="24"/>
        </w:rPr>
        <w:t>另有规定，不接受可选择或可调整的投标方案和报价，任何有选择的或可调整的</w:t>
      </w:r>
      <w:r>
        <w:rPr>
          <w:spacing w:val="-2"/>
          <w:sz w:val="24"/>
        </w:rPr>
        <w:t>投标方案和报价将被视为非实质性响应招标文件,其</w:t>
      </w:r>
      <w:r>
        <w:rPr>
          <w:b/>
          <w:spacing w:val="-2"/>
          <w:sz w:val="24"/>
        </w:rPr>
        <w:t>投标无效</w:t>
      </w:r>
      <w:r>
        <w:rPr>
          <w:spacing w:val="-2"/>
          <w:sz w:val="24"/>
        </w:rPr>
        <w:t>。</w:t>
      </w:r>
    </w:p>
    <w:p>
      <w:pPr>
        <w:pStyle w:val="15"/>
        <w:numPr>
          <w:ilvl w:val="1"/>
          <w:numId w:val="15"/>
        </w:numPr>
        <w:tabs>
          <w:tab w:val="left" w:pos="1966"/>
        </w:tabs>
        <w:spacing w:before="183" w:after="0" w:line="288" w:lineRule="auto"/>
        <w:ind w:left="889" w:right="1067" w:firstLine="494"/>
        <w:jc w:val="both"/>
        <w:rPr>
          <w:sz w:val="24"/>
        </w:rPr>
      </w:pPr>
      <w:r>
        <w:rPr>
          <w:spacing w:val="-4"/>
          <w:sz w:val="24"/>
        </w:rPr>
        <w:t>投标报价不得超过“第一章 招标公告”中规定的最高投标限价或者预</w:t>
      </w:r>
      <w:r>
        <w:rPr>
          <w:spacing w:val="-2"/>
          <w:sz w:val="24"/>
        </w:rPr>
        <w:t>算金额，否则评标委员会将对其作</w:t>
      </w:r>
      <w:r>
        <w:rPr>
          <w:b/>
          <w:spacing w:val="-2"/>
          <w:sz w:val="24"/>
        </w:rPr>
        <w:t>无效投标处理</w:t>
      </w:r>
      <w:r>
        <w:rPr>
          <w:spacing w:val="-2"/>
          <w:sz w:val="24"/>
        </w:rPr>
        <w:t>。</w:t>
      </w:r>
    </w:p>
    <w:p>
      <w:pPr>
        <w:pStyle w:val="15"/>
        <w:numPr>
          <w:ilvl w:val="1"/>
          <w:numId w:val="15"/>
        </w:numPr>
        <w:tabs>
          <w:tab w:val="left" w:pos="1969"/>
        </w:tabs>
        <w:spacing w:before="160" w:after="0" w:line="240" w:lineRule="auto"/>
        <w:ind w:left="1969" w:right="0" w:hanging="583"/>
        <w:jc w:val="both"/>
        <w:rPr>
          <w:sz w:val="24"/>
        </w:rPr>
      </w:pPr>
      <w:r>
        <w:rPr>
          <w:spacing w:val="-5"/>
          <w:sz w:val="24"/>
        </w:rPr>
        <w:t>投标人对投标报价若有说明应在投标文件中显著处注明。</w:t>
      </w:r>
    </w:p>
    <w:p>
      <w:pPr>
        <w:pStyle w:val="9"/>
        <w:spacing w:before="178"/>
        <w:ind w:left="1381"/>
      </w:pPr>
      <w:r>
        <w:rPr>
          <w:spacing w:val="-24"/>
        </w:rPr>
        <w:t>除政策性文件规定以外，投标人所报价格在合同实施期间不因市场变化因素而变</w:t>
      </w:r>
    </w:p>
    <w:p>
      <w:pPr>
        <w:pStyle w:val="9"/>
        <w:spacing w:before="137"/>
        <w:ind w:left="889"/>
      </w:pPr>
      <w:r>
        <w:rPr>
          <w:spacing w:val="-9"/>
        </w:rPr>
        <w:t>动。</w:t>
      </w:r>
    </w:p>
    <w:p>
      <w:pPr>
        <w:pStyle w:val="15"/>
        <w:numPr>
          <w:ilvl w:val="1"/>
          <w:numId w:val="15"/>
        </w:numPr>
        <w:tabs>
          <w:tab w:val="left" w:pos="2084"/>
        </w:tabs>
        <w:spacing w:before="149" w:after="0" w:line="240" w:lineRule="auto"/>
        <w:ind w:left="2084" w:right="0" w:hanging="698"/>
        <w:jc w:val="left"/>
        <w:rPr>
          <w:sz w:val="24"/>
        </w:rPr>
      </w:pPr>
      <w:r>
        <w:rPr>
          <w:spacing w:val="-5"/>
          <w:sz w:val="24"/>
        </w:rPr>
        <w:t>最低报价不能作为中标的保证。</w:t>
      </w:r>
    </w:p>
    <w:p>
      <w:pPr>
        <w:pStyle w:val="15"/>
        <w:numPr>
          <w:ilvl w:val="1"/>
          <w:numId w:val="15"/>
        </w:numPr>
        <w:tabs>
          <w:tab w:val="left" w:pos="2029"/>
        </w:tabs>
        <w:spacing w:before="177" w:after="0" w:line="288" w:lineRule="auto"/>
        <w:ind w:left="891" w:right="1163" w:firstLine="492"/>
        <w:jc w:val="both"/>
        <w:rPr>
          <w:sz w:val="24"/>
        </w:rPr>
      </w:pPr>
      <w:r>
        <w:rPr>
          <w:spacing w:val="-6"/>
          <w:sz w:val="24"/>
        </w:rPr>
        <w:t>采购人不得向投标人索要或者接受其给予的赠品、回扣或者与采购无</w:t>
      </w:r>
      <w:r>
        <w:rPr>
          <w:spacing w:val="-2"/>
          <w:sz w:val="24"/>
        </w:rPr>
        <w:t>关的其他商品、服务。</w:t>
      </w:r>
    </w:p>
    <w:p>
      <w:pPr>
        <w:pStyle w:val="8"/>
        <w:numPr>
          <w:ilvl w:val="0"/>
          <w:numId w:val="15"/>
        </w:numPr>
        <w:tabs>
          <w:tab w:val="left" w:pos="1251"/>
        </w:tabs>
        <w:spacing w:before="163" w:after="0" w:line="240" w:lineRule="auto"/>
        <w:ind w:left="1251" w:right="0" w:hanging="467"/>
        <w:jc w:val="both"/>
      </w:pPr>
      <w:r>
        <w:rPr>
          <w:spacing w:val="-12"/>
        </w:rPr>
        <w:t>投标有效期</w:t>
      </w:r>
    </w:p>
    <w:p>
      <w:pPr>
        <w:pStyle w:val="15"/>
        <w:numPr>
          <w:ilvl w:val="1"/>
          <w:numId w:val="15"/>
        </w:numPr>
        <w:tabs>
          <w:tab w:val="left" w:pos="1966"/>
        </w:tabs>
        <w:spacing w:before="159" w:after="0" w:line="288" w:lineRule="auto"/>
        <w:ind w:left="891" w:right="1079" w:firstLine="492"/>
        <w:jc w:val="both"/>
        <w:rPr>
          <w:sz w:val="24"/>
        </w:rPr>
      </w:pPr>
      <w:r>
        <w:rPr>
          <w:spacing w:val="-6"/>
          <w:sz w:val="24"/>
        </w:rPr>
        <w:t>投标有效期见“第二章 投标人须知前附表”，投标人承诺的投标有效</w:t>
      </w:r>
      <w:r>
        <w:rPr>
          <w:spacing w:val="-2"/>
          <w:sz w:val="24"/>
        </w:rPr>
        <w:t>期少于招标文件规定期限的，其</w:t>
      </w:r>
      <w:r>
        <w:rPr>
          <w:b/>
          <w:spacing w:val="-2"/>
          <w:sz w:val="24"/>
        </w:rPr>
        <w:t>投标无效</w:t>
      </w:r>
      <w:r>
        <w:rPr>
          <w:spacing w:val="-2"/>
          <w:sz w:val="24"/>
        </w:rPr>
        <w:t>。</w:t>
      </w:r>
    </w:p>
    <w:p>
      <w:pPr>
        <w:pStyle w:val="15"/>
        <w:numPr>
          <w:ilvl w:val="1"/>
          <w:numId w:val="15"/>
        </w:numPr>
        <w:tabs>
          <w:tab w:val="left" w:pos="1983"/>
        </w:tabs>
        <w:spacing w:before="182" w:after="0" w:line="312" w:lineRule="auto"/>
        <w:ind w:left="887" w:right="1062" w:firstLine="496"/>
        <w:jc w:val="both"/>
        <w:rPr>
          <w:sz w:val="24"/>
        </w:rPr>
      </w:pPr>
      <w:r>
        <w:rPr>
          <w:spacing w:val="-2"/>
          <w:sz w:val="24"/>
        </w:rPr>
        <w:t>投标有效期从提交投标文件的截止之日起算。投标文件中承诺的投标</w:t>
      </w:r>
      <w:r>
        <w:rPr>
          <w:spacing w:val="-10"/>
          <w:sz w:val="24"/>
        </w:rPr>
        <w:t>有效期应当不少于招标文件中载明的投标有效期。投标有效期内投标人撤销投标文</w:t>
      </w:r>
      <w:r>
        <w:rPr>
          <w:spacing w:val="-2"/>
          <w:sz w:val="24"/>
        </w:rPr>
        <w:t>件的，采购人或者采购代理机构可以不退还投标保证金。</w:t>
      </w:r>
    </w:p>
    <w:p>
      <w:pPr>
        <w:pStyle w:val="15"/>
        <w:numPr>
          <w:ilvl w:val="1"/>
          <w:numId w:val="15"/>
        </w:numPr>
        <w:tabs>
          <w:tab w:val="left" w:pos="1939"/>
        </w:tabs>
        <w:spacing w:before="180" w:after="0" w:line="290" w:lineRule="auto"/>
        <w:ind w:left="889" w:right="1076" w:firstLine="494"/>
        <w:jc w:val="both"/>
        <w:rPr>
          <w:sz w:val="24"/>
        </w:rPr>
      </w:pPr>
      <w:r>
        <w:rPr>
          <w:spacing w:val="-2"/>
          <w:sz w:val="24"/>
        </w:rPr>
        <w:t>特殊情况下，在原投标文件有效期截止之前，采购代理机构或采购人</w:t>
      </w:r>
      <w:r>
        <w:rPr>
          <w:spacing w:val="-4"/>
          <w:sz w:val="24"/>
        </w:rPr>
        <w:t>可要求投标人延长投标有效期。需要延长投标有效期时，采购代理机构或采购人</w:t>
      </w:r>
    </w:p>
    <w:p>
      <w:pPr>
        <w:spacing w:after="0" w:line="290" w:lineRule="auto"/>
        <w:jc w:val="both"/>
        <w:rPr>
          <w:sz w:val="24"/>
        </w:rPr>
        <w:sectPr>
          <w:pgSz w:w="11910" w:h="16840"/>
          <w:pgMar w:top="1100" w:right="720" w:bottom="1180" w:left="920" w:header="918" w:footer="981" w:gutter="0"/>
          <w:pgNumType w:fmt="numberInDash"/>
          <w:cols w:space="720" w:num="1"/>
        </w:sectPr>
      </w:pPr>
    </w:p>
    <w:p>
      <w:pPr>
        <w:pStyle w:val="9"/>
        <w:spacing w:before="94"/>
      </w:pPr>
    </w:p>
    <w:p>
      <w:pPr>
        <w:pStyle w:val="9"/>
        <w:spacing w:before="1"/>
        <w:ind w:left="884"/>
      </w:pPr>
      <w:r>
        <w:rPr>
          <w:spacing w:val="-18"/>
        </w:rPr>
        <w:t>将以书面形式通知所有投标人，投标人应以书面形式答复是否同意延长投标有效期。</w:t>
      </w:r>
    </w:p>
    <w:p>
      <w:pPr>
        <w:pStyle w:val="15"/>
        <w:numPr>
          <w:ilvl w:val="1"/>
          <w:numId w:val="15"/>
        </w:numPr>
        <w:tabs>
          <w:tab w:val="left" w:pos="1926"/>
        </w:tabs>
        <w:spacing w:before="175" w:after="0" w:line="348" w:lineRule="auto"/>
        <w:ind w:left="891" w:right="1252" w:firstLine="492"/>
        <w:jc w:val="both"/>
        <w:rPr>
          <w:sz w:val="24"/>
        </w:rPr>
      </w:pPr>
      <w:r>
        <w:rPr>
          <w:spacing w:val="-4"/>
          <w:sz w:val="24"/>
        </w:rPr>
        <w:t>投标人同意延长的，其投标保证金的有效期也相应延长，但不得要求</w:t>
      </w:r>
      <w:r>
        <w:rPr>
          <w:spacing w:val="-10"/>
          <w:sz w:val="24"/>
        </w:rPr>
        <w:t>或被允许修改或撤销其投标文件；投标人拒绝延长的，其投标文件在原投标有效</w:t>
      </w:r>
      <w:r>
        <w:rPr>
          <w:spacing w:val="-2"/>
          <w:sz w:val="24"/>
        </w:rPr>
        <w:t>期满后将不再有效，但其提交的投标保证金可予以退还。</w:t>
      </w:r>
    </w:p>
    <w:p>
      <w:pPr>
        <w:pStyle w:val="8"/>
        <w:numPr>
          <w:ilvl w:val="0"/>
          <w:numId w:val="15"/>
        </w:numPr>
        <w:tabs>
          <w:tab w:val="left" w:pos="1251"/>
        </w:tabs>
        <w:spacing w:before="20" w:after="0" w:line="240" w:lineRule="auto"/>
        <w:ind w:left="1251" w:right="0" w:hanging="467"/>
        <w:jc w:val="both"/>
      </w:pPr>
      <w:r>
        <w:rPr>
          <w:spacing w:val="-14"/>
        </w:rPr>
        <w:t>投标文件的编制</w:t>
      </w:r>
    </w:p>
    <w:p>
      <w:pPr>
        <w:pStyle w:val="15"/>
        <w:numPr>
          <w:ilvl w:val="1"/>
          <w:numId w:val="15"/>
        </w:numPr>
        <w:tabs>
          <w:tab w:val="left" w:pos="1928"/>
        </w:tabs>
        <w:spacing w:before="159" w:after="0" w:line="288" w:lineRule="auto"/>
        <w:ind w:left="908" w:right="1281" w:firstLine="477"/>
        <w:jc w:val="both"/>
        <w:rPr>
          <w:sz w:val="24"/>
        </w:rPr>
      </w:pPr>
      <w:r>
        <w:rPr>
          <w:spacing w:val="-6"/>
          <w:sz w:val="24"/>
        </w:rPr>
        <w:t>投标文件应在供应商客户端中进行编制，在投标文件中要求加盖印章</w:t>
      </w:r>
      <w:r>
        <w:rPr>
          <w:spacing w:val="-2"/>
          <w:sz w:val="24"/>
        </w:rPr>
        <w:t>的，除有特殊说明之外，可使用电子签章签署。</w:t>
      </w:r>
    </w:p>
    <w:p>
      <w:pPr>
        <w:pStyle w:val="15"/>
        <w:numPr>
          <w:ilvl w:val="1"/>
          <w:numId w:val="15"/>
        </w:numPr>
        <w:tabs>
          <w:tab w:val="left" w:pos="1926"/>
        </w:tabs>
        <w:spacing w:before="182" w:after="0" w:line="312" w:lineRule="auto"/>
        <w:ind w:left="891" w:right="1254" w:firstLine="492"/>
        <w:jc w:val="both"/>
        <w:rPr>
          <w:sz w:val="24"/>
        </w:rPr>
      </w:pPr>
      <w:r>
        <w:rPr>
          <w:spacing w:val="-6"/>
          <w:sz w:val="24"/>
        </w:rPr>
        <w:t>投标人在供应商客户端中按照供应商客户端中的格式要求填写响应内</w:t>
      </w:r>
      <w:r>
        <w:rPr>
          <w:spacing w:val="-10"/>
          <w:sz w:val="24"/>
        </w:rPr>
        <w:t>容后，生成投标文件。投标人须按照招标文件的要求使用电子签章对要求加盖印</w:t>
      </w:r>
      <w:r>
        <w:rPr>
          <w:spacing w:val="-2"/>
          <w:sz w:val="24"/>
        </w:rPr>
        <w:t>章的部分逐一进行签章。</w:t>
      </w:r>
    </w:p>
    <w:p>
      <w:pPr>
        <w:pStyle w:val="15"/>
        <w:numPr>
          <w:ilvl w:val="1"/>
          <w:numId w:val="15"/>
        </w:numPr>
        <w:tabs>
          <w:tab w:val="left" w:pos="1926"/>
        </w:tabs>
        <w:spacing w:before="180" w:after="0" w:line="312" w:lineRule="auto"/>
        <w:ind w:left="889" w:right="1254" w:firstLine="494"/>
        <w:jc w:val="both"/>
        <w:rPr>
          <w:sz w:val="24"/>
        </w:rPr>
      </w:pPr>
      <w:r>
        <w:rPr>
          <w:spacing w:val="-6"/>
          <w:sz w:val="24"/>
        </w:rPr>
        <w:t>投标人应详细阅读招标文件的全部内容。投标文件须对招标文件中的</w:t>
      </w:r>
      <w:r>
        <w:rPr>
          <w:spacing w:val="-10"/>
          <w:sz w:val="24"/>
        </w:rPr>
        <w:t>内容作出实质性和完整的响应，如果投标文件填报的内容不详，或没有提供招标</w:t>
      </w:r>
      <w:r>
        <w:rPr>
          <w:spacing w:val="-2"/>
          <w:sz w:val="24"/>
        </w:rPr>
        <w:t>文件中所要求的全部资料及数据，将可能</w:t>
      </w:r>
      <w:r>
        <w:rPr>
          <w:b/>
          <w:spacing w:val="-2"/>
          <w:sz w:val="24"/>
        </w:rPr>
        <w:t>导致其投标无效</w:t>
      </w:r>
      <w:r>
        <w:rPr>
          <w:spacing w:val="-2"/>
          <w:sz w:val="24"/>
        </w:rPr>
        <w:t>。</w:t>
      </w:r>
    </w:p>
    <w:p>
      <w:pPr>
        <w:pStyle w:val="15"/>
        <w:numPr>
          <w:ilvl w:val="1"/>
          <w:numId w:val="15"/>
        </w:numPr>
        <w:tabs>
          <w:tab w:val="left" w:pos="1926"/>
        </w:tabs>
        <w:spacing w:before="182" w:after="0" w:line="324" w:lineRule="auto"/>
        <w:ind w:left="887" w:right="1254" w:firstLine="496"/>
        <w:jc w:val="both"/>
        <w:rPr>
          <w:sz w:val="24"/>
        </w:rPr>
      </w:pPr>
      <w:r>
        <w:rPr>
          <w:spacing w:val="-6"/>
          <w:sz w:val="24"/>
        </w:rPr>
        <w:t>投标文件须严格按照本招标文件第七章规定的格式提交，并按规定的</w:t>
      </w:r>
      <w:r>
        <w:rPr>
          <w:spacing w:val="-10"/>
          <w:sz w:val="24"/>
        </w:rPr>
        <w:t>统一格式逐项填写，不准有空项；无相应内容可填的项，应填写“无”、“未测试”、“没有相应指标”等明确的回答文字。由于编排混乱导致投标文件被误读</w:t>
      </w:r>
      <w:r>
        <w:rPr>
          <w:spacing w:val="-2"/>
          <w:sz w:val="24"/>
        </w:rPr>
        <w:t>或查找不到，其责任由投标人承担。</w:t>
      </w:r>
    </w:p>
    <w:p>
      <w:pPr>
        <w:pStyle w:val="15"/>
        <w:numPr>
          <w:ilvl w:val="1"/>
          <w:numId w:val="15"/>
        </w:numPr>
        <w:tabs>
          <w:tab w:val="left" w:pos="1926"/>
        </w:tabs>
        <w:spacing w:before="180" w:after="0" w:line="285" w:lineRule="auto"/>
        <w:ind w:left="889" w:right="1283" w:firstLine="494"/>
        <w:jc w:val="both"/>
        <w:rPr>
          <w:sz w:val="24"/>
        </w:rPr>
      </w:pPr>
      <w:r>
        <w:rPr>
          <w:spacing w:val="-6"/>
          <w:sz w:val="24"/>
        </w:rPr>
        <w:t>开标一览表为在开标时唱标的内容，要求按格式统一填写，不得自行</w:t>
      </w:r>
      <w:r>
        <w:rPr>
          <w:spacing w:val="-2"/>
          <w:sz w:val="24"/>
        </w:rPr>
        <w:t>增减内容。</w:t>
      </w:r>
    </w:p>
    <w:p>
      <w:pPr>
        <w:pStyle w:val="15"/>
        <w:numPr>
          <w:ilvl w:val="1"/>
          <w:numId w:val="15"/>
        </w:numPr>
        <w:tabs>
          <w:tab w:val="left" w:pos="1926"/>
        </w:tabs>
        <w:spacing w:before="187" w:after="0" w:line="338" w:lineRule="auto"/>
        <w:ind w:left="887" w:right="1230" w:firstLine="496"/>
        <w:jc w:val="both"/>
        <w:rPr>
          <w:sz w:val="24"/>
        </w:rPr>
      </w:pPr>
      <w:r>
        <w:rPr>
          <w:spacing w:val="-4"/>
          <w:sz w:val="24"/>
        </w:rPr>
        <w:t>投标人须注意：为合理节约政府采购评审成本，提倡诚实信用的投标</w:t>
      </w:r>
      <w:r>
        <w:rPr>
          <w:spacing w:val="-8"/>
          <w:sz w:val="24"/>
        </w:rPr>
        <w:t>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w:t>
      </w:r>
      <w:r>
        <w:rPr>
          <w:spacing w:val="-14"/>
          <w:sz w:val="24"/>
        </w:rPr>
        <w:t>可能属于被投标人在偏离表中遗漏披露的事项，一旦在评审中被发现存在偏离或被</w:t>
      </w:r>
      <w:r>
        <w:rPr>
          <w:spacing w:val="-2"/>
          <w:sz w:val="24"/>
        </w:rPr>
        <w:t>认定为属于偏离，则评标委员会有权视具体情形评审时按</w:t>
      </w:r>
      <w:r>
        <w:rPr>
          <w:b/>
          <w:spacing w:val="-2"/>
          <w:sz w:val="24"/>
        </w:rPr>
        <w:t>无效投标</w:t>
      </w:r>
      <w:r>
        <w:rPr>
          <w:spacing w:val="-2"/>
          <w:sz w:val="24"/>
        </w:rPr>
        <w:t>处理。</w:t>
      </w:r>
    </w:p>
    <w:p>
      <w:pPr>
        <w:pStyle w:val="15"/>
        <w:numPr>
          <w:ilvl w:val="1"/>
          <w:numId w:val="15"/>
        </w:numPr>
        <w:tabs>
          <w:tab w:val="left" w:pos="1926"/>
        </w:tabs>
        <w:spacing w:before="182" w:after="0" w:line="288" w:lineRule="auto"/>
        <w:ind w:left="887" w:right="1079" w:firstLine="496"/>
        <w:jc w:val="both"/>
        <w:rPr>
          <w:sz w:val="24"/>
        </w:rPr>
      </w:pPr>
      <w:r>
        <w:rPr>
          <w:spacing w:val="-6"/>
          <w:sz w:val="24"/>
        </w:rPr>
        <w:t>投标人必须保证投标文件所提供的全部资料真实可靠，并接受采购人、</w:t>
      </w:r>
      <w:r>
        <w:rPr>
          <w:spacing w:val="-2"/>
          <w:sz w:val="24"/>
        </w:rPr>
        <w:t>采购代理机构或评标委员会对其中任何资料进一步审查的要求。</w:t>
      </w:r>
    </w:p>
    <w:p>
      <w:pPr>
        <w:pStyle w:val="15"/>
        <w:numPr>
          <w:ilvl w:val="1"/>
          <w:numId w:val="15"/>
        </w:numPr>
        <w:tabs>
          <w:tab w:val="left" w:pos="1929"/>
        </w:tabs>
        <w:spacing w:before="161" w:after="0" w:line="240" w:lineRule="auto"/>
        <w:ind w:left="1929" w:right="0" w:hanging="543"/>
        <w:jc w:val="both"/>
        <w:rPr>
          <w:sz w:val="24"/>
        </w:rPr>
      </w:pPr>
      <w:r>
        <w:rPr>
          <w:spacing w:val="-5"/>
          <w:sz w:val="24"/>
        </w:rPr>
        <w:t>投标人在投标文件及相关文件的签订、履行、通知等事项的文件中的</w:t>
      </w:r>
    </w:p>
    <w:p>
      <w:pPr>
        <w:spacing w:after="0" w:line="240" w:lineRule="auto"/>
        <w:jc w:val="both"/>
        <w:rPr>
          <w:sz w:val="24"/>
        </w:rPr>
        <w:sectPr>
          <w:pgSz w:w="11910" w:h="16840"/>
          <w:pgMar w:top="1100" w:right="720" w:bottom="1180" w:left="920" w:header="918" w:footer="981" w:gutter="0"/>
          <w:pgNumType w:fmt="numberInDash"/>
          <w:cols w:space="720" w:num="1"/>
        </w:sectPr>
      </w:pPr>
    </w:p>
    <w:p>
      <w:pPr>
        <w:pStyle w:val="9"/>
        <w:spacing w:before="118"/>
      </w:pPr>
    </w:p>
    <w:p>
      <w:pPr>
        <w:pStyle w:val="9"/>
        <w:spacing w:before="1" w:line="343" w:lineRule="auto"/>
        <w:ind w:left="891" w:right="1122"/>
      </w:pPr>
      <w:r>
        <w:rPr>
          <w:spacing w:val="-6"/>
        </w:rPr>
        <w:t>单位盖章、印章、公章等处均指与当事人全称相一致的标准公章，不得使用其他形式（如带有“专用章”等字样的印章）。不符合本条规定的按</w:t>
      </w:r>
      <w:r>
        <w:rPr>
          <w:b/>
          <w:spacing w:val="-6"/>
        </w:rPr>
        <w:t>无效投标</w:t>
      </w:r>
      <w:r>
        <w:rPr>
          <w:spacing w:val="-6"/>
        </w:rPr>
        <w:t>处理。</w:t>
      </w:r>
    </w:p>
    <w:p>
      <w:pPr>
        <w:pStyle w:val="15"/>
        <w:numPr>
          <w:ilvl w:val="1"/>
          <w:numId w:val="15"/>
        </w:numPr>
        <w:tabs>
          <w:tab w:val="left" w:pos="1939"/>
        </w:tabs>
        <w:spacing w:before="14" w:after="0" w:line="240" w:lineRule="auto"/>
        <w:ind w:left="1939" w:right="0" w:hanging="553"/>
        <w:jc w:val="left"/>
        <w:rPr>
          <w:sz w:val="24"/>
        </w:rPr>
      </w:pPr>
      <w:r>
        <w:rPr>
          <w:spacing w:val="-10"/>
          <w:sz w:val="24"/>
        </w:rPr>
        <w:t>电子投标文件的编制</w:t>
      </w:r>
    </w:p>
    <w:p>
      <w:pPr>
        <w:pStyle w:val="15"/>
        <w:numPr>
          <w:ilvl w:val="2"/>
          <w:numId w:val="15"/>
        </w:numPr>
        <w:tabs>
          <w:tab w:val="left" w:pos="2211"/>
        </w:tabs>
        <w:spacing w:before="156" w:after="0" w:line="240" w:lineRule="auto"/>
        <w:ind w:left="2211" w:right="0" w:hanging="825"/>
        <w:jc w:val="left"/>
        <w:rPr>
          <w:sz w:val="24"/>
        </w:rPr>
      </w:pPr>
      <w:r>
        <w:rPr>
          <w:spacing w:val="-1"/>
          <w:sz w:val="24"/>
        </w:rPr>
        <w:t>电子投标文件需按招标文件要求进行制作编制。投标文件制作时，</w:t>
      </w:r>
    </w:p>
    <w:p>
      <w:pPr>
        <w:pStyle w:val="9"/>
        <w:spacing w:before="173" w:line="290" w:lineRule="auto"/>
        <w:ind w:left="889" w:right="885" w:firstLine="2"/>
      </w:pPr>
      <w:r>
        <w:rPr>
          <w:spacing w:val="-18"/>
        </w:rPr>
        <w:t>不同内容按标签提示制作导入，按照招标文件中明确的投标文件目录和格式进行编制，</w:t>
      </w:r>
      <w:r>
        <w:rPr>
          <w:spacing w:val="-2"/>
        </w:rPr>
        <w:t>保证目录清晰、内容完整；</w:t>
      </w:r>
    </w:p>
    <w:p>
      <w:pPr>
        <w:pStyle w:val="15"/>
        <w:numPr>
          <w:ilvl w:val="2"/>
          <w:numId w:val="15"/>
        </w:numPr>
        <w:tabs>
          <w:tab w:val="left" w:pos="2210"/>
        </w:tabs>
        <w:spacing w:before="179" w:after="0" w:line="324" w:lineRule="auto"/>
        <w:ind w:left="889" w:right="1052" w:firstLine="496"/>
        <w:jc w:val="both"/>
        <w:rPr>
          <w:sz w:val="24"/>
        </w:rPr>
      </w:pPr>
      <w:r>
        <w:rPr>
          <w:spacing w:val="-2"/>
          <w:sz w:val="24"/>
        </w:rPr>
        <w:t>电子招投标文件具有法律效力，与其他形式的招投标文件在内容和</w:t>
      </w:r>
      <w:r>
        <w:rPr>
          <w:spacing w:val="-4"/>
          <w:sz w:val="24"/>
        </w:rPr>
        <w:t>格式上等同，若投标文件与招标文件要求不一致，其内容影响中标结果时，责任</w:t>
      </w:r>
      <w:r>
        <w:rPr>
          <w:spacing w:val="-22"/>
          <w:sz w:val="24"/>
        </w:rPr>
        <w:t>由投标人自行承担。投标人递交的电子投标文件因投标人自身原因而导致无法导入电子</w:t>
      </w:r>
      <w:r>
        <w:rPr>
          <w:spacing w:val="-2"/>
          <w:sz w:val="24"/>
        </w:rPr>
        <w:t>辅助评标系统，该投标文件视为无效投标文件，</w:t>
      </w:r>
      <w:r>
        <w:rPr>
          <w:b/>
          <w:spacing w:val="-2"/>
          <w:sz w:val="24"/>
        </w:rPr>
        <w:t>其投标无效</w:t>
      </w:r>
      <w:r>
        <w:rPr>
          <w:spacing w:val="-2"/>
          <w:sz w:val="24"/>
        </w:rPr>
        <w:t>。</w:t>
      </w:r>
    </w:p>
    <w:p>
      <w:pPr>
        <w:pStyle w:val="8"/>
        <w:spacing w:before="199" w:line="364" w:lineRule="auto"/>
        <w:ind w:left="834" w:right="7924" w:firstLine="60"/>
      </w:pPr>
      <w:r>
        <w:rPr>
          <w:spacing w:val="-2"/>
        </w:rPr>
        <w:t xml:space="preserve">（四）投标 </w:t>
      </w:r>
      <w:r>
        <w:rPr>
          <w:spacing w:val="-10"/>
        </w:rPr>
        <w:t>17.投标保证金</w:t>
      </w:r>
    </w:p>
    <w:p>
      <w:pPr>
        <w:pStyle w:val="15"/>
        <w:numPr>
          <w:ilvl w:val="1"/>
          <w:numId w:val="16"/>
        </w:numPr>
        <w:tabs>
          <w:tab w:val="left" w:pos="1931"/>
        </w:tabs>
        <w:spacing w:before="0" w:after="0" w:line="290" w:lineRule="auto"/>
        <w:ind w:left="891" w:right="1048" w:firstLine="494"/>
        <w:jc w:val="both"/>
        <w:rPr>
          <w:sz w:val="24"/>
        </w:rPr>
      </w:pPr>
      <w:r>
        <w:rPr>
          <w:spacing w:val="-3"/>
          <w:sz w:val="24"/>
        </w:rPr>
        <w:t>投标人应按照招标文件“第二章 投标人须知前附表”规定的金额及要</w:t>
      </w:r>
      <w:r>
        <w:rPr>
          <w:spacing w:val="-26"/>
          <w:sz w:val="24"/>
        </w:rPr>
        <w:t>求提交投标保证金。投标人自愿超额缴纳投标保证金的，投标文件不做无效处理。</w:t>
      </w:r>
    </w:p>
    <w:p>
      <w:pPr>
        <w:pStyle w:val="15"/>
        <w:numPr>
          <w:ilvl w:val="1"/>
          <w:numId w:val="16"/>
        </w:numPr>
        <w:tabs>
          <w:tab w:val="left" w:pos="1925"/>
        </w:tabs>
        <w:spacing w:before="171" w:after="0" w:line="324" w:lineRule="auto"/>
        <w:ind w:left="889" w:right="1079" w:firstLine="496"/>
        <w:jc w:val="both"/>
        <w:rPr>
          <w:sz w:val="24"/>
        </w:rPr>
      </w:pPr>
      <w:r>
        <w:rPr>
          <w:spacing w:val="-6"/>
          <w:sz w:val="24"/>
        </w:rPr>
        <w:t>提交投标保证金可采用的形式：政府采购法律法规接受的支票、汇票、</w:t>
      </w:r>
      <w:r>
        <w:rPr>
          <w:spacing w:val="-4"/>
          <w:sz w:val="24"/>
        </w:rPr>
        <w:t>本票、网上银行支付或者金融机构、担保机构出具的保函等非现金形式。投标人未按照招标文件要求提交投标保证金的，其</w:t>
      </w:r>
      <w:r>
        <w:rPr>
          <w:b/>
          <w:spacing w:val="-4"/>
          <w:sz w:val="24"/>
        </w:rPr>
        <w:t>投标无效</w:t>
      </w:r>
      <w:r>
        <w:rPr>
          <w:spacing w:val="-4"/>
          <w:sz w:val="24"/>
        </w:rPr>
        <w:t>。投标保证金有效期同投标有效期。</w:t>
      </w:r>
    </w:p>
    <w:p>
      <w:pPr>
        <w:pStyle w:val="15"/>
        <w:numPr>
          <w:ilvl w:val="1"/>
          <w:numId w:val="16"/>
        </w:numPr>
        <w:tabs>
          <w:tab w:val="left" w:pos="1931"/>
        </w:tabs>
        <w:spacing w:before="177" w:after="0" w:line="312" w:lineRule="auto"/>
        <w:ind w:left="891" w:right="1113" w:firstLine="494"/>
        <w:jc w:val="both"/>
        <w:rPr>
          <w:sz w:val="24"/>
        </w:rPr>
      </w:pPr>
      <w:r>
        <w:rPr>
          <w:spacing w:val="-2"/>
          <w:sz w:val="24"/>
        </w:rPr>
        <w:t>投标保证金到账（保函提交）截止时间同投标截止时间。以支票、汇</w:t>
      </w:r>
      <w:r>
        <w:rPr>
          <w:spacing w:val="-6"/>
          <w:sz w:val="24"/>
        </w:rPr>
        <w:t>票、本票、网上银行支付等形式提交投标保证金的，应在投标截止时间前到账；</w:t>
      </w:r>
      <w:r>
        <w:rPr>
          <w:spacing w:val="-18"/>
          <w:sz w:val="24"/>
        </w:rPr>
        <w:t>以金融机构、担保机构出具的保函等形式提交投标保证金的，应在投标截止时间前将</w:t>
      </w:r>
    </w:p>
    <w:p>
      <w:pPr>
        <w:pStyle w:val="9"/>
        <w:spacing w:before="181" w:line="350" w:lineRule="auto"/>
        <w:ind w:left="894" w:right="959" w:hanging="3"/>
      </w:pPr>
      <w:r>
        <w:rPr>
          <w:spacing w:val="-20"/>
        </w:rPr>
        <w:t>投标保证金支付原件扫描后作为投标文件的组成部分与投标文件一起上传。由于到账时</w:t>
      </w:r>
      <w:r>
        <w:rPr>
          <w:spacing w:val="-8"/>
        </w:rPr>
        <w:t>间晚于投标截止时间，或者票据错误、印鉴不清等原因导致不能到账的，其</w:t>
      </w:r>
      <w:r>
        <w:rPr>
          <w:b/>
          <w:spacing w:val="-8"/>
        </w:rPr>
        <w:t>投标无</w:t>
      </w:r>
      <w:r>
        <w:rPr>
          <w:b/>
          <w:spacing w:val="-6"/>
        </w:rPr>
        <w:t>效</w:t>
      </w:r>
      <w:r>
        <w:rPr>
          <w:spacing w:val="-6"/>
        </w:rPr>
        <w:t>。</w:t>
      </w:r>
    </w:p>
    <w:p>
      <w:pPr>
        <w:pStyle w:val="15"/>
        <w:numPr>
          <w:ilvl w:val="1"/>
          <w:numId w:val="16"/>
        </w:numPr>
        <w:tabs>
          <w:tab w:val="left" w:pos="1962"/>
        </w:tabs>
        <w:spacing w:before="30" w:after="0" w:line="290" w:lineRule="auto"/>
        <w:ind w:left="889" w:right="1220" w:firstLine="496"/>
        <w:jc w:val="left"/>
        <w:rPr>
          <w:sz w:val="24"/>
        </w:rPr>
      </w:pPr>
      <w:r>
        <w:rPr>
          <w:spacing w:val="-6"/>
          <w:sz w:val="24"/>
        </w:rPr>
        <w:t>投标人为联合体的，可以由联合体中的一方或者多方共同提交投标保</w:t>
      </w:r>
      <w:r>
        <w:rPr>
          <w:spacing w:val="-2"/>
          <w:sz w:val="24"/>
        </w:rPr>
        <w:t>证金，其提交的投标保证金对联合体各方均具有约束力。</w:t>
      </w:r>
    </w:p>
    <w:p>
      <w:pPr>
        <w:pStyle w:val="15"/>
        <w:numPr>
          <w:ilvl w:val="1"/>
          <w:numId w:val="16"/>
        </w:numPr>
        <w:tabs>
          <w:tab w:val="left" w:pos="2121"/>
        </w:tabs>
        <w:spacing w:before="178" w:after="0" w:line="324" w:lineRule="auto"/>
        <w:ind w:left="908" w:right="1055" w:firstLine="597"/>
        <w:jc w:val="both"/>
        <w:rPr>
          <w:sz w:val="24"/>
        </w:rPr>
      </w:pPr>
      <w:r>
        <w:rPr>
          <w:spacing w:val="9"/>
          <w:sz w:val="24"/>
        </w:rPr>
        <w:t>采购人或者采购代理机构应当在采购活动结束后及时退还投标人</w:t>
      </w:r>
      <w:r>
        <w:rPr>
          <w:spacing w:val="-16"/>
          <w:sz w:val="24"/>
        </w:rPr>
        <w:t>的投标保证金，采用银行保函、担保机构担保函等形式递交的投标保证金，经投标人同意后采购人、采购代理机构可以不再退还，但因投标人自身原因导致无法及时退还</w:t>
      </w:r>
      <w:r>
        <w:rPr>
          <w:sz w:val="24"/>
        </w:rPr>
        <w:t>的除外。未中标投标人的投标保证金应当自中标通知书发出之日起 5 个</w:t>
      </w:r>
    </w:p>
    <w:p>
      <w:pPr>
        <w:spacing w:after="0" w:line="324" w:lineRule="auto"/>
        <w:jc w:val="both"/>
        <w:rPr>
          <w:sz w:val="24"/>
        </w:rPr>
        <w:sectPr>
          <w:pgSz w:w="11910" w:h="16840"/>
          <w:pgMar w:top="1100" w:right="720" w:bottom="1180" w:left="920" w:header="918" w:footer="981" w:gutter="0"/>
          <w:pgNumType w:fmt="numberInDash"/>
          <w:cols w:space="720" w:num="1"/>
        </w:sectPr>
      </w:pPr>
    </w:p>
    <w:p>
      <w:pPr>
        <w:pStyle w:val="9"/>
        <w:spacing w:before="116"/>
      </w:pPr>
    </w:p>
    <w:p>
      <w:pPr>
        <w:pStyle w:val="9"/>
        <w:spacing w:line="343" w:lineRule="auto"/>
        <w:ind w:left="928" w:right="1182" w:hanging="36"/>
      </w:pPr>
      <w:r>
        <w:rPr>
          <w:spacing w:val="-3"/>
        </w:rPr>
        <w:t xml:space="preserve">工作日内退还，中标投标人的投标保证金应当自采购合同签订之日起 </w:t>
      </w:r>
      <w:r>
        <w:rPr>
          <w:spacing w:val="-2"/>
        </w:rPr>
        <w:t>5</w:t>
      </w:r>
      <w:r>
        <w:rPr>
          <w:spacing w:val="-9"/>
        </w:rPr>
        <w:t xml:space="preserve"> 个工作</w:t>
      </w:r>
      <w:r>
        <w:rPr>
          <w:spacing w:val="-2"/>
        </w:rPr>
        <w:t>日内退还。</w:t>
      </w:r>
    </w:p>
    <w:p>
      <w:pPr>
        <w:pStyle w:val="15"/>
        <w:numPr>
          <w:ilvl w:val="1"/>
          <w:numId w:val="16"/>
        </w:numPr>
        <w:tabs>
          <w:tab w:val="left" w:pos="1967"/>
        </w:tabs>
        <w:spacing w:before="37" w:after="0" w:line="240" w:lineRule="auto"/>
        <w:ind w:left="1967" w:right="0" w:hanging="583"/>
        <w:jc w:val="left"/>
        <w:rPr>
          <w:sz w:val="24"/>
        </w:rPr>
      </w:pPr>
      <w:r>
        <w:rPr>
          <w:spacing w:val="-5"/>
          <w:sz w:val="24"/>
        </w:rPr>
        <w:t>投标人在投标截止时间前撤回已提交的投标文件的，自收到投标人书</w:t>
      </w:r>
    </w:p>
    <w:p>
      <w:pPr>
        <w:pStyle w:val="9"/>
        <w:spacing w:before="93" w:line="314" w:lineRule="auto"/>
        <w:ind w:left="889" w:right="1240"/>
      </w:pPr>
      <w:r>
        <w:rPr>
          <w:spacing w:val="-6"/>
        </w:rPr>
        <w:t xml:space="preserve">面撤回通知之日起 </w:t>
      </w:r>
      <w:r>
        <w:rPr>
          <w:spacing w:val="-4"/>
        </w:rPr>
        <w:t>5</w:t>
      </w:r>
      <w:r>
        <w:rPr>
          <w:spacing w:val="-9"/>
        </w:rPr>
        <w:t xml:space="preserve"> 个工作日内，退还已收取的投标保证金，但因投标人自身</w:t>
      </w:r>
      <w:r>
        <w:rPr>
          <w:spacing w:val="-2"/>
        </w:rPr>
        <w:t>原因导致无法及时退还的除外。</w:t>
      </w:r>
    </w:p>
    <w:p>
      <w:pPr>
        <w:pStyle w:val="15"/>
        <w:numPr>
          <w:ilvl w:val="1"/>
          <w:numId w:val="16"/>
        </w:numPr>
        <w:tabs>
          <w:tab w:val="left" w:pos="1926"/>
        </w:tabs>
        <w:spacing w:before="179" w:after="0" w:line="288" w:lineRule="auto"/>
        <w:ind w:left="889" w:right="1145" w:firstLine="494"/>
        <w:jc w:val="left"/>
        <w:rPr>
          <w:sz w:val="24"/>
        </w:rPr>
      </w:pPr>
      <w:r>
        <w:rPr>
          <w:spacing w:val="-13"/>
          <w:sz w:val="24"/>
        </w:rPr>
        <w:t xml:space="preserve">终止招标项目已经收取投标保证金的，自终止采购活动后 </w:t>
      </w:r>
      <w:r>
        <w:rPr>
          <w:spacing w:val="-12"/>
          <w:sz w:val="24"/>
        </w:rPr>
        <w:t>5</w:t>
      </w:r>
      <w:r>
        <w:rPr>
          <w:spacing w:val="-14"/>
          <w:sz w:val="24"/>
        </w:rPr>
        <w:t xml:space="preserve"> 个工作日内</w:t>
      </w:r>
      <w:r>
        <w:rPr>
          <w:spacing w:val="-2"/>
          <w:sz w:val="24"/>
        </w:rPr>
        <w:t>退还已收取的投标保证金及其在银行产生的孳息。</w:t>
      </w:r>
    </w:p>
    <w:p>
      <w:pPr>
        <w:pStyle w:val="15"/>
        <w:numPr>
          <w:ilvl w:val="1"/>
          <w:numId w:val="16"/>
        </w:numPr>
        <w:tabs>
          <w:tab w:val="left" w:pos="1883"/>
        </w:tabs>
        <w:spacing w:before="182" w:after="0" w:line="288" w:lineRule="auto"/>
        <w:ind w:left="889" w:right="1228" w:firstLine="494"/>
        <w:jc w:val="left"/>
        <w:rPr>
          <w:sz w:val="24"/>
        </w:rPr>
      </w:pPr>
      <w:r>
        <w:rPr>
          <w:spacing w:val="-20"/>
          <w:sz w:val="24"/>
        </w:rPr>
        <w:t>有下列情形之一的，采购人或采购代理机构可以不予退还投标保证金,情节</w:t>
      </w:r>
      <w:r>
        <w:rPr>
          <w:spacing w:val="-2"/>
          <w:sz w:val="24"/>
        </w:rPr>
        <w:t>严重的将其列入不良记录名单：</w:t>
      </w:r>
    </w:p>
    <w:p>
      <w:pPr>
        <w:pStyle w:val="15"/>
        <w:numPr>
          <w:ilvl w:val="2"/>
          <w:numId w:val="16"/>
        </w:numPr>
        <w:tabs>
          <w:tab w:val="left" w:pos="2201"/>
        </w:tabs>
        <w:spacing w:before="161" w:after="0" w:line="240" w:lineRule="auto"/>
        <w:ind w:left="2201" w:right="0" w:hanging="815"/>
        <w:jc w:val="left"/>
        <w:rPr>
          <w:sz w:val="24"/>
        </w:rPr>
      </w:pPr>
      <w:r>
        <w:rPr>
          <w:spacing w:val="-5"/>
          <w:sz w:val="24"/>
        </w:rPr>
        <w:t>开标后在投标有效期内，投标人撤销其投标的；</w:t>
      </w:r>
    </w:p>
    <w:p>
      <w:pPr>
        <w:pStyle w:val="15"/>
        <w:numPr>
          <w:ilvl w:val="2"/>
          <w:numId w:val="16"/>
        </w:numPr>
        <w:tabs>
          <w:tab w:val="left" w:pos="2235"/>
        </w:tabs>
        <w:spacing w:before="154" w:after="0" w:line="240" w:lineRule="auto"/>
        <w:ind w:left="2235" w:right="0" w:hanging="849"/>
        <w:jc w:val="left"/>
        <w:rPr>
          <w:sz w:val="24"/>
        </w:rPr>
      </w:pPr>
      <w:r>
        <w:rPr>
          <w:spacing w:val="-7"/>
          <w:sz w:val="24"/>
        </w:rPr>
        <w:t>中标后无正当理由不与采购人签订合同的；</w:t>
      </w:r>
    </w:p>
    <w:p>
      <w:pPr>
        <w:pStyle w:val="15"/>
        <w:numPr>
          <w:ilvl w:val="2"/>
          <w:numId w:val="16"/>
        </w:numPr>
        <w:tabs>
          <w:tab w:val="left" w:pos="2245"/>
        </w:tabs>
        <w:spacing w:before="153" w:after="0" w:line="240" w:lineRule="auto"/>
        <w:ind w:left="2245" w:right="0" w:hanging="859"/>
        <w:jc w:val="left"/>
        <w:rPr>
          <w:sz w:val="24"/>
        </w:rPr>
      </w:pPr>
      <w:r>
        <w:rPr>
          <w:spacing w:val="-7"/>
          <w:sz w:val="24"/>
        </w:rPr>
        <w:t>中标人与采购人订立背离合同实质性内容的其他协议；</w:t>
      </w:r>
    </w:p>
    <w:p>
      <w:pPr>
        <w:pStyle w:val="15"/>
        <w:numPr>
          <w:ilvl w:val="2"/>
          <w:numId w:val="16"/>
        </w:numPr>
        <w:tabs>
          <w:tab w:val="left" w:pos="2195"/>
        </w:tabs>
        <w:spacing w:before="178" w:after="0" w:line="288" w:lineRule="auto"/>
        <w:ind w:left="911" w:right="1223" w:firstLine="475"/>
        <w:jc w:val="left"/>
        <w:rPr>
          <w:sz w:val="24"/>
        </w:rPr>
      </w:pPr>
      <w:r>
        <w:rPr>
          <w:spacing w:val="-6"/>
          <w:sz w:val="24"/>
        </w:rPr>
        <w:t>将中标项目转让给他人，或者在投标文件中未说明，且未经采购人</w:t>
      </w:r>
      <w:r>
        <w:rPr>
          <w:spacing w:val="-2"/>
          <w:sz w:val="24"/>
        </w:rPr>
        <w:t>同意，将中标项目分包给他人的；</w:t>
      </w:r>
    </w:p>
    <w:p>
      <w:pPr>
        <w:pStyle w:val="15"/>
        <w:numPr>
          <w:ilvl w:val="2"/>
          <w:numId w:val="16"/>
        </w:numPr>
        <w:tabs>
          <w:tab w:val="left" w:pos="2201"/>
        </w:tabs>
        <w:spacing w:before="161" w:after="0" w:line="240" w:lineRule="auto"/>
        <w:ind w:left="2201" w:right="0" w:hanging="815"/>
        <w:jc w:val="left"/>
        <w:rPr>
          <w:sz w:val="24"/>
        </w:rPr>
      </w:pPr>
      <w:r>
        <w:rPr>
          <w:spacing w:val="-5"/>
          <w:sz w:val="24"/>
        </w:rPr>
        <w:t>存在串通投标行为的；</w:t>
      </w:r>
    </w:p>
    <w:p>
      <w:pPr>
        <w:pStyle w:val="15"/>
        <w:numPr>
          <w:ilvl w:val="2"/>
          <w:numId w:val="16"/>
        </w:numPr>
        <w:tabs>
          <w:tab w:val="left" w:pos="2201"/>
        </w:tabs>
        <w:spacing w:before="153" w:after="0" w:line="240" w:lineRule="auto"/>
        <w:ind w:left="2201" w:right="0" w:hanging="815"/>
        <w:jc w:val="left"/>
        <w:rPr>
          <w:sz w:val="24"/>
        </w:rPr>
      </w:pPr>
      <w:r>
        <w:rPr>
          <w:spacing w:val="-5"/>
          <w:sz w:val="24"/>
        </w:rPr>
        <w:t>存在弄虚作假或提供虚假材料谋取中标的；</w:t>
      </w:r>
    </w:p>
    <w:p>
      <w:pPr>
        <w:pStyle w:val="15"/>
        <w:numPr>
          <w:ilvl w:val="2"/>
          <w:numId w:val="16"/>
        </w:numPr>
        <w:tabs>
          <w:tab w:val="left" w:pos="2209"/>
        </w:tabs>
        <w:spacing w:before="156" w:after="0" w:line="240" w:lineRule="auto"/>
        <w:ind w:left="2209" w:right="0" w:hanging="823"/>
        <w:jc w:val="both"/>
        <w:rPr>
          <w:sz w:val="24"/>
        </w:rPr>
      </w:pPr>
      <w:r>
        <w:rPr>
          <w:spacing w:val="-5"/>
          <w:sz w:val="24"/>
        </w:rPr>
        <w:t>投标人其他未按招标文件规定和合同约定履行义务的行为。</w:t>
      </w:r>
    </w:p>
    <w:p>
      <w:pPr>
        <w:pStyle w:val="15"/>
        <w:numPr>
          <w:ilvl w:val="1"/>
          <w:numId w:val="16"/>
        </w:numPr>
        <w:tabs>
          <w:tab w:val="left" w:pos="1946"/>
        </w:tabs>
        <w:spacing w:before="178" w:after="0" w:line="312" w:lineRule="auto"/>
        <w:ind w:left="889" w:right="1064" w:firstLine="494"/>
        <w:jc w:val="both"/>
        <w:rPr>
          <w:sz w:val="24"/>
        </w:rPr>
      </w:pPr>
      <w:r>
        <w:rPr>
          <w:spacing w:val="-2"/>
          <w:sz w:val="24"/>
        </w:rPr>
        <w:t>如开标时投标人对本单位投标保证金缴纳情况有疑义，投标人应在开</w:t>
      </w:r>
      <w:r>
        <w:rPr>
          <w:spacing w:val="-10"/>
          <w:sz w:val="24"/>
        </w:rPr>
        <w:t>标结束前向采购人提交书面申请核实保证金缴纳情况。由银行或保险公司核实后出</w:t>
      </w:r>
      <w:r>
        <w:rPr>
          <w:spacing w:val="-2"/>
          <w:sz w:val="24"/>
        </w:rPr>
        <w:t>具书面材料予以答复。</w:t>
      </w:r>
    </w:p>
    <w:p>
      <w:pPr>
        <w:pStyle w:val="15"/>
        <w:numPr>
          <w:ilvl w:val="1"/>
          <w:numId w:val="16"/>
        </w:numPr>
        <w:tabs>
          <w:tab w:val="left" w:pos="2046"/>
        </w:tabs>
        <w:spacing w:before="180" w:after="0" w:line="285" w:lineRule="auto"/>
        <w:ind w:left="889" w:right="1158" w:firstLine="494"/>
        <w:jc w:val="both"/>
        <w:rPr>
          <w:sz w:val="24"/>
        </w:rPr>
      </w:pPr>
      <w:r>
        <w:rPr>
          <w:spacing w:val="-6"/>
          <w:sz w:val="24"/>
        </w:rPr>
        <w:t>为支持和促进中小企业发展，进一步发挥政府采购政策功能，鼓励投标供应商使用电子保函代替现金缴纳投标保证金，在线完成保函的申请、审核、</w:t>
      </w:r>
    </w:p>
    <w:p>
      <w:pPr>
        <w:pStyle w:val="9"/>
        <w:spacing w:before="186" w:line="312" w:lineRule="auto"/>
        <w:ind w:left="887" w:right="1045"/>
      </w:pPr>
      <w:r>
        <w:rPr>
          <w:spacing w:val="-4"/>
        </w:rPr>
        <w:t>开票、出函等环节，投标企业注意区分办理保函类型，并确认投标有效期，如采</w:t>
      </w:r>
      <w:r>
        <w:rPr>
          <w:spacing w:val="-22"/>
        </w:rPr>
        <w:t>用政采云电子保函，可登录“新疆政府采购网”首页“政采贷｜电子保函”快捷模块查</w:t>
      </w:r>
      <w:r>
        <w:rPr>
          <w:spacing w:val="-6"/>
        </w:rPr>
        <w:t>看。</w:t>
      </w:r>
    </w:p>
    <w:p>
      <w:pPr>
        <w:pStyle w:val="8"/>
        <w:numPr>
          <w:ilvl w:val="0"/>
          <w:numId w:val="17"/>
        </w:numPr>
        <w:tabs>
          <w:tab w:val="left" w:pos="1723"/>
        </w:tabs>
        <w:spacing w:before="295" w:after="0" w:line="240" w:lineRule="auto"/>
        <w:ind w:left="1723" w:right="0" w:hanging="337"/>
        <w:jc w:val="left"/>
        <w:rPr>
          <w:sz w:val="22"/>
        </w:rPr>
      </w:pPr>
      <w:r>
        <w:rPr>
          <w:spacing w:val="-12"/>
        </w:rPr>
        <w:t>投标文件的加密</w:t>
      </w:r>
    </w:p>
    <w:p>
      <w:pPr>
        <w:pStyle w:val="15"/>
        <w:numPr>
          <w:ilvl w:val="1"/>
          <w:numId w:val="17"/>
        </w:numPr>
        <w:tabs>
          <w:tab w:val="left" w:pos="1907"/>
        </w:tabs>
        <w:spacing w:before="163" w:after="0" w:line="285" w:lineRule="auto"/>
        <w:ind w:left="887" w:right="1232" w:firstLine="496"/>
        <w:jc w:val="left"/>
        <w:rPr>
          <w:sz w:val="24"/>
        </w:rPr>
      </w:pPr>
      <w:r>
        <w:rPr>
          <w:spacing w:val="-10"/>
          <w:sz w:val="24"/>
        </w:rPr>
        <w:t>投标人在供应商客户端中生成投标文件并完成签章之后，使用 CA</w:t>
      </w:r>
      <w:r>
        <w:rPr>
          <w:spacing w:val="-20"/>
          <w:sz w:val="24"/>
        </w:rPr>
        <w:t xml:space="preserve"> 证书</w:t>
      </w:r>
      <w:r>
        <w:rPr>
          <w:spacing w:val="-2"/>
          <w:sz w:val="24"/>
        </w:rPr>
        <w:t>在供应商客户端中对投标文件进行加密。</w:t>
      </w:r>
    </w:p>
    <w:p>
      <w:pPr>
        <w:pStyle w:val="15"/>
        <w:numPr>
          <w:ilvl w:val="1"/>
          <w:numId w:val="17"/>
        </w:numPr>
        <w:tabs>
          <w:tab w:val="left" w:pos="1934"/>
        </w:tabs>
        <w:spacing w:before="184" w:after="0" w:line="288" w:lineRule="auto"/>
        <w:ind w:left="891" w:right="1160" w:firstLine="492"/>
        <w:jc w:val="left"/>
        <w:rPr>
          <w:sz w:val="24"/>
        </w:rPr>
      </w:pPr>
      <w:r>
        <w:rPr>
          <w:spacing w:val="-2"/>
          <w:sz w:val="24"/>
        </w:rPr>
        <w:t>投标人应在供应商客户端中对加密的投标文件进行解密验证，以防止投标文件加密异常，在开标时无法解密。</w:t>
      </w:r>
    </w:p>
    <w:p>
      <w:pPr>
        <w:spacing w:after="0" w:line="288" w:lineRule="auto"/>
        <w:jc w:val="left"/>
        <w:rPr>
          <w:sz w:val="24"/>
        </w:rPr>
        <w:sectPr>
          <w:pgSz w:w="11910" w:h="16840"/>
          <w:pgMar w:top="1100" w:right="720" w:bottom="1180" w:left="920" w:header="918" w:footer="981" w:gutter="0"/>
          <w:pgNumType w:fmt="numberInDash"/>
          <w:cols w:space="720" w:num="1"/>
        </w:sectPr>
      </w:pPr>
    </w:p>
    <w:p>
      <w:pPr>
        <w:pStyle w:val="15"/>
        <w:numPr>
          <w:ilvl w:val="1"/>
          <w:numId w:val="17"/>
        </w:numPr>
        <w:tabs>
          <w:tab w:val="left" w:pos="1938"/>
        </w:tabs>
        <w:spacing w:before="294" w:after="0" w:line="312" w:lineRule="auto"/>
        <w:ind w:left="887" w:right="1091" w:firstLine="496"/>
        <w:jc w:val="both"/>
        <w:rPr>
          <w:sz w:val="24"/>
        </w:rPr>
      </w:pPr>
      <w:r>
        <w:rPr>
          <w:spacing w:val="-10"/>
          <w:sz w:val="24"/>
        </w:rPr>
        <w:t>投标人应保证加密投标文件的 CA</w:t>
      </w:r>
      <w:r>
        <w:rPr>
          <w:spacing w:val="-11"/>
          <w:sz w:val="24"/>
        </w:rPr>
        <w:t xml:space="preserve"> 证书有效期在开标时间之前。若 </w:t>
      </w:r>
      <w:r>
        <w:rPr>
          <w:spacing w:val="-10"/>
          <w:sz w:val="24"/>
        </w:rPr>
        <w:t>CA证</w:t>
      </w:r>
      <w:r>
        <w:rPr>
          <w:spacing w:val="-11"/>
          <w:sz w:val="24"/>
        </w:rPr>
        <w:t xml:space="preserve">书有效期临近开标时间，建议投标人提前办理 </w:t>
      </w:r>
      <w:r>
        <w:rPr>
          <w:spacing w:val="-10"/>
          <w:sz w:val="24"/>
        </w:rPr>
        <w:t>CA</w:t>
      </w:r>
      <w:r>
        <w:rPr>
          <w:spacing w:val="-12"/>
          <w:sz w:val="24"/>
        </w:rPr>
        <w:t xml:space="preserve"> 证书续期，以免开标时无法进行</w:t>
      </w:r>
      <w:r>
        <w:rPr>
          <w:spacing w:val="-4"/>
          <w:sz w:val="24"/>
        </w:rPr>
        <w:t>解密。</w:t>
      </w:r>
    </w:p>
    <w:p>
      <w:pPr>
        <w:pStyle w:val="15"/>
        <w:numPr>
          <w:ilvl w:val="1"/>
          <w:numId w:val="17"/>
        </w:numPr>
        <w:tabs>
          <w:tab w:val="left" w:pos="1920"/>
        </w:tabs>
        <w:spacing w:before="182" w:after="0" w:line="240" w:lineRule="auto"/>
        <w:ind w:left="1920" w:right="0" w:hanging="536"/>
        <w:jc w:val="both"/>
        <w:rPr>
          <w:sz w:val="24"/>
        </w:rPr>
      </w:pPr>
      <w:r>
        <w:rPr>
          <w:spacing w:val="-6"/>
          <w:sz w:val="24"/>
        </w:rPr>
        <w:t>投标人在投标文件递交截止时间前通过新疆政府采购网（</w:t>
      </w:r>
      <w:r>
        <w:fldChar w:fldCharType="begin"/>
      </w:r>
      <w:r>
        <w:instrText xml:space="preserve"> HYPERLINK "http://ccgp/" \h </w:instrText>
      </w:r>
      <w:r>
        <w:fldChar w:fldCharType="separate"/>
      </w:r>
      <w:r>
        <w:rPr>
          <w:spacing w:val="-6"/>
          <w:sz w:val="24"/>
        </w:rPr>
        <w:t>http://ccgp</w:t>
      </w:r>
      <w:r>
        <w:rPr>
          <w:spacing w:val="-6"/>
          <w:sz w:val="24"/>
        </w:rPr>
        <w:fldChar w:fldCharType="end"/>
      </w:r>
    </w:p>
    <w:p>
      <w:pPr>
        <w:pStyle w:val="9"/>
        <w:spacing w:before="108" w:line="324" w:lineRule="auto"/>
        <w:ind w:left="884" w:right="1213"/>
        <w:jc w:val="both"/>
      </w:pPr>
      <w:r>
        <w:rPr>
          <w:spacing w:val="-6"/>
        </w:rPr>
        <w:t xml:space="preserve">-xinjiang.gov.cn/）的”政采云登录入口”登录后，将加密电子投标文件（为. </w:t>
      </w:r>
      <w:r>
        <w:rPr>
          <w:spacing w:val="-4"/>
        </w:rPr>
        <w:t>jmbs 后缀格式）上传到对应项目的指定位置，投标人认为有必要提交的其他资</w:t>
      </w:r>
      <w:r>
        <w:rPr>
          <w:spacing w:val="-2"/>
        </w:rPr>
        <w:t>料请于投标截止时间前一并提交。</w:t>
      </w:r>
    </w:p>
    <w:p>
      <w:pPr>
        <w:pStyle w:val="15"/>
        <w:numPr>
          <w:ilvl w:val="1"/>
          <w:numId w:val="17"/>
        </w:numPr>
        <w:tabs>
          <w:tab w:val="left" w:pos="1926"/>
        </w:tabs>
        <w:spacing w:before="179" w:after="0" w:line="288" w:lineRule="auto"/>
        <w:ind w:left="889" w:right="753" w:firstLine="494"/>
        <w:jc w:val="both"/>
        <w:rPr>
          <w:sz w:val="24"/>
        </w:rPr>
      </w:pPr>
      <w:r>
        <w:rPr>
          <w:spacing w:val="-4"/>
          <w:sz w:val="24"/>
        </w:rPr>
        <w:t>如果投标人未按上述要求加密并上传，采购代理机构对投标文件的误投、</w:t>
      </w:r>
      <w:r>
        <w:rPr>
          <w:spacing w:val="-28"/>
          <w:sz w:val="24"/>
        </w:rPr>
        <w:t>无法解密、传输错误等问题概不负责。对由此造成无法正常开启的投标文件，采购代理机</w:t>
      </w:r>
    </w:p>
    <w:p>
      <w:pPr>
        <w:pStyle w:val="9"/>
        <w:spacing w:before="163"/>
        <w:ind w:left="891"/>
      </w:pPr>
      <w:r>
        <w:rPr>
          <w:spacing w:val="-5"/>
        </w:rPr>
        <w:t>构有权予以拒绝，并退回投标人。</w:t>
      </w:r>
    </w:p>
    <w:p>
      <w:pPr>
        <w:pStyle w:val="15"/>
        <w:numPr>
          <w:ilvl w:val="1"/>
          <w:numId w:val="17"/>
        </w:numPr>
        <w:tabs>
          <w:tab w:val="left" w:pos="1910"/>
        </w:tabs>
        <w:spacing w:before="151" w:after="0" w:line="240" w:lineRule="auto"/>
        <w:ind w:left="1910" w:right="0" w:hanging="524"/>
        <w:jc w:val="left"/>
        <w:rPr>
          <w:sz w:val="24"/>
        </w:rPr>
      </w:pPr>
      <w:r>
        <w:rPr>
          <w:spacing w:val="-7"/>
          <w:sz w:val="24"/>
        </w:rPr>
        <w:t xml:space="preserve">本项目采用不见面开标，无需提供电子投标文件 </w:t>
      </w:r>
      <w:r>
        <w:rPr>
          <w:spacing w:val="-6"/>
          <w:sz w:val="24"/>
        </w:rPr>
        <w:t>U</w:t>
      </w:r>
      <w:r>
        <w:rPr>
          <w:spacing w:val="-21"/>
          <w:sz w:val="24"/>
        </w:rPr>
        <w:t xml:space="preserve"> 盘。</w:t>
      </w:r>
    </w:p>
    <w:p>
      <w:pPr>
        <w:pStyle w:val="8"/>
        <w:numPr>
          <w:ilvl w:val="0"/>
          <w:numId w:val="17"/>
        </w:numPr>
        <w:tabs>
          <w:tab w:val="left" w:pos="1267"/>
        </w:tabs>
        <w:spacing w:before="156" w:after="0" w:line="240" w:lineRule="auto"/>
        <w:ind w:left="1267" w:right="0" w:hanging="363"/>
        <w:jc w:val="both"/>
        <w:rPr>
          <w:sz w:val="22"/>
        </w:rPr>
      </w:pPr>
      <w:r>
        <w:rPr>
          <w:spacing w:val="-12"/>
        </w:rPr>
        <w:t>投标文件的递交（上传）</w:t>
      </w:r>
    </w:p>
    <w:p>
      <w:pPr>
        <w:pStyle w:val="15"/>
        <w:numPr>
          <w:ilvl w:val="1"/>
          <w:numId w:val="17"/>
        </w:numPr>
        <w:tabs>
          <w:tab w:val="left" w:pos="2048"/>
        </w:tabs>
        <w:spacing w:before="159" w:after="0" w:line="290" w:lineRule="auto"/>
        <w:ind w:left="891" w:right="1153" w:firstLine="487"/>
        <w:jc w:val="both"/>
        <w:rPr>
          <w:sz w:val="24"/>
        </w:rPr>
      </w:pPr>
      <w:r>
        <w:rPr>
          <w:spacing w:val="-10"/>
          <w:sz w:val="24"/>
        </w:rPr>
        <w:t>投标人应在“第一章 招标公告”规定的投标截止时间前递交</w:t>
      </w:r>
      <w:r>
        <w:rPr>
          <w:spacing w:val="-8"/>
          <w:sz w:val="24"/>
        </w:rPr>
        <w:t>（上传）</w:t>
      </w:r>
      <w:r>
        <w:rPr>
          <w:spacing w:val="-2"/>
          <w:sz w:val="24"/>
        </w:rPr>
        <w:t>投标文件。</w:t>
      </w:r>
    </w:p>
    <w:p>
      <w:pPr>
        <w:pStyle w:val="15"/>
        <w:numPr>
          <w:ilvl w:val="1"/>
          <w:numId w:val="17"/>
        </w:numPr>
        <w:tabs>
          <w:tab w:val="left" w:pos="2069"/>
        </w:tabs>
        <w:spacing w:before="154" w:after="0" w:line="240" w:lineRule="auto"/>
        <w:ind w:left="2069" w:right="0" w:hanging="690"/>
        <w:jc w:val="both"/>
        <w:rPr>
          <w:sz w:val="24"/>
        </w:rPr>
      </w:pPr>
      <w:r>
        <w:rPr>
          <w:spacing w:val="-5"/>
          <w:sz w:val="24"/>
        </w:rPr>
        <w:t>投标人递交（上传）</w:t>
      </w:r>
      <w:r>
        <w:rPr>
          <w:spacing w:val="-6"/>
          <w:sz w:val="24"/>
        </w:rPr>
        <w:t>投标文件的地点见“第一章 招标公告”。</w:t>
      </w:r>
    </w:p>
    <w:p>
      <w:pPr>
        <w:pStyle w:val="15"/>
        <w:numPr>
          <w:ilvl w:val="1"/>
          <w:numId w:val="17"/>
        </w:numPr>
        <w:tabs>
          <w:tab w:val="left" w:pos="2018"/>
        </w:tabs>
        <w:spacing w:before="178" w:after="0" w:line="312" w:lineRule="auto"/>
        <w:ind w:left="887" w:right="1254" w:firstLine="492"/>
        <w:jc w:val="both"/>
        <w:rPr>
          <w:sz w:val="24"/>
        </w:rPr>
      </w:pPr>
      <w:r>
        <w:rPr>
          <w:spacing w:val="-8"/>
          <w:sz w:val="24"/>
        </w:rPr>
        <w:t>投标人应充分评估集中同时投标带来的网络影响，尽量避开投标高峰</w:t>
      </w:r>
      <w:r>
        <w:rPr>
          <w:spacing w:val="-10"/>
          <w:sz w:val="24"/>
        </w:rPr>
        <w:t>时间，错峰进行电子投标。投标人递交全部的投标文件后可在政采云平台（项目</w:t>
      </w:r>
      <w:r>
        <w:rPr>
          <w:spacing w:val="-2"/>
          <w:sz w:val="24"/>
        </w:rPr>
        <w:t>采购—投标文件上传）中获取投标文件递交回执单。</w:t>
      </w:r>
    </w:p>
    <w:p>
      <w:pPr>
        <w:pStyle w:val="15"/>
        <w:numPr>
          <w:ilvl w:val="1"/>
          <w:numId w:val="17"/>
        </w:numPr>
        <w:tabs>
          <w:tab w:val="left" w:pos="2054"/>
        </w:tabs>
        <w:spacing w:before="180" w:after="0" w:line="290" w:lineRule="auto"/>
        <w:ind w:left="887" w:right="1220" w:firstLine="492"/>
        <w:jc w:val="both"/>
        <w:rPr>
          <w:sz w:val="24"/>
        </w:rPr>
      </w:pPr>
      <w:r>
        <w:rPr>
          <w:spacing w:val="-8"/>
          <w:sz w:val="24"/>
        </w:rPr>
        <w:t>投标人应在供应商客户端中下载未加密且完成签章的投标文件妥善保</w:t>
      </w:r>
      <w:r>
        <w:rPr>
          <w:spacing w:val="-2"/>
          <w:sz w:val="24"/>
        </w:rPr>
        <w:t>存，以便启动应急开标程序时使用。</w:t>
      </w:r>
    </w:p>
    <w:p>
      <w:pPr>
        <w:pStyle w:val="15"/>
        <w:numPr>
          <w:ilvl w:val="1"/>
          <w:numId w:val="17"/>
        </w:numPr>
        <w:tabs>
          <w:tab w:val="left" w:pos="2011"/>
        </w:tabs>
        <w:spacing w:before="155" w:after="0" w:line="240" w:lineRule="auto"/>
        <w:ind w:left="2011" w:right="0" w:hanging="632"/>
        <w:jc w:val="both"/>
        <w:rPr>
          <w:sz w:val="24"/>
        </w:rPr>
      </w:pPr>
      <w:r>
        <w:rPr>
          <w:spacing w:val="-10"/>
          <w:sz w:val="24"/>
        </w:rPr>
        <w:t>投标人所递交的投标文件不予退还。</w:t>
      </w:r>
    </w:p>
    <w:p>
      <w:pPr>
        <w:pStyle w:val="8"/>
        <w:numPr>
          <w:ilvl w:val="0"/>
          <w:numId w:val="17"/>
        </w:numPr>
        <w:tabs>
          <w:tab w:val="left" w:pos="1223"/>
        </w:tabs>
        <w:spacing w:before="158" w:after="0" w:line="240" w:lineRule="auto"/>
        <w:ind w:left="1223" w:right="0" w:hanging="334"/>
        <w:jc w:val="left"/>
        <w:rPr>
          <w:sz w:val="20"/>
        </w:rPr>
      </w:pPr>
      <w:r>
        <w:rPr>
          <w:spacing w:val="-6"/>
        </w:rPr>
        <w:t>拒收</w:t>
      </w:r>
    </w:p>
    <w:p>
      <w:pPr>
        <w:pStyle w:val="15"/>
        <w:numPr>
          <w:ilvl w:val="1"/>
          <w:numId w:val="17"/>
        </w:numPr>
        <w:tabs>
          <w:tab w:val="left" w:pos="2044"/>
        </w:tabs>
        <w:spacing w:before="154" w:after="0" w:line="348" w:lineRule="auto"/>
        <w:ind w:left="904" w:right="1225" w:firstLine="463"/>
        <w:jc w:val="left"/>
        <w:rPr>
          <w:sz w:val="24"/>
        </w:rPr>
      </w:pPr>
      <w:r>
        <w:rPr>
          <w:spacing w:val="-8"/>
          <w:sz w:val="24"/>
        </w:rPr>
        <w:t>超过投标文件提交截止时间或者不按照本章要求加密的投标文件，交</w:t>
      </w:r>
      <w:r>
        <w:rPr>
          <w:spacing w:val="-2"/>
          <w:sz w:val="24"/>
        </w:rPr>
        <w:t>易系统应当拒收。</w:t>
      </w:r>
    </w:p>
    <w:p>
      <w:pPr>
        <w:spacing w:after="0" w:line="348" w:lineRule="auto"/>
        <w:jc w:val="left"/>
        <w:rPr>
          <w:sz w:val="24"/>
        </w:rPr>
        <w:sectPr>
          <w:pgSz w:w="11910" w:h="16840"/>
          <w:pgMar w:top="1100" w:right="720" w:bottom="1180" w:left="920" w:header="918" w:footer="981" w:gutter="0"/>
          <w:pgNumType w:fmt="numberInDash"/>
          <w:cols w:space="720" w:num="1"/>
        </w:sectPr>
      </w:pPr>
    </w:p>
    <w:p>
      <w:pPr>
        <w:pStyle w:val="9"/>
        <w:spacing w:before="18"/>
      </w:pPr>
    </w:p>
    <w:p>
      <w:pPr>
        <w:pStyle w:val="8"/>
        <w:numPr>
          <w:ilvl w:val="0"/>
          <w:numId w:val="17"/>
        </w:numPr>
        <w:tabs>
          <w:tab w:val="left" w:pos="1247"/>
        </w:tabs>
        <w:spacing w:before="0" w:after="0" w:line="240" w:lineRule="auto"/>
        <w:ind w:left="1247" w:right="0" w:hanging="358"/>
        <w:jc w:val="both"/>
        <w:rPr>
          <w:sz w:val="22"/>
        </w:rPr>
      </w:pPr>
      <w:r>
        <w:rPr>
          <w:spacing w:val="-12"/>
        </w:rPr>
        <w:t>投标文件的修改与撤回</w:t>
      </w:r>
    </w:p>
    <w:p>
      <w:pPr>
        <w:pStyle w:val="15"/>
        <w:numPr>
          <w:ilvl w:val="1"/>
          <w:numId w:val="17"/>
        </w:numPr>
        <w:tabs>
          <w:tab w:val="left" w:pos="2004"/>
        </w:tabs>
        <w:spacing w:before="156" w:after="0" w:line="352" w:lineRule="auto"/>
        <w:ind w:left="887" w:right="1110" w:firstLine="480"/>
        <w:jc w:val="both"/>
        <w:rPr>
          <w:sz w:val="24"/>
        </w:rPr>
      </w:pPr>
      <w:r>
        <w:rPr>
          <w:spacing w:val="-8"/>
          <w:sz w:val="24"/>
        </w:rPr>
        <w:t>投标人在“第一章 招标公告”规定的投标文件递交截止时间之前，可</w:t>
      </w:r>
      <w:r>
        <w:rPr>
          <w:spacing w:val="-12"/>
          <w:sz w:val="24"/>
        </w:rPr>
        <w:t>在新疆政府采购电子交易云平台上随时撤回已上传的电子投标文件，将修改好的电</w:t>
      </w:r>
      <w:r>
        <w:rPr>
          <w:spacing w:val="-4"/>
          <w:sz w:val="24"/>
        </w:rPr>
        <w:t>子投标文件在投标文件递交截止时间前重新上传到新疆政府采购电子交易云平台</w:t>
      </w:r>
      <w:r>
        <w:rPr>
          <w:spacing w:val="-2"/>
          <w:sz w:val="24"/>
        </w:rPr>
        <w:t>的指定位置。</w:t>
      </w:r>
    </w:p>
    <w:p>
      <w:pPr>
        <w:pStyle w:val="8"/>
        <w:numPr>
          <w:ilvl w:val="0"/>
          <w:numId w:val="17"/>
        </w:numPr>
        <w:tabs>
          <w:tab w:val="left" w:pos="1243"/>
        </w:tabs>
        <w:spacing w:before="11" w:after="0" w:line="240" w:lineRule="auto"/>
        <w:ind w:left="1243" w:right="0" w:hanging="354"/>
        <w:jc w:val="both"/>
        <w:rPr>
          <w:sz w:val="22"/>
        </w:rPr>
      </w:pPr>
      <w:r>
        <w:rPr>
          <w:spacing w:val="-12"/>
        </w:rPr>
        <w:t>实物样品</w:t>
      </w:r>
    </w:p>
    <w:p>
      <w:pPr>
        <w:pStyle w:val="15"/>
        <w:numPr>
          <w:ilvl w:val="1"/>
          <w:numId w:val="17"/>
        </w:numPr>
        <w:tabs>
          <w:tab w:val="left" w:pos="1746"/>
        </w:tabs>
        <w:spacing w:before="156" w:after="0" w:line="288" w:lineRule="auto"/>
        <w:ind w:left="884" w:right="1067" w:firstLine="482"/>
        <w:jc w:val="both"/>
        <w:rPr>
          <w:sz w:val="24"/>
        </w:rPr>
      </w:pPr>
      <w:r>
        <w:rPr>
          <w:spacing w:val="-32"/>
          <w:sz w:val="24"/>
        </w:rPr>
        <w:t>“投标人须知前附表”要求提供样品的，样品的具体要求及评审详见“第三章 采</w:t>
      </w:r>
      <w:r>
        <w:rPr>
          <w:sz w:val="24"/>
        </w:rPr>
        <w:t>购需求”和“第五章 评标方法及标准”。</w:t>
      </w:r>
    </w:p>
    <w:p>
      <w:pPr>
        <w:pStyle w:val="15"/>
        <w:numPr>
          <w:ilvl w:val="1"/>
          <w:numId w:val="17"/>
        </w:numPr>
        <w:tabs>
          <w:tab w:val="left" w:pos="1995"/>
        </w:tabs>
        <w:spacing w:before="182" w:after="0" w:line="312" w:lineRule="auto"/>
        <w:ind w:left="891" w:right="1254" w:firstLine="475"/>
        <w:jc w:val="both"/>
        <w:rPr>
          <w:sz w:val="24"/>
        </w:rPr>
      </w:pPr>
      <w:r>
        <w:rPr>
          <w:spacing w:val="-8"/>
          <w:sz w:val="24"/>
        </w:rPr>
        <w:t>样品退还：未中标的投标人应按照“投标人须知前附表”要求自行联</w:t>
      </w:r>
      <w:r>
        <w:rPr>
          <w:spacing w:val="-10"/>
          <w:sz w:val="24"/>
        </w:rPr>
        <w:t>系采购人取回投标样品；中标人的样品由采购人进行保管、封存，并作为履约验</w:t>
      </w:r>
      <w:r>
        <w:rPr>
          <w:spacing w:val="-2"/>
          <w:sz w:val="24"/>
        </w:rPr>
        <w:t>收的参考（招标文件另有规定的从其规定）。</w:t>
      </w:r>
    </w:p>
    <w:p>
      <w:pPr>
        <w:pStyle w:val="8"/>
        <w:numPr>
          <w:ilvl w:val="0"/>
          <w:numId w:val="17"/>
        </w:numPr>
        <w:tabs>
          <w:tab w:val="left" w:pos="1223"/>
        </w:tabs>
        <w:spacing w:before="161" w:after="0" w:line="240" w:lineRule="auto"/>
        <w:ind w:left="1223" w:right="0" w:hanging="334"/>
        <w:jc w:val="left"/>
        <w:rPr>
          <w:sz w:val="20"/>
        </w:rPr>
      </w:pPr>
      <w:r>
        <w:rPr>
          <w:spacing w:val="-6"/>
        </w:rPr>
        <w:t>演示</w:t>
      </w:r>
    </w:p>
    <w:p>
      <w:pPr>
        <w:pStyle w:val="15"/>
        <w:numPr>
          <w:ilvl w:val="1"/>
          <w:numId w:val="17"/>
        </w:numPr>
        <w:tabs>
          <w:tab w:val="left" w:pos="2013"/>
        </w:tabs>
        <w:spacing w:before="137" w:after="0" w:line="240" w:lineRule="auto"/>
        <w:ind w:left="2013" w:right="0" w:hanging="646"/>
        <w:jc w:val="left"/>
        <w:rPr>
          <w:sz w:val="24"/>
        </w:rPr>
      </w:pPr>
      <w:r>
        <w:rPr>
          <w:spacing w:val="-7"/>
          <w:sz w:val="24"/>
        </w:rPr>
        <w:t>要求投标人进行演示的，演示要求详见“投标人须知前附表”。</w:t>
      </w:r>
    </w:p>
    <w:p>
      <w:pPr>
        <w:pStyle w:val="15"/>
        <w:numPr>
          <w:ilvl w:val="1"/>
          <w:numId w:val="17"/>
        </w:numPr>
        <w:tabs>
          <w:tab w:val="left" w:pos="1992"/>
        </w:tabs>
        <w:spacing w:before="153" w:after="0" w:line="240" w:lineRule="auto"/>
        <w:ind w:left="1992" w:right="0" w:hanging="625"/>
        <w:jc w:val="left"/>
        <w:rPr>
          <w:sz w:val="24"/>
        </w:rPr>
      </w:pPr>
      <w:r>
        <w:rPr>
          <w:spacing w:val="-10"/>
          <w:sz w:val="24"/>
        </w:rPr>
        <w:t>演示的评审详见“第三章 采购需求”和“第五章 评标方法及标准”。</w:t>
      </w:r>
    </w:p>
    <w:p>
      <w:pPr>
        <w:pStyle w:val="8"/>
        <w:spacing w:before="216" w:line="316" w:lineRule="auto"/>
        <w:ind w:left="891" w:right="8106" w:firstLine="2"/>
      </w:pPr>
      <w:r>
        <w:rPr>
          <w:spacing w:val="-2"/>
        </w:rPr>
        <w:t xml:space="preserve">（五）开标 </w:t>
      </w:r>
      <w:r>
        <w:rPr>
          <w:spacing w:val="-12"/>
        </w:rPr>
        <w:t>24.开标会议</w:t>
      </w:r>
    </w:p>
    <w:p>
      <w:pPr>
        <w:pStyle w:val="15"/>
        <w:numPr>
          <w:ilvl w:val="1"/>
          <w:numId w:val="18"/>
        </w:numPr>
        <w:tabs>
          <w:tab w:val="left" w:pos="1910"/>
        </w:tabs>
        <w:spacing w:before="55" w:after="0" w:line="312" w:lineRule="auto"/>
        <w:ind w:left="889" w:right="1069" w:firstLine="480"/>
        <w:jc w:val="both"/>
        <w:rPr>
          <w:sz w:val="24"/>
        </w:rPr>
      </w:pPr>
      <w:r>
        <w:rPr>
          <w:spacing w:val="-5"/>
          <w:sz w:val="24"/>
        </w:rPr>
        <w:t>开标会按“第一章 招标公告”规定的开标时间和地点准时举行，采购</w:t>
      </w:r>
      <w:r>
        <w:rPr>
          <w:spacing w:val="-4"/>
          <w:sz w:val="24"/>
        </w:rPr>
        <w:t>人、采购代理机构邀请所有投标人准时参加开标会。投标人应按照招标文件的要</w:t>
      </w:r>
      <w:r>
        <w:rPr>
          <w:spacing w:val="-2"/>
          <w:sz w:val="24"/>
        </w:rPr>
        <w:t>求参与不见面开标。</w:t>
      </w:r>
    </w:p>
    <w:p>
      <w:pPr>
        <w:pStyle w:val="15"/>
        <w:numPr>
          <w:ilvl w:val="1"/>
          <w:numId w:val="18"/>
        </w:numPr>
        <w:tabs>
          <w:tab w:val="left" w:pos="1973"/>
        </w:tabs>
        <w:spacing w:before="180" w:after="0" w:line="336" w:lineRule="auto"/>
        <w:ind w:left="889" w:right="868" w:firstLine="480"/>
        <w:jc w:val="left"/>
        <w:rPr>
          <w:sz w:val="24"/>
        </w:rPr>
      </w:pPr>
      <w:r>
        <w:rPr>
          <w:sz w:val="24"/>
        </w:rPr>
        <w:t>采购代理机构按照招标文件规定的时间、地点主持开标。采购人在规</w:t>
      </w:r>
      <w:r>
        <w:rPr>
          <w:spacing w:val="-5"/>
          <w:sz w:val="24"/>
        </w:rPr>
        <w:t>定的投标文件递交截止时间</w:t>
      </w:r>
      <w:r>
        <w:rPr>
          <w:spacing w:val="-3"/>
          <w:sz w:val="24"/>
        </w:rPr>
        <w:t>（</w:t>
      </w:r>
      <w:r>
        <w:rPr>
          <w:spacing w:val="-4"/>
          <w:sz w:val="24"/>
        </w:rPr>
        <w:t>开标时间</w:t>
      </w:r>
      <w:r>
        <w:rPr>
          <w:spacing w:val="-5"/>
          <w:sz w:val="24"/>
        </w:rPr>
        <w:t xml:space="preserve">）和地点进行不见面远程开标。投标人的 </w:t>
      </w:r>
      <w:r>
        <w:rPr>
          <w:spacing w:val="-11"/>
          <w:sz w:val="24"/>
        </w:rPr>
        <w:t>法定代表人或其委托代理人无需到达开标现场，仅需在任意地点通过新疆政府采购</w:t>
      </w:r>
      <w:r>
        <w:rPr>
          <w:spacing w:val="-5"/>
          <w:sz w:val="24"/>
        </w:rPr>
        <w:t>电子交易云平台</w:t>
      </w:r>
      <w:r>
        <w:rPr>
          <w:spacing w:val="-3"/>
          <w:sz w:val="24"/>
        </w:rPr>
        <w:t>（</w:t>
      </w:r>
      <w:r>
        <w:rPr>
          <w:spacing w:val="-4"/>
          <w:sz w:val="24"/>
        </w:rPr>
        <w:t>网址：</w:t>
      </w:r>
      <w:r>
        <w:fldChar w:fldCharType="begin"/>
      </w:r>
      <w:r>
        <w:instrText xml:space="preserve"> HYPERLINK "http://www.zcygov.cn/" \h </w:instrText>
      </w:r>
      <w:r>
        <w:fldChar w:fldCharType="separate"/>
      </w:r>
      <w:r>
        <w:rPr>
          <w:spacing w:val="-3"/>
          <w:sz w:val="24"/>
        </w:rPr>
        <w:t>https:/</w:t>
      </w:r>
      <w:r>
        <w:rPr>
          <w:spacing w:val="-5"/>
          <w:sz w:val="24"/>
        </w:rPr>
        <w:t>/</w:t>
      </w:r>
      <w:r>
        <w:rPr>
          <w:spacing w:val="-3"/>
          <w:sz w:val="24"/>
        </w:rPr>
        <w:t>www</w:t>
      </w:r>
      <w:r>
        <w:rPr>
          <w:spacing w:val="-5"/>
          <w:sz w:val="24"/>
        </w:rPr>
        <w:t>.</w:t>
      </w:r>
      <w:r>
        <w:rPr>
          <w:spacing w:val="-3"/>
          <w:sz w:val="24"/>
        </w:rPr>
        <w:t>zcy</w:t>
      </w:r>
      <w:r>
        <w:rPr>
          <w:spacing w:val="-5"/>
          <w:sz w:val="24"/>
        </w:rPr>
        <w:t>g</w:t>
      </w:r>
      <w:r>
        <w:rPr>
          <w:spacing w:val="-3"/>
          <w:sz w:val="24"/>
        </w:rPr>
        <w:t>ov.</w:t>
      </w:r>
      <w:r>
        <w:rPr>
          <w:spacing w:val="-5"/>
          <w:sz w:val="24"/>
        </w:rPr>
        <w:t>c</w:t>
      </w:r>
      <w:r>
        <w:rPr>
          <w:spacing w:val="-3"/>
          <w:sz w:val="24"/>
        </w:rPr>
        <w:t>n</w:t>
      </w:r>
      <w:r>
        <w:rPr>
          <w:spacing w:val="-8"/>
          <w:sz w:val="24"/>
        </w:rPr>
        <w:t>/</w:t>
      </w:r>
      <w:r>
        <w:rPr>
          <w:spacing w:val="-8"/>
          <w:sz w:val="24"/>
        </w:rPr>
        <w:fldChar w:fldCharType="end"/>
      </w:r>
      <w:r>
        <w:rPr>
          <w:spacing w:val="-3"/>
          <w:sz w:val="24"/>
        </w:rPr>
        <w:t>）</w:t>
      </w:r>
      <w:r>
        <w:rPr>
          <w:spacing w:val="-2"/>
          <w:sz w:val="24"/>
        </w:rPr>
        <w:t>的“政采云登录入口”登录</w:t>
      </w:r>
      <w:r>
        <w:rPr>
          <w:spacing w:val="-6"/>
          <w:sz w:val="24"/>
        </w:rPr>
        <w:t xml:space="preserve">后，进入“政采云远程开标大厅”参加开标会议，并使用 </w:t>
      </w:r>
      <w:r>
        <w:rPr>
          <w:spacing w:val="-3"/>
          <w:sz w:val="24"/>
        </w:rPr>
        <w:t>C</w:t>
      </w:r>
      <w:r>
        <w:rPr>
          <w:sz w:val="24"/>
        </w:rPr>
        <w:t>A</w:t>
      </w:r>
      <w:r>
        <w:rPr>
          <w:spacing w:val="-8"/>
          <w:sz w:val="24"/>
        </w:rPr>
        <w:t xml:space="preserve"> 密钥完成远程解密、</w:t>
      </w:r>
      <w:r>
        <w:rPr>
          <w:spacing w:val="-7"/>
          <w:sz w:val="24"/>
        </w:rPr>
        <w:t>提疑澄清、开标唱标、结果公布等交互环节。</w:t>
      </w:r>
    </w:p>
    <w:p>
      <w:pPr>
        <w:pStyle w:val="15"/>
        <w:numPr>
          <w:ilvl w:val="1"/>
          <w:numId w:val="18"/>
        </w:numPr>
        <w:tabs>
          <w:tab w:val="left" w:pos="1902"/>
        </w:tabs>
        <w:spacing w:before="175" w:after="0" w:line="312" w:lineRule="auto"/>
        <w:ind w:left="889" w:right="1254" w:firstLine="480"/>
        <w:jc w:val="both"/>
        <w:rPr>
          <w:sz w:val="24"/>
        </w:rPr>
      </w:pPr>
      <w:r>
        <w:rPr>
          <w:spacing w:val="-4"/>
          <w:sz w:val="24"/>
        </w:rPr>
        <w:t>开标过程将宣布投标人名称、投标价格和招标文件规定的需要宣布的</w:t>
      </w:r>
      <w:r>
        <w:rPr>
          <w:spacing w:val="-10"/>
          <w:sz w:val="24"/>
        </w:rPr>
        <w:t>其他内容并进行记录，并由参加开标的各投标人确认。投标人未在规定时间内提</w:t>
      </w:r>
      <w:r>
        <w:rPr>
          <w:spacing w:val="-2"/>
          <w:sz w:val="24"/>
        </w:rPr>
        <w:t>出疑义或确认一览表的，视同认可开标结果。</w:t>
      </w:r>
    </w:p>
    <w:p>
      <w:pPr>
        <w:pStyle w:val="8"/>
        <w:numPr>
          <w:ilvl w:val="0"/>
          <w:numId w:val="19"/>
        </w:numPr>
        <w:tabs>
          <w:tab w:val="left" w:pos="1213"/>
        </w:tabs>
        <w:spacing w:before="166" w:after="0" w:line="240" w:lineRule="auto"/>
        <w:ind w:left="1213" w:right="0" w:hanging="324"/>
        <w:jc w:val="left"/>
      </w:pPr>
      <w:r>
        <w:rPr>
          <w:spacing w:val="-6"/>
        </w:rPr>
        <w:t>开标程序</w:t>
      </w:r>
    </w:p>
    <w:p>
      <w:pPr>
        <w:pStyle w:val="15"/>
        <w:numPr>
          <w:ilvl w:val="1"/>
          <w:numId w:val="19"/>
        </w:numPr>
        <w:tabs>
          <w:tab w:val="left" w:pos="1903"/>
        </w:tabs>
        <w:spacing w:before="134" w:after="0" w:line="240" w:lineRule="auto"/>
        <w:ind w:left="1903" w:right="0" w:hanging="531"/>
        <w:jc w:val="left"/>
        <w:rPr>
          <w:sz w:val="24"/>
        </w:rPr>
      </w:pPr>
      <w:r>
        <w:rPr>
          <w:spacing w:val="-14"/>
          <w:sz w:val="24"/>
        </w:rPr>
        <w:t xml:space="preserve">投标人不足 </w:t>
      </w:r>
      <w:r>
        <w:rPr>
          <w:spacing w:val="-12"/>
          <w:sz w:val="24"/>
        </w:rPr>
        <w:t>3</w:t>
      </w:r>
      <w:r>
        <w:rPr>
          <w:spacing w:val="-15"/>
          <w:sz w:val="24"/>
        </w:rPr>
        <w:t xml:space="preserve"> 家的，不得开标。</w:t>
      </w:r>
    </w:p>
    <w:p>
      <w:pPr>
        <w:spacing w:after="0" w:line="240" w:lineRule="auto"/>
        <w:jc w:val="left"/>
        <w:rPr>
          <w:sz w:val="24"/>
        </w:rPr>
        <w:sectPr>
          <w:pgSz w:w="11910" w:h="16840"/>
          <w:pgMar w:top="1100" w:right="720" w:bottom="1180" w:left="920" w:header="918" w:footer="981" w:gutter="0"/>
          <w:pgNumType w:fmt="numberInDash"/>
          <w:cols w:space="720" w:num="1"/>
        </w:sectPr>
      </w:pPr>
    </w:p>
    <w:p>
      <w:pPr>
        <w:pStyle w:val="9"/>
        <w:spacing w:before="94"/>
      </w:pPr>
    </w:p>
    <w:p>
      <w:pPr>
        <w:pStyle w:val="15"/>
        <w:numPr>
          <w:ilvl w:val="1"/>
          <w:numId w:val="19"/>
        </w:numPr>
        <w:tabs>
          <w:tab w:val="left" w:pos="1958"/>
        </w:tabs>
        <w:spacing w:before="1" w:after="0" w:line="240" w:lineRule="auto"/>
        <w:ind w:left="1958" w:right="0" w:hanging="586"/>
        <w:jc w:val="left"/>
        <w:rPr>
          <w:sz w:val="24"/>
        </w:rPr>
      </w:pPr>
      <w:r>
        <w:rPr>
          <w:spacing w:val="-5"/>
          <w:sz w:val="24"/>
        </w:rPr>
        <w:t>评标委员会成员不得参加开标活动。</w:t>
      </w:r>
    </w:p>
    <w:p>
      <w:pPr>
        <w:pStyle w:val="15"/>
        <w:numPr>
          <w:ilvl w:val="1"/>
          <w:numId w:val="19"/>
        </w:numPr>
        <w:tabs>
          <w:tab w:val="left" w:pos="1912"/>
        </w:tabs>
        <w:spacing w:before="156" w:after="0" w:line="240" w:lineRule="auto"/>
        <w:ind w:left="1912" w:right="0" w:hanging="540"/>
        <w:jc w:val="left"/>
        <w:rPr>
          <w:sz w:val="24"/>
        </w:rPr>
      </w:pPr>
      <w:r>
        <w:rPr>
          <w:spacing w:val="-5"/>
          <w:sz w:val="24"/>
        </w:rPr>
        <w:t>主持人按下列程序进行开标：</w:t>
      </w:r>
    </w:p>
    <w:p>
      <w:pPr>
        <w:pStyle w:val="15"/>
        <w:numPr>
          <w:ilvl w:val="0"/>
          <w:numId w:val="20"/>
        </w:numPr>
        <w:tabs>
          <w:tab w:val="left" w:pos="1890"/>
        </w:tabs>
        <w:spacing w:before="151" w:after="0" w:line="240" w:lineRule="auto"/>
        <w:ind w:left="1890" w:right="0" w:hanging="598"/>
        <w:jc w:val="left"/>
        <w:rPr>
          <w:sz w:val="24"/>
        </w:rPr>
      </w:pPr>
      <w:r>
        <w:rPr>
          <w:spacing w:val="-7"/>
          <w:sz w:val="24"/>
        </w:rPr>
        <w:t>宣布开标会纪律；</w:t>
      </w:r>
    </w:p>
    <w:p>
      <w:pPr>
        <w:pStyle w:val="15"/>
        <w:numPr>
          <w:ilvl w:val="0"/>
          <w:numId w:val="20"/>
        </w:numPr>
        <w:tabs>
          <w:tab w:val="left" w:pos="1891"/>
        </w:tabs>
        <w:spacing w:before="156" w:after="0" w:line="240" w:lineRule="auto"/>
        <w:ind w:left="1891" w:right="0" w:hanging="599"/>
        <w:jc w:val="left"/>
        <w:rPr>
          <w:sz w:val="24"/>
        </w:rPr>
      </w:pPr>
      <w:r>
        <w:rPr>
          <w:spacing w:val="-5"/>
          <w:sz w:val="24"/>
        </w:rPr>
        <w:t>介绍参加开标会的单位和人员；</w:t>
      </w:r>
    </w:p>
    <w:p>
      <w:pPr>
        <w:pStyle w:val="15"/>
        <w:numPr>
          <w:ilvl w:val="0"/>
          <w:numId w:val="20"/>
        </w:numPr>
        <w:tabs>
          <w:tab w:val="left" w:pos="1891"/>
        </w:tabs>
        <w:spacing w:before="173" w:after="0" w:line="290" w:lineRule="auto"/>
        <w:ind w:left="889" w:right="1297" w:firstLine="403"/>
        <w:jc w:val="left"/>
        <w:rPr>
          <w:sz w:val="24"/>
        </w:rPr>
      </w:pPr>
      <w:r>
        <w:rPr>
          <w:spacing w:val="-6"/>
          <w:sz w:val="24"/>
        </w:rPr>
        <w:t>发起投标文件解密。投标人应在“投标人须知前附表”规定的时间内</w:t>
      </w:r>
      <w:r>
        <w:rPr>
          <w:spacing w:val="-3"/>
          <w:sz w:val="24"/>
        </w:rPr>
        <w:t xml:space="preserve">使用加密投标文件的 </w:t>
      </w:r>
      <w:r>
        <w:rPr>
          <w:sz w:val="24"/>
        </w:rPr>
        <w:t>CA</w:t>
      </w:r>
      <w:r>
        <w:rPr>
          <w:spacing w:val="-6"/>
          <w:sz w:val="24"/>
        </w:rPr>
        <w:t xml:space="preserve"> 证书在系统中完成投标文件的解密；</w:t>
      </w:r>
    </w:p>
    <w:p>
      <w:pPr>
        <w:pStyle w:val="15"/>
        <w:numPr>
          <w:ilvl w:val="0"/>
          <w:numId w:val="20"/>
        </w:numPr>
        <w:tabs>
          <w:tab w:val="left" w:pos="1886"/>
        </w:tabs>
        <w:spacing w:before="178" w:after="0" w:line="288" w:lineRule="auto"/>
        <w:ind w:left="901" w:right="1304" w:firstLine="388"/>
        <w:jc w:val="left"/>
        <w:rPr>
          <w:sz w:val="24"/>
        </w:rPr>
      </w:pPr>
      <w:r>
        <w:rPr>
          <w:spacing w:val="-6"/>
          <w:sz w:val="24"/>
        </w:rPr>
        <w:t>解密完成后，系统自动显示投标人名称、投标价格和招标文件规定的</w:t>
      </w:r>
      <w:r>
        <w:rPr>
          <w:spacing w:val="-2"/>
          <w:sz w:val="24"/>
        </w:rPr>
        <w:t>需要宣布的其他内容；</w:t>
      </w:r>
    </w:p>
    <w:p>
      <w:pPr>
        <w:pStyle w:val="15"/>
        <w:numPr>
          <w:ilvl w:val="0"/>
          <w:numId w:val="20"/>
        </w:numPr>
        <w:tabs>
          <w:tab w:val="left" w:pos="1989"/>
        </w:tabs>
        <w:spacing w:before="161" w:after="0" w:line="240" w:lineRule="auto"/>
        <w:ind w:left="1989" w:right="0" w:hanging="615"/>
        <w:jc w:val="left"/>
        <w:rPr>
          <w:sz w:val="24"/>
        </w:rPr>
      </w:pPr>
      <w:r>
        <w:rPr>
          <w:spacing w:val="-5"/>
          <w:sz w:val="24"/>
        </w:rPr>
        <w:t>系统自动生成开标记录表，供应商应在线对开标记录进行签署确认；</w:t>
      </w:r>
    </w:p>
    <w:p>
      <w:pPr>
        <w:pStyle w:val="15"/>
        <w:numPr>
          <w:ilvl w:val="0"/>
          <w:numId w:val="20"/>
        </w:numPr>
        <w:tabs>
          <w:tab w:val="left" w:pos="1969"/>
        </w:tabs>
        <w:spacing w:before="156" w:after="0" w:line="362" w:lineRule="auto"/>
        <w:ind w:left="891" w:right="6880" w:firstLine="482"/>
        <w:jc w:val="left"/>
        <w:rPr>
          <w:b/>
          <w:sz w:val="24"/>
        </w:rPr>
      </w:pPr>
      <w:r>
        <w:rPr>
          <w:spacing w:val="-6"/>
          <w:sz w:val="24"/>
        </w:rPr>
        <w:t xml:space="preserve">开标会结束。 </w:t>
      </w:r>
      <w:r>
        <w:rPr>
          <w:b/>
          <w:spacing w:val="-4"/>
          <w:sz w:val="24"/>
        </w:rPr>
        <w:t>26.开标疑义及回避情形</w:t>
      </w:r>
    </w:p>
    <w:p>
      <w:pPr>
        <w:pStyle w:val="15"/>
        <w:numPr>
          <w:ilvl w:val="1"/>
          <w:numId w:val="21"/>
        </w:numPr>
        <w:tabs>
          <w:tab w:val="left" w:pos="1913"/>
        </w:tabs>
        <w:spacing w:before="0" w:after="0" w:line="296" w:lineRule="exact"/>
        <w:ind w:left="1913" w:right="0" w:hanging="541"/>
        <w:jc w:val="left"/>
        <w:rPr>
          <w:sz w:val="24"/>
        </w:rPr>
      </w:pPr>
      <w:r>
        <w:rPr>
          <w:spacing w:val="-5"/>
          <w:sz w:val="24"/>
        </w:rPr>
        <w:t>投标人代表对开标过程和开标记录有疑义，以及认为采购人、采购代</w:t>
      </w:r>
    </w:p>
    <w:p>
      <w:pPr>
        <w:pStyle w:val="9"/>
        <w:spacing w:before="166" w:line="288" w:lineRule="auto"/>
        <w:ind w:left="887" w:right="863" w:firstLine="4"/>
      </w:pPr>
      <w:r>
        <w:rPr>
          <w:spacing w:val="-12"/>
        </w:rPr>
        <w:t>理机构相关工作人员有需要回避的情形的，应在开标会议中提出询问或者回避申请。</w:t>
      </w:r>
      <w:r>
        <w:rPr>
          <w:spacing w:val="-7"/>
        </w:rPr>
        <w:t>采购人、采购代理机构对投标人授权代表提出的询问或者回避申请应当及时处理。</w:t>
      </w:r>
    </w:p>
    <w:p>
      <w:pPr>
        <w:pStyle w:val="15"/>
        <w:numPr>
          <w:ilvl w:val="1"/>
          <w:numId w:val="21"/>
        </w:numPr>
        <w:tabs>
          <w:tab w:val="left" w:pos="1917"/>
        </w:tabs>
        <w:spacing w:before="163" w:after="0" w:line="240" w:lineRule="auto"/>
        <w:ind w:left="1917" w:right="0" w:hanging="545"/>
        <w:jc w:val="left"/>
        <w:rPr>
          <w:sz w:val="24"/>
        </w:rPr>
      </w:pPr>
      <w:r>
        <w:rPr>
          <w:spacing w:val="-5"/>
          <w:sz w:val="24"/>
        </w:rPr>
        <w:t>投标人未参加开标的，视同认可开标结果。</w:t>
      </w:r>
    </w:p>
    <w:p>
      <w:pPr>
        <w:pStyle w:val="8"/>
        <w:spacing w:before="194"/>
      </w:pPr>
      <w:r>
        <w:rPr>
          <w:spacing w:val="-12"/>
        </w:rPr>
        <w:t>（六）资格审查</w:t>
      </w:r>
    </w:p>
    <w:p>
      <w:pPr>
        <w:pStyle w:val="8"/>
        <w:numPr>
          <w:ilvl w:val="0"/>
          <w:numId w:val="22"/>
        </w:numPr>
        <w:tabs>
          <w:tab w:val="left" w:pos="1255"/>
        </w:tabs>
        <w:spacing w:before="118" w:after="0" w:line="240" w:lineRule="auto"/>
        <w:ind w:left="1255" w:right="0" w:hanging="366"/>
        <w:jc w:val="left"/>
        <w:rPr>
          <w:sz w:val="22"/>
        </w:rPr>
      </w:pPr>
      <w:r>
        <w:rPr>
          <w:spacing w:val="-12"/>
        </w:rPr>
        <w:t>资格审查及审查主体</w:t>
      </w:r>
    </w:p>
    <w:p>
      <w:pPr>
        <w:pStyle w:val="15"/>
        <w:numPr>
          <w:ilvl w:val="1"/>
          <w:numId w:val="22"/>
        </w:numPr>
        <w:tabs>
          <w:tab w:val="left" w:pos="1902"/>
        </w:tabs>
        <w:spacing w:before="158" w:after="0" w:line="290" w:lineRule="auto"/>
        <w:ind w:left="901" w:right="1280" w:firstLine="470"/>
        <w:jc w:val="left"/>
        <w:rPr>
          <w:sz w:val="24"/>
        </w:rPr>
      </w:pPr>
      <w:r>
        <w:rPr>
          <w:spacing w:val="-6"/>
          <w:sz w:val="24"/>
        </w:rPr>
        <w:t>开标结束后，采购人或者采购代理机构应当依法对投标人的资格进行</w:t>
      </w:r>
      <w:r>
        <w:rPr>
          <w:spacing w:val="-4"/>
          <w:sz w:val="24"/>
        </w:rPr>
        <w:t>审查。</w:t>
      </w:r>
    </w:p>
    <w:p>
      <w:pPr>
        <w:pStyle w:val="15"/>
        <w:numPr>
          <w:ilvl w:val="1"/>
          <w:numId w:val="22"/>
        </w:numPr>
        <w:tabs>
          <w:tab w:val="left" w:pos="1922"/>
        </w:tabs>
        <w:spacing w:before="157" w:after="0" w:line="240" w:lineRule="auto"/>
        <w:ind w:left="1922" w:right="0" w:hanging="550"/>
        <w:jc w:val="left"/>
        <w:rPr>
          <w:sz w:val="24"/>
        </w:rPr>
      </w:pPr>
      <w:r>
        <w:rPr>
          <w:spacing w:val="-5"/>
          <w:sz w:val="24"/>
        </w:rPr>
        <w:t>资格审查按“第四章 资格审查”的规定进行。</w:t>
      </w:r>
    </w:p>
    <w:p>
      <w:pPr>
        <w:pStyle w:val="15"/>
        <w:numPr>
          <w:ilvl w:val="1"/>
          <w:numId w:val="22"/>
        </w:numPr>
        <w:tabs>
          <w:tab w:val="left" w:pos="1912"/>
        </w:tabs>
        <w:spacing w:before="178" w:after="0" w:line="288" w:lineRule="auto"/>
        <w:ind w:left="887" w:right="1283" w:firstLine="484"/>
        <w:jc w:val="left"/>
        <w:rPr>
          <w:sz w:val="24"/>
        </w:rPr>
      </w:pPr>
      <w:r>
        <w:rPr>
          <w:spacing w:val="-6"/>
          <w:sz w:val="24"/>
        </w:rPr>
        <w:t>资格审查结束后，应及时对资格审查结果进行复核，对资格审查错误</w:t>
      </w:r>
      <w:r>
        <w:rPr>
          <w:spacing w:val="-2"/>
          <w:sz w:val="24"/>
        </w:rPr>
        <w:t>进行及时纠正并记录。</w:t>
      </w:r>
    </w:p>
    <w:p>
      <w:pPr>
        <w:pStyle w:val="15"/>
        <w:numPr>
          <w:ilvl w:val="1"/>
          <w:numId w:val="22"/>
        </w:numPr>
        <w:tabs>
          <w:tab w:val="left" w:pos="1892"/>
        </w:tabs>
        <w:spacing w:before="161" w:after="0" w:line="240" w:lineRule="auto"/>
        <w:ind w:left="1892" w:right="0" w:hanging="520"/>
        <w:jc w:val="left"/>
        <w:rPr>
          <w:sz w:val="24"/>
        </w:rPr>
      </w:pPr>
      <w:r>
        <w:rPr>
          <w:spacing w:val="-11"/>
          <w:sz w:val="24"/>
        </w:rPr>
        <w:t xml:space="preserve">资格审查合格投标人不足 </w:t>
      </w:r>
      <w:r>
        <w:rPr>
          <w:spacing w:val="-10"/>
          <w:sz w:val="24"/>
        </w:rPr>
        <w:t>3</w:t>
      </w:r>
      <w:r>
        <w:rPr>
          <w:spacing w:val="-13"/>
          <w:sz w:val="24"/>
        </w:rPr>
        <w:t xml:space="preserve"> 家的，不得评标。</w:t>
      </w:r>
    </w:p>
    <w:p>
      <w:pPr>
        <w:pStyle w:val="8"/>
        <w:spacing w:before="194"/>
      </w:pPr>
      <w:r>
        <w:rPr>
          <w:spacing w:val="-12"/>
        </w:rPr>
        <w:t>（七）评标</w:t>
      </w:r>
    </w:p>
    <w:p>
      <w:pPr>
        <w:pStyle w:val="9"/>
        <w:rPr>
          <w:b/>
        </w:rPr>
      </w:pPr>
    </w:p>
    <w:p>
      <w:pPr>
        <w:pStyle w:val="8"/>
        <w:numPr>
          <w:ilvl w:val="0"/>
          <w:numId w:val="22"/>
        </w:numPr>
        <w:tabs>
          <w:tab w:val="left" w:pos="1162"/>
        </w:tabs>
        <w:spacing w:before="0" w:after="0" w:line="240" w:lineRule="auto"/>
        <w:ind w:left="1162" w:right="0" w:hanging="342"/>
        <w:jc w:val="left"/>
        <w:rPr>
          <w:sz w:val="22"/>
        </w:rPr>
      </w:pPr>
      <w:r>
        <w:rPr>
          <w:spacing w:val="-9"/>
        </w:rPr>
        <w:t>评标委员会</w:t>
      </w:r>
    </w:p>
    <w:p>
      <w:pPr>
        <w:pStyle w:val="15"/>
        <w:numPr>
          <w:ilvl w:val="1"/>
          <w:numId w:val="22"/>
        </w:numPr>
        <w:tabs>
          <w:tab w:val="left" w:pos="1963"/>
        </w:tabs>
        <w:spacing w:before="163" w:after="0" w:line="240" w:lineRule="auto"/>
        <w:ind w:left="1963" w:right="0" w:hanging="591"/>
        <w:jc w:val="both"/>
        <w:rPr>
          <w:sz w:val="24"/>
        </w:rPr>
      </w:pPr>
      <w:r>
        <w:rPr>
          <w:spacing w:val="-1"/>
          <w:sz w:val="24"/>
        </w:rPr>
        <w:t>评标由采购人依法组建的评标委员会负责。评标委员会由采购人代表</w:t>
      </w:r>
    </w:p>
    <w:p>
      <w:pPr>
        <w:pStyle w:val="9"/>
        <w:spacing w:before="144" w:line="352" w:lineRule="auto"/>
        <w:ind w:left="889" w:right="1031"/>
        <w:jc w:val="both"/>
      </w:pPr>
      <w:r>
        <w:rPr>
          <w:spacing w:val="-12"/>
        </w:rPr>
        <w:t>和评审专家组成，成员人数应当为 5 人以上单数，其中评审专家不得少于成员总数</w:t>
      </w:r>
      <w:r>
        <w:rPr>
          <w:spacing w:val="-22"/>
        </w:rPr>
        <w:t>的三分之二。采购人或者采购代理机构应当从省级以上财政部门设立的政府采购评审专</w:t>
      </w:r>
      <w:r>
        <w:rPr>
          <w:spacing w:val="-2"/>
        </w:rPr>
        <w:t>家库中，通过随机方式抽取评审专家。</w:t>
      </w:r>
    </w:p>
    <w:p>
      <w:pPr>
        <w:spacing w:after="0" w:line="352" w:lineRule="auto"/>
        <w:jc w:val="both"/>
        <w:sectPr>
          <w:pgSz w:w="11910" w:h="16840"/>
          <w:pgMar w:top="1100" w:right="720" w:bottom="1180" w:left="920" w:header="918" w:footer="981" w:gutter="0"/>
          <w:pgNumType w:fmt="numberInDash"/>
          <w:cols w:space="720" w:num="1"/>
        </w:sectPr>
      </w:pPr>
    </w:p>
    <w:p>
      <w:pPr>
        <w:pStyle w:val="9"/>
        <w:spacing w:before="116"/>
      </w:pPr>
    </w:p>
    <w:p>
      <w:pPr>
        <w:pStyle w:val="15"/>
        <w:numPr>
          <w:ilvl w:val="1"/>
          <w:numId w:val="22"/>
        </w:numPr>
        <w:tabs>
          <w:tab w:val="left" w:pos="1922"/>
        </w:tabs>
        <w:spacing w:before="0" w:after="0" w:line="288" w:lineRule="auto"/>
        <w:ind w:left="889" w:right="1302" w:firstLine="480"/>
        <w:jc w:val="both"/>
        <w:rPr>
          <w:sz w:val="24"/>
        </w:rPr>
      </w:pPr>
      <w:r>
        <w:rPr>
          <w:spacing w:val="-10"/>
          <w:sz w:val="24"/>
        </w:rPr>
        <w:t>采购项目符合下列情形之一的，评标委员会成员人数应当为 7 人以上</w:t>
      </w:r>
      <w:r>
        <w:rPr>
          <w:spacing w:val="-4"/>
          <w:sz w:val="24"/>
        </w:rPr>
        <w:t>单数：</w:t>
      </w:r>
    </w:p>
    <w:p>
      <w:pPr>
        <w:pStyle w:val="15"/>
        <w:numPr>
          <w:ilvl w:val="0"/>
          <w:numId w:val="23"/>
        </w:numPr>
        <w:tabs>
          <w:tab w:val="left" w:pos="1948"/>
        </w:tabs>
        <w:spacing w:before="161" w:after="0" w:line="240" w:lineRule="auto"/>
        <w:ind w:left="1948" w:right="0" w:hanging="574"/>
        <w:jc w:val="both"/>
        <w:rPr>
          <w:sz w:val="24"/>
        </w:rPr>
      </w:pPr>
      <w:r>
        <w:rPr>
          <w:spacing w:val="-12"/>
          <w:sz w:val="24"/>
        </w:rPr>
        <w:t>采购预算金额在 1000</w:t>
      </w:r>
      <w:r>
        <w:rPr>
          <w:spacing w:val="-13"/>
          <w:sz w:val="24"/>
        </w:rPr>
        <w:t xml:space="preserve"> 万元以上；</w:t>
      </w:r>
    </w:p>
    <w:p>
      <w:pPr>
        <w:pStyle w:val="15"/>
        <w:numPr>
          <w:ilvl w:val="0"/>
          <w:numId w:val="23"/>
        </w:numPr>
        <w:tabs>
          <w:tab w:val="left" w:pos="1970"/>
        </w:tabs>
        <w:spacing w:before="156" w:after="0" w:line="240" w:lineRule="auto"/>
        <w:ind w:left="1970" w:right="0" w:hanging="596"/>
        <w:jc w:val="both"/>
        <w:rPr>
          <w:sz w:val="24"/>
        </w:rPr>
      </w:pPr>
      <w:r>
        <w:rPr>
          <w:spacing w:val="-7"/>
          <w:sz w:val="24"/>
        </w:rPr>
        <w:t>技术复杂；</w:t>
      </w:r>
    </w:p>
    <w:p>
      <w:pPr>
        <w:pStyle w:val="15"/>
        <w:numPr>
          <w:ilvl w:val="0"/>
          <w:numId w:val="23"/>
        </w:numPr>
        <w:tabs>
          <w:tab w:val="left" w:pos="1970"/>
        </w:tabs>
        <w:spacing w:before="154" w:after="0" w:line="240" w:lineRule="auto"/>
        <w:ind w:left="1970" w:right="0" w:hanging="596"/>
        <w:jc w:val="both"/>
        <w:rPr>
          <w:sz w:val="24"/>
        </w:rPr>
      </w:pPr>
      <w:r>
        <w:rPr>
          <w:spacing w:val="-7"/>
          <w:sz w:val="24"/>
        </w:rPr>
        <w:t>社会影响较大。</w:t>
      </w:r>
    </w:p>
    <w:p>
      <w:pPr>
        <w:pStyle w:val="15"/>
        <w:numPr>
          <w:ilvl w:val="1"/>
          <w:numId w:val="22"/>
        </w:numPr>
        <w:tabs>
          <w:tab w:val="left" w:pos="1900"/>
        </w:tabs>
        <w:spacing w:before="175" w:after="0" w:line="324" w:lineRule="auto"/>
        <w:ind w:left="889" w:right="1254" w:firstLine="480"/>
        <w:jc w:val="both"/>
        <w:rPr>
          <w:sz w:val="24"/>
        </w:rPr>
      </w:pPr>
      <w:r>
        <w:rPr>
          <w:spacing w:val="-4"/>
          <w:sz w:val="24"/>
        </w:rPr>
        <w:t>评审专家对本单位的采购项目只能作为采购人代表参与评标，对技术</w:t>
      </w:r>
      <w:r>
        <w:rPr>
          <w:spacing w:val="-10"/>
          <w:sz w:val="24"/>
        </w:rPr>
        <w:t>复杂、专业性强的采购项目，通过随机方式难以确定合适评审专家的，经主管预算单位同意，采购人可以自行选定相应专业领域的评审专家。采购代理机构工作</w:t>
      </w:r>
      <w:r>
        <w:rPr>
          <w:spacing w:val="-2"/>
          <w:sz w:val="24"/>
        </w:rPr>
        <w:t>人员不得参加由本机构代理的政府采购项目的评标。</w:t>
      </w:r>
    </w:p>
    <w:p>
      <w:pPr>
        <w:pStyle w:val="15"/>
        <w:numPr>
          <w:ilvl w:val="1"/>
          <w:numId w:val="22"/>
        </w:numPr>
        <w:tabs>
          <w:tab w:val="left" w:pos="1922"/>
        </w:tabs>
        <w:spacing w:before="156" w:after="0" w:line="240" w:lineRule="auto"/>
        <w:ind w:left="1922" w:right="0" w:hanging="550"/>
        <w:jc w:val="both"/>
        <w:rPr>
          <w:sz w:val="24"/>
        </w:rPr>
      </w:pPr>
      <w:r>
        <w:rPr>
          <w:spacing w:val="-5"/>
          <w:sz w:val="24"/>
        </w:rPr>
        <w:t>评标委员会成员名单在评标结果公告前应当保密。</w:t>
      </w:r>
    </w:p>
    <w:p>
      <w:pPr>
        <w:pStyle w:val="15"/>
        <w:numPr>
          <w:ilvl w:val="1"/>
          <w:numId w:val="22"/>
        </w:numPr>
        <w:tabs>
          <w:tab w:val="left" w:pos="1900"/>
        </w:tabs>
        <w:spacing w:before="177" w:after="0" w:line="312" w:lineRule="auto"/>
        <w:ind w:left="887" w:right="1160" w:firstLine="482"/>
        <w:jc w:val="left"/>
        <w:rPr>
          <w:sz w:val="24"/>
        </w:rPr>
      </w:pPr>
      <w:r>
        <w:rPr>
          <w:spacing w:val="-2"/>
          <w:sz w:val="24"/>
        </w:rPr>
        <w:t>评标中因评标委员会成员缺席、回避或者健康等特殊原因导致评标委</w:t>
      </w:r>
      <w:r>
        <w:rPr>
          <w:spacing w:val="-20"/>
          <w:sz w:val="24"/>
        </w:rPr>
        <w:t>员会组成不符合本办法规定的，采购人或者采购代理机构应当依法补足后继续评标。</w:t>
      </w:r>
      <w:r>
        <w:rPr>
          <w:spacing w:val="-2"/>
          <w:sz w:val="24"/>
        </w:rPr>
        <w:t>被更换的评标委员会成员所作出的评标意见无效。</w:t>
      </w:r>
    </w:p>
    <w:p>
      <w:pPr>
        <w:pStyle w:val="15"/>
        <w:numPr>
          <w:ilvl w:val="1"/>
          <w:numId w:val="22"/>
        </w:numPr>
        <w:tabs>
          <w:tab w:val="left" w:pos="1902"/>
        </w:tabs>
        <w:spacing w:before="180" w:after="0" w:line="312" w:lineRule="auto"/>
        <w:ind w:left="887" w:right="1254" w:firstLine="482"/>
        <w:jc w:val="both"/>
        <w:rPr>
          <w:sz w:val="24"/>
        </w:rPr>
      </w:pPr>
      <w:r>
        <w:rPr>
          <w:spacing w:val="-4"/>
          <w:sz w:val="24"/>
        </w:rPr>
        <w:t>无法及时补足评标委员会成员的，采购人或者采购代理机构应当停止</w:t>
      </w:r>
      <w:r>
        <w:rPr>
          <w:spacing w:val="-10"/>
          <w:sz w:val="24"/>
        </w:rPr>
        <w:t>评标活动，封存所有投标文件和开标、评标资料，依法重新组建评标委员会进行</w:t>
      </w:r>
      <w:r>
        <w:rPr>
          <w:spacing w:val="-2"/>
          <w:sz w:val="24"/>
        </w:rPr>
        <w:t>评标。原评标委员会所作出的评标意见无效。</w:t>
      </w:r>
    </w:p>
    <w:p>
      <w:pPr>
        <w:pStyle w:val="15"/>
        <w:numPr>
          <w:ilvl w:val="1"/>
          <w:numId w:val="22"/>
        </w:numPr>
        <w:tabs>
          <w:tab w:val="left" w:pos="1958"/>
        </w:tabs>
        <w:spacing w:before="159" w:after="0" w:line="240" w:lineRule="auto"/>
        <w:ind w:left="1958" w:right="0" w:hanging="586"/>
        <w:jc w:val="both"/>
        <w:rPr>
          <w:sz w:val="24"/>
        </w:rPr>
      </w:pPr>
      <w:r>
        <w:rPr>
          <w:spacing w:val="-5"/>
          <w:sz w:val="24"/>
        </w:rPr>
        <w:t>评标委员会成员有下列情形之一的，应当回避：</w:t>
      </w:r>
    </w:p>
    <w:p>
      <w:pPr>
        <w:pStyle w:val="15"/>
        <w:numPr>
          <w:ilvl w:val="0"/>
          <w:numId w:val="24"/>
        </w:numPr>
        <w:tabs>
          <w:tab w:val="left" w:pos="1941"/>
        </w:tabs>
        <w:spacing w:before="153" w:after="0" w:line="240" w:lineRule="auto"/>
        <w:ind w:left="1941" w:right="0" w:hanging="567"/>
        <w:jc w:val="both"/>
        <w:rPr>
          <w:sz w:val="24"/>
        </w:rPr>
      </w:pPr>
      <w:r>
        <w:rPr>
          <w:spacing w:val="-16"/>
          <w:sz w:val="24"/>
        </w:rPr>
        <w:t xml:space="preserve">参加采购活动前 </w:t>
      </w:r>
      <w:r>
        <w:rPr>
          <w:spacing w:val="-14"/>
          <w:sz w:val="24"/>
        </w:rPr>
        <w:t>3</w:t>
      </w:r>
      <w:r>
        <w:rPr>
          <w:spacing w:val="-16"/>
          <w:sz w:val="24"/>
        </w:rPr>
        <w:t xml:space="preserve"> 年内与投标人存在劳动关系；</w:t>
      </w:r>
    </w:p>
    <w:p>
      <w:pPr>
        <w:pStyle w:val="15"/>
        <w:numPr>
          <w:ilvl w:val="0"/>
          <w:numId w:val="24"/>
        </w:numPr>
        <w:tabs>
          <w:tab w:val="left" w:pos="1953"/>
        </w:tabs>
        <w:spacing w:before="156" w:after="0" w:line="240" w:lineRule="auto"/>
        <w:ind w:left="1953" w:right="0" w:hanging="579"/>
        <w:jc w:val="both"/>
        <w:rPr>
          <w:sz w:val="24"/>
        </w:rPr>
      </w:pPr>
      <w:r>
        <w:rPr>
          <w:spacing w:val="-16"/>
          <w:sz w:val="24"/>
        </w:rPr>
        <w:t>参加采购活动前 3 年内担任投标人的董事、监事；</w:t>
      </w:r>
    </w:p>
    <w:p>
      <w:pPr>
        <w:pStyle w:val="15"/>
        <w:numPr>
          <w:ilvl w:val="0"/>
          <w:numId w:val="24"/>
        </w:numPr>
        <w:tabs>
          <w:tab w:val="left" w:pos="1941"/>
        </w:tabs>
        <w:spacing w:before="156" w:after="0" w:line="240" w:lineRule="auto"/>
        <w:ind w:left="1941" w:right="0" w:hanging="567"/>
        <w:jc w:val="left"/>
        <w:rPr>
          <w:sz w:val="24"/>
        </w:rPr>
      </w:pPr>
      <w:r>
        <w:rPr>
          <w:spacing w:val="-16"/>
          <w:sz w:val="24"/>
        </w:rPr>
        <w:t>参加采购活动前 3 年内是投标人的控股股东或实际控制人；</w:t>
      </w:r>
    </w:p>
    <w:p>
      <w:pPr>
        <w:pStyle w:val="15"/>
        <w:numPr>
          <w:ilvl w:val="0"/>
          <w:numId w:val="24"/>
        </w:numPr>
        <w:tabs>
          <w:tab w:val="left" w:pos="1972"/>
        </w:tabs>
        <w:spacing w:before="176" w:after="0" w:line="288" w:lineRule="auto"/>
        <w:ind w:left="889" w:right="1220" w:firstLine="482"/>
        <w:jc w:val="left"/>
        <w:rPr>
          <w:sz w:val="24"/>
        </w:rPr>
      </w:pPr>
      <w:r>
        <w:rPr>
          <w:spacing w:val="-6"/>
          <w:sz w:val="24"/>
        </w:rPr>
        <w:t>与投标人的法定代表人或者负责人有夫妻、直系血亲、三代以内旁系</w:t>
      </w:r>
      <w:r>
        <w:rPr>
          <w:spacing w:val="-2"/>
          <w:sz w:val="24"/>
        </w:rPr>
        <w:t>血亲或者近姻亲关系；</w:t>
      </w:r>
    </w:p>
    <w:p>
      <w:pPr>
        <w:pStyle w:val="15"/>
        <w:numPr>
          <w:ilvl w:val="0"/>
          <w:numId w:val="24"/>
        </w:numPr>
        <w:tabs>
          <w:tab w:val="left" w:pos="1974"/>
        </w:tabs>
        <w:spacing w:before="160" w:after="0" w:line="362" w:lineRule="auto"/>
        <w:ind w:left="891" w:right="2161" w:firstLine="482"/>
        <w:jc w:val="left"/>
        <w:rPr>
          <w:b/>
          <w:sz w:val="24"/>
        </w:rPr>
      </w:pPr>
      <w:r>
        <w:rPr>
          <w:spacing w:val="-6"/>
          <w:sz w:val="24"/>
        </w:rPr>
        <w:t xml:space="preserve">与投标人有其他可能影响采购活动公平、公正进行的关系。 </w:t>
      </w:r>
      <w:r>
        <w:rPr>
          <w:b/>
          <w:spacing w:val="-2"/>
          <w:sz w:val="24"/>
        </w:rPr>
        <w:t>29.评标</w:t>
      </w:r>
    </w:p>
    <w:p>
      <w:pPr>
        <w:pStyle w:val="15"/>
        <w:numPr>
          <w:ilvl w:val="1"/>
          <w:numId w:val="25"/>
        </w:numPr>
        <w:tabs>
          <w:tab w:val="left" w:pos="1958"/>
        </w:tabs>
        <w:spacing w:before="6" w:after="0" w:line="283" w:lineRule="auto"/>
        <w:ind w:left="889" w:right="1165" w:firstLine="480"/>
        <w:jc w:val="left"/>
        <w:rPr>
          <w:sz w:val="24"/>
        </w:rPr>
      </w:pPr>
      <w:r>
        <w:rPr>
          <w:spacing w:val="-4"/>
          <w:sz w:val="24"/>
        </w:rPr>
        <w:t>评标方法分为综合评分法和最低评标价法，本项目评标方法详见“投</w:t>
      </w:r>
      <w:r>
        <w:rPr>
          <w:spacing w:val="-2"/>
          <w:sz w:val="24"/>
        </w:rPr>
        <w:t>标人须知前附表”。</w:t>
      </w:r>
    </w:p>
    <w:p>
      <w:pPr>
        <w:pStyle w:val="15"/>
        <w:numPr>
          <w:ilvl w:val="2"/>
          <w:numId w:val="25"/>
        </w:numPr>
        <w:tabs>
          <w:tab w:val="left" w:pos="2137"/>
        </w:tabs>
        <w:spacing w:before="188" w:after="0" w:line="288" w:lineRule="auto"/>
        <w:ind w:left="887" w:right="1281" w:firstLine="482"/>
        <w:jc w:val="left"/>
        <w:rPr>
          <w:sz w:val="24"/>
        </w:rPr>
      </w:pPr>
      <w:r>
        <w:rPr>
          <w:spacing w:val="-6"/>
          <w:sz w:val="24"/>
        </w:rPr>
        <w:t>综合评分法，是指投标文件满足招标文件全部实质性要求，且按照</w:t>
      </w:r>
      <w:r>
        <w:rPr>
          <w:spacing w:val="-2"/>
          <w:sz w:val="24"/>
        </w:rPr>
        <w:t>评审因素的量化指标评审得分最高的投标人为中标候选人的评标方法。</w:t>
      </w:r>
    </w:p>
    <w:p>
      <w:pPr>
        <w:pStyle w:val="9"/>
        <w:spacing w:before="182" w:line="345" w:lineRule="auto"/>
        <w:ind w:left="889" w:right="1240" w:firstLine="480"/>
      </w:pPr>
      <w:r>
        <w:rPr>
          <w:spacing w:val="-6"/>
        </w:rPr>
        <w:t>29.1.2.最低评标价法，是指投标文件满足招标文件全部实质性要求，且投</w:t>
      </w:r>
      <w:r>
        <w:rPr>
          <w:spacing w:val="-2"/>
        </w:rPr>
        <w:t>标报价最低的投标人为中标候选人的评标方法。</w:t>
      </w:r>
    </w:p>
    <w:p>
      <w:pPr>
        <w:spacing w:after="0" w:line="345" w:lineRule="auto"/>
        <w:sectPr>
          <w:pgSz w:w="11910" w:h="16840"/>
          <w:pgMar w:top="1100" w:right="720" w:bottom="1180" w:left="920" w:header="918" w:footer="981" w:gutter="0"/>
          <w:pgNumType w:fmt="numberInDash"/>
          <w:cols w:space="720" w:num="1"/>
        </w:sectPr>
      </w:pPr>
    </w:p>
    <w:p>
      <w:pPr>
        <w:pStyle w:val="9"/>
        <w:spacing w:before="118"/>
      </w:pPr>
    </w:p>
    <w:p>
      <w:pPr>
        <w:pStyle w:val="15"/>
        <w:numPr>
          <w:ilvl w:val="1"/>
          <w:numId w:val="25"/>
        </w:numPr>
        <w:tabs>
          <w:tab w:val="left" w:pos="1952"/>
        </w:tabs>
        <w:spacing w:before="1" w:after="0" w:line="312" w:lineRule="auto"/>
        <w:ind w:left="889" w:right="1072" w:firstLine="482"/>
        <w:jc w:val="both"/>
        <w:rPr>
          <w:sz w:val="24"/>
        </w:rPr>
      </w:pPr>
      <w:r>
        <w:rPr>
          <w:spacing w:val="-5"/>
          <w:sz w:val="24"/>
        </w:rPr>
        <w:t>评标委员会按照“第五章 评标方法及标准”的规定对投标文件进行评</w:t>
      </w:r>
      <w:r>
        <w:rPr>
          <w:spacing w:val="-3"/>
          <w:sz w:val="24"/>
        </w:rPr>
        <w:t>审。“第五章 评标方法及标准”没有规定的方法、评审因素和标准，不作为评</w:t>
      </w:r>
      <w:r>
        <w:rPr>
          <w:spacing w:val="-4"/>
          <w:sz w:val="24"/>
        </w:rPr>
        <w:t>标依据。</w:t>
      </w:r>
    </w:p>
    <w:p>
      <w:pPr>
        <w:pStyle w:val="15"/>
        <w:numPr>
          <w:ilvl w:val="1"/>
          <w:numId w:val="25"/>
        </w:numPr>
        <w:tabs>
          <w:tab w:val="left" w:pos="1963"/>
        </w:tabs>
        <w:spacing w:before="177" w:after="0" w:line="288" w:lineRule="auto"/>
        <w:ind w:left="894" w:right="1100" w:firstLine="477"/>
        <w:jc w:val="both"/>
        <w:rPr>
          <w:sz w:val="24"/>
        </w:rPr>
      </w:pPr>
      <w:r>
        <w:rPr>
          <w:spacing w:val="-1"/>
          <w:sz w:val="24"/>
        </w:rPr>
        <w:t>评标委员会按“投标人须知前附表”规定的中标候选人数量在评标报</w:t>
      </w:r>
      <w:r>
        <w:rPr>
          <w:spacing w:val="-2"/>
          <w:sz w:val="24"/>
        </w:rPr>
        <w:t>告中向采购人推荐中标候选人。</w:t>
      </w:r>
    </w:p>
    <w:p>
      <w:pPr>
        <w:pStyle w:val="15"/>
        <w:numPr>
          <w:ilvl w:val="1"/>
          <w:numId w:val="25"/>
        </w:numPr>
        <w:tabs>
          <w:tab w:val="left" w:pos="1948"/>
        </w:tabs>
        <w:spacing w:before="185" w:after="0" w:line="288" w:lineRule="auto"/>
        <w:ind w:left="889" w:right="997" w:firstLine="482"/>
        <w:jc w:val="both"/>
        <w:rPr>
          <w:sz w:val="24"/>
        </w:rPr>
      </w:pPr>
      <w:r>
        <w:rPr>
          <w:spacing w:val="-6"/>
          <w:sz w:val="24"/>
        </w:rPr>
        <w:t>开标之后，直到签订合同止，凡是属于审查、澄清、评价和比较投标的</w:t>
      </w:r>
      <w:r>
        <w:rPr>
          <w:spacing w:val="-2"/>
          <w:sz w:val="24"/>
        </w:rPr>
        <w:t>有关资料以及定标意向等，均不得向投标人或者其他与评标无关的人员透露。</w:t>
      </w:r>
    </w:p>
    <w:p>
      <w:pPr>
        <w:pStyle w:val="15"/>
        <w:numPr>
          <w:ilvl w:val="1"/>
          <w:numId w:val="25"/>
        </w:numPr>
        <w:tabs>
          <w:tab w:val="left" w:pos="1952"/>
        </w:tabs>
        <w:spacing w:before="182" w:after="0" w:line="288" w:lineRule="auto"/>
        <w:ind w:left="887" w:right="973" w:firstLine="484"/>
        <w:jc w:val="both"/>
        <w:rPr>
          <w:sz w:val="24"/>
        </w:rPr>
      </w:pPr>
      <w:r>
        <w:rPr>
          <w:spacing w:val="-4"/>
          <w:sz w:val="24"/>
        </w:rPr>
        <w:t>在确定中标人之前，投标人试图在投标文件审查、澄清、比较和评标时</w:t>
      </w:r>
      <w:r>
        <w:rPr>
          <w:spacing w:val="-2"/>
          <w:sz w:val="24"/>
        </w:rPr>
        <w:t>对评标委员会、采购人和采购代理机构施加任何影响都可能导致其</w:t>
      </w:r>
      <w:r>
        <w:rPr>
          <w:b/>
          <w:spacing w:val="-2"/>
          <w:sz w:val="24"/>
        </w:rPr>
        <w:t>投标无效</w:t>
      </w:r>
      <w:r>
        <w:rPr>
          <w:spacing w:val="-2"/>
          <w:sz w:val="24"/>
        </w:rPr>
        <w:t>。</w:t>
      </w:r>
    </w:p>
    <w:p>
      <w:pPr>
        <w:pStyle w:val="15"/>
        <w:numPr>
          <w:ilvl w:val="1"/>
          <w:numId w:val="25"/>
        </w:numPr>
        <w:tabs>
          <w:tab w:val="left" w:pos="1990"/>
        </w:tabs>
        <w:spacing w:before="161" w:after="0" w:line="240" w:lineRule="auto"/>
        <w:ind w:left="1990" w:right="0" w:hanging="618"/>
        <w:jc w:val="both"/>
        <w:rPr>
          <w:sz w:val="24"/>
        </w:rPr>
      </w:pPr>
      <w:r>
        <w:rPr>
          <w:spacing w:val="-7"/>
          <w:sz w:val="24"/>
        </w:rPr>
        <w:t>电子招投标的应急措施</w:t>
      </w:r>
    </w:p>
    <w:p>
      <w:pPr>
        <w:pStyle w:val="15"/>
        <w:numPr>
          <w:ilvl w:val="2"/>
          <w:numId w:val="25"/>
        </w:numPr>
        <w:tabs>
          <w:tab w:val="left" w:pos="2166"/>
        </w:tabs>
        <w:spacing w:before="175" w:after="0" w:line="285" w:lineRule="auto"/>
        <w:ind w:left="894" w:right="1278" w:firstLine="477"/>
        <w:jc w:val="both"/>
        <w:rPr>
          <w:sz w:val="24"/>
        </w:rPr>
      </w:pPr>
      <w:r>
        <w:rPr>
          <w:spacing w:val="-6"/>
          <w:sz w:val="24"/>
        </w:rPr>
        <w:t>电子开标、评标如出现下列原因，导致系统无法正常运行或无法正</w:t>
      </w:r>
      <w:r>
        <w:rPr>
          <w:spacing w:val="-2"/>
          <w:sz w:val="24"/>
        </w:rPr>
        <w:t>常评标时，应采取应急措施。</w:t>
      </w:r>
    </w:p>
    <w:p>
      <w:pPr>
        <w:pStyle w:val="15"/>
        <w:numPr>
          <w:ilvl w:val="0"/>
          <w:numId w:val="26"/>
        </w:numPr>
        <w:tabs>
          <w:tab w:val="left" w:pos="1982"/>
        </w:tabs>
        <w:spacing w:before="167" w:after="0" w:line="240" w:lineRule="auto"/>
        <w:ind w:left="1982" w:right="0" w:hanging="608"/>
        <w:jc w:val="both"/>
        <w:rPr>
          <w:sz w:val="24"/>
        </w:rPr>
      </w:pPr>
      <w:r>
        <w:rPr>
          <w:spacing w:val="-5"/>
          <w:sz w:val="24"/>
        </w:rPr>
        <w:t>系统服务器发生故障，无法访问或无法使用系统；</w:t>
      </w:r>
    </w:p>
    <w:p>
      <w:pPr>
        <w:pStyle w:val="15"/>
        <w:numPr>
          <w:ilvl w:val="0"/>
          <w:numId w:val="26"/>
        </w:numPr>
        <w:tabs>
          <w:tab w:val="left" w:pos="1982"/>
        </w:tabs>
        <w:spacing w:before="156" w:after="0" w:line="240" w:lineRule="auto"/>
        <w:ind w:left="1982" w:right="0" w:hanging="608"/>
        <w:jc w:val="both"/>
        <w:rPr>
          <w:sz w:val="24"/>
        </w:rPr>
      </w:pPr>
      <w:r>
        <w:rPr>
          <w:spacing w:val="-5"/>
          <w:sz w:val="24"/>
        </w:rPr>
        <w:t>系统的软件或数据库出现错误，不能进行正常操作；</w:t>
      </w:r>
    </w:p>
    <w:p>
      <w:pPr>
        <w:pStyle w:val="15"/>
        <w:numPr>
          <w:ilvl w:val="0"/>
          <w:numId w:val="26"/>
        </w:numPr>
        <w:tabs>
          <w:tab w:val="left" w:pos="1980"/>
        </w:tabs>
        <w:spacing w:before="156" w:after="0" w:line="240" w:lineRule="auto"/>
        <w:ind w:left="1980" w:right="0" w:hanging="606"/>
        <w:jc w:val="left"/>
        <w:rPr>
          <w:sz w:val="24"/>
        </w:rPr>
      </w:pPr>
      <w:r>
        <w:rPr>
          <w:spacing w:val="-5"/>
          <w:sz w:val="24"/>
        </w:rPr>
        <w:t>系统发现有安全漏洞，有潜在的泄密危险；</w:t>
      </w:r>
    </w:p>
    <w:p>
      <w:pPr>
        <w:pStyle w:val="15"/>
        <w:numPr>
          <w:ilvl w:val="0"/>
          <w:numId w:val="26"/>
        </w:numPr>
        <w:tabs>
          <w:tab w:val="left" w:pos="1975"/>
        </w:tabs>
        <w:spacing w:before="154" w:after="0" w:line="240" w:lineRule="auto"/>
        <w:ind w:left="1975" w:right="0" w:hanging="601"/>
        <w:jc w:val="left"/>
        <w:rPr>
          <w:sz w:val="24"/>
        </w:rPr>
      </w:pPr>
      <w:r>
        <w:rPr>
          <w:spacing w:val="-5"/>
          <w:sz w:val="24"/>
        </w:rPr>
        <w:t>病毒发作或受到外来病毒的攻击；</w:t>
      </w:r>
    </w:p>
    <w:p>
      <w:pPr>
        <w:pStyle w:val="15"/>
        <w:numPr>
          <w:ilvl w:val="0"/>
          <w:numId w:val="26"/>
        </w:numPr>
        <w:tabs>
          <w:tab w:val="left" w:pos="1994"/>
        </w:tabs>
        <w:spacing w:before="154" w:after="0" w:line="240" w:lineRule="auto"/>
        <w:ind w:left="1994" w:right="0" w:hanging="620"/>
        <w:jc w:val="left"/>
        <w:rPr>
          <w:sz w:val="24"/>
        </w:rPr>
      </w:pPr>
      <w:r>
        <w:rPr>
          <w:spacing w:val="-5"/>
          <w:sz w:val="24"/>
        </w:rPr>
        <w:t>出现其他不可抗拒的客观原因造成开评标系统无法正常使用。</w:t>
      </w:r>
    </w:p>
    <w:p>
      <w:pPr>
        <w:pStyle w:val="9"/>
        <w:spacing w:before="175" w:line="345" w:lineRule="auto"/>
        <w:ind w:left="889" w:right="1247" w:firstLine="499"/>
      </w:pPr>
      <w:r>
        <w:rPr>
          <w:spacing w:val="-10"/>
        </w:rPr>
        <w:t>出现上述情况时，应对未开标的暂停开标。已在系统内开标、评标的立即停</w:t>
      </w:r>
      <w:r>
        <w:rPr>
          <w:spacing w:val="-2"/>
        </w:rPr>
        <w:t>止。采取应急措施时，必须对原有资料及信息作出妥善保密处理。</w:t>
      </w:r>
    </w:p>
    <w:p>
      <w:pPr>
        <w:pStyle w:val="15"/>
        <w:numPr>
          <w:ilvl w:val="2"/>
          <w:numId w:val="25"/>
        </w:numPr>
        <w:tabs>
          <w:tab w:val="left" w:pos="2173"/>
        </w:tabs>
        <w:spacing w:before="32" w:after="0" w:line="312" w:lineRule="auto"/>
        <w:ind w:left="887" w:right="1160" w:firstLine="484"/>
        <w:jc w:val="both"/>
        <w:rPr>
          <w:sz w:val="24"/>
        </w:rPr>
      </w:pPr>
      <w:r>
        <w:rPr>
          <w:spacing w:val="-2"/>
          <w:sz w:val="24"/>
        </w:rPr>
        <w:t>因系统原因导致投标人均无法解密电子投标文件时，采购代理机构可在开标现场直接导入投标人在投标截止时间前递交的未加密的电子投标文件进行开标、评标。</w:t>
      </w:r>
    </w:p>
    <w:p>
      <w:pPr>
        <w:pStyle w:val="15"/>
        <w:numPr>
          <w:ilvl w:val="1"/>
          <w:numId w:val="25"/>
        </w:numPr>
        <w:tabs>
          <w:tab w:val="left" w:pos="1961"/>
        </w:tabs>
        <w:spacing w:before="161" w:after="0" w:line="240" w:lineRule="auto"/>
        <w:ind w:left="1961" w:right="0" w:hanging="589"/>
        <w:jc w:val="both"/>
        <w:rPr>
          <w:sz w:val="24"/>
        </w:rPr>
      </w:pPr>
      <w:r>
        <w:rPr>
          <w:spacing w:val="-5"/>
          <w:sz w:val="24"/>
        </w:rPr>
        <w:t>投标人瑕疵滞后发现的处理规则</w:t>
      </w:r>
    </w:p>
    <w:p>
      <w:pPr>
        <w:pStyle w:val="15"/>
        <w:numPr>
          <w:ilvl w:val="2"/>
          <w:numId w:val="25"/>
        </w:numPr>
        <w:tabs>
          <w:tab w:val="left" w:pos="2134"/>
        </w:tabs>
        <w:spacing w:before="175" w:after="0" w:line="324" w:lineRule="auto"/>
        <w:ind w:left="891" w:right="1252" w:firstLine="480"/>
        <w:jc w:val="both"/>
        <w:rPr>
          <w:sz w:val="24"/>
        </w:rPr>
      </w:pPr>
      <w:r>
        <w:rPr>
          <w:spacing w:val="-4"/>
          <w:sz w:val="24"/>
        </w:rPr>
        <w:t>无论基于何种原因，各项本应作</w:t>
      </w:r>
      <w:r>
        <w:rPr>
          <w:b/>
          <w:spacing w:val="-4"/>
          <w:sz w:val="24"/>
        </w:rPr>
        <w:t>无效投标</w:t>
      </w:r>
      <w:r>
        <w:rPr>
          <w:spacing w:val="-4"/>
          <w:sz w:val="24"/>
        </w:rPr>
        <w:t>处理的情形即便未被及时</w:t>
      </w:r>
      <w:r>
        <w:rPr>
          <w:spacing w:val="-10"/>
          <w:sz w:val="24"/>
        </w:rPr>
        <w:t>发现而使该投标人进入初审、综合评审或其他后续程序，包括已经签订合同的情形，一旦该投标人的投标作无效投标处理或该投标人的此前评议结果被取消，其</w:t>
      </w:r>
      <w:r>
        <w:rPr>
          <w:spacing w:val="-2"/>
          <w:sz w:val="24"/>
        </w:rPr>
        <w:t>现有的位置将被其他投标人依序替代，相关的一切损失均由该投标人承担。</w:t>
      </w:r>
    </w:p>
    <w:p>
      <w:pPr>
        <w:pStyle w:val="8"/>
        <w:spacing w:before="202" w:line="364" w:lineRule="auto"/>
        <w:ind w:left="822" w:right="7921" w:firstLine="72"/>
      </w:pPr>
      <w:r>
        <w:rPr>
          <w:spacing w:val="-2"/>
        </w:rPr>
        <w:t xml:space="preserve">（八）中标 </w:t>
      </w:r>
      <w:r>
        <w:rPr>
          <w:spacing w:val="-8"/>
        </w:rPr>
        <w:t>30.确定中标人</w:t>
      </w:r>
    </w:p>
    <w:p>
      <w:pPr>
        <w:pStyle w:val="15"/>
        <w:numPr>
          <w:ilvl w:val="1"/>
          <w:numId w:val="27"/>
        </w:numPr>
        <w:tabs>
          <w:tab w:val="left" w:pos="1930"/>
        </w:tabs>
        <w:spacing w:before="0" w:after="0" w:line="280" w:lineRule="exact"/>
        <w:ind w:left="1930" w:right="0" w:hanging="558"/>
        <w:jc w:val="left"/>
        <w:rPr>
          <w:sz w:val="24"/>
        </w:rPr>
      </w:pPr>
      <w:r>
        <w:rPr>
          <w:spacing w:val="-5"/>
          <w:sz w:val="24"/>
        </w:rPr>
        <w:t>采购人将在评标报告确定的中标候选人名单中按顺序确定中标人，中</w:t>
      </w:r>
    </w:p>
    <w:p>
      <w:pPr>
        <w:spacing w:after="0" w:line="280" w:lineRule="exact"/>
        <w:jc w:val="left"/>
        <w:rPr>
          <w:sz w:val="24"/>
        </w:rPr>
        <w:sectPr>
          <w:pgSz w:w="11910" w:h="16840"/>
          <w:pgMar w:top="1100" w:right="720" w:bottom="1180" w:left="920" w:header="918" w:footer="981" w:gutter="0"/>
          <w:pgNumType w:fmt="numberInDash"/>
          <w:cols w:space="720" w:num="1"/>
        </w:sectPr>
      </w:pPr>
    </w:p>
    <w:p>
      <w:pPr>
        <w:pStyle w:val="9"/>
        <w:spacing w:before="116"/>
      </w:pPr>
    </w:p>
    <w:p>
      <w:pPr>
        <w:pStyle w:val="9"/>
        <w:spacing w:line="348" w:lineRule="auto"/>
        <w:ind w:left="887" w:right="1121"/>
        <w:jc w:val="both"/>
      </w:pPr>
      <w:r>
        <w:rPr>
          <w:spacing w:val="-6"/>
        </w:rPr>
        <w:t>标候选人并列的，按照“投标人须知前附表”确定中标人；招标文件未规定的，采取随机抽取的方式确定。采购人是否委托评标委员会直接确定中标人，见“投</w:t>
      </w:r>
      <w:r>
        <w:rPr>
          <w:spacing w:val="-2"/>
        </w:rPr>
        <w:t>标人须知前附表”。</w:t>
      </w:r>
    </w:p>
    <w:p>
      <w:pPr>
        <w:pStyle w:val="8"/>
        <w:numPr>
          <w:ilvl w:val="0"/>
          <w:numId w:val="28"/>
        </w:numPr>
        <w:tabs>
          <w:tab w:val="left" w:pos="1254"/>
        </w:tabs>
        <w:spacing w:before="21" w:after="0" w:line="240" w:lineRule="auto"/>
        <w:ind w:left="1254" w:right="0" w:hanging="363"/>
        <w:jc w:val="both"/>
      </w:pPr>
      <w:r>
        <w:rPr>
          <w:spacing w:val="-14"/>
        </w:rPr>
        <w:t>中标结果公告</w:t>
      </w:r>
    </w:p>
    <w:p>
      <w:pPr>
        <w:pStyle w:val="15"/>
        <w:numPr>
          <w:ilvl w:val="1"/>
          <w:numId w:val="28"/>
        </w:numPr>
        <w:tabs>
          <w:tab w:val="left" w:pos="1902"/>
        </w:tabs>
        <w:spacing w:before="158" w:after="0" w:line="312" w:lineRule="auto"/>
        <w:ind w:left="887" w:right="1230" w:firstLine="484"/>
        <w:jc w:val="both"/>
        <w:rPr>
          <w:sz w:val="24"/>
        </w:rPr>
      </w:pPr>
      <w:r>
        <w:rPr>
          <w:spacing w:val="-7"/>
          <w:sz w:val="24"/>
        </w:rPr>
        <w:t xml:space="preserve">采购人或采购代理机构应当自中标人确定之日起 </w:t>
      </w:r>
      <w:r>
        <w:rPr>
          <w:spacing w:val="-6"/>
          <w:sz w:val="24"/>
        </w:rPr>
        <w:t>2</w:t>
      </w:r>
      <w:r>
        <w:rPr>
          <w:spacing w:val="-10"/>
          <w:sz w:val="24"/>
        </w:rPr>
        <w:t xml:space="preserve"> 个工作日内，在发</w:t>
      </w:r>
      <w:r>
        <w:rPr>
          <w:spacing w:val="-8"/>
          <w:sz w:val="24"/>
        </w:rPr>
        <w:t>布招标公告的同一媒体上发布中标结果公告，同时向中标人发出中标通知书。招</w:t>
      </w:r>
      <w:r>
        <w:rPr>
          <w:sz w:val="24"/>
        </w:rPr>
        <w:t>标文件随中标结果同时公告，中标结果公告期限为 1 个工作日。</w:t>
      </w:r>
    </w:p>
    <w:p>
      <w:pPr>
        <w:pStyle w:val="15"/>
        <w:numPr>
          <w:ilvl w:val="1"/>
          <w:numId w:val="28"/>
        </w:numPr>
        <w:tabs>
          <w:tab w:val="left" w:pos="1929"/>
        </w:tabs>
        <w:spacing w:before="180" w:after="0" w:line="312" w:lineRule="auto"/>
        <w:ind w:left="891" w:right="1247" w:firstLine="480"/>
        <w:jc w:val="both"/>
        <w:rPr>
          <w:sz w:val="24"/>
        </w:rPr>
      </w:pPr>
      <w:r>
        <w:rPr>
          <w:spacing w:val="-4"/>
          <w:sz w:val="24"/>
        </w:rPr>
        <w:t>中标供应商为中小企业享受中小企业扶持政策的，其“中小企业声明</w:t>
      </w:r>
      <w:r>
        <w:rPr>
          <w:spacing w:val="-8"/>
          <w:sz w:val="24"/>
        </w:rPr>
        <w:t>函”随中标结果同时公告。中标供应商为残疾人福利性单位的，其“残疾人福利</w:t>
      </w:r>
      <w:r>
        <w:rPr>
          <w:spacing w:val="-2"/>
          <w:sz w:val="24"/>
        </w:rPr>
        <w:t>性单位声明函”随中标结果同时公告。</w:t>
      </w:r>
    </w:p>
    <w:p>
      <w:pPr>
        <w:pStyle w:val="15"/>
        <w:numPr>
          <w:ilvl w:val="1"/>
          <w:numId w:val="28"/>
        </w:numPr>
        <w:tabs>
          <w:tab w:val="left" w:pos="1907"/>
        </w:tabs>
        <w:spacing w:before="180" w:after="0" w:line="312" w:lineRule="auto"/>
        <w:ind w:left="887" w:right="1160" w:firstLine="484"/>
        <w:jc w:val="left"/>
        <w:rPr>
          <w:sz w:val="24"/>
        </w:rPr>
      </w:pPr>
      <w:r>
        <w:rPr>
          <w:spacing w:val="-2"/>
          <w:sz w:val="24"/>
        </w:rPr>
        <w:t>项目采购采用最低评标价法的，公告中标结果时同时公告因落实政府</w:t>
      </w:r>
      <w:r>
        <w:rPr>
          <w:spacing w:val="-12"/>
          <w:sz w:val="24"/>
        </w:rPr>
        <w:t>采购政策等原因进行价格扣除后中标供应商的评审报价；项目采购采用综合评分法</w:t>
      </w:r>
      <w:r>
        <w:rPr>
          <w:spacing w:val="-2"/>
          <w:sz w:val="24"/>
        </w:rPr>
        <w:t>的，公告中标结果时同时公告中标供应商的评审总得分。</w:t>
      </w:r>
    </w:p>
    <w:p>
      <w:pPr>
        <w:pStyle w:val="8"/>
        <w:numPr>
          <w:ilvl w:val="0"/>
          <w:numId w:val="28"/>
        </w:numPr>
        <w:tabs>
          <w:tab w:val="left" w:pos="1253"/>
        </w:tabs>
        <w:spacing w:before="163" w:after="0" w:line="240" w:lineRule="auto"/>
        <w:ind w:left="1253" w:right="0" w:hanging="362"/>
        <w:jc w:val="left"/>
      </w:pPr>
      <w:r>
        <w:rPr>
          <w:spacing w:val="-14"/>
        </w:rPr>
        <w:t>中标通知</w:t>
      </w:r>
    </w:p>
    <w:p>
      <w:pPr>
        <w:pStyle w:val="15"/>
        <w:numPr>
          <w:ilvl w:val="1"/>
          <w:numId w:val="28"/>
        </w:numPr>
        <w:tabs>
          <w:tab w:val="left" w:pos="1924"/>
        </w:tabs>
        <w:spacing w:before="156" w:after="0" w:line="312" w:lineRule="auto"/>
        <w:ind w:left="889" w:right="1158" w:firstLine="482"/>
        <w:jc w:val="both"/>
        <w:rPr>
          <w:sz w:val="24"/>
        </w:rPr>
      </w:pPr>
      <w:r>
        <w:rPr>
          <w:spacing w:val="-2"/>
          <w:sz w:val="24"/>
        </w:rPr>
        <w:t>采购人和采购代理机构以书面形式向中标人发出中标通知书，同时将</w:t>
      </w:r>
      <w:r>
        <w:rPr>
          <w:spacing w:val="-12"/>
          <w:sz w:val="24"/>
        </w:rPr>
        <w:t>招标结果通知未中标的投标人。对未通过资格审查的投标人，应当告知其未通过的</w:t>
      </w:r>
      <w:r>
        <w:rPr>
          <w:spacing w:val="-10"/>
          <w:sz w:val="24"/>
        </w:rPr>
        <w:t>原因；采用综合评分法评审的，还应当告知未中标人本人的评审得分与排序。</w:t>
      </w:r>
    </w:p>
    <w:p>
      <w:pPr>
        <w:pStyle w:val="15"/>
        <w:numPr>
          <w:ilvl w:val="1"/>
          <w:numId w:val="28"/>
        </w:numPr>
        <w:tabs>
          <w:tab w:val="left" w:pos="1926"/>
        </w:tabs>
        <w:spacing w:before="180" w:after="0" w:line="312" w:lineRule="auto"/>
        <w:ind w:left="887" w:right="1254" w:firstLine="484"/>
        <w:jc w:val="both"/>
        <w:rPr>
          <w:sz w:val="24"/>
        </w:rPr>
      </w:pPr>
      <w:r>
        <w:rPr>
          <w:spacing w:val="-6"/>
          <w:sz w:val="24"/>
        </w:rPr>
        <w:t>中标通知书对采购人和中标供应商均具有法律效力。中标通知书发出</w:t>
      </w:r>
      <w:r>
        <w:rPr>
          <w:spacing w:val="-10"/>
          <w:sz w:val="24"/>
        </w:rPr>
        <w:t>后，采购人改变中标结果的，或者中标供应商放弃中标项目的，应当依法承担法</w:t>
      </w:r>
      <w:r>
        <w:rPr>
          <w:spacing w:val="-4"/>
          <w:sz w:val="24"/>
        </w:rPr>
        <w:t>律责任。</w:t>
      </w:r>
    </w:p>
    <w:p>
      <w:pPr>
        <w:pStyle w:val="8"/>
        <w:spacing w:before="223" w:line="316" w:lineRule="auto"/>
        <w:ind w:left="891" w:right="7753" w:firstLine="2"/>
      </w:pPr>
      <w:r>
        <w:rPr>
          <w:spacing w:val="-12"/>
        </w:rPr>
        <w:t xml:space="preserve">（九）签订合同 </w:t>
      </w:r>
      <w:r>
        <w:rPr>
          <w:spacing w:val="-2"/>
        </w:rPr>
        <w:t>33.履约保证金</w:t>
      </w:r>
    </w:p>
    <w:p>
      <w:pPr>
        <w:pStyle w:val="15"/>
        <w:numPr>
          <w:ilvl w:val="1"/>
          <w:numId w:val="29"/>
        </w:numPr>
        <w:tabs>
          <w:tab w:val="left" w:pos="1902"/>
        </w:tabs>
        <w:spacing w:before="53" w:after="0" w:line="290" w:lineRule="auto"/>
        <w:ind w:left="891" w:right="1280" w:firstLine="480"/>
        <w:jc w:val="left"/>
        <w:rPr>
          <w:sz w:val="24"/>
        </w:rPr>
      </w:pPr>
      <w:r>
        <w:rPr>
          <w:spacing w:val="-6"/>
          <w:sz w:val="24"/>
        </w:rPr>
        <w:t>在签订合同前，中标人应按“投标人须知前附表”规定的金额、担保</w:t>
      </w:r>
      <w:r>
        <w:rPr>
          <w:spacing w:val="-2"/>
          <w:sz w:val="24"/>
        </w:rPr>
        <w:t>形式和采购人认可的履约担保格式向采购人提交履约保证金。</w:t>
      </w:r>
    </w:p>
    <w:p>
      <w:pPr>
        <w:pStyle w:val="15"/>
        <w:numPr>
          <w:ilvl w:val="1"/>
          <w:numId w:val="29"/>
        </w:numPr>
        <w:tabs>
          <w:tab w:val="left" w:pos="1886"/>
        </w:tabs>
        <w:spacing w:before="178" w:after="0" w:line="288" w:lineRule="auto"/>
        <w:ind w:left="884" w:right="1246" w:firstLine="487"/>
        <w:jc w:val="left"/>
        <w:rPr>
          <w:sz w:val="24"/>
        </w:rPr>
      </w:pPr>
      <w:r>
        <w:rPr>
          <w:spacing w:val="-18"/>
          <w:sz w:val="24"/>
        </w:rPr>
        <w:t xml:space="preserve">中标人不能按本章第 </w:t>
      </w:r>
      <w:r>
        <w:rPr>
          <w:spacing w:val="-16"/>
          <w:sz w:val="24"/>
        </w:rPr>
        <w:t>33.1</w:t>
      </w:r>
      <w:r>
        <w:rPr>
          <w:spacing w:val="-19"/>
          <w:sz w:val="24"/>
        </w:rPr>
        <w:t xml:space="preserve"> 项要求提交履约担保的，视为放弃中标，给采</w:t>
      </w:r>
      <w:r>
        <w:rPr>
          <w:spacing w:val="-2"/>
          <w:sz w:val="24"/>
        </w:rPr>
        <w:t>购人造成损失的，中标人还应当承担民事责任。</w:t>
      </w:r>
    </w:p>
    <w:p>
      <w:pPr>
        <w:pStyle w:val="8"/>
        <w:numPr>
          <w:ilvl w:val="0"/>
          <w:numId w:val="30"/>
        </w:numPr>
        <w:tabs>
          <w:tab w:val="left" w:pos="1215"/>
        </w:tabs>
        <w:spacing w:before="168" w:after="0" w:line="240" w:lineRule="auto"/>
        <w:ind w:left="1215" w:right="0" w:hanging="324"/>
        <w:jc w:val="left"/>
      </w:pPr>
      <w:r>
        <w:rPr>
          <w:spacing w:val="-6"/>
        </w:rPr>
        <w:t>签订合同</w:t>
      </w:r>
    </w:p>
    <w:p>
      <w:pPr>
        <w:pStyle w:val="15"/>
        <w:numPr>
          <w:ilvl w:val="1"/>
          <w:numId w:val="30"/>
        </w:numPr>
        <w:tabs>
          <w:tab w:val="left" w:pos="1910"/>
        </w:tabs>
        <w:spacing w:before="154" w:after="0" w:line="350" w:lineRule="auto"/>
        <w:ind w:left="911" w:right="1055" w:firstLine="460"/>
        <w:jc w:val="both"/>
        <w:rPr>
          <w:sz w:val="24"/>
        </w:rPr>
      </w:pPr>
      <w:r>
        <w:rPr>
          <w:spacing w:val="-13"/>
          <w:sz w:val="24"/>
        </w:rPr>
        <w:t xml:space="preserve">采购人和中标人应当自中标通知书发出之日起 </w:t>
      </w:r>
      <w:r>
        <w:rPr>
          <w:spacing w:val="-12"/>
          <w:sz w:val="24"/>
        </w:rPr>
        <w:t>25</w:t>
      </w:r>
      <w:r>
        <w:rPr>
          <w:spacing w:val="-14"/>
          <w:sz w:val="24"/>
        </w:rPr>
        <w:t xml:space="preserve"> 天内，根据招标文件和</w:t>
      </w:r>
      <w:r>
        <w:rPr>
          <w:spacing w:val="-4"/>
          <w:sz w:val="24"/>
        </w:rPr>
        <w:t>中标人的投标文件订立书面合同。采购人因不可抗力原因迟延签订合同的，应当</w:t>
      </w:r>
      <w:r>
        <w:rPr>
          <w:spacing w:val="-19"/>
          <w:sz w:val="24"/>
        </w:rPr>
        <w:t xml:space="preserve">自不可抗力事由消除之日起 </w:t>
      </w:r>
      <w:r>
        <w:rPr>
          <w:spacing w:val="-16"/>
          <w:sz w:val="24"/>
        </w:rPr>
        <w:t>7 日内完成合同签订事宜。所签订的合同不得对招</w:t>
      </w:r>
    </w:p>
    <w:p>
      <w:pPr>
        <w:spacing w:after="0" w:line="350" w:lineRule="auto"/>
        <w:jc w:val="both"/>
        <w:rPr>
          <w:sz w:val="24"/>
        </w:rPr>
        <w:sectPr>
          <w:pgSz w:w="11910" w:h="16840"/>
          <w:pgMar w:top="1100" w:right="720" w:bottom="1180" w:left="920" w:header="918" w:footer="981" w:gutter="0"/>
          <w:pgNumType w:fmt="numberInDash"/>
          <w:cols w:space="720" w:num="1"/>
        </w:sectPr>
      </w:pPr>
    </w:p>
    <w:p>
      <w:pPr>
        <w:pStyle w:val="9"/>
        <w:spacing w:before="116"/>
      </w:pPr>
    </w:p>
    <w:p>
      <w:pPr>
        <w:pStyle w:val="9"/>
        <w:spacing w:line="343" w:lineRule="auto"/>
        <w:ind w:left="887" w:right="1254"/>
      </w:pPr>
      <w:r>
        <w:rPr>
          <w:spacing w:val="-10"/>
        </w:rPr>
        <w:t>标文件和中标人投标文件作实质性修改。中标人无正当理由拒签合同，给采购人</w:t>
      </w:r>
      <w:r>
        <w:rPr>
          <w:spacing w:val="-2"/>
        </w:rPr>
        <w:t>造成损失的，中标人还应当承担民事责任。</w:t>
      </w:r>
    </w:p>
    <w:p>
      <w:pPr>
        <w:pStyle w:val="15"/>
        <w:numPr>
          <w:ilvl w:val="1"/>
          <w:numId w:val="30"/>
        </w:numPr>
        <w:tabs>
          <w:tab w:val="left" w:pos="1989"/>
        </w:tabs>
        <w:spacing w:before="39" w:after="0" w:line="288" w:lineRule="auto"/>
        <w:ind w:left="889" w:right="988" w:firstLine="482"/>
        <w:jc w:val="left"/>
        <w:rPr>
          <w:sz w:val="24"/>
        </w:rPr>
      </w:pPr>
      <w:r>
        <w:rPr>
          <w:spacing w:val="-6"/>
          <w:sz w:val="24"/>
        </w:rPr>
        <w:t>中标人拒绝与采购人签订合同的，采购人可以按照评标报告推荐的中标</w:t>
      </w:r>
      <w:r>
        <w:rPr>
          <w:spacing w:val="-2"/>
          <w:sz w:val="24"/>
        </w:rPr>
        <w:t>候选人名单排序，确定下一候选人为中标人，也可以重新开展政府采购活动。</w:t>
      </w:r>
    </w:p>
    <w:p>
      <w:pPr>
        <w:pStyle w:val="15"/>
        <w:numPr>
          <w:ilvl w:val="1"/>
          <w:numId w:val="30"/>
        </w:numPr>
        <w:tabs>
          <w:tab w:val="left" w:pos="1950"/>
        </w:tabs>
        <w:spacing w:before="182" w:after="0" w:line="288" w:lineRule="auto"/>
        <w:ind w:left="889" w:right="1230" w:firstLine="482"/>
        <w:jc w:val="left"/>
        <w:rPr>
          <w:sz w:val="24"/>
        </w:rPr>
      </w:pPr>
      <w:r>
        <w:rPr>
          <w:spacing w:val="-6"/>
          <w:sz w:val="24"/>
        </w:rPr>
        <w:t>采购人和中标人不得向对方提出任何不合理的要求，作为签订合同的</w:t>
      </w:r>
      <w:r>
        <w:rPr>
          <w:spacing w:val="-2"/>
          <w:sz w:val="24"/>
        </w:rPr>
        <w:t>条件，双方不得私下订立背离合同实质性内容的协议。</w:t>
      </w:r>
    </w:p>
    <w:p>
      <w:pPr>
        <w:pStyle w:val="15"/>
        <w:numPr>
          <w:ilvl w:val="1"/>
          <w:numId w:val="30"/>
        </w:numPr>
        <w:tabs>
          <w:tab w:val="left" w:pos="1950"/>
        </w:tabs>
        <w:spacing w:before="183" w:after="0" w:line="288" w:lineRule="auto"/>
        <w:ind w:left="894" w:right="1230" w:firstLine="477"/>
        <w:jc w:val="left"/>
        <w:rPr>
          <w:sz w:val="24"/>
        </w:rPr>
      </w:pPr>
      <w:r>
        <w:rPr>
          <w:spacing w:val="-6"/>
          <w:sz w:val="24"/>
        </w:rPr>
        <w:t>联合体中标的，联合体各方应当共同与采购人签订合同，就采购合同</w:t>
      </w:r>
      <w:r>
        <w:rPr>
          <w:spacing w:val="-2"/>
          <w:sz w:val="24"/>
        </w:rPr>
        <w:t>约定的事项向采购人承担连带责任。</w:t>
      </w:r>
    </w:p>
    <w:p>
      <w:pPr>
        <w:pStyle w:val="15"/>
        <w:numPr>
          <w:ilvl w:val="1"/>
          <w:numId w:val="30"/>
        </w:numPr>
        <w:tabs>
          <w:tab w:val="left" w:pos="1950"/>
        </w:tabs>
        <w:spacing w:before="185" w:after="0" w:line="312" w:lineRule="auto"/>
        <w:ind w:left="887" w:right="1151" w:firstLine="484"/>
        <w:jc w:val="left"/>
        <w:rPr>
          <w:sz w:val="24"/>
        </w:rPr>
      </w:pPr>
      <w:r>
        <w:rPr>
          <w:spacing w:val="-2"/>
          <w:sz w:val="24"/>
        </w:rPr>
        <w:t>本项目的非主体、非关键性工作是否允许分包，见“投标人须知前附</w:t>
      </w:r>
      <w:r>
        <w:rPr>
          <w:spacing w:val="-6"/>
          <w:sz w:val="24"/>
        </w:rPr>
        <w:t>表”。采购人允许采用分包方式履行合同的，中标人可以依法在中标后将中标项目的非主体、非关键性工作采取分包方式履行合同。政府采购合同分包履行的，</w:t>
      </w:r>
    </w:p>
    <w:p>
      <w:pPr>
        <w:pStyle w:val="9"/>
        <w:spacing w:before="180" w:line="312" w:lineRule="auto"/>
        <w:ind w:left="891" w:right="1077" w:hanging="5"/>
        <w:jc w:val="both"/>
        <w:rPr>
          <w:b/>
        </w:rPr>
      </w:pPr>
      <w:r>
        <w:rPr>
          <w:spacing w:val="-16"/>
        </w:rPr>
        <w:t>应当在投标文件中载明分包承担主体，分包承担主体应当具备相应资质条件且不得再</w:t>
      </w:r>
      <w:r>
        <w:rPr>
          <w:spacing w:val="-4"/>
        </w:rPr>
        <w:t>次分包，否则</w:t>
      </w:r>
      <w:r>
        <w:rPr>
          <w:b/>
          <w:spacing w:val="-4"/>
        </w:rPr>
        <w:t>投标无效</w:t>
      </w:r>
      <w:r>
        <w:rPr>
          <w:spacing w:val="-4"/>
        </w:rPr>
        <w:t>。中标人就采购项目和分包项目向采购人负责，分包供应</w:t>
      </w:r>
      <w:r>
        <w:rPr>
          <w:spacing w:val="-2"/>
        </w:rPr>
        <w:t>商就分包项目承担责任。</w:t>
      </w:r>
      <w:r>
        <w:rPr>
          <w:b/>
          <w:spacing w:val="-2"/>
        </w:rPr>
        <w:t>政府采购合同不能转包。</w:t>
      </w:r>
    </w:p>
    <w:p>
      <w:pPr>
        <w:pStyle w:val="15"/>
        <w:numPr>
          <w:ilvl w:val="1"/>
          <w:numId w:val="30"/>
        </w:numPr>
        <w:tabs>
          <w:tab w:val="left" w:pos="1902"/>
        </w:tabs>
        <w:spacing w:before="182" w:after="0" w:line="312" w:lineRule="auto"/>
        <w:ind w:left="889" w:right="1254" w:firstLine="482"/>
        <w:jc w:val="both"/>
        <w:rPr>
          <w:sz w:val="24"/>
        </w:rPr>
      </w:pPr>
      <w:r>
        <w:rPr>
          <w:spacing w:val="-4"/>
          <w:sz w:val="24"/>
        </w:rPr>
        <w:t>采购合同履行中，采购人需追加与合同标的相同的货物、工程或者服</w:t>
      </w:r>
      <w:r>
        <w:rPr>
          <w:spacing w:val="-10"/>
          <w:sz w:val="24"/>
        </w:rPr>
        <w:t>务的，在不改变合同其他条款的前提下，可以与中标人协商签订补充合同，但所</w:t>
      </w:r>
      <w:r>
        <w:rPr>
          <w:spacing w:val="-2"/>
          <w:sz w:val="24"/>
        </w:rPr>
        <w:t>有补充合同的采购金额不得超过原合同采购金额的百分之十。</w:t>
      </w:r>
    </w:p>
    <w:p>
      <w:pPr>
        <w:pStyle w:val="15"/>
        <w:numPr>
          <w:ilvl w:val="1"/>
          <w:numId w:val="30"/>
        </w:numPr>
        <w:tabs>
          <w:tab w:val="left" w:pos="1911"/>
        </w:tabs>
        <w:spacing w:before="158" w:after="0" w:line="240" w:lineRule="auto"/>
        <w:ind w:left="1911" w:right="0" w:hanging="539"/>
        <w:jc w:val="both"/>
        <w:rPr>
          <w:sz w:val="24"/>
        </w:rPr>
      </w:pPr>
      <w:r>
        <w:rPr>
          <w:spacing w:val="-12"/>
          <w:sz w:val="24"/>
        </w:rPr>
        <w:t>采购人应于签订合同之日起 2 个工作日内在政采云平台备案公示。</w:t>
      </w:r>
    </w:p>
    <w:p>
      <w:pPr>
        <w:pStyle w:val="8"/>
        <w:spacing w:before="219" w:line="316" w:lineRule="auto"/>
        <w:ind w:left="891" w:right="7511" w:firstLine="2"/>
      </w:pPr>
      <w:r>
        <w:rPr>
          <w:spacing w:val="-10"/>
        </w:rPr>
        <w:t xml:space="preserve">（十）质疑和投诉 </w:t>
      </w:r>
      <w:r>
        <w:rPr>
          <w:spacing w:val="-2"/>
        </w:rPr>
        <w:t>35.质疑</w:t>
      </w:r>
    </w:p>
    <w:p>
      <w:pPr>
        <w:pStyle w:val="15"/>
        <w:numPr>
          <w:ilvl w:val="1"/>
          <w:numId w:val="31"/>
        </w:numPr>
        <w:tabs>
          <w:tab w:val="left" w:pos="1908"/>
        </w:tabs>
        <w:spacing w:before="31" w:after="0" w:line="240" w:lineRule="auto"/>
        <w:ind w:left="1908" w:right="0" w:hanging="536"/>
        <w:jc w:val="both"/>
        <w:rPr>
          <w:sz w:val="24"/>
        </w:rPr>
      </w:pPr>
      <w:r>
        <w:rPr>
          <w:spacing w:val="-9"/>
          <w:sz w:val="24"/>
        </w:rPr>
        <w:t>供应商认为采购文件、采购过程、中标结果使自己的权益受到损害的，</w:t>
      </w:r>
    </w:p>
    <w:p>
      <w:pPr>
        <w:pStyle w:val="9"/>
        <w:spacing w:before="175" w:line="348" w:lineRule="auto"/>
        <w:ind w:left="884" w:right="1002" w:firstLine="4"/>
        <w:jc w:val="both"/>
      </w:pPr>
      <w:r>
        <w:rPr>
          <w:spacing w:val="-18"/>
        </w:rPr>
        <w:t>可以在知道或者应知其权益受到损害之日起 7 个工作日内，以书面形式向采购人、采</w:t>
      </w:r>
      <w:r>
        <w:rPr>
          <w:spacing w:val="-5"/>
        </w:rPr>
        <w:t>购代理机构提出质疑，详见“投标人须知前附表”。供应商在法定质疑期内一 次</w:t>
      </w:r>
      <w:r>
        <w:rPr>
          <w:spacing w:val="-2"/>
        </w:rPr>
        <w:t>性提出针对同一采购程序环节的质疑。</w:t>
      </w:r>
    </w:p>
    <w:p>
      <w:pPr>
        <w:pStyle w:val="15"/>
        <w:numPr>
          <w:ilvl w:val="1"/>
          <w:numId w:val="31"/>
        </w:numPr>
        <w:tabs>
          <w:tab w:val="left" w:pos="1902"/>
        </w:tabs>
        <w:spacing w:before="39" w:after="0" w:line="288" w:lineRule="auto"/>
        <w:ind w:left="884" w:right="1283" w:firstLine="487"/>
        <w:jc w:val="both"/>
        <w:rPr>
          <w:sz w:val="24"/>
        </w:rPr>
      </w:pPr>
      <w:r>
        <w:rPr>
          <w:spacing w:val="-6"/>
          <w:sz w:val="24"/>
        </w:rPr>
        <w:t>提出质疑的供应商（以下简称质疑供应商）应当是参与所质疑项目采</w:t>
      </w:r>
      <w:r>
        <w:rPr>
          <w:spacing w:val="-2"/>
          <w:sz w:val="24"/>
        </w:rPr>
        <w:t>购活动的供应商。</w:t>
      </w:r>
    </w:p>
    <w:p>
      <w:pPr>
        <w:pStyle w:val="15"/>
        <w:numPr>
          <w:ilvl w:val="1"/>
          <w:numId w:val="31"/>
        </w:numPr>
        <w:tabs>
          <w:tab w:val="left" w:pos="1902"/>
        </w:tabs>
        <w:spacing w:before="183" w:after="0" w:line="312" w:lineRule="auto"/>
        <w:ind w:left="891" w:right="1254" w:firstLine="480"/>
        <w:jc w:val="both"/>
        <w:rPr>
          <w:sz w:val="24"/>
        </w:rPr>
      </w:pPr>
      <w:r>
        <w:rPr>
          <w:spacing w:val="-4"/>
          <w:sz w:val="24"/>
        </w:rPr>
        <w:t>潜在供应商已依法获取其可质疑的采购文件的，可以对该文件提出质</w:t>
      </w:r>
      <w:r>
        <w:rPr>
          <w:spacing w:val="-10"/>
          <w:sz w:val="24"/>
        </w:rPr>
        <w:t>疑。对采购文件提出质疑的，应当在获取采购文件或者采购文件公告期限届满之</w:t>
      </w:r>
      <w:r>
        <w:rPr>
          <w:sz w:val="24"/>
        </w:rPr>
        <w:t>日起 7 个工作日内提出。</w:t>
      </w:r>
    </w:p>
    <w:p>
      <w:pPr>
        <w:pStyle w:val="15"/>
        <w:numPr>
          <w:ilvl w:val="1"/>
          <w:numId w:val="31"/>
        </w:numPr>
        <w:tabs>
          <w:tab w:val="left" w:pos="1913"/>
        </w:tabs>
        <w:spacing w:before="161" w:after="0" w:line="240" w:lineRule="auto"/>
        <w:ind w:left="1913" w:right="0" w:hanging="541"/>
        <w:jc w:val="both"/>
        <w:rPr>
          <w:sz w:val="24"/>
        </w:rPr>
      </w:pPr>
      <w:r>
        <w:rPr>
          <w:spacing w:val="-5"/>
          <w:sz w:val="24"/>
        </w:rPr>
        <w:t>供应商提出质疑应当提交质疑函和必要的证明材料。质疑函应当包括</w:t>
      </w:r>
    </w:p>
    <w:p>
      <w:pPr>
        <w:spacing w:after="0" w:line="240" w:lineRule="auto"/>
        <w:jc w:val="both"/>
        <w:rPr>
          <w:sz w:val="24"/>
        </w:rPr>
        <w:sectPr>
          <w:pgSz w:w="11910" w:h="16840"/>
          <w:pgMar w:top="1100" w:right="720" w:bottom="1180" w:left="920" w:header="918" w:footer="981" w:gutter="0"/>
          <w:pgNumType w:fmt="numberInDash"/>
          <w:cols w:space="720" w:num="1"/>
        </w:sectPr>
      </w:pPr>
    </w:p>
    <w:p>
      <w:pPr>
        <w:pStyle w:val="9"/>
        <w:spacing w:before="94"/>
      </w:pPr>
    </w:p>
    <w:p>
      <w:pPr>
        <w:pStyle w:val="9"/>
        <w:spacing w:before="1"/>
        <w:ind w:left="896"/>
      </w:pPr>
      <w:r>
        <w:rPr>
          <w:spacing w:val="-9"/>
        </w:rPr>
        <w:t>下列内容：</w:t>
      </w:r>
    </w:p>
    <w:p>
      <w:pPr>
        <w:pStyle w:val="15"/>
        <w:numPr>
          <w:ilvl w:val="0"/>
          <w:numId w:val="32"/>
        </w:numPr>
        <w:tabs>
          <w:tab w:val="left" w:pos="1987"/>
        </w:tabs>
        <w:spacing w:before="153" w:after="0" w:line="240" w:lineRule="auto"/>
        <w:ind w:left="1987" w:right="0" w:hanging="613"/>
        <w:jc w:val="left"/>
        <w:rPr>
          <w:sz w:val="24"/>
        </w:rPr>
      </w:pPr>
      <w:r>
        <w:rPr>
          <w:spacing w:val="-5"/>
          <w:sz w:val="24"/>
        </w:rPr>
        <w:t>供应商的姓名或者名称、地址、邮编、联系人及联系电话；</w:t>
      </w:r>
    </w:p>
    <w:p>
      <w:pPr>
        <w:pStyle w:val="15"/>
        <w:numPr>
          <w:ilvl w:val="0"/>
          <w:numId w:val="32"/>
        </w:numPr>
        <w:tabs>
          <w:tab w:val="left" w:pos="1977"/>
        </w:tabs>
        <w:spacing w:before="156" w:after="0" w:line="240" w:lineRule="auto"/>
        <w:ind w:left="1977" w:right="0" w:hanging="603"/>
        <w:jc w:val="left"/>
        <w:rPr>
          <w:sz w:val="24"/>
        </w:rPr>
      </w:pPr>
      <w:r>
        <w:rPr>
          <w:spacing w:val="-5"/>
          <w:sz w:val="24"/>
        </w:rPr>
        <w:t>质疑项目的名称、项目编号/包号；</w:t>
      </w:r>
    </w:p>
    <w:p>
      <w:pPr>
        <w:pStyle w:val="15"/>
        <w:numPr>
          <w:ilvl w:val="0"/>
          <w:numId w:val="32"/>
        </w:numPr>
        <w:tabs>
          <w:tab w:val="left" w:pos="1982"/>
        </w:tabs>
        <w:spacing w:before="154" w:after="0" w:line="240" w:lineRule="auto"/>
        <w:ind w:left="1982" w:right="0" w:hanging="608"/>
        <w:jc w:val="left"/>
        <w:rPr>
          <w:sz w:val="24"/>
        </w:rPr>
      </w:pPr>
      <w:r>
        <w:rPr>
          <w:spacing w:val="-5"/>
          <w:sz w:val="24"/>
        </w:rPr>
        <w:t>具体、明确的质疑事项和与质疑事项相关的请求；</w:t>
      </w:r>
    </w:p>
    <w:p>
      <w:pPr>
        <w:pStyle w:val="15"/>
        <w:numPr>
          <w:ilvl w:val="0"/>
          <w:numId w:val="32"/>
        </w:numPr>
        <w:tabs>
          <w:tab w:val="left" w:pos="1970"/>
        </w:tabs>
        <w:spacing w:before="153" w:after="0" w:line="240" w:lineRule="auto"/>
        <w:ind w:left="1970" w:right="0" w:hanging="596"/>
        <w:jc w:val="left"/>
        <w:rPr>
          <w:sz w:val="24"/>
        </w:rPr>
      </w:pPr>
      <w:r>
        <w:rPr>
          <w:spacing w:val="-7"/>
          <w:sz w:val="24"/>
        </w:rPr>
        <w:t>事实依据；</w:t>
      </w:r>
    </w:p>
    <w:p>
      <w:pPr>
        <w:pStyle w:val="15"/>
        <w:numPr>
          <w:ilvl w:val="0"/>
          <w:numId w:val="32"/>
        </w:numPr>
        <w:tabs>
          <w:tab w:val="left" w:pos="1972"/>
        </w:tabs>
        <w:spacing w:before="154" w:after="0" w:line="240" w:lineRule="auto"/>
        <w:ind w:left="1972" w:right="0" w:hanging="598"/>
        <w:jc w:val="left"/>
        <w:rPr>
          <w:sz w:val="24"/>
        </w:rPr>
      </w:pPr>
      <w:r>
        <w:rPr>
          <w:spacing w:val="-7"/>
          <w:sz w:val="24"/>
        </w:rPr>
        <w:t>必要的法律依据；</w:t>
      </w:r>
    </w:p>
    <w:p>
      <w:pPr>
        <w:pStyle w:val="15"/>
        <w:numPr>
          <w:ilvl w:val="0"/>
          <w:numId w:val="32"/>
        </w:numPr>
        <w:tabs>
          <w:tab w:val="left" w:pos="1972"/>
        </w:tabs>
        <w:spacing w:before="156" w:after="0" w:line="240" w:lineRule="auto"/>
        <w:ind w:left="1972" w:right="0" w:hanging="598"/>
        <w:jc w:val="left"/>
        <w:rPr>
          <w:sz w:val="24"/>
        </w:rPr>
      </w:pPr>
      <w:r>
        <w:rPr>
          <w:spacing w:val="-7"/>
          <w:sz w:val="24"/>
        </w:rPr>
        <w:t>提出质疑的日期。</w:t>
      </w:r>
    </w:p>
    <w:p>
      <w:pPr>
        <w:pStyle w:val="9"/>
        <w:spacing w:before="175" w:line="343" w:lineRule="auto"/>
        <w:ind w:left="916" w:right="1240" w:firstLine="451"/>
      </w:pPr>
      <w:r>
        <w:rPr>
          <w:spacing w:val="-10"/>
        </w:rPr>
        <w:t>供应商为自然人的，应当由本人签字；供应商为法人或者其他组织的，应当</w:t>
      </w:r>
      <w:r>
        <w:rPr>
          <w:spacing w:val="-2"/>
        </w:rPr>
        <w:t>由法定代表人、主要负责人，或者其授权代表签字或者盖章，并加盖公章。</w:t>
      </w:r>
    </w:p>
    <w:p>
      <w:pPr>
        <w:pStyle w:val="15"/>
        <w:numPr>
          <w:ilvl w:val="1"/>
          <w:numId w:val="31"/>
        </w:numPr>
        <w:tabs>
          <w:tab w:val="left" w:pos="1904"/>
        </w:tabs>
        <w:spacing w:before="41" w:after="0" w:line="288" w:lineRule="auto"/>
        <w:ind w:left="889" w:right="1336" w:firstLine="482"/>
        <w:jc w:val="both"/>
        <w:rPr>
          <w:sz w:val="24"/>
        </w:rPr>
      </w:pPr>
      <w:r>
        <w:rPr>
          <w:spacing w:val="-6"/>
          <w:sz w:val="24"/>
        </w:rPr>
        <w:t>质疑函不符合上述要求的，采购人或代理机构应书面告知具体事项，</w:t>
      </w:r>
      <w:r>
        <w:rPr>
          <w:spacing w:val="-2"/>
          <w:sz w:val="24"/>
        </w:rPr>
        <w:t>质疑人应当按要求进行修改或补充，并在质疑有效期限内提交。</w:t>
      </w:r>
    </w:p>
    <w:p>
      <w:pPr>
        <w:pStyle w:val="15"/>
        <w:numPr>
          <w:ilvl w:val="1"/>
          <w:numId w:val="31"/>
        </w:numPr>
        <w:tabs>
          <w:tab w:val="left" w:pos="1904"/>
        </w:tabs>
        <w:spacing w:before="180" w:after="0" w:line="312" w:lineRule="auto"/>
        <w:ind w:left="889" w:right="1254" w:firstLine="482"/>
        <w:jc w:val="both"/>
        <w:rPr>
          <w:sz w:val="24"/>
        </w:rPr>
      </w:pPr>
      <w:r>
        <w:rPr>
          <w:spacing w:val="-4"/>
          <w:sz w:val="24"/>
        </w:rPr>
        <w:t>投标人进行虚假和恶意质疑投诉的，采购代理机构将提请有关部门将</w:t>
      </w:r>
      <w:r>
        <w:rPr>
          <w:spacing w:val="-10"/>
          <w:sz w:val="24"/>
        </w:rPr>
        <w:t>其列入不良记录名单，在一至三年内禁止参加政府采购活动，并将处理决定在相</w:t>
      </w:r>
      <w:r>
        <w:rPr>
          <w:spacing w:val="-2"/>
          <w:sz w:val="24"/>
        </w:rPr>
        <w:t>关政府采购媒体上公布。</w:t>
      </w:r>
    </w:p>
    <w:p>
      <w:pPr>
        <w:pStyle w:val="15"/>
        <w:numPr>
          <w:ilvl w:val="1"/>
          <w:numId w:val="31"/>
        </w:numPr>
        <w:tabs>
          <w:tab w:val="left" w:pos="1922"/>
        </w:tabs>
        <w:spacing w:before="161" w:after="0" w:line="240" w:lineRule="auto"/>
        <w:ind w:left="1922" w:right="0" w:hanging="550"/>
        <w:jc w:val="both"/>
        <w:rPr>
          <w:sz w:val="24"/>
        </w:rPr>
      </w:pPr>
      <w:r>
        <w:rPr>
          <w:spacing w:val="-5"/>
          <w:sz w:val="24"/>
        </w:rPr>
        <w:t>质疑函应当使用中文，并采用财政部门制定的范本。</w:t>
      </w:r>
    </w:p>
    <w:p>
      <w:pPr>
        <w:pStyle w:val="8"/>
        <w:numPr>
          <w:ilvl w:val="0"/>
          <w:numId w:val="33"/>
        </w:numPr>
        <w:tabs>
          <w:tab w:val="left" w:pos="1215"/>
        </w:tabs>
        <w:spacing w:before="159" w:after="0" w:line="240" w:lineRule="auto"/>
        <w:ind w:left="1215" w:right="0" w:hanging="324"/>
        <w:jc w:val="left"/>
      </w:pPr>
      <w:r>
        <w:rPr>
          <w:spacing w:val="-6"/>
        </w:rPr>
        <w:t>质疑答复</w:t>
      </w:r>
    </w:p>
    <w:p>
      <w:pPr>
        <w:pStyle w:val="15"/>
        <w:numPr>
          <w:ilvl w:val="1"/>
          <w:numId w:val="33"/>
        </w:numPr>
        <w:tabs>
          <w:tab w:val="left" w:pos="1910"/>
        </w:tabs>
        <w:spacing w:before="158" w:after="0" w:line="240" w:lineRule="auto"/>
        <w:ind w:left="1910" w:right="0" w:hanging="538"/>
        <w:jc w:val="left"/>
        <w:rPr>
          <w:sz w:val="24"/>
        </w:rPr>
      </w:pPr>
      <w:r>
        <w:rPr>
          <w:spacing w:val="-5"/>
          <w:sz w:val="24"/>
        </w:rPr>
        <w:t>采购人、采购代理机构不得拒收质疑供应商在法定质疑期内发出的质</w:t>
      </w:r>
    </w:p>
    <w:p>
      <w:pPr>
        <w:pStyle w:val="9"/>
        <w:spacing w:before="91" w:line="312" w:lineRule="auto"/>
        <w:ind w:left="889" w:right="1139"/>
      </w:pPr>
      <w:r>
        <w:rPr>
          <w:spacing w:val="-21"/>
        </w:rPr>
        <w:t xml:space="preserve">疑函，应当在收到质疑函后 </w:t>
      </w:r>
      <w:r>
        <w:rPr>
          <w:spacing w:val="-20"/>
        </w:rPr>
        <w:t>7</w:t>
      </w:r>
      <w:r>
        <w:rPr>
          <w:spacing w:val="-23"/>
        </w:rPr>
        <w:t xml:space="preserve"> 个工作日内作出答复，并以书面形式通知质疑供应商和</w:t>
      </w:r>
      <w:r>
        <w:rPr>
          <w:spacing w:val="-2"/>
        </w:rPr>
        <w:t>其他有关供应商。</w:t>
      </w:r>
    </w:p>
    <w:p>
      <w:pPr>
        <w:pStyle w:val="15"/>
        <w:numPr>
          <w:ilvl w:val="1"/>
          <w:numId w:val="33"/>
        </w:numPr>
        <w:tabs>
          <w:tab w:val="left" w:pos="1903"/>
        </w:tabs>
        <w:spacing w:before="183" w:after="0" w:line="288" w:lineRule="auto"/>
        <w:ind w:left="916" w:right="1283" w:firstLine="456"/>
        <w:jc w:val="left"/>
        <w:rPr>
          <w:sz w:val="24"/>
        </w:rPr>
      </w:pPr>
      <w:r>
        <w:rPr>
          <w:spacing w:val="-6"/>
          <w:sz w:val="24"/>
        </w:rPr>
        <w:t>供应商对评审过程、中标结果提出质疑的，采购人、采购代理机构可</w:t>
      </w:r>
      <w:r>
        <w:rPr>
          <w:spacing w:val="-2"/>
          <w:sz w:val="24"/>
        </w:rPr>
        <w:t>以组织原评标委员会协助答复质疑。</w:t>
      </w:r>
    </w:p>
    <w:p>
      <w:pPr>
        <w:pStyle w:val="9"/>
        <w:spacing w:before="163"/>
        <w:ind w:left="1369"/>
      </w:pPr>
      <w:r>
        <w:rPr>
          <w:spacing w:val="-5"/>
        </w:rPr>
        <w:t>质疑答复应当包括下列内容：</w:t>
      </w:r>
    </w:p>
    <w:p>
      <w:pPr>
        <w:pStyle w:val="15"/>
        <w:numPr>
          <w:ilvl w:val="0"/>
          <w:numId w:val="34"/>
        </w:numPr>
        <w:tabs>
          <w:tab w:val="left" w:pos="1973"/>
        </w:tabs>
        <w:spacing w:before="151" w:after="0" w:line="240" w:lineRule="auto"/>
        <w:ind w:left="1973" w:right="0" w:hanging="599"/>
        <w:jc w:val="left"/>
        <w:rPr>
          <w:sz w:val="24"/>
        </w:rPr>
      </w:pPr>
      <w:r>
        <w:rPr>
          <w:spacing w:val="-5"/>
          <w:sz w:val="24"/>
        </w:rPr>
        <w:t>质疑供应商的姓名或者名称；</w:t>
      </w:r>
    </w:p>
    <w:p>
      <w:pPr>
        <w:pStyle w:val="15"/>
        <w:numPr>
          <w:ilvl w:val="0"/>
          <w:numId w:val="34"/>
        </w:numPr>
        <w:tabs>
          <w:tab w:val="left" w:pos="1985"/>
        </w:tabs>
        <w:spacing w:before="156" w:after="0" w:line="240" w:lineRule="auto"/>
        <w:ind w:left="1985" w:right="0" w:hanging="611"/>
        <w:jc w:val="left"/>
        <w:rPr>
          <w:sz w:val="24"/>
        </w:rPr>
      </w:pPr>
      <w:r>
        <w:rPr>
          <w:spacing w:val="-5"/>
          <w:sz w:val="24"/>
        </w:rPr>
        <w:t>收到质疑函的日期、质疑项目名称及项目编号/包号；</w:t>
      </w:r>
    </w:p>
    <w:p>
      <w:pPr>
        <w:pStyle w:val="15"/>
        <w:numPr>
          <w:ilvl w:val="0"/>
          <w:numId w:val="34"/>
        </w:numPr>
        <w:tabs>
          <w:tab w:val="left" w:pos="1985"/>
        </w:tabs>
        <w:spacing w:before="154" w:after="0" w:line="240" w:lineRule="auto"/>
        <w:ind w:left="1985" w:right="0" w:hanging="611"/>
        <w:jc w:val="left"/>
        <w:rPr>
          <w:sz w:val="24"/>
        </w:rPr>
      </w:pPr>
      <w:r>
        <w:rPr>
          <w:spacing w:val="-5"/>
          <w:sz w:val="24"/>
        </w:rPr>
        <w:t>质疑事项、质疑答复的具体内容、事实依据和法律依据；</w:t>
      </w:r>
    </w:p>
    <w:p>
      <w:pPr>
        <w:pStyle w:val="15"/>
        <w:numPr>
          <w:ilvl w:val="0"/>
          <w:numId w:val="34"/>
        </w:numPr>
        <w:tabs>
          <w:tab w:val="left" w:pos="1990"/>
        </w:tabs>
        <w:spacing w:before="156" w:after="0" w:line="240" w:lineRule="auto"/>
        <w:ind w:left="1990" w:right="0" w:hanging="616"/>
        <w:jc w:val="left"/>
        <w:rPr>
          <w:sz w:val="24"/>
        </w:rPr>
      </w:pPr>
      <w:r>
        <w:rPr>
          <w:spacing w:val="-7"/>
          <w:sz w:val="24"/>
        </w:rPr>
        <w:t>告知质疑供应商依法投诉的权利；</w:t>
      </w:r>
    </w:p>
    <w:p>
      <w:pPr>
        <w:pStyle w:val="15"/>
        <w:numPr>
          <w:ilvl w:val="0"/>
          <w:numId w:val="34"/>
        </w:numPr>
        <w:tabs>
          <w:tab w:val="left" w:pos="1972"/>
        </w:tabs>
        <w:spacing w:before="156" w:after="0" w:line="240" w:lineRule="auto"/>
        <w:ind w:left="1972" w:right="0" w:hanging="598"/>
        <w:jc w:val="left"/>
        <w:rPr>
          <w:sz w:val="24"/>
        </w:rPr>
      </w:pPr>
      <w:r>
        <w:rPr>
          <w:spacing w:val="-7"/>
          <w:sz w:val="24"/>
        </w:rPr>
        <w:t>质疑答复人名称；</w:t>
      </w:r>
    </w:p>
    <w:p>
      <w:pPr>
        <w:pStyle w:val="15"/>
        <w:numPr>
          <w:ilvl w:val="0"/>
          <w:numId w:val="34"/>
        </w:numPr>
        <w:tabs>
          <w:tab w:val="left" w:pos="1972"/>
        </w:tabs>
        <w:spacing w:before="153" w:after="0" w:line="240" w:lineRule="auto"/>
        <w:ind w:left="1972" w:right="0" w:hanging="598"/>
        <w:jc w:val="left"/>
        <w:rPr>
          <w:sz w:val="24"/>
        </w:rPr>
      </w:pPr>
      <w:r>
        <w:rPr>
          <w:spacing w:val="-7"/>
          <w:sz w:val="24"/>
        </w:rPr>
        <w:t>答复质疑的日期。</w:t>
      </w:r>
    </w:p>
    <w:p>
      <w:pPr>
        <w:spacing w:before="154" w:line="360" w:lineRule="auto"/>
        <w:ind w:left="891" w:right="5132" w:firstLine="477"/>
        <w:jc w:val="left"/>
        <w:rPr>
          <w:b/>
          <w:sz w:val="24"/>
        </w:rPr>
      </w:pPr>
      <w:r>
        <w:rPr>
          <w:spacing w:val="-6"/>
          <w:sz w:val="24"/>
        </w:rPr>
        <w:t xml:space="preserve">质疑答复的内容不得涉及商业秘密。 </w:t>
      </w:r>
      <w:r>
        <w:rPr>
          <w:b/>
          <w:spacing w:val="-2"/>
          <w:sz w:val="24"/>
        </w:rPr>
        <w:t>37.投诉</w:t>
      </w:r>
    </w:p>
    <w:p>
      <w:pPr>
        <w:spacing w:after="0" w:line="360" w:lineRule="auto"/>
        <w:jc w:val="left"/>
        <w:rPr>
          <w:sz w:val="24"/>
        </w:rPr>
        <w:sectPr>
          <w:pgSz w:w="11910" w:h="16840"/>
          <w:pgMar w:top="1100" w:right="720" w:bottom="1180" w:left="920" w:header="918" w:footer="981" w:gutter="0"/>
          <w:pgNumType w:fmt="numberInDash"/>
          <w:cols w:space="720" w:num="1"/>
        </w:sectPr>
      </w:pPr>
    </w:p>
    <w:p>
      <w:pPr>
        <w:pStyle w:val="9"/>
        <w:spacing w:before="118"/>
        <w:rPr>
          <w:b/>
        </w:rPr>
      </w:pPr>
    </w:p>
    <w:p>
      <w:pPr>
        <w:pStyle w:val="15"/>
        <w:numPr>
          <w:ilvl w:val="1"/>
          <w:numId w:val="35"/>
        </w:numPr>
        <w:tabs>
          <w:tab w:val="left" w:pos="1927"/>
        </w:tabs>
        <w:spacing w:before="1" w:after="0" w:line="240" w:lineRule="auto"/>
        <w:ind w:left="1927" w:right="0" w:hanging="555"/>
        <w:jc w:val="both"/>
        <w:rPr>
          <w:sz w:val="24"/>
        </w:rPr>
      </w:pPr>
      <w:r>
        <w:rPr>
          <w:spacing w:val="-5"/>
          <w:sz w:val="24"/>
        </w:rPr>
        <w:t>质疑供应商对采购人、采购代理机构的答复不满意，或者采购人、采</w:t>
      </w:r>
    </w:p>
    <w:p>
      <w:pPr>
        <w:pStyle w:val="9"/>
        <w:spacing w:before="91" w:line="312" w:lineRule="auto"/>
        <w:ind w:left="884" w:right="1091"/>
        <w:jc w:val="both"/>
      </w:pPr>
      <w:r>
        <w:rPr>
          <w:spacing w:val="-3"/>
        </w:rPr>
        <w:t xml:space="preserve">购代理机构未在规定时间内作出答复的，可以在答复期满后 </w:t>
      </w:r>
      <w:r>
        <w:rPr>
          <w:spacing w:val="-2"/>
        </w:rPr>
        <w:t>15</w:t>
      </w:r>
      <w:r>
        <w:rPr>
          <w:spacing w:val="-7"/>
        </w:rPr>
        <w:t xml:space="preserve"> 个工作日内向同</w:t>
      </w:r>
      <w:r>
        <w:rPr>
          <w:spacing w:val="-2"/>
        </w:rPr>
        <w:t>级政府采购监督管理部门提起投诉。</w:t>
      </w:r>
    </w:p>
    <w:p>
      <w:pPr>
        <w:pStyle w:val="15"/>
        <w:numPr>
          <w:ilvl w:val="1"/>
          <w:numId w:val="35"/>
        </w:numPr>
        <w:tabs>
          <w:tab w:val="left" w:pos="1917"/>
        </w:tabs>
        <w:spacing w:before="182" w:after="0" w:line="312" w:lineRule="auto"/>
        <w:ind w:left="887" w:right="1074" w:firstLine="484"/>
        <w:jc w:val="both"/>
        <w:rPr>
          <w:sz w:val="24"/>
        </w:rPr>
      </w:pPr>
      <w:r>
        <w:rPr>
          <w:spacing w:val="-2"/>
          <w:sz w:val="24"/>
        </w:rPr>
        <w:t>投诉人投诉时,应当提交投诉书和必要的证明材料，并按照被投诉采购</w:t>
      </w:r>
      <w:r>
        <w:rPr>
          <w:spacing w:val="-4"/>
          <w:sz w:val="24"/>
        </w:rPr>
        <w:t>人、采购代理机构（以下简称被投诉人）和与投诉事项有关的供应商数量提供投</w:t>
      </w:r>
      <w:r>
        <w:rPr>
          <w:spacing w:val="-2"/>
          <w:sz w:val="24"/>
        </w:rPr>
        <w:t>诉书的副本。投诉书应当包括下列内容：</w:t>
      </w:r>
    </w:p>
    <w:p>
      <w:pPr>
        <w:pStyle w:val="15"/>
        <w:numPr>
          <w:ilvl w:val="0"/>
          <w:numId w:val="36"/>
        </w:numPr>
        <w:tabs>
          <w:tab w:val="left" w:pos="1971"/>
        </w:tabs>
        <w:spacing w:before="178" w:after="0" w:line="290" w:lineRule="auto"/>
        <w:ind w:left="916" w:right="1223" w:firstLine="456"/>
        <w:jc w:val="left"/>
        <w:rPr>
          <w:sz w:val="24"/>
        </w:rPr>
      </w:pPr>
      <w:r>
        <w:rPr>
          <w:spacing w:val="-6"/>
          <w:sz w:val="24"/>
        </w:rPr>
        <w:t>投诉人和被投诉人的姓名或者名称、通讯地址、邮编、联系人及联系</w:t>
      </w:r>
      <w:r>
        <w:rPr>
          <w:spacing w:val="-4"/>
          <w:sz w:val="24"/>
        </w:rPr>
        <w:t>电话；</w:t>
      </w:r>
    </w:p>
    <w:p>
      <w:pPr>
        <w:pStyle w:val="15"/>
        <w:numPr>
          <w:ilvl w:val="0"/>
          <w:numId w:val="36"/>
        </w:numPr>
        <w:tabs>
          <w:tab w:val="left" w:pos="1980"/>
        </w:tabs>
        <w:spacing w:before="157" w:after="0" w:line="240" w:lineRule="auto"/>
        <w:ind w:left="1980" w:right="0" w:hanging="606"/>
        <w:jc w:val="left"/>
        <w:rPr>
          <w:sz w:val="24"/>
        </w:rPr>
      </w:pPr>
      <w:r>
        <w:rPr>
          <w:spacing w:val="-5"/>
          <w:sz w:val="24"/>
        </w:rPr>
        <w:t>质疑和质疑答复情况说明及相关证明材料；</w:t>
      </w:r>
    </w:p>
    <w:p>
      <w:pPr>
        <w:pStyle w:val="15"/>
        <w:numPr>
          <w:ilvl w:val="0"/>
          <w:numId w:val="36"/>
        </w:numPr>
        <w:tabs>
          <w:tab w:val="left" w:pos="1985"/>
        </w:tabs>
        <w:spacing w:before="153" w:after="0" w:line="240" w:lineRule="auto"/>
        <w:ind w:left="1985" w:right="0" w:hanging="611"/>
        <w:jc w:val="left"/>
        <w:rPr>
          <w:sz w:val="24"/>
        </w:rPr>
      </w:pPr>
      <w:r>
        <w:rPr>
          <w:spacing w:val="-5"/>
          <w:sz w:val="24"/>
        </w:rPr>
        <w:t>具体、明确的投诉事项和与投诉事项相关的投诉请求；</w:t>
      </w:r>
    </w:p>
    <w:p>
      <w:pPr>
        <w:pStyle w:val="15"/>
        <w:numPr>
          <w:ilvl w:val="0"/>
          <w:numId w:val="36"/>
        </w:numPr>
        <w:tabs>
          <w:tab w:val="left" w:pos="1970"/>
        </w:tabs>
        <w:spacing w:before="154" w:after="0" w:line="240" w:lineRule="auto"/>
        <w:ind w:left="1970" w:right="0" w:hanging="596"/>
        <w:jc w:val="left"/>
        <w:rPr>
          <w:sz w:val="24"/>
        </w:rPr>
      </w:pPr>
      <w:r>
        <w:rPr>
          <w:spacing w:val="-7"/>
          <w:sz w:val="24"/>
        </w:rPr>
        <w:t>事实依据；</w:t>
      </w:r>
    </w:p>
    <w:p>
      <w:pPr>
        <w:pStyle w:val="15"/>
        <w:numPr>
          <w:ilvl w:val="0"/>
          <w:numId w:val="36"/>
        </w:numPr>
        <w:tabs>
          <w:tab w:val="left" w:pos="1970"/>
        </w:tabs>
        <w:spacing w:before="154" w:after="0" w:line="240" w:lineRule="auto"/>
        <w:ind w:left="1970" w:right="0" w:hanging="596"/>
        <w:jc w:val="left"/>
        <w:rPr>
          <w:sz w:val="24"/>
        </w:rPr>
      </w:pPr>
      <w:r>
        <w:rPr>
          <w:spacing w:val="-7"/>
          <w:sz w:val="24"/>
        </w:rPr>
        <w:t>法律依据；</w:t>
      </w:r>
    </w:p>
    <w:p>
      <w:pPr>
        <w:pStyle w:val="15"/>
        <w:numPr>
          <w:ilvl w:val="0"/>
          <w:numId w:val="36"/>
        </w:numPr>
        <w:tabs>
          <w:tab w:val="left" w:pos="1972"/>
        </w:tabs>
        <w:spacing w:before="156" w:after="0" w:line="240" w:lineRule="auto"/>
        <w:ind w:left="1972" w:right="0" w:hanging="598"/>
        <w:jc w:val="left"/>
        <w:rPr>
          <w:sz w:val="24"/>
        </w:rPr>
      </w:pPr>
      <w:r>
        <w:rPr>
          <w:spacing w:val="-7"/>
          <w:sz w:val="24"/>
        </w:rPr>
        <w:t>提起投诉的日期。</w:t>
      </w:r>
    </w:p>
    <w:p>
      <w:pPr>
        <w:pStyle w:val="9"/>
        <w:spacing w:before="175" w:line="345" w:lineRule="auto"/>
        <w:ind w:left="916" w:right="1240" w:firstLine="453"/>
      </w:pPr>
      <w:r>
        <w:rPr>
          <w:spacing w:val="-10"/>
        </w:rPr>
        <w:t>投诉人为自然人的，应当由本人签字；投诉人为法人或者其他组织的，应当</w:t>
      </w:r>
      <w:r>
        <w:rPr>
          <w:spacing w:val="-2"/>
        </w:rPr>
        <w:t>由法定代表人、主要负责人，或者其授权代表签字或者盖章，并加盖公章。</w:t>
      </w:r>
    </w:p>
    <w:p>
      <w:pPr>
        <w:pStyle w:val="15"/>
        <w:numPr>
          <w:ilvl w:val="1"/>
          <w:numId w:val="35"/>
        </w:numPr>
        <w:tabs>
          <w:tab w:val="left" w:pos="1924"/>
        </w:tabs>
        <w:spacing w:before="35" w:after="0" w:line="288" w:lineRule="auto"/>
        <w:ind w:left="908" w:right="1096" w:firstLine="463"/>
        <w:jc w:val="left"/>
        <w:rPr>
          <w:sz w:val="24"/>
        </w:rPr>
      </w:pPr>
      <w:r>
        <w:rPr>
          <w:spacing w:val="-2"/>
          <w:sz w:val="24"/>
        </w:rPr>
        <w:t>供应商质疑、投诉应当有明确的请求和必要的证明材料。供应商投诉</w:t>
      </w:r>
      <w:r>
        <w:rPr>
          <w:spacing w:val="-6"/>
          <w:sz w:val="24"/>
        </w:rPr>
        <w:t>的事项不得超出已质疑事项的范围，但基于质疑答复内容提出的投诉事项除外。</w:t>
      </w:r>
    </w:p>
    <w:p>
      <w:pPr>
        <w:pStyle w:val="15"/>
        <w:numPr>
          <w:ilvl w:val="1"/>
          <w:numId w:val="35"/>
        </w:numPr>
        <w:tabs>
          <w:tab w:val="left" w:pos="1922"/>
        </w:tabs>
        <w:spacing w:before="161" w:after="0" w:line="240" w:lineRule="auto"/>
        <w:ind w:left="1922" w:right="0" w:hanging="550"/>
        <w:jc w:val="left"/>
        <w:rPr>
          <w:sz w:val="24"/>
        </w:rPr>
      </w:pPr>
      <w:r>
        <w:rPr>
          <w:spacing w:val="-5"/>
          <w:sz w:val="24"/>
        </w:rPr>
        <w:t>投诉书应当使用中文，并采用财政部门制定的范本。</w:t>
      </w:r>
    </w:p>
    <w:p>
      <w:pPr>
        <w:pStyle w:val="8"/>
        <w:spacing w:before="218" w:line="316" w:lineRule="auto"/>
        <w:ind w:left="891" w:right="6815" w:firstLine="2"/>
      </w:pPr>
      <w:r>
        <w:rPr>
          <w:spacing w:val="-10"/>
        </w:rPr>
        <w:t xml:space="preserve">（十一）采购代理服务费 </w:t>
      </w:r>
      <w:r>
        <w:rPr>
          <w:spacing w:val="-2"/>
        </w:rPr>
        <w:t>38.收取方式和标准</w:t>
      </w:r>
    </w:p>
    <w:p>
      <w:pPr>
        <w:pStyle w:val="15"/>
        <w:numPr>
          <w:ilvl w:val="1"/>
          <w:numId w:val="37"/>
        </w:numPr>
        <w:tabs>
          <w:tab w:val="left" w:pos="1902"/>
        </w:tabs>
        <w:spacing w:before="52" w:after="0" w:line="345" w:lineRule="auto"/>
        <w:ind w:left="891" w:right="1280" w:firstLine="480"/>
        <w:jc w:val="left"/>
        <w:rPr>
          <w:sz w:val="24"/>
        </w:rPr>
      </w:pPr>
      <w:r>
        <w:rPr>
          <w:spacing w:val="-6"/>
          <w:sz w:val="24"/>
        </w:rPr>
        <w:t>采购代理机构按“投标人须知前附表”规定的方式和标准收取采购代</w:t>
      </w:r>
      <w:r>
        <w:rPr>
          <w:spacing w:val="-2"/>
          <w:sz w:val="24"/>
        </w:rPr>
        <w:t>理服务费。</w:t>
      </w:r>
    </w:p>
    <w:p>
      <w:pPr>
        <w:pStyle w:val="8"/>
        <w:spacing w:before="76" w:line="316" w:lineRule="auto"/>
        <w:ind w:left="891" w:right="6803" w:firstLine="2"/>
      </w:pPr>
      <w:r>
        <w:rPr>
          <w:spacing w:val="-8"/>
        </w:rPr>
        <w:t xml:space="preserve">（十二）无效投标和废标 </w:t>
      </w:r>
      <w:r>
        <w:rPr>
          <w:spacing w:val="-2"/>
        </w:rPr>
        <w:t>39.无效投标</w:t>
      </w:r>
    </w:p>
    <w:p>
      <w:pPr>
        <w:pStyle w:val="15"/>
        <w:numPr>
          <w:ilvl w:val="1"/>
          <w:numId w:val="38"/>
        </w:numPr>
        <w:tabs>
          <w:tab w:val="left" w:pos="1911"/>
        </w:tabs>
        <w:spacing w:before="55" w:after="0" w:line="343" w:lineRule="auto"/>
        <w:ind w:left="889" w:right="1333" w:firstLine="482"/>
        <w:jc w:val="left"/>
        <w:rPr>
          <w:sz w:val="24"/>
        </w:rPr>
      </w:pPr>
      <w:r>
        <w:rPr>
          <w:spacing w:val="-9"/>
          <w:sz w:val="24"/>
        </w:rPr>
        <w:t>投标文件存在“第四章 资格审查”、“第五章 评标方法及标准”及</w:t>
      </w:r>
      <w:r>
        <w:rPr>
          <w:spacing w:val="-2"/>
          <w:sz w:val="24"/>
        </w:rPr>
        <w:t>本招标文件规定的投标无效情形的，其</w:t>
      </w:r>
      <w:r>
        <w:rPr>
          <w:b/>
          <w:spacing w:val="-2"/>
          <w:sz w:val="24"/>
        </w:rPr>
        <w:t>投标无效</w:t>
      </w:r>
      <w:r>
        <w:rPr>
          <w:spacing w:val="-2"/>
          <w:sz w:val="24"/>
        </w:rPr>
        <w:t>。</w:t>
      </w:r>
    </w:p>
    <w:p>
      <w:pPr>
        <w:pStyle w:val="8"/>
        <w:numPr>
          <w:ilvl w:val="0"/>
          <w:numId w:val="39"/>
        </w:numPr>
        <w:tabs>
          <w:tab w:val="left" w:pos="1224"/>
        </w:tabs>
        <w:spacing w:before="20" w:after="0" w:line="240" w:lineRule="auto"/>
        <w:ind w:left="1224" w:right="0" w:hanging="337"/>
        <w:jc w:val="left"/>
      </w:pPr>
      <w:r>
        <w:rPr>
          <w:spacing w:val="-6"/>
        </w:rPr>
        <w:t>废标</w:t>
      </w:r>
    </w:p>
    <w:p>
      <w:pPr>
        <w:pStyle w:val="15"/>
        <w:numPr>
          <w:ilvl w:val="1"/>
          <w:numId w:val="39"/>
        </w:numPr>
        <w:tabs>
          <w:tab w:val="left" w:pos="1907"/>
        </w:tabs>
        <w:spacing w:before="158" w:after="0" w:line="345" w:lineRule="auto"/>
        <w:ind w:left="887" w:right="1218" w:firstLine="480"/>
        <w:jc w:val="left"/>
        <w:rPr>
          <w:sz w:val="24"/>
        </w:rPr>
      </w:pPr>
      <w:r>
        <w:rPr>
          <w:spacing w:val="-8"/>
          <w:sz w:val="24"/>
        </w:rPr>
        <w:t>在招标采购中出现有“第五章 评标方法及标准”及本招标文件规定的</w:t>
      </w:r>
      <w:r>
        <w:rPr>
          <w:spacing w:val="-2"/>
          <w:sz w:val="24"/>
        </w:rPr>
        <w:t>废标情形的，应予以</w:t>
      </w:r>
      <w:r>
        <w:rPr>
          <w:b/>
          <w:spacing w:val="-2"/>
          <w:sz w:val="24"/>
        </w:rPr>
        <w:t>废标</w:t>
      </w:r>
      <w:r>
        <w:rPr>
          <w:spacing w:val="-2"/>
          <w:sz w:val="24"/>
        </w:rPr>
        <w:t>。</w:t>
      </w:r>
    </w:p>
    <w:p>
      <w:pPr>
        <w:spacing w:after="0" w:line="345" w:lineRule="auto"/>
        <w:jc w:val="left"/>
        <w:rPr>
          <w:sz w:val="24"/>
        </w:rPr>
        <w:sectPr>
          <w:pgSz w:w="11910" w:h="16840"/>
          <w:pgMar w:top="1100" w:right="720" w:bottom="1180" w:left="920" w:header="918" w:footer="981" w:gutter="0"/>
          <w:pgNumType w:fmt="numberInDash"/>
          <w:cols w:space="720" w:num="1"/>
        </w:sectPr>
      </w:pPr>
    </w:p>
    <w:p>
      <w:pPr>
        <w:pStyle w:val="9"/>
        <w:spacing w:before="39"/>
      </w:pPr>
    </w:p>
    <w:p>
      <w:pPr>
        <w:pStyle w:val="8"/>
        <w:spacing w:line="316" w:lineRule="auto"/>
        <w:ind w:left="887" w:right="2818" w:firstLine="7"/>
      </w:pPr>
      <w:r>
        <w:rPr>
          <w:spacing w:val="-8"/>
        </w:rPr>
        <w:t xml:space="preserve">（十三）落实政府采购政策（包括但不限于下列具体政策要求） </w:t>
      </w:r>
      <w:r>
        <w:rPr>
          <w:spacing w:val="-2"/>
        </w:rPr>
        <w:t>41.支持国产和进口产品审批</w:t>
      </w:r>
    </w:p>
    <w:p>
      <w:pPr>
        <w:pStyle w:val="15"/>
        <w:numPr>
          <w:ilvl w:val="1"/>
          <w:numId w:val="40"/>
        </w:numPr>
        <w:tabs>
          <w:tab w:val="left" w:pos="1919"/>
        </w:tabs>
        <w:spacing w:before="53" w:after="0" w:line="348" w:lineRule="auto"/>
        <w:ind w:left="891" w:right="1182" w:firstLine="475"/>
        <w:jc w:val="both"/>
        <w:rPr>
          <w:sz w:val="24"/>
        </w:rPr>
      </w:pPr>
      <w:r>
        <w:rPr>
          <w:spacing w:val="-2"/>
          <w:sz w:val="24"/>
        </w:rPr>
        <w:t>除“投标人须知前附表”另有规定外，政府采购应当采购本国货物、</w:t>
      </w:r>
      <w:r>
        <w:rPr>
          <w:spacing w:val="-20"/>
          <w:sz w:val="24"/>
        </w:rPr>
        <w:t>工程和服务，确需采购进口产品的，采购人应当按照《政府采购进口产品管理办法》</w:t>
      </w:r>
    </w:p>
    <w:p>
      <w:pPr>
        <w:pStyle w:val="9"/>
        <w:spacing w:before="2"/>
        <w:ind w:left="891"/>
        <w:jc w:val="both"/>
      </w:pPr>
      <w:r>
        <w:rPr>
          <w:spacing w:val="-16"/>
        </w:rPr>
        <w:t>（财库〔2007〕119</w:t>
      </w:r>
      <w:r>
        <w:rPr>
          <w:spacing w:val="-10"/>
        </w:rPr>
        <w:t xml:space="preserve"> 号文</w:t>
      </w:r>
      <w:r>
        <w:rPr>
          <w:spacing w:val="-16"/>
        </w:rPr>
        <w:t>）、《关于政府采购进口产品管理有关问题的通知》</w:t>
      </w:r>
    </w:p>
    <w:p>
      <w:pPr>
        <w:pStyle w:val="9"/>
        <w:spacing w:before="180" w:line="348" w:lineRule="auto"/>
        <w:ind w:left="889" w:right="1069" w:firstLine="4"/>
        <w:jc w:val="both"/>
      </w:pPr>
      <w:r>
        <w:rPr>
          <w:spacing w:val="-2"/>
        </w:rPr>
        <w:t>（财办库〔2008〕248</w:t>
      </w:r>
      <w:r>
        <w:rPr>
          <w:spacing w:val="-15"/>
        </w:rPr>
        <w:t xml:space="preserve"> 号</w:t>
      </w:r>
      <w:r>
        <w:rPr>
          <w:spacing w:val="-2"/>
        </w:rPr>
        <w:t>）规定执行（进口产品审批制，科研院所监管部门另有</w:t>
      </w:r>
      <w:r>
        <w:t>规定的从其规定）</w:t>
      </w:r>
      <w:r>
        <w:rPr>
          <w:spacing w:val="-1"/>
        </w:rPr>
        <w:t>。项目若涉及采购进口产品的，具体要求详见“第三章 采购</w:t>
      </w:r>
      <w:r>
        <w:rPr>
          <w:spacing w:val="-4"/>
        </w:rPr>
        <w:t>需求”。</w:t>
      </w:r>
    </w:p>
    <w:p>
      <w:pPr>
        <w:pStyle w:val="15"/>
        <w:numPr>
          <w:ilvl w:val="1"/>
          <w:numId w:val="40"/>
        </w:numPr>
        <w:tabs>
          <w:tab w:val="left" w:pos="1894"/>
        </w:tabs>
        <w:spacing w:before="37" w:after="0" w:line="290" w:lineRule="auto"/>
        <w:ind w:left="887" w:right="1098" w:firstLine="480"/>
        <w:jc w:val="left"/>
        <w:rPr>
          <w:sz w:val="24"/>
        </w:rPr>
      </w:pPr>
      <w:r>
        <w:rPr>
          <w:spacing w:val="-6"/>
          <w:sz w:val="24"/>
        </w:rPr>
        <w:t>进口产品指通过中国海关报关验放进入中国境内且产自关境外的产品，</w:t>
      </w:r>
      <w:r>
        <w:rPr>
          <w:spacing w:val="-2"/>
          <w:sz w:val="24"/>
        </w:rPr>
        <w:t>包括已经进入中国境内的进口产品。</w:t>
      </w:r>
    </w:p>
    <w:p>
      <w:pPr>
        <w:pStyle w:val="15"/>
        <w:numPr>
          <w:ilvl w:val="1"/>
          <w:numId w:val="40"/>
        </w:numPr>
        <w:tabs>
          <w:tab w:val="left" w:pos="1897"/>
        </w:tabs>
        <w:spacing w:before="176" w:after="0" w:line="288" w:lineRule="auto"/>
        <w:ind w:left="889" w:right="1283" w:firstLine="477"/>
        <w:jc w:val="left"/>
        <w:rPr>
          <w:sz w:val="24"/>
        </w:rPr>
      </w:pPr>
      <w:r>
        <w:rPr>
          <w:spacing w:val="-6"/>
          <w:sz w:val="24"/>
        </w:rPr>
        <w:t>若采购需求中写明允许采购进口产品，投标人应保证所投产品可履行</w:t>
      </w:r>
      <w:r>
        <w:rPr>
          <w:spacing w:val="-2"/>
          <w:sz w:val="24"/>
        </w:rPr>
        <w:t>合法报通关手续进入中国关境内。</w:t>
      </w:r>
    </w:p>
    <w:p>
      <w:pPr>
        <w:pStyle w:val="15"/>
        <w:numPr>
          <w:ilvl w:val="1"/>
          <w:numId w:val="40"/>
        </w:numPr>
        <w:tabs>
          <w:tab w:val="left" w:pos="1897"/>
        </w:tabs>
        <w:spacing w:before="185" w:after="0" w:line="288" w:lineRule="auto"/>
        <w:ind w:left="908" w:right="1283" w:firstLine="458"/>
        <w:jc w:val="left"/>
        <w:rPr>
          <w:sz w:val="24"/>
        </w:rPr>
      </w:pPr>
      <w:r>
        <w:rPr>
          <w:spacing w:val="-6"/>
          <w:sz w:val="24"/>
        </w:rPr>
        <w:t>若采购需求中未写明允许采购进口产品，如投标人所投产品为进口产</w:t>
      </w:r>
      <w:r>
        <w:rPr>
          <w:spacing w:val="-2"/>
          <w:sz w:val="24"/>
        </w:rPr>
        <w:t>品，其投标将被认定为</w:t>
      </w:r>
      <w:r>
        <w:rPr>
          <w:b/>
          <w:spacing w:val="-2"/>
          <w:sz w:val="24"/>
        </w:rPr>
        <w:t>投标无效</w:t>
      </w:r>
      <w:r>
        <w:rPr>
          <w:spacing w:val="-2"/>
          <w:sz w:val="24"/>
        </w:rPr>
        <w:t>。</w:t>
      </w:r>
    </w:p>
    <w:p>
      <w:pPr>
        <w:pStyle w:val="8"/>
        <w:numPr>
          <w:ilvl w:val="0"/>
          <w:numId w:val="41"/>
        </w:numPr>
        <w:tabs>
          <w:tab w:val="left" w:pos="1270"/>
        </w:tabs>
        <w:spacing w:before="163" w:after="0" w:line="240" w:lineRule="auto"/>
        <w:ind w:left="1270" w:right="0" w:hanging="383"/>
        <w:jc w:val="left"/>
      </w:pPr>
      <w:r>
        <w:rPr>
          <w:spacing w:val="-12"/>
        </w:rPr>
        <w:t>中小企业、监狱企业及残疾人福利性单位</w:t>
      </w:r>
    </w:p>
    <w:p>
      <w:pPr>
        <w:pStyle w:val="15"/>
        <w:numPr>
          <w:ilvl w:val="1"/>
          <w:numId w:val="41"/>
        </w:numPr>
        <w:tabs>
          <w:tab w:val="left" w:pos="1933"/>
        </w:tabs>
        <w:spacing w:before="137" w:after="0" w:line="357" w:lineRule="auto"/>
        <w:ind w:left="894" w:right="1244" w:firstLine="472"/>
        <w:jc w:val="both"/>
        <w:rPr>
          <w:sz w:val="24"/>
        </w:rPr>
      </w:pPr>
      <w:r>
        <w:rPr>
          <w:spacing w:val="-4"/>
          <w:sz w:val="24"/>
        </w:rPr>
        <w:t>中小企业是指在中华人民共和国境内依法设立，依据国务院批准的中</w:t>
      </w:r>
      <w:r>
        <w:rPr>
          <w:spacing w:val="-8"/>
          <w:sz w:val="24"/>
        </w:rPr>
        <w:t>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w:t>
      </w:r>
    </w:p>
    <w:p>
      <w:pPr>
        <w:pStyle w:val="9"/>
        <w:spacing w:before="27" w:line="345" w:lineRule="auto"/>
        <w:ind w:left="887" w:right="952"/>
        <w:jc w:val="both"/>
      </w:pPr>
      <w:r>
        <w:rPr>
          <w:spacing w:val="-8"/>
        </w:rPr>
        <w:t>《中华人民共和国中小企业促进法》、《关于进一步加大政府采购支持中小企业力</w:t>
      </w:r>
      <w:r>
        <w:rPr>
          <w:spacing w:val="-2"/>
        </w:rPr>
        <w:t>度的通知》（财库〔2022〕19</w:t>
      </w:r>
      <w:r>
        <w:rPr>
          <w:spacing w:val="-5"/>
        </w:rPr>
        <w:t xml:space="preserve"> 号</w:t>
      </w:r>
      <w:r>
        <w:rPr>
          <w:spacing w:val="-2"/>
        </w:rPr>
        <w:t>）、《政府采购促进中小企业发展管理办法》</w:t>
      </w:r>
    </w:p>
    <w:p>
      <w:pPr>
        <w:pStyle w:val="9"/>
        <w:spacing w:before="33" w:line="348" w:lineRule="auto"/>
        <w:ind w:left="889" w:right="1072" w:firstLine="4"/>
        <w:jc w:val="both"/>
      </w:pPr>
      <w:r>
        <w:t>（财库〔2020〕46</w:t>
      </w:r>
      <w:r>
        <w:rPr>
          <w:spacing w:val="-8"/>
        </w:rPr>
        <w:t xml:space="preserve"> 号</w:t>
      </w:r>
      <w:r>
        <w:t>）、《关于印发中小企业划型标准规定的通知》（工信部</w:t>
      </w:r>
      <w:r>
        <w:rPr>
          <w:spacing w:val="-2"/>
        </w:rPr>
        <w:t>联企业〔2011〕300</w:t>
      </w:r>
      <w:r>
        <w:rPr>
          <w:spacing w:val="-13"/>
        </w:rPr>
        <w:t xml:space="preserve"> 号</w:t>
      </w:r>
      <w:r>
        <w:rPr>
          <w:spacing w:val="-2"/>
        </w:rPr>
        <w:t>）、《金融业企业划型标准规定》（〔2015〕309</w:t>
      </w:r>
      <w:r>
        <w:rPr>
          <w:spacing w:val="-15"/>
        </w:rPr>
        <w:t xml:space="preserve"> 号</w:t>
      </w:r>
      <w:r>
        <w:rPr>
          <w:spacing w:val="-2"/>
        </w:rPr>
        <w:t>）等国务院批准的中小企业划分标准执行。</w:t>
      </w:r>
    </w:p>
    <w:p>
      <w:pPr>
        <w:pStyle w:val="15"/>
        <w:numPr>
          <w:ilvl w:val="1"/>
          <w:numId w:val="41"/>
        </w:numPr>
        <w:tabs>
          <w:tab w:val="left" w:pos="1902"/>
        </w:tabs>
        <w:spacing w:before="37" w:after="0" w:line="355" w:lineRule="auto"/>
        <w:ind w:left="872" w:right="1077" w:firstLine="494"/>
        <w:jc w:val="both"/>
        <w:rPr>
          <w:sz w:val="24"/>
        </w:rPr>
      </w:pPr>
      <w:r>
        <w:rPr>
          <w:spacing w:val="-2"/>
          <w:sz w:val="24"/>
        </w:rPr>
        <w:t>为促进中小企业发展，依据《关于印发&lt;政府采购促进中小企业发展管</w:t>
      </w:r>
      <w:r>
        <w:rPr>
          <w:sz w:val="24"/>
        </w:rPr>
        <w:t>理办法&gt;的通知》（财库〔2020〕46</w:t>
      </w:r>
      <w:r>
        <w:rPr>
          <w:spacing w:val="-8"/>
          <w:sz w:val="24"/>
        </w:rPr>
        <w:t xml:space="preserve"> 号</w:t>
      </w:r>
      <w:r>
        <w:rPr>
          <w:sz w:val="24"/>
        </w:rPr>
        <w:t>）、《财政部 司法部关于政府采购支持监狱企业发展有关问题的通知》（财库〔2014〕68 号）、《关于促进残疾人就</w:t>
      </w:r>
      <w:r>
        <w:rPr>
          <w:spacing w:val="-2"/>
          <w:sz w:val="24"/>
        </w:rPr>
        <w:t>业政府采购政策的通知》（财库〔2017〕141</w:t>
      </w:r>
      <w:r>
        <w:rPr>
          <w:spacing w:val="-15"/>
          <w:sz w:val="24"/>
        </w:rPr>
        <w:t xml:space="preserve"> 号</w:t>
      </w:r>
      <w:r>
        <w:rPr>
          <w:spacing w:val="-2"/>
          <w:sz w:val="24"/>
        </w:rPr>
        <w:t>）的规定，本项目供应商如需享</w:t>
      </w:r>
      <w:r>
        <w:rPr>
          <w:spacing w:val="-4"/>
          <w:sz w:val="24"/>
        </w:rPr>
        <w:t>受中小企业相关政策的，且符合上述文件规定的，应按本招标文件规定格式提供 “中小企业声明函”或“监狱企业证明文件”或“残疾人福利性单位声明函”，</w:t>
      </w:r>
    </w:p>
    <w:p>
      <w:pPr>
        <w:spacing w:after="0" w:line="355" w:lineRule="auto"/>
        <w:jc w:val="both"/>
        <w:rPr>
          <w:sz w:val="24"/>
        </w:rPr>
        <w:sectPr>
          <w:pgSz w:w="11910" w:h="16840"/>
          <w:pgMar w:top="1100" w:right="720" w:bottom="1180" w:left="920" w:header="918" w:footer="981" w:gutter="0"/>
          <w:pgNumType w:fmt="numberInDash"/>
          <w:cols w:space="720" w:num="1"/>
        </w:sectPr>
      </w:pPr>
    </w:p>
    <w:p>
      <w:pPr>
        <w:pStyle w:val="9"/>
        <w:spacing w:before="114"/>
      </w:pPr>
    </w:p>
    <w:p>
      <w:pPr>
        <w:pStyle w:val="9"/>
        <w:spacing w:line="352" w:lineRule="auto"/>
        <w:ind w:left="887" w:right="992"/>
        <w:jc w:val="both"/>
      </w:pPr>
      <w:r>
        <w:rPr>
          <w:spacing w:val="-2"/>
        </w:rPr>
        <w:t>评审时，评标委员会将依据本招标文件“投标人须知前附表”规定的报价扣除比例，对供应商报价进行价格扣除，用扣除后的价格参与评审；招标公告中明确项目专门面向中小企业采购的，“中小企业声明函”为资格要求文件，供应商参与投标须按本招标文件规定格式提供“中小企业声明函”或“监狱企业证明文件”或“残疾人福利性单位声明函”等作为资格证明文件。</w:t>
      </w:r>
    </w:p>
    <w:p>
      <w:pPr>
        <w:pStyle w:val="15"/>
        <w:numPr>
          <w:ilvl w:val="1"/>
          <w:numId w:val="41"/>
        </w:numPr>
        <w:tabs>
          <w:tab w:val="left" w:pos="1945"/>
        </w:tabs>
        <w:spacing w:before="37" w:after="0" w:line="288" w:lineRule="auto"/>
        <w:ind w:left="891" w:right="1235" w:firstLine="475"/>
        <w:jc w:val="both"/>
        <w:rPr>
          <w:sz w:val="24"/>
        </w:rPr>
      </w:pPr>
      <w:r>
        <w:rPr>
          <w:spacing w:val="-6"/>
          <w:sz w:val="24"/>
        </w:rPr>
        <w:t>供应商提供的货物、工程或者服务符合下列情形的，享受中小企业扶</w:t>
      </w:r>
      <w:r>
        <w:rPr>
          <w:spacing w:val="-4"/>
          <w:sz w:val="24"/>
        </w:rPr>
        <w:t>持政策：</w:t>
      </w:r>
    </w:p>
    <w:p>
      <w:pPr>
        <w:pStyle w:val="15"/>
        <w:numPr>
          <w:ilvl w:val="0"/>
          <w:numId w:val="42"/>
        </w:numPr>
        <w:tabs>
          <w:tab w:val="left" w:pos="1967"/>
        </w:tabs>
        <w:spacing w:before="185" w:after="0" w:line="288" w:lineRule="auto"/>
        <w:ind w:left="889" w:right="1223" w:firstLine="482"/>
        <w:jc w:val="both"/>
        <w:rPr>
          <w:sz w:val="24"/>
        </w:rPr>
      </w:pPr>
      <w:r>
        <w:rPr>
          <w:spacing w:val="-6"/>
          <w:sz w:val="24"/>
        </w:rPr>
        <w:t>在货物采购项目中，货物由中小企业制造，即货物由中小企业生产且</w:t>
      </w:r>
      <w:r>
        <w:rPr>
          <w:spacing w:val="-2"/>
          <w:sz w:val="24"/>
        </w:rPr>
        <w:t>使用该中小企业商号或者注册商标；</w:t>
      </w:r>
    </w:p>
    <w:p>
      <w:pPr>
        <w:pStyle w:val="15"/>
        <w:numPr>
          <w:ilvl w:val="0"/>
          <w:numId w:val="42"/>
        </w:numPr>
        <w:tabs>
          <w:tab w:val="left" w:pos="1968"/>
        </w:tabs>
        <w:spacing w:before="180" w:after="0" w:line="240" w:lineRule="auto"/>
        <w:ind w:left="1968" w:right="0" w:hanging="596"/>
        <w:jc w:val="left"/>
        <w:rPr>
          <w:sz w:val="24"/>
        </w:rPr>
      </w:pPr>
      <w:r>
        <w:rPr>
          <w:spacing w:val="-7"/>
          <w:sz w:val="24"/>
        </w:rPr>
        <w:t>在工程采购项目中，工程由中小企业承建，即工程施工单位为中小企</w:t>
      </w:r>
    </w:p>
    <w:p>
      <w:pPr>
        <w:pStyle w:val="9"/>
        <w:spacing w:before="65"/>
        <w:ind w:left="887"/>
      </w:pPr>
      <w:r>
        <w:rPr>
          <w:spacing w:val="-8"/>
        </w:rPr>
        <w:t>业；</w:t>
      </w:r>
    </w:p>
    <w:p>
      <w:pPr>
        <w:pStyle w:val="15"/>
        <w:numPr>
          <w:ilvl w:val="0"/>
          <w:numId w:val="42"/>
        </w:numPr>
        <w:tabs>
          <w:tab w:val="left" w:pos="1967"/>
        </w:tabs>
        <w:spacing w:before="242" w:after="0" w:line="288" w:lineRule="auto"/>
        <w:ind w:left="891" w:right="1223" w:firstLine="480"/>
        <w:jc w:val="left"/>
        <w:rPr>
          <w:sz w:val="24"/>
        </w:rPr>
      </w:pPr>
      <w:r>
        <w:rPr>
          <w:spacing w:val="-6"/>
          <w:sz w:val="24"/>
        </w:rPr>
        <w:t>在服务采购项目中，服务由中小企业承接，即提供服务的人员为中小</w:t>
      </w:r>
      <w:r>
        <w:rPr>
          <w:spacing w:val="-2"/>
          <w:sz w:val="24"/>
        </w:rPr>
        <w:t>企业依照《中华人民共和国劳动合同法》订立劳动合同的从业人员。</w:t>
      </w:r>
    </w:p>
    <w:p>
      <w:pPr>
        <w:pStyle w:val="15"/>
        <w:numPr>
          <w:ilvl w:val="1"/>
          <w:numId w:val="41"/>
        </w:numPr>
        <w:tabs>
          <w:tab w:val="left" w:pos="1945"/>
        </w:tabs>
        <w:spacing w:before="185" w:after="0" w:line="288" w:lineRule="auto"/>
        <w:ind w:left="891" w:right="1235" w:firstLine="475"/>
        <w:jc w:val="left"/>
        <w:rPr>
          <w:sz w:val="24"/>
        </w:rPr>
      </w:pPr>
      <w:r>
        <w:rPr>
          <w:spacing w:val="-6"/>
          <w:sz w:val="24"/>
        </w:rPr>
        <w:t>在服务采购项目中，供应商提供的服务既有中小企业承接，也有大型</w:t>
      </w:r>
      <w:r>
        <w:rPr>
          <w:spacing w:val="-2"/>
          <w:sz w:val="24"/>
        </w:rPr>
        <w:t>企业承接的，不享受中小企业扶持政策。</w:t>
      </w:r>
    </w:p>
    <w:p>
      <w:pPr>
        <w:pStyle w:val="15"/>
        <w:numPr>
          <w:ilvl w:val="1"/>
          <w:numId w:val="41"/>
        </w:numPr>
        <w:tabs>
          <w:tab w:val="left" w:pos="1990"/>
        </w:tabs>
        <w:spacing w:before="182" w:after="0" w:line="288" w:lineRule="auto"/>
        <w:ind w:left="887" w:right="1221" w:firstLine="480"/>
        <w:jc w:val="left"/>
        <w:rPr>
          <w:sz w:val="24"/>
        </w:rPr>
      </w:pPr>
      <w:r>
        <w:rPr>
          <w:spacing w:val="-6"/>
          <w:sz w:val="24"/>
        </w:rPr>
        <w:t>以联合体形式参加政府采购活动，联合体各方均为中小企业的，联合</w:t>
      </w:r>
      <w:r>
        <w:rPr>
          <w:spacing w:val="-2"/>
          <w:sz w:val="24"/>
        </w:rPr>
        <w:t>体视同中小企业。其中，联合体各方均为小微企业的，联合体视同小微企业。</w:t>
      </w:r>
    </w:p>
    <w:p>
      <w:pPr>
        <w:pStyle w:val="15"/>
        <w:numPr>
          <w:ilvl w:val="1"/>
          <w:numId w:val="41"/>
        </w:numPr>
        <w:tabs>
          <w:tab w:val="left" w:pos="1945"/>
        </w:tabs>
        <w:spacing w:before="183" w:after="0" w:line="336" w:lineRule="auto"/>
        <w:ind w:left="889" w:right="1000" w:firstLine="477"/>
        <w:jc w:val="left"/>
        <w:rPr>
          <w:sz w:val="24"/>
        </w:rPr>
      </w:pPr>
      <w:r>
        <w:rPr>
          <w:spacing w:val="-6"/>
          <w:sz w:val="24"/>
        </w:rPr>
        <w:t>在政府采购活动中，监狱企业视同小型、微型企业，享受预留份额、评</w:t>
      </w:r>
      <w:r>
        <w:rPr>
          <w:spacing w:val="-2"/>
          <w:sz w:val="24"/>
        </w:rPr>
        <w:t>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w:t>
      </w:r>
      <w:r>
        <w:rPr>
          <w:spacing w:val="-14"/>
          <w:sz w:val="24"/>
        </w:rPr>
        <w:t>管理局、戒毒管理局，各地（设区的市）监狱、强制隔离戒毒所、戒毒康复所，以及</w:t>
      </w:r>
      <w:r>
        <w:rPr>
          <w:spacing w:val="-2"/>
          <w:sz w:val="24"/>
        </w:rPr>
        <w:t>新疆生产建设兵团监狱管理局、戒毒管理局的企业。</w:t>
      </w:r>
    </w:p>
    <w:p>
      <w:pPr>
        <w:pStyle w:val="15"/>
        <w:numPr>
          <w:ilvl w:val="1"/>
          <w:numId w:val="41"/>
        </w:numPr>
        <w:tabs>
          <w:tab w:val="left" w:pos="1971"/>
        </w:tabs>
        <w:spacing w:before="175" w:after="0" w:line="312" w:lineRule="auto"/>
        <w:ind w:left="887" w:right="1074" w:firstLine="480"/>
        <w:jc w:val="both"/>
        <w:rPr>
          <w:sz w:val="24"/>
        </w:rPr>
      </w:pPr>
      <w:r>
        <w:rPr>
          <w:spacing w:val="-2"/>
          <w:sz w:val="24"/>
        </w:rPr>
        <w:t>在政府采购活动中，残疾人福利性单位视同小型、微型企业，享受预</w:t>
      </w:r>
      <w:r>
        <w:rPr>
          <w:spacing w:val="-4"/>
          <w:sz w:val="24"/>
        </w:rPr>
        <w:t>留份额、评审中价格扣除等促进中小企业发展的政府采购政策。残疾人福利性单</w:t>
      </w:r>
      <w:r>
        <w:rPr>
          <w:spacing w:val="-2"/>
          <w:sz w:val="24"/>
        </w:rPr>
        <w:t>位定义：享受政府采购支持政策的残疾人福利性单位应当同时满足以下条件：</w:t>
      </w:r>
    </w:p>
    <w:p>
      <w:pPr>
        <w:pStyle w:val="15"/>
        <w:numPr>
          <w:ilvl w:val="2"/>
          <w:numId w:val="41"/>
        </w:numPr>
        <w:tabs>
          <w:tab w:val="left" w:pos="2169"/>
        </w:tabs>
        <w:spacing w:before="180" w:after="0" w:line="288" w:lineRule="auto"/>
        <w:ind w:left="887" w:right="965" w:firstLine="480"/>
        <w:jc w:val="both"/>
        <w:rPr>
          <w:sz w:val="24"/>
        </w:rPr>
      </w:pPr>
      <w:r>
        <w:rPr>
          <w:spacing w:val="-10"/>
          <w:sz w:val="24"/>
        </w:rPr>
        <w:t>安置的残疾人占本单位在职职工人数的比例不低于 25%（</w:t>
      </w:r>
      <w:r>
        <w:rPr>
          <w:spacing w:val="-15"/>
          <w:sz w:val="24"/>
        </w:rPr>
        <w:t xml:space="preserve">含 </w:t>
      </w:r>
      <w:r>
        <w:rPr>
          <w:spacing w:val="-10"/>
          <w:sz w:val="24"/>
        </w:rPr>
        <w:t>25%），并</w:t>
      </w:r>
      <w:r>
        <w:rPr>
          <w:sz w:val="24"/>
        </w:rPr>
        <w:t>且安置的残疾人人数不少于 10 人（含 10</w:t>
      </w:r>
      <w:r>
        <w:rPr>
          <w:spacing w:val="-9"/>
          <w:sz w:val="24"/>
        </w:rPr>
        <w:t xml:space="preserve"> 人</w:t>
      </w:r>
      <w:r>
        <w:rPr>
          <w:sz w:val="24"/>
        </w:rPr>
        <w:t>）；</w:t>
      </w:r>
    </w:p>
    <w:p>
      <w:pPr>
        <w:pStyle w:val="15"/>
        <w:numPr>
          <w:ilvl w:val="2"/>
          <w:numId w:val="41"/>
        </w:numPr>
        <w:tabs>
          <w:tab w:val="left" w:pos="2153"/>
        </w:tabs>
        <w:spacing w:before="161" w:after="0" w:line="240" w:lineRule="auto"/>
        <w:ind w:left="2153" w:right="0" w:hanging="786"/>
        <w:jc w:val="both"/>
        <w:rPr>
          <w:sz w:val="24"/>
        </w:rPr>
      </w:pPr>
      <w:r>
        <w:rPr>
          <w:spacing w:val="-8"/>
          <w:sz w:val="24"/>
        </w:rPr>
        <w:t>依法与安置的每位残疾人签订了 1 年以上（含1年）</w:t>
      </w:r>
      <w:r>
        <w:rPr>
          <w:spacing w:val="-9"/>
          <w:sz w:val="24"/>
        </w:rPr>
        <w:t>的劳动合同或</w:t>
      </w:r>
    </w:p>
    <w:p>
      <w:pPr>
        <w:spacing w:after="0" w:line="240" w:lineRule="auto"/>
        <w:jc w:val="both"/>
        <w:rPr>
          <w:sz w:val="24"/>
        </w:rPr>
        <w:sectPr>
          <w:pgSz w:w="11910" w:h="16840"/>
          <w:pgMar w:top="1100" w:right="720" w:bottom="1180" w:left="920" w:header="918" w:footer="981" w:gutter="0"/>
          <w:pgNumType w:fmt="numberInDash"/>
          <w:cols w:space="720" w:num="1"/>
        </w:sectPr>
      </w:pPr>
    </w:p>
    <w:p>
      <w:pPr>
        <w:pStyle w:val="9"/>
        <w:spacing w:before="94"/>
      </w:pPr>
    </w:p>
    <w:p>
      <w:pPr>
        <w:pStyle w:val="9"/>
        <w:spacing w:before="1"/>
        <w:ind w:left="887"/>
      </w:pPr>
      <w:r>
        <w:rPr>
          <w:spacing w:val="-7"/>
        </w:rPr>
        <w:t>服务协议；</w:t>
      </w:r>
    </w:p>
    <w:p>
      <w:pPr>
        <w:pStyle w:val="15"/>
        <w:numPr>
          <w:ilvl w:val="2"/>
          <w:numId w:val="41"/>
        </w:numPr>
        <w:tabs>
          <w:tab w:val="left" w:pos="2129"/>
        </w:tabs>
        <w:spacing w:before="175" w:after="0" w:line="288" w:lineRule="auto"/>
        <w:ind w:left="887" w:right="1038" w:firstLine="480"/>
        <w:jc w:val="left"/>
        <w:rPr>
          <w:sz w:val="24"/>
        </w:rPr>
      </w:pPr>
      <w:r>
        <w:rPr>
          <w:spacing w:val="-12"/>
          <w:sz w:val="24"/>
        </w:rPr>
        <w:t>为安置的每位残疾人按月足额缴纳了基本养老保险、基本医疗保险、失</w:t>
      </w:r>
      <w:r>
        <w:rPr>
          <w:spacing w:val="-2"/>
          <w:sz w:val="24"/>
        </w:rPr>
        <w:t>业保险、工伤保险和生育保险等社会保险费；</w:t>
      </w:r>
    </w:p>
    <w:p>
      <w:pPr>
        <w:pStyle w:val="15"/>
        <w:numPr>
          <w:ilvl w:val="2"/>
          <w:numId w:val="41"/>
        </w:numPr>
        <w:tabs>
          <w:tab w:val="left" w:pos="2182"/>
        </w:tabs>
        <w:spacing w:before="182" w:after="0" w:line="288" w:lineRule="auto"/>
        <w:ind w:left="887" w:right="1220" w:firstLine="480"/>
        <w:jc w:val="left"/>
        <w:rPr>
          <w:sz w:val="24"/>
        </w:rPr>
      </w:pPr>
      <w:r>
        <w:rPr>
          <w:spacing w:val="-4"/>
          <w:sz w:val="24"/>
        </w:rPr>
        <w:t>通过银行等金融机构向安置的每位残疾人，按月支付了不低于单位</w:t>
      </w:r>
      <w:r>
        <w:rPr>
          <w:spacing w:val="-2"/>
          <w:sz w:val="24"/>
        </w:rPr>
        <w:t>所在区县适用的经省级人民政府批准的月最低工资标准的工资；</w:t>
      </w:r>
    </w:p>
    <w:p>
      <w:pPr>
        <w:pStyle w:val="15"/>
        <w:numPr>
          <w:ilvl w:val="2"/>
          <w:numId w:val="41"/>
        </w:numPr>
        <w:tabs>
          <w:tab w:val="left" w:pos="2212"/>
        </w:tabs>
        <w:spacing w:before="185" w:after="0" w:line="312" w:lineRule="auto"/>
        <w:ind w:left="891" w:right="1064" w:firstLine="475"/>
        <w:jc w:val="both"/>
        <w:rPr>
          <w:sz w:val="24"/>
        </w:rPr>
      </w:pPr>
      <w:r>
        <w:rPr>
          <w:spacing w:val="-2"/>
          <w:sz w:val="24"/>
        </w:rPr>
        <w:t>提供本单位制造的货物、承担的工程或者服务（以下简称产品），</w:t>
      </w:r>
      <w:r>
        <w:rPr>
          <w:spacing w:val="-10"/>
          <w:sz w:val="24"/>
        </w:rPr>
        <w:t>或者提供其他残疾人福利性单位制造的货物（不包括使用非残疾人福利性单位注册</w:t>
      </w:r>
      <w:r>
        <w:rPr>
          <w:spacing w:val="-2"/>
          <w:sz w:val="24"/>
        </w:rPr>
        <w:t>商标的货物）；</w:t>
      </w:r>
    </w:p>
    <w:p>
      <w:pPr>
        <w:pStyle w:val="15"/>
        <w:numPr>
          <w:ilvl w:val="2"/>
          <w:numId w:val="41"/>
        </w:numPr>
        <w:tabs>
          <w:tab w:val="left" w:pos="2213"/>
        </w:tabs>
        <w:spacing w:before="178" w:after="0" w:line="240" w:lineRule="auto"/>
        <w:ind w:left="2213" w:right="0" w:hanging="846"/>
        <w:jc w:val="both"/>
        <w:rPr>
          <w:sz w:val="24"/>
        </w:rPr>
      </w:pPr>
      <w:r>
        <w:rPr>
          <w:spacing w:val="-1"/>
          <w:sz w:val="24"/>
        </w:rPr>
        <w:t>前款所称残疾人是指法定劳动年龄内，持有《中华人民共和国残疾</w:t>
      </w:r>
    </w:p>
    <w:p>
      <w:pPr>
        <w:pStyle w:val="9"/>
        <w:spacing w:before="108" w:line="324" w:lineRule="auto"/>
        <w:ind w:left="889" w:right="1074"/>
        <w:jc w:val="both"/>
      </w:pPr>
      <w:r>
        <w:t>人证》或者《中华人民共和国残疾军人证（</w:t>
      </w:r>
      <w:r>
        <w:rPr>
          <w:spacing w:val="-30"/>
        </w:rPr>
        <w:t xml:space="preserve"> </w:t>
      </w:r>
      <w:r>
        <w:t>1</w:t>
      </w:r>
      <w:r>
        <w:rPr>
          <w:spacing w:val="-20"/>
        </w:rPr>
        <w:t xml:space="preserve"> 至 </w:t>
      </w:r>
      <w:r>
        <w:t>8</w:t>
      </w:r>
      <w:r>
        <w:rPr>
          <w:spacing w:val="-15"/>
        </w:rPr>
        <w:t xml:space="preserve"> 级</w:t>
      </w:r>
      <w:r>
        <w:t>）》的自然人，包括具有</w:t>
      </w:r>
      <w:r>
        <w:rPr>
          <w:spacing w:val="-16"/>
        </w:rPr>
        <w:t>劳动条件和劳动意愿的精神残疾人。在职职工人数是指与残疾人福利性单位建立劳动</w:t>
      </w:r>
      <w:r>
        <w:rPr>
          <w:spacing w:val="-2"/>
        </w:rPr>
        <w:t>关系并依法签订劳动合同或服务协议的雇员人数。</w:t>
      </w:r>
    </w:p>
    <w:p>
      <w:pPr>
        <w:pStyle w:val="15"/>
        <w:numPr>
          <w:ilvl w:val="1"/>
          <w:numId w:val="41"/>
        </w:numPr>
        <w:tabs>
          <w:tab w:val="left" w:pos="1958"/>
        </w:tabs>
        <w:spacing w:before="159" w:after="0" w:line="240" w:lineRule="auto"/>
        <w:ind w:left="1958" w:right="0" w:hanging="589"/>
        <w:jc w:val="both"/>
        <w:rPr>
          <w:sz w:val="24"/>
        </w:rPr>
      </w:pPr>
      <w:r>
        <w:rPr>
          <w:spacing w:val="-3"/>
          <w:sz w:val="24"/>
        </w:rPr>
        <w:t>本项目是否专门面向中小企业预留采购份额见“第一章 招标公告”。</w:t>
      </w:r>
    </w:p>
    <w:p>
      <w:pPr>
        <w:pStyle w:val="15"/>
        <w:numPr>
          <w:ilvl w:val="1"/>
          <w:numId w:val="41"/>
        </w:numPr>
        <w:tabs>
          <w:tab w:val="left" w:pos="1929"/>
        </w:tabs>
        <w:spacing w:before="154" w:after="0" w:line="240" w:lineRule="auto"/>
        <w:ind w:left="1929" w:right="0" w:hanging="562"/>
        <w:jc w:val="both"/>
        <w:rPr>
          <w:sz w:val="24"/>
        </w:rPr>
      </w:pPr>
      <w:r>
        <w:rPr>
          <w:spacing w:val="-10"/>
          <w:sz w:val="24"/>
        </w:rPr>
        <w:t>采购标的对应的中小企业划分标准所属行业见“投标人须知前附表”。</w:t>
      </w:r>
    </w:p>
    <w:p>
      <w:pPr>
        <w:pStyle w:val="15"/>
        <w:numPr>
          <w:ilvl w:val="1"/>
          <w:numId w:val="41"/>
        </w:numPr>
        <w:tabs>
          <w:tab w:val="left" w:pos="2047"/>
        </w:tabs>
        <w:spacing w:before="177" w:after="0" w:line="288" w:lineRule="auto"/>
        <w:ind w:left="891" w:right="1205" w:firstLine="475"/>
        <w:jc w:val="both"/>
        <w:rPr>
          <w:sz w:val="24"/>
        </w:rPr>
      </w:pPr>
      <w:r>
        <w:rPr>
          <w:spacing w:val="-8"/>
          <w:sz w:val="24"/>
        </w:rPr>
        <w:t>小微企业价格评审优惠的政策调整：见“投标人须知前附表”及“第</w:t>
      </w:r>
      <w:r>
        <w:rPr>
          <w:sz w:val="24"/>
        </w:rPr>
        <w:t>五章 评标方法及标准”。</w:t>
      </w:r>
    </w:p>
    <w:p>
      <w:pPr>
        <w:pStyle w:val="8"/>
        <w:numPr>
          <w:ilvl w:val="0"/>
          <w:numId w:val="41"/>
        </w:numPr>
        <w:tabs>
          <w:tab w:val="left" w:pos="1202"/>
        </w:tabs>
        <w:spacing w:before="164" w:after="0" w:line="240" w:lineRule="auto"/>
        <w:ind w:left="1202" w:right="0" w:hanging="315"/>
        <w:jc w:val="left"/>
      </w:pPr>
      <w:r>
        <w:rPr>
          <w:spacing w:val="-9"/>
        </w:rPr>
        <w:t>政府采购节能产品、环境标志产品</w:t>
      </w:r>
    </w:p>
    <w:p>
      <w:pPr>
        <w:pStyle w:val="15"/>
        <w:numPr>
          <w:ilvl w:val="1"/>
          <w:numId w:val="41"/>
        </w:numPr>
        <w:tabs>
          <w:tab w:val="left" w:pos="1946"/>
        </w:tabs>
        <w:spacing w:before="156" w:after="0" w:line="355" w:lineRule="auto"/>
        <w:ind w:left="887" w:right="1000" w:firstLine="480"/>
        <w:jc w:val="left"/>
        <w:rPr>
          <w:sz w:val="24"/>
        </w:rPr>
      </w:pPr>
      <w:r>
        <w:rPr>
          <w:spacing w:val="-6"/>
          <w:sz w:val="24"/>
        </w:rPr>
        <w:t>政府采购节能产品、环境标志产品实施品目清单管理。财政部、发展改</w:t>
      </w:r>
      <w:r>
        <w:rPr>
          <w:spacing w:val="-2"/>
          <w:sz w:val="24"/>
        </w:rPr>
        <w:t>革委、生态环境部等部门根据产品节能环保性能、技术水平和市场成熟程度等因素，确定实施政府优先采购和强制采购的产品类别及所依据的相关标准规范，以</w:t>
      </w:r>
      <w:r>
        <w:rPr>
          <w:spacing w:val="-14"/>
          <w:sz w:val="24"/>
        </w:rPr>
        <w:t>品目清单的形式发布并适时调整。依据品目清单和认证证书实施政府优先采购和强制</w:t>
      </w:r>
      <w:r>
        <w:rPr>
          <w:spacing w:val="-2"/>
          <w:sz w:val="24"/>
        </w:rPr>
        <w:t>采购。关于政府采购节能产品、环境标志产品的相关规定依据《关于调整优化节</w:t>
      </w:r>
      <w:r>
        <w:rPr>
          <w:spacing w:val="-6"/>
          <w:sz w:val="24"/>
        </w:rPr>
        <w:t>能产品、环境标志产品政府采购执行机制的通知》（财库〔2019〕9</w:t>
      </w:r>
      <w:r>
        <w:rPr>
          <w:spacing w:val="-15"/>
          <w:sz w:val="24"/>
        </w:rPr>
        <w:t xml:space="preserve"> 号</w:t>
      </w:r>
      <w:r>
        <w:rPr>
          <w:spacing w:val="-6"/>
          <w:sz w:val="24"/>
        </w:rPr>
        <w:t>）、</w:t>
      </w:r>
    </w:p>
    <w:p>
      <w:pPr>
        <w:pStyle w:val="9"/>
        <w:spacing w:before="25"/>
        <w:ind w:left="889"/>
      </w:pPr>
      <w:r>
        <w:rPr>
          <w:spacing w:val="-2"/>
        </w:rPr>
        <w:t>《关于印发环境标志产品政府采购品目清单的通知》（财库〔2019〕18</w:t>
      </w:r>
      <w:r>
        <w:rPr>
          <w:spacing w:val="-7"/>
        </w:rPr>
        <w:t xml:space="preserve"> 号</w:t>
      </w:r>
      <w:r>
        <w:rPr>
          <w:spacing w:val="-2"/>
        </w:rPr>
        <w:t>）</w:t>
      </w:r>
      <w:r>
        <w:rPr>
          <w:spacing w:val="-10"/>
        </w:rPr>
        <w:t>、</w:t>
      </w:r>
    </w:p>
    <w:p>
      <w:pPr>
        <w:pStyle w:val="9"/>
        <w:spacing w:before="137"/>
        <w:ind w:left="889"/>
      </w:pPr>
      <w:r>
        <w:rPr>
          <w:spacing w:val="-8"/>
        </w:rPr>
        <w:t>《关于印发节能产品政府采购品目清单的通知》（财库〔2019〕19</w:t>
      </w:r>
      <w:r>
        <w:rPr>
          <w:spacing w:val="15"/>
        </w:rPr>
        <w:t xml:space="preserve"> 号</w:t>
      </w:r>
      <w:r>
        <w:rPr>
          <w:spacing w:val="-8"/>
        </w:rPr>
        <w:t>）</w:t>
      </w:r>
      <w:r>
        <w:rPr>
          <w:spacing w:val="-9"/>
        </w:rPr>
        <w:t>的规定。</w:t>
      </w:r>
    </w:p>
    <w:p>
      <w:pPr>
        <w:pStyle w:val="15"/>
        <w:numPr>
          <w:ilvl w:val="1"/>
          <w:numId w:val="41"/>
        </w:numPr>
        <w:tabs>
          <w:tab w:val="left" w:pos="1971"/>
        </w:tabs>
        <w:spacing w:before="173" w:after="0" w:line="312" w:lineRule="auto"/>
        <w:ind w:left="887" w:right="1074" w:firstLine="480"/>
        <w:jc w:val="both"/>
        <w:rPr>
          <w:sz w:val="24"/>
        </w:rPr>
      </w:pPr>
      <w:r>
        <w:rPr>
          <w:spacing w:val="-2"/>
          <w:sz w:val="24"/>
        </w:rPr>
        <w:t>采购人拟采购的产品属于品目清单范围的，采购人及其委托的采购代</w:t>
      </w:r>
      <w:r>
        <w:rPr>
          <w:spacing w:val="-4"/>
          <w:sz w:val="24"/>
        </w:rPr>
        <w:t>理机构依据国家确定的认证机构出具的、处于有效期之内的节能产品、环境标志</w:t>
      </w:r>
      <w:r>
        <w:rPr>
          <w:spacing w:val="-2"/>
          <w:sz w:val="24"/>
        </w:rPr>
        <w:t>产品认证证书，对获得证书的产品实施政府优先采购或强制采购。</w:t>
      </w:r>
    </w:p>
    <w:p>
      <w:pPr>
        <w:pStyle w:val="15"/>
        <w:numPr>
          <w:ilvl w:val="1"/>
          <w:numId w:val="41"/>
        </w:numPr>
        <w:tabs>
          <w:tab w:val="left" w:pos="1960"/>
        </w:tabs>
        <w:spacing w:before="180" w:after="0" w:line="290" w:lineRule="auto"/>
        <w:ind w:left="891" w:right="1134" w:firstLine="475"/>
        <w:jc w:val="both"/>
        <w:rPr>
          <w:sz w:val="24"/>
        </w:rPr>
      </w:pPr>
      <w:r>
        <w:rPr>
          <w:spacing w:val="-2"/>
          <w:sz w:val="24"/>
        </w:rPr>
        <w:t>如本项目采购产品属于实施政府强制采购品目清单范围的节能产品，</w:t>
      </w:r>
      <w:r>
        <w:rPr>
          <w:spacing w:val="-8"/>
          <w:sz w:val="24"/>
        </w:rPr>
        <w:t>则投标人所报产品必须获得国家确定的认证机构出具的、处于有效期之内的节能</w:t>
      </w:r>
    </w:p>
    <w:p>
      <w:pPr>
        <w:spacing w:after="0" w:line="290" w:lineRule="auto"/>
        <w:jc w:val="both"/>
        <w:rPr>
          <w:sz w:val="24"/>
        </w:rPr>
        <w:sectPr>
          <w:pgSz w:w="11910" w:h="16840"/>
          <w:pgMar w:top="1100" w:right="720" w:bottom="1180" w:left="920" w:header="918" w:footer="981" w:gutter="0"/>
          <w:pgNumType w:fmt="numberInDash"/>
          <w:cols w:space="720" w:num="1"/>
        </w:sectPr>
      </w:pPr>
    </w:p>
    <w:p>
      <w:pPr>
        <w:pStyle w:val="9"/>
        <w:spacing w:before="94"/>
      </w:pPr>
    </w:p>
    <w:p>
      <w:pPr>
        <w:spacing w:before="1"/>
        <w:ind w:left="887" w:right="0" w:firstLine="0"/>
        <w:jc w:val="left"/>
        <w:rPr>
          <w:sz w:val="24"/>
        </w:rPr>
      </w:pPr>
      <w:r>
        <w:rPr>
          <w:spacing w:val="-6"/>
          <w:sz w:val="24"/>
        </w:rPr>
        <w:t>产品认证证书，否则</w:t>
      </w:r>
      <w:r>
        <w:rPr>
          <w:b/>
          <w:spacing w:val="-6"/>
          <w:sz w:val="24"/>
        </w:rPr>
        <w:t>投标无效</w:t>
      </w:r>
      <w:r>
        <w:rPr>
          <w:spacing w:val="-10"/>
          <w:sz w:val="24"/>
        </w:rPr>
        <w:t>。</w:t>
      </w:r>
    </w:p>
    <w:p>
      <w:pPr>
        <w:pStyle w:val="15"/>
        <w:numPr>
          <w:ilvl w:val="1"/>
          <w:numId w:val="41"/>
        </w:numPr>
        <w:tabs>
          <w:tab w:val="left" w:pos="1966"/>
        </w:tabs>
        <w:spacing w:before="175" w:after="0" w:line="312" w:lineRule="auto"/>
        <w:ind w:left="889" w:right="1100" w:firstLine="477"/>
        <w:jc w:val="both"/>
        <w:rPr>
          <w:sz w:val="24"/>
        </w:rPr>
      </w:pPr>
      <w:r>
        <w:rPr>
          <w:spacing w:val="-2"/>
          <w:sz w:val="24"/>
        </w:rPr>
        <w:t>非政府强制采购的节能产品或环境标志产品，依据品目清单和认证证书实施政府优先采购。优先采购的具体规定见“第五章 评标方法及标准</w:t>
      </w:r>
      <w:r>
        <w:rPr>
          <w:sz w:val="24"/>
        </w:rPr>
        <w:t>”（如</w:t>
      </w:r>
      <w:r>
        <w:rPr>
          <w:spacing w:val="-4"/>
          <w:sz w:val="24"/>
        </w:rPr>
        <w:t>涉及）。</w:t>
      </w:r>
    </w:p>
    <w:p>
      <w:pPr>
        <w:pStyle w:val="15"/>
        <w:numPr>
          <w:ilvl w:val="1"/>
          <w:numId w:val="41"/>
        </w:numPr>
        <w:tabs>
          <w:tab w:val="left" w:pos="1946"/>
        </w:tabs>
        <w:spacing w:before="177" w:after="0" w:line="340" w:lineRule="auto"/>
        <w:ind w:left="887" w:right="1115" w:firstLine="480"/>
        <w:jc w:val="both"/>
        <w:rPr>
          <w:sz w:val="24"/>
        </w:rPr>
      </w:pPr>
      <w:r>
        <w:rPr>
          <w:spacing w:val="-2"/>
          <w:sz w:val="24"/>
        </w:rPr>
        <w:t>投标人所投产品如属于节能产品政府采购品目清单、环境标志产品政</w:t>
      </w:r>
      <w:r>
        <w:rPr>
          <w:spacing w:val="-6"/>
          <w:sz w:val="24"/>
        </w:rPr>
        <w:t>府采购品目清单范围的，须提供国家确定的认证机构出具的、处于有效期内的产品认证证书，认证证书的产品型号与所投产品不一致的，视为未提供。属于政府强制采购产品的，已作为投标时强制性要求不再给予价格评审优惠，未提供认证证书的视为</w:t>
      </w:r>
      <w:r>
        <w:rPr>
          <w:b/>
          <w:spacing w:val="-6"/>
          <w:sz w:val="24"/>
        </w:rPr>
        <w:t>投标无效</w:t>
      </w:r>
      <w:r>
        <w:rPr>
          <w:spacing w:val="-6"/>
          <w:sz w:val="24"/>
        </w:rPr>
        <w:t>。属于优先采购节能产品政府采购品目清单、环境标志产品</w:t>
      </w:r>
      <w:r>
        <w:rPr>
          <w:spacing w:val="-2"/>
          <w:sz w:val="24"/>
        </w:rPr>
        <w:t>政府采购品目清单、创新产品范围的，按照“第五章 评标方法及标准”中相关</w:t>
      </w:r>
      <w:r>
        <w:rPr>
          <w:spacing w:val="-5"/>
          <w:sz w:val="24"/>
        </w:rPr>
        <w:t>规定在评审时给予价格评审优惠，具体详见“投标人须知前附表”及“第五章评</w:t>
      </w:r>
      <w:r>
        <w:rPr>
          <w:spacing w:val="-2"/>
          <w:sz w:val="24"/>
        </w:rPr>
        <w:t>标方法及标准”。</w:t>
      </w:r>
    </w:p>
    <w:p>
      <w:pPr>
        <w:pStyle w:val="9"/>
        <w:spacing w:before="53"/>
      </w:pPr>
    </w:p>
    <w:p>
      <w:pPr>
        <w:pStyle w:val="8"/>
        <w:spacing w:before="1"/>
      </w:pPr>
      <w:r>
        <w:rPr>
          <w:spacing w:val="-12"/>
        </w:rPr>
        <w:t>（十五）其他</w:t>
      </w:r>
    </w:p>
    <w:p>
      <w:pPr>
        <w:pStyle w:val="8"/>
        <w:numPr>
          <w:ilvl w:val="0"/>
          <w:numId w:val="41"/>
        </w:numPr>
        <w:tabs>
          <w:tab w:val="left" w:pos="1250"/>
        </w:tabs>
        <w:spacing w:before="0" w:after="0" w:line="240" w:lineRule="auto"/>
        <w:ind w:left="1250" w:right="0" w:hanging="363"/>
        <w:jc w:val="left"/>
      </w:pPr>
      <w:r>
        <w:rPr>
          <w:spacing w:val="-12"/>
        </w:rPr>
        <w:t>需要补充的其他内容</w:t>
      </w:r>
    </w:p>
    <w:p>
      <w:pPr>
        <w:pStyle w:val="15"/>
        <w:numPr>
          <w:ilvl w:val="1"/>
          <w:numId w:val="41"/>
        </w:numPr>
        <w:tabs>
          <w:tab w:val="left" w:pos="1946"/>
        </w:tabs>
        <w:spacing w:before="134" w:after="0" w:line="240" w:lineRule="auto"/>
        <w:ind w:left="1946" w:right="0" w:hanging="579"/>
        <w:jc w:val="left"/>
        <w:rPr>
          <w:sz w:val="24"/>
        </w:rPr>
      </w:pPr>
      <w:r>
        <w:rPr>
          <w:spacing w:val="-7"/>
          <w:sz w:val="24"/>
        </w:rPr>
        <w:t>需要补充的其他内容：见投标人须知前附表。</w:t>
      </w:r>
    </w:p>
    <w:p>
      <w:pPr>
        <w:pStyle w:val="8"/>
        <w:numPr>
          <w:ilvl w:val="0"/>
          <w:numId w:val="41"/>
        </w:numPr>
        <w:tabs>
          <w:tab w:val="left" w:pos="1213"/>
        </w:tabs>
        <w:spacing w:before="156" w:after="0" w:line="240" w:lineRule="auto"/>
        <w:ind w:left="1213" w:right="0" w:hanging="326"/>
        <w:jc w:val="left"/>
      </w:pPr>
      <w:r>
        <w:rPr>
          <w:spacing w:val="-6"/>
        </w:rPr>
        <w:t>适用法律</w:t>
      </w:r>
    </w:p>
    <w:p>
      <w:pPr>
        <w:pStyle w:val="15"/>
        <w:numPr>
          <w:ilvl w:val="1"/>
          <w:numId w:val="41"/>
        </w:numPr>
        <w:tabs>
          <w:tab w:val="left" w:pos="1970"/>
        </w:tabs>
        <w:spacing w:before="158" w:after="0" w:line="312" w:lineRule="auto"/>
        <w:ind w:left="889" w:right="1074" w:firstLine="477"/>
        <w:jc w:val="both"/>
        <w:rPr>
          <w:sz w:val="24"/>
        </w:rPr>
      </w:pPr>
      <w:r>
        <w:rPr>
          <w:spacing w:val="-2"/>
          <w:sz w:val="24"/>
        </w:rPr>
        <w:t>采购人、采购代理机构及投标人的一切采购活动均适用《中华人民共</w:t>
      </w:r>
      <w:r>
        <w:rPr>
          <w:spacing w:val="-4"/>
          <w:sz w:val="24"/>
        </w:rPr>
        <w:t>和国政府采购法》、《中华人民共和国政府采购法实施条例》、《政府采购货物</w:t>
      </w:r>
      <w:r>
        <w:rPr>
          <w:sz w:val="24"/>
        </w:rPr>
        <w:t>和服务招标投标管理办法》（财政部令第 87 号）及相关法律法规。</w:t>
      </w:r>
    </w:p>
    <w:p>
      <w:pPr>
        <w:pStyle w:val="9"/>
        <w:spacing w:before="10"/>
      </w:pPr>
    </w:p>
    <w:p>
      <w:pPr>
        <w:pStyle w:val="15"/>
        <w:numPr>
          <w:ilvl w:val="1"/>
          <w:numId w:val="41"/>
        </w:numPr>
        <w:tabs>
          <w:tab w:val="left" w:pos="1971"/>
        </w:tabs>
        <w:spacing w:before="0" w:after="0" w:line="288" w:lineRule="auto"/>
        <w:ind w:left="887" w:right="1074" w:firstLine="480"/>
        <w:jc w:val="left"/>
        <w:rPr>
          <w:sz w:val="24"/>
        </w:rPr>
      </w:pPr>
      <w:r>
        <w:rPr>
          <w:spacing w:val="-2"/>
          <w:sz w:val="24"/>
        </w:rPr>
        <w:t>政府采购合同的履行、违约责任和解决争议的方法等适用《中华人民共和国民法典》。</w:t>
      </w:r>
    </w:p>
    <w:p>
      <w:pPr>
        <w:pStyle w:val="8"/>
        <w:numPr>
          <w:ilvl w:val="0"/>
          <w:numId w:val="41"/>
        </w:numPr>
        <w:tabs>
          <w:tab w:val="left" w:pos="1216"/>
        </w:tabs>
        <w:spacing w:before="163" w:after="0" w:line="240" w:lineRule="auto"/>
        <w:ind w:left="1216" w:right="0" w:hanging="329"/>
        <w:jc w:val="left"/>
      </w:pPr>
      <w:r>
        <w:rPr>
          <w:spacing w:val="-5"/>
        </w:rPr>
        <w:t>解释权</w:t>
      </w:r>
    </w:p>
    <w:p>
      <w:pPr>
        <w:pStyle w:val="15"/>
        <w:numPr>
          <w:ilvl w:val="1"/>
          <w:numId w:val="41"/>
        </w:numPr>
        <w:tabs>
          <w:tab w:val="left" w:pos="1946"/>
        </w:tabs>
        <w:spacing w:before="137" w:after="0" w:line="240" w:lineRule="auto"/>
        <w:ind w:left="1946" w:right="0" w:hanging="579"/>
        <w:jc w:val="left"/>
        <w:rPr>
          <w:sz w:val="24"/>
        </w:rPr>
      </w:pPr>
      <w:r>
        <w:rPr>
          <w:spacing w:val="-7"/>
          <w:sz w:val="24"/>
        </w:rPr>
        <w:t>本招标文件最终解释权归采购人或采购代理机构所有。</w:t>
      </w:r>
    </w:p>
    <w:p>
      <w:pPr>
        <w:spacing w:after="0" w:line="240" w:lineRule="auto"/>
        <w:jc w:val="left"/>
        <w:rPr>
          <w:sz w:val="24"/>
        </w:rPr>
        <w:sectPr>
          <w:pgSz w:w="11910" w:h="16840"/>
          <w:pgMar w:top="1100" w:right="720" w:bottom="1180" w:left="920" w:header="918" w:footer="981" w:gutter="0"/>
          <w:pgNumType w:fmt="numberInDash"/>
          <w:cols w:space="720" w:num="1"/>
        </w:sectPr>
      </w:pPr>
    </w:p>
    <w:p>
      <w:pPr>
        <w:pStyle w:val="2"/>
        <w:spacing w:before="410"/>
        <w:ind w:right="388"/>
      </w:pPr>
      <w:bookmarkStart w:id="4" w:name="第三章 采购需求"/>
      <w:bookmarkEnd w:id="4"/>
      <w:bookmarkStart w:id="5" w:name="_bookmark2"/>
      <w:bookmarkEnd w:id="5"/>
      <w:r>
        <w:rPr>
          <w:spacing w:val="-16"/>
        </w:rPr>
        <w:t>第三章 采购需求</w:t>
      </w:r>
    </w:p>
    <w:p>
      <w:pPr>
        <w:pStyle w:val="8"/>
        <w:spacing w:before="412" w:line="311" w:lineRule="exact"/>
        <w:ind w:left="589"/>
      </w:pPr>
      <w:r>
        <w:rPr>
          <w:spacing w:val="-7"/>
        </w:rPr>
        <w:t>一、本项目服务团队配置要求：</w:t>
      </w:r>
    </w:p>
    <w:p>
      <w:pPr>
        <w:pStyle w:val="9"/>
        <w:spacing w:line="333" w:lineRule="auto"/>
        <w:ind w:left="112" w:right="445" w:firstLine="472"/>
        <w:rPr>
          <w:rFonts w:hint="eastAsia"/>
          <w:lang w:val="en-US" w:eastAsia="zh-CN"/>
        </w:rPr>
      </w:pPr>
      <w:r>
        <w:rPr>
          <w:spacing w:val="-4"/>
          <w:sz w:val="21"/>
        </w:rPr>
        <w:t>★</w:t>
      </w:r>
      <w:r>
        <w:rPr>
          <w:rFonts w:hint="eastAsia"/>
          <w:b/>
          <w:spacing w:val="-4"/>
          <w:lang w:eastAsia="zh-CN"/>
        </w:rPr>
        <w:t>二标包</w:t>
      </w:r>
      <w:r>
        <w:rPr>
          <w:b/>
          <w:spacing w:val="-4"/>
        </w:rPr>
        <w:t>（葡萄苑餐厅三楼项目）</w:t>
      </w:r>
      <w:r>
        <w:rPr>
          <w:rFonts w:hint="eastAsia"/>
          <w:lang w:val="en-US" w:eastAsia="zh-CN"/>
        </w:rPr>
        <w:t>工作人员不得超于</w:t>
      </w:r>
      <w:r>
        <w:rPr>
          <w:rFonts w:hint="default"/>
          <w:lang w:val="en-US" w:eastAsia="zh-CN"/>
        </w:rPr>
        <w:t>30</w:t>
      </w:r>
      <w:r>
        <w:rPr>
          <w:rFonts w:hint="eastAsia"/>
          <w:lang w:val="en-US" w:eastAsia="zh-CN"/>
        </w:rPr>
        <w:t>人，岗位职数可根据餐厅实际经营项目情况调整，男性年龄</w:t>
      </w:r>
      <w:r>
        <w:rPr>
          <w:lang w:val="en-US" w:eastAsia="zh-CN"/>
        </w:rPr>
        <w:t>55</w:t>
      </w:r>
      <w:r>
        <w:rPr>
          <w:rFonts w:hint="eastAsia"/>
          <w:lang w:val="en-US" w:eastAsia="zh-CN"/>
        </w:rPr>
        <w:t>周岁以下，女性年龄50周岁以下；要求厨师不少于</w:t>
      </w:r>
      <w:r>
        <w:rPr>
          <w:rFonts w:hint="default"/>
          <w:lang w:val="en-US" w:eastAsia="zh-CN"/>
        </w:rPr>
        <w:t>5</w:t>
      </w:r>
      <w:r>
        <w:rPr>
          <w:rFonts w:hint="eastAsia"/>
          <w:lang w:val="en-US" w:eastAsia="zh-CN"/>
        </w:rPr>
        <w:t>人，其中具备高级（或国家职业资格三级）及以上（含三级）厨师资格的不少于</w:t>
      </w:r>
      <w:r>
        <w:rPr>
          <w:rFonts w:hint="default"/>
          <w:lang w:val="en-US" w:eastAsia="zh-CN"/>
        </w:rPr>
        <w:t>1</w:t>
      </w:r>
      <w:r>
        <w:rPr>
          <w:rFonts w:hint="eastAsia"/>
          <w:lang w:val="en-US" w:eastAsia="zh-CN"/>
        </w:rPr>
        <w:t>名；具备中级（或国家职业资格四级）及以上（含四级）厨师资格的不少于</w:t>
      </w:r>
      <w:r>
        <w:rPr>
          <w:rFonts w:hint="default"/>
          <w:lang w:val="en-US" w:eastAsia="zh-CN"/>
        </w:rPr>
        <w:t>1</w:t>
      </w:r>
      <w:r>
        <w:rPr>
          <w:rFonts w:hint="eastAsia"/>
          <w:lang w:val="en-US" w:eastAsia="zh-CN"/>
        </w:rPr>
        <w:t>名。并提供人员配置清单及有效的身份证、健康证扫描件、健康体检报告。对无健康证或健康检测不合格者严禁使用。</w:t>
      </w:r>
      <w:r>
        <w:rPr>
          <w:rFonts w:hint="eastAsia" w:ascii="宋体" w:hAnsi="宋体" w:eastAsia="宋体" w:cs="宋体"/>
          <w:b/>
          <w:bCs/>
          <w:sz w:val="24"/>
          <w:szCs w:val="24"/>
          <w:lang w:val="en-US" w:eastAsia="zh-CN" w:bidi="ar-SA"/>
        </w:rPr>
        <w:t>响应文件中餐饮服务团队（主管、厨师、服务人员）</w:t>
      </w:r>
      <w:r>
        <w:rPr>
          <w:rFonts w:hint="eastAsia" w:ascii="宋体" w:hAnsi="宋体" w:eastAsia="宋体" w:cs="宋体"/>
          <w:sz w:val="24"/>
          <w:szCs w:val="24"/>
          <w:lang w:val="en-US" w:eastAsia="zh-CN" w:bidi="ar-SA"/>
        </w:rPr>
        <w:t>人员的配置需与实际派驻人员一致，派驻人员若有调整变动，需报采购方审核同意且符合相应资格要求。</w:t>
      </w:r>
    </w:p>
    <w:p>
      <w:pPr>
        <w:spacing w:before="84"/>
        <w:ind w:left="589" w:right="0" w:firstLine="0"/>
        <w:jc w:val="left"/>
        <w:rPr>
          <w:sz w:val="24"/>
        </w:rPr>
      </w:pPr>
      <w:r>
        <w:rPr>
          <w:b/>
          <w:spacing w:val="-4"/>
          <w:sz w:val="24"/>
        </w:rPr>
        <w:t>二、服务地点：</w:t>
      </w:r>
      <w:r>
        <w:rPr>
          <w:spacing w:val="-5"/>
          <w:sz w:val="24"/>
        </w:rPr>
        <w:t>新疆农业大学亚心校区葡萄苑餐厅。</w:t>
      </w:r>
    </w:p>
    <w:p>
      <w:pPr>
        <w:pStyle w:val="8"/>
        <w:spacing w:before="127"/>
        <w:ind w:left="587"/>
      </w:pPr>
      <w:r>
        <w:rPr>
          <w:spacing w:val="-7"/>
        </w:rPr>
        <w:t>三、经营和服务内容：</w:t>
      </w:r>
    </w:p>
    <w:p>
      <w:pPr>
        <w:pStyle w:val="9"/>
        <w:spacing w:before="29" w:line="324" w:lineRule="auto"/>
        <w:ind w:left="107" w:right="344" w:firstLine="420"/>
      </w:pPr>
      <w:r>
        <w:rPr>
          <w:spacing w:val="-2"/>
          <w:sz w:val="21"/>
        </w:rPr>
        <w:t>★</w:t>
      </w:r>
      <w:r>
        <w:rPr>
          <w:rFonts w:hint="eastAsia"/>
          <w:b/>
          <w:spacing w:val="-2"/>
          <w:lang w:eastAsia="zh-CN"/>
        </w:rPr>
        <w:t>二标包</w:t>
      </w:r>
      <w:r>
        <w:rPr>
          <w:rFonts w:ascii="Times New Roman" w:hAnsi="Times New Roman" w:eastAsia="Times New Roman"/>
          <w:b/>
          <w:spacing w:val="-2"/>
        </w:rPr>
        <w:t>:</w:t>
      </w:r>
      <w:r>
        <w:rPr>
          <w:rFonts w:hint="eastAsia"/>
          <w:lang w:val="en-US" w:eastAsia="zh-CN"/>
        </w:rPr>
        <w:t>以购买餐饮服务团队方式提供一日三餐中华传统美食服务，要求餐厅窗口数量不得低于</w:t>
      </w:r>
      <w:r>
        <w:rPr>
          <w:rFonts w:hint="default"/>
          <w:lang w:val="en-US" w:eastAsia="zh-CN"/>
        </w:rPr>
        <w:t>10</w:t>
      </w:r>
      <w:r>
        <w:rPr>
          <w:rFonts w:hint="eastAsia"/>
          <w:lang w:val="en-US" w:eastAsia="zh-CN"/>
        </w:rPr>
        <w:t>个。</w:t>
      </w:r>
    </w:p>
    <w:p>
      <w:pPr>
        <w:pStyle w:val="8"/>
        <w:spacing w:before="14"/>
        <w:ind w:left="548"/>
      </w:pPr>
      <w:r>
        <w:rPr>
          <w:spacing w:val="-9"/>
        </w:rPr>
        <w:t>四、餐饮服务期限</w:t>
      </w:r>
    </w:p>
    <w:p>
      <w:pPr>
        <w:pStyle w:val="9"/>
        <w:spacing w:before="127"/>
        <w:ind w:left="527"/>
      </w:pPr>
      <w:r>
        <w:rPr>
          <w:spacing w:val="-6"/>
          <w:sz w:val="21"/>
        </w:rPr>
        <w:t>★</w:t>
      </w:r>
      <w:r>
        <w:rPr>
          <w:spacing w:val="-6"/>
        </w:rPr>
        <w:t>餐饮服务期限</w:t>
      </w:r>
      <w:r>
        <w:rPr>
          <w:rFonts w:ascii="Times New Roman" w:hAnsi="Times New Roman" w:eastAsia="Times New Roman"/>
          <w:spacing w:val="-6"/>
        </w:rPr>
        <w:t>3</w:t>
      </w:r>
      <w:r>
        <w:rPr>
          <w:spacing w:val="-8"/>
        </w:rPr>
        <w:t>年。</w:t>
      </w:r>
    </w:p>
    <w:p>
      <w:pPr>
        <w:pStyle w:val="8"/>
        <w:spacing w:before="14"/>
        <w:ind w:left="529"/>
        <w:rPr>
          <w:rFonts w:hint="eastAsia"/>
          <w:lang w:val="en-US" w:eastAsia="zh-CN"/>
        </w:rPr>
      </w:pPr>
      <w:r>
        <w:rPr>
          <w:rFonts w:hint="eastAsia"/>
          <w:b w:val="0"/>
          <w:bCs w:val="0"/>
          <w:lang w:val="en-US" w:eastAsia="zh-CN"/>
        </w:rPr>
        <w:t>采用固定周期和不定期考核相结合，一年一综合考核。如无违法、违规、违约行为和安全责任事故，且每年综合管理考核及满意度调查都达</w:t>
      </w:r>
      <w:r>
        <w:rPr>
          <w:rFonts w:hint="default"/>
          <w:b w:val="0"/>
          <w:bCs w:val="0"/>
          <w:lang w:val="en-US" w:eastAsia="zh-CN"/>
        </w:rPr>
        <w:t>80</w:t>
      </w:r>
      <w:r>
        <w:rPr>
          <w:rFonts w:hint="eastAsia"/>
          <w:b w:val="0"/>
          <w:bCs w:val="0"/>
          <w:lang w:val="en-US" w:eastAsia="zh-CN"/>
        </w:rPr>
        <w:t>分以上，方可继续履行下一年度合同，否则采购人有权终止合同并重新选择服务单位。</w:t>
      </w:r>
    </w:p>
    <w:p>
      <w:pPr>
        <w:pStyle w:val="8"/>
        <w:spacing w:before="14"/>
        <w:ind w:left="529"/>
      </w:pPr>
      <w:r>
        <w:rPr>
          <w:b w:val="0"/>
          <w:spacing w:val="-8"/>
          <w:sz w:val="21"/>
        </w:rPr>
        <w:t>★</w:t>
      </w:r>
      <w:r>
        <w:rPr>
          <w:spacing w:val="-9"/>
        </w:rPr>
        <w:t>五、合作方式</w:t>
      </w:r>
    </w:p>
    <w:p>
      <w:pPr>
        <w:pStyle w:val="8"/>
        <w:spacing w:before="14"/>
        <w:ind w:left="529"/>
        <w:rPr>
          <w:rFonts w:hint="eastAsia" w:ascii="宋体" w:hAnsi="宋体" w:eastAsia="宋体" w:cs="宋体"/>
          <w:b w:val="0"/>
          <w:bCs w:val="0"/>
          <w:lang w:val="en-US" w:eastAsia="zh-CN"/>
        </w:rPr>
      </w:pPr>
      <w:r>
        <w:rPr>
          <w:rFonts w:hint="default" w:ascii="宋体" w:hAnsi="宋体" w:eastAsia="宋体" w:cs="宋体"/>
          <w:b w:val="0"/>
          <w:bCs w:val="0"/>
          <w:lang w:val="en-US" w:eastAsia="zh-CN"/>
        </w:rPr>
        <w:t>1.</w:t>
      </w:r>
      <w:r>
        <w:rPr>
          <w:rFonts w:hint="eastAsia" w:ascii="宋体" w:hAnsi="宋体" w:eastAsia="宋体" w:cs="宋体"/>
          <w:b w:val="0"/>
          <w:bCs w:val="0"/>
          <w:lang w:val="en-US" w:eastAsia="zh-CN"/>
        </w:rPr>
        <w:t xml:space="preserve">学校授权后勤服务处饮食中心履行监督管理职能。 </w:t>
      </w:r>
    </w:p>
    <w:p>
      <w:pPr>
        <w:pStyle w:val="8"/>
        <w:spacing w:before="14"/>
        <w:ind w:left="529"/>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2.学校提供经营所需基本条件，除供水、供电、供气、供暖正常检修或相关设备出现意外等情况外，确保水、电、天然气及暖气的供应。 </w:t>
      </w:r>
    </w:p>
    <w:p>
      <w:pPr>
        <w:pStyle w:val="8"/>
        <w:spacing w:before="14"/>
        <w:ind w:left="529"/>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3.在经营期间，餐饮服务团队承担设备设施故障维修的经费。 </w:t>
      </w:r>
    </w:p>
    <w:p>
      <w:pPr>
        <w:pStyle w:val="8"/>
        <w:spacing w:before="14"/>
        <w:ind w:left="529"/>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4.餐饮服务团队需要执行学校统一采购、统一配送、统一核算，严禁自行购买食材。 </w:t>
      </w:r>
    </w:p>
    <w:p>
      <w:pPr>
        <w:pStyle w:val="8"/>
        <w:spacing w:before="14"/>
        <w:ind w:left="529"/>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5.餐饮服务团队遵守学校财务管理关于校园托管餐厅的统一规定，使用校园一卡通收费系统，结算/核算工作要求内容真实合法，程序符合规定，不得使用其他未经允许的收款方式。 </w:t>
      </w:r>
    </w:p>
    <w:p>
      <w:pPr>
        <w:pStyle w:val="8"/>
        <w:spacing w:line="309" w:lineRule="exact"/>
        <w:ind w:left="534"/>
      </w:pPr>
      <w:r>
        <w:rPr>
          <w:b w:val="0"/>
          <w:sz w:val="21"/>
        </w:rPr>
        <w:t>★</w:t>
      </w:r>
      <w:r>
        <w:rPr>
          <w:spacing w:val="2"/>
        </w:rPr>
        <w:t>六、财务核算</w:t>
      </w:r>
    </w:p>
    <w:p>
      <w:pPr>
        <w:pStyle w:val="9"/>
        <w:spacing w:line="333" w:lineRule="auto"/>
        <w:ind w:left="112" w:right="445" w:firstLine="472"/>
        <w:rPr>
          <w:rFonts w:hint="eastAsia" w:ascii="宋体" w:hAnsi="宋体" w:eastAsia="宋体" w:cs="宋体"/>
          <w:lang w:val="en-US" w:eastAsia="zh-CN"/>
        </w:rPr>
      </w:pPr>
      <w:r>
        <w:rPr>
          <w:rFonts w:hint="default"/>
          <w:lang w:val="en-US" w:eastAsia="zh-CN"/>
        </w:rPr>
        <w:t>1</w:t>
      </w:r>
      <w:r>
        <w:rPr>
          <w:rFonts w:hint="default" w:ascii="宋体" w:hAnsi="宋体" w:eastAsia="宋体" w:cs="宋体"/>
          <w:lang w:val="en-US" w:eastAsia="zh-CN"/>
        </w:rPr>
        <w:t>.</w:t>
      </w:r>
      <w:r>
        <w:rPr>
          <w:rFonts w:hint="eastAsia" w:ascii="宋体" w:hAnsi="宋体" w:eastAsia="宋体" w:cs="宋体"/>
          <w:lang w:val="en-US" w:eastAsia="zh-CN"/>
        </w:rPr>
        <w:t xml:space="preserve">餐厅财务实行收支两条线。由财务处统一结算，后勤服务处饮食中心完成二级财务核算工作，遵循学校统一安排。 </w:t>
      </w:r>
    </w:p>
    <w:p>
      <w:pPr>
        <w:pStyle w:val="9"/>
        <w:spacing w:line="333" w:lineRule="auto"/>
        <w:ind w:left="112" w:right="445" w:firstLine="472"/>
        <w:rPr>
          <w:rFonts w:hint="eastAsia" w:ascii="宋体" w:hAnsi="宋体" w:eastAsia="宋体" w:cs="宋体"/>
          <w:lang w:val="en-US" w:eastAsia="zh-CN"/>
        </w:rPr>
      </w:pPr>
      <w:r>
        <w:rPr>
          <w:rFonts w:hint="default" w:ascii="宋体" w:hAnsi="宋体" w:eastAsia="宋体" w:cs="宋体"/>
          <w:lang w:val="en-US" w:eastAsia="zh-CN"/>
        </w:rPr>
        <w:t>2.</w:t>
      </w:r>
      <w:r>
        <w:rPr>
          <w:rFonts w:hint="eastAsia" w:ascii="宋体" w:hAnsi="宋体" w:eastAsia="宋体" w:cs="宋体"/>
          <w:lang w:val="en-US" w:eastAsia="zh-CN"/>
        </w:rPr>
        <w:t>收入方式。一卡通、校内转账所取得收入和承接团体用餐取得的经营收入（包括校外团体）。</w:t>
      </w:r>
    </w:p>
    <w:p>
      <w:pPr>
        <w:pStyle w:val="9"/>
        <w:spacing w:line="333" w:lineRule="auto"/>
        <w:ind w:left="112" w:right="445" w:firstLine="472"/>
        <w:rPr>
          <w:rFonts w:hint="eastAsia" w:ascii="宋体" w:hAnsi="宋体" w:eastAsia="宋体" w:cs="宋体"/>
          <w:lang w:val="en-US" w:eastAsia="zh-CN"/>
        </w:rPr>
      </w:pPr>
      <w:r>
        <w:rPr>
          <w:rFonts w:hint="default" w:ascii="宋体" w:hAnsi="宋体" w:eastAsia="宋体" w:cs="宋体"/>
          <w:lang w:val="en-US" w:eastAsia="zh-CN"/>
        </w:rPr>
        <w:t>3.</w:t>
      </w:r>
      <w:r>
        <w:rPr>
          <w:rFonts w:hint="eastAsia" w:ascii="宋体" w:hAnsi="宋体" w:eastAsia="宋体" w:cs="宋体"/>
          <w:lang w:val="en-US" w:eastAsia="zh-CN"/>
        </w:rPr>
        <w:t>餐饮服务费支付比例：</w:t>
      </w:r>
      <w:r>
        <w:rPr>
          <w:rFonts w:hint="eastAsia" w:cs="宋体"/>
          <w:lang w:val="en-US" w:eastAsia="zh-CN"/>
        </w:rPr>
        <w:t>二标包</w:t>
      </w:r>
      <w:r>
        <w:rPr>
          <w:rFonts w:hint="eastAsia" w:ascii="宋体" w:hAnsi="宋体" w:eastAsia="宋体" w:cs="宋体"/>
          <w:lang w:val="en-US" w:eastAsia="zh-CN"/>
        </w:rPr>
        <w:t xml:space="preserve">：餐饮服务支付比例不得高于占每期收入的67%（根据实际报价执行）。 </w:t>
      </w:r>
    </w:p>
    <w:p>
      <w:pPr>
        <w:pStyle w:val="9"/>
        <w:spacing w:line="333" w:lineRule="auto"/>
        <w:ind w:left="112" w:right="445" w:firstLine="472"/>
        <w:rPr>
          <w:rFonts w:hint="eastAsia" w:ascii="宋体" w:hAnsi="宋体" w:eastAsia="宋体" w:cs="宋体"/>
          <w:lang w:val="en-US" w:eastAsia="zh-CN"/>
        </w:rPr>
      </w:pPr>
      <w:r>
        <w:rPr>
          <w:rFonts w:hint="default" w:ascii="宋体" w:hAnsi="宋体" w:eastAsia="宋体" w:cs="宋体"/>
          <w:lang w:val="en-US" w:eastAsia="zh-CN"/>
        </w:rPr>
        <w:t>4.</w:t>
      </w:r>
      <w:r>
        <w:rPr>
          <w:rFonts w:hint="eastAsia" w:ascii="宋体" w:hAnsi="宋体" w:eastAsia="宋体" w:cs="宋体"/>
          <w:lang w:val="en-US" w:eastAsia="zh-CN"/>
        </w:rPr>
        <w:t>核算方式。每年按照</w:t>
      </w:r>
      <w:r>
        <w:rPr>
          <w:rFonts w:hint="default" w:ascii="宋体" w:hAnsi="宋体" w:eastAsia="宋体" w:cs="宋体"/>
          <w:lang w:val="en-US" w:eastAsia="zh-CN"/>
        </w:rPr>
        <w:t>8</w:t>
      </w:r>
      <w:r>
        <w:rPr>
          <w:rFonts w:hint="eastAsia" w:ascii="宋体" w:hAnsi="宋体" w:eastAsia="宋体" w:cs="宋体"/>
          <w:lang w:val="en-US" w:eastAsia="zh-CN"/>
        </w:rPr>
        <w:t>个周期结算账目，执行每期食材消耗（含调味品），水电气能源消耗和其他消耗三项核算。</w:t>
      </w:r>
      <w:r>
        <w:rPr>
          <w:rFonts w:hint="eastAsia" w:cs="宋体"/>
          <w:lang w:val="en-US" w:eastAsia="zh-CN"/>
        </w:rPr>
        <w:t>二标包</w:t>
      </w:r>
      <w:r>
        <w:rPr>
          <w:rFonts w:hint="eastAsia" w:ascii="宋体" w:hAnsi="宋体" w:eastAsia="宋体" w:cs="宋体"/>
          <w:lang w:val="en-US" w:eastAsia="zh-CN"/>
        </w:rPr>
        <w:t xml:space="preserve">的投标比例要与三项核算比例的合计为100%。 </w:t>
      </w:r>
    </w:p>
    <w:p>
      <w:pPr>
        <w:pStyle w:val="9"/>
        <w:spacing w:line="333" w:lineRule="auto"/>
        <w:ind w:left="112" w:right="445" w:firstLine="472"/>
        <w:rPr>
          <w:rFonts w:hint="eastAsia" w:ascii="宋体" w:hAnsi="宋体" w:eastAsia="宋体" w:cs="宋体"/>
          <w:lang w:val="en-US" w:eastAsia="zh-CN"/>
        </w:rPr>
      </w:pPr>
      <w:r>
        <w:rPr>
          <w:rFonts w:hint="eastAsia" w:cs="宋体"/>
          <w:lang w:val="en-US" w:eastAsia="zh-CN"/>
        </w:rPr>
        <w:t>二标包</w:t>
      </w:r>
      <w:r>
        <w:rPr>
          <w:rFonts w:hint="eastAsia" w:ascii="宋体" w:hAnsi="宋体" w:eastAsia="宋体" w:cs="宋体"/>
          <w:lang w:val="en-US" w:eastAsia="zh-CN"/>
        </w:rPr>
        <w:t xml:space="preserve">：按期对中标人食材消耗（含调味品）占每期收入24%-29%的指标进行核算，超出部分在采购人支付给中标人的餐饮服务费中扣除，低于的则按每期收入的24%-29%进行核算;按期对能源消耗占每期收入7％的指标进行核算，超出部分在采购人支付给中标人的餐饮服务费中扣除，低于的则按每期收入的7％进行核算；按期对其他消耗占每期收入的2％指标进行核算，超出部分在采购人支付给中标人的餐饮服务费中扣除，低于的则按每期收入的2％进行核算。 </w:t>
      </w:r>
    </w:p>
    <w:p>
      <w:pPr>
        <w:pStyle w:val="9"/>
        <w:spacing w:line="333" w:lineRule="auto"/>
        <w:ind w:left="112" w:right="445" w:firstLine="472"/>
        <w:rPr>
          <w:rFonts w:hint="eastAsia" w:ascii="宋体" w:hAnsi="宋体" w:eastAsia="宋体" w:cs="宋体"/>
          <w:lang w:val="en-US" w:eastAsia="zh-CN"/>
        </w:rPr>
      </w:pPr>
      <w:r>
        <w:rPr>
          <w:rFonts w:hint="eastAsia" w:ascii="宋体" w:hAnsi="宋体" w:eastAsia="宋体" w:cs="宋体"/>
          <w:lang w:val="en-US" w:eastAsia="zh-CN"/>
        </w:rPr>
        <w:t xml:space="preserve">5.餐饮服务费支付 </w:t>
      </w:r>
    </w:p>
    <w:p>
      <w:pPr>
        <w:pStyle w:val="9"/>
        <w:spacing w:line="333" w:lineRule="auto"/>
        <w:ind w:left="112" w:right="445" w:firstLine="472"/>
        <w:rPr>
          <w:rFonts w:hint="eastAsia" w:ascii="宋体" w:hAnsi="宋体" w:eastAsia="宋体" w:cs="宋体"/>
          <w:lang w:val="en-US" w:eastAsia="zh-CN"/>
        </w:rPr>
      </w:pPr>
      <w:r>
        <w:rPr>
          <w:rFonts w:hint="eastAsia" w:cs="宋体"/>
          <w:lang w:val="en-US" w:eastAsia="zh-CN"/>
        </w:rPr>
        <w:t>二标包</w:t>
      </w:r>
      <w:r>
        <w:rPr>
          <w:rFonts w:hint="eastAsia" w:ascii="宋体" w:hAnsi="宋体" w:eastAsia="宋体" w:cs="宋体"/>
          <w:lang w:val="en-US" w:eastAsia="zh-CN"/>
        </w:rPr>
        <w:t xml:space="preserve">：餐饮服务费是以当期总收入乘以中标时自报餐饮服务支付比例，减去食材消耗（含调味品）占比上限占每期收入比例高于24%-29%部分，减去能源消耗占每期收入比例高于7％部分，减去其他消耗占每期收入比例高于2％部分，等于实际支付的餐饮服务费用（含税）。 </w:t>
      </w:r>
    </w:p>
    <w:p>
      <w:pPr>
        <w:pStyle w:val="8"/>
        <w:spacing w:before="132"/>
        <w:ind w:left="531"/>
      </w:pPr>
      <w:r>
        <w:rPr>
          <w:spacing w:val="-9"/>
        </w:rPr>
        <w:t>七、项目要求</w:t>
      </w:r>
    </w:p>
    <w:p>
      <w:pPr>
        <w:pStyle w:val="9"/>
        <w:spacing w:before="79"/>
        <w:rPr>
          <w:b/>
        </w:rPr>
      </w:pPr>
    </w:p>
    <w:p>
      <w:pPr>
        <w:pStyle w:val="9"/>
        <w:spacing w:line="333" w:lineRule="auto"/>
        <w:ind w:left="112" w:right="445" w:firstLine="472"/>
        <w:rPr>
          <w:rFonts w:hint="eastAsia" w:ascii="宋体" w:hAnsi="宋体" w:eastAsia="宋体" w:cs="宋体"/>
          <w:lang w:val="en-US" w:eastAsia="zh-CN"/>
        </w:rPr>
      </w:pPr>
      <w:r>
        <w:rPr>
          <w:rFonts w:hint="default" w:ascii="宋体" w:hAnsi="宋体" w:eastAsia="宋体" w:cs="宋体"/>
          <w:lang w:val="en-US" w:eastAsia="zh-CN"/>
        </w:rPr>
        <w:t>1.</w:t>
      </w:r>
      <w:r>
        <w:rPr>
          <w:rFonts w:hint="eastAsia" w:ascii="宋体" w:hAnsi="宋体" w:eastAsia="宋体" w:cs="宋体"/>
          <w:lang w:val="en-US" w:eastAsia="zh-CN"/>
        </w:rPr>
        <w:t xml:space="preserve">科学配置食堂从业人员岗位，对派驻的餐饮服务人员做到合法、规范用工。若发生劳动纠纷，公司将负主体责任，并独立妥善处置相关事宜。 </w:t>
      </w:r>
    </w:p>
    <w:p>
      <w:pPr>
        <w:pStyle w:val="9"/>
        <w:spacing w:line="333" w:lineRule="auto"/>
        <w:ind w:left="112" w:right="445" w:firstLine="472"/>
        <w:rPr>
          <w:rFonts w:hint="eastAsia" w:ascii="宋体" w:hAnsi="宋体" w:eastAsia="宋体" w:cs="宋体"/>
          <w:lang w:val="en-US" w:eastAsia="zh-CN"/>
        </w:rPr>
      </w:pPr>
      <w:r>
        <w:rPr>
          <w:rFonts w:hint="default" w:ascii="宋体" w:hAnsi="宋体" w:eastAsia="宋体" w:cs="宋体"/>
          <w:lang w:val="en-US" w:eastAsia="zh-CN"/>
        </w:rPr>
        <w:t>2.</w:t>
      </w:r>
      <w:r>
        <w:rPr>
          <w:rFonts w:hint="eastAsia" w:ascii="宋体" w:hAnsi="宋体" w:eastAsia="宋体" w:cs="宋体"/>
          <w:lang w:val="en-US" w:eastAsia="zh-CN"/>
        </w:rPr>
        <w:t xml:space="preserve">中标人使用所有员工必须执有有效的健康体检报告和健康证才能上岗，对无健康证或健康检测不合格者严禁使用。中标人特种设备操作员必须持证上岗。 </w:t>
      </w:r>
    </w:p>
    <w:p>
      <w:pPr>
        <w:pStyle w:val="9"/>
        <w:spacing w:line="333" w:lineRule="auto"/>
        <w:ind w:left="112" w:right="445" w:firstLine="472"/>
        <w:rPr>
          <w:rFonts w:hint="eastAsia" w:ascii="宋体" w:hAnsi="宋体" w:eastAsia="宋体" w:cs="宋体"/>
          <w:lang w:val="en-US" w:eastAsia="zh-CN"/>
        </w:rPr>
      </w:pPr>
      <w:r>
        <w:rPr>
          <w:rFonts w:hint="default" w:ascii="宋体" w:hAnsi="宋体" w:eastAsia="宋体" w:cs="宋体"/>
          <w:lang w:val="en-US" w:eastAsia="zh-CN"/>
        </w:rPr>
        <w:t>3.</w:t>
      </w:r>
      <w:r>
        <w:rPr>
          <w:rFonts w:hint="eastAsia" w:ascii="宋体" w:hAnsi="宋体" w:eastAsia="宋体" w:cs="宋体"/>
          <w:lang w:val="en-US" w:eastAsia="zh-CN"/>
        </w:rPr>
        <w:t xml:space="preserve">学校无住宿条件，餐饮服务团队自行安排人员住宿。 </w:t>
      </w:r>
    </w:p>
    <w:p>
      <w:pPr>
        <w:pStyle w:val="9"/>
        <w:spacing w:line="333" w:lineRule="auto"/>
        <w:ind w:left="112" w:right="445" w:firstLine="472"/>
        <w:rPr>
          <w:rFonts w:hint="eastAsia" w:ascii="宋体" w:hAnsi="宋体" w:eastAsia="宋体" w:cs="宋体"/>
          <w:lang w:val="en-US" w:eastAsia="zh-CN"/>
        </w:rPr>
      </w:pPr>
      <w:r>
        <w:rPr>
          <w:rFonts w:hint="default" w:ascii="宋体" w:hAnsi="宋体" w:eastAsia="宋体" w:cs="宋体"/>
          <w:lang w:val="en-US" w:eastAsia="zh-CN"/>
        </w:rPr>
        <w:t>4.</w:t>
      </w:r>
      <w:r>
        <w:rPr>
          <w:rFonts w:hint="eastAsia" w:ascii="宋体" w:hAnsi="宋体" w:eastAsia="宋体" w:cs="宋体"/>
          <w:lang w:val="en-US" w:eastAsia="zh-CN"/>
        </w:rPr>
        <w:t>餐饮服务团队投标企业与后期运营企业一致，须在营业执照经营范围内有餐饮服务和餐饮管理项目，食品经营许可证经营项目中有食品经营管理。</w:t>
      </w:r>
    </w:p>
    <w:p>
      <w:pPr>
        <w:pStyle w:val="9"/>
        <w:spacing w:line="333" w:lineRule="auto"/>
        <w:ind w:left="112" w:right="445" w:firstLine="472"/>
        <w:rPr>
          <w:rFonts w:hint="eastAsia" w:ascii="宋体" w:hAnsi="宋体" w:eastAsia="宋体" w:cs="宋体"/>
          <w:lang w:val="en-US" w:eastAsia="zh-CN"/>
        </w:rPr>
      </w:pPr>
    </w:p>
    <w:p>
      <w:pPr>
        <w:pStyle w:val="9"/>
        <w:spacing w:line="333" w:lineRule="auto"/>
        <w:ind w:left="112" w:right="445" w:firstLine="472"/>
        <w:rPr>
          <w:rFonts w:hint="eastAsia" w:ascii="宋体" w:hAnsi="宋体" w:eastAsia="宋体" w:cs="宋体"/>
          <w:lang w:val="en-US" w:eastAsia="zh-CN"/>
        </w:rPr>
        <w:sectPr>
          <w:headerReference r:id="rId12" w:type="default"/>
          <w:footerReference r:id="rId13" w:type="default"/>
          <w:pgSz w:w="11910" w:h="16840"/>
          <w:pgMar w:top="1100" w:right="720" w:bottom="1180" w:left="920" w:header="918" w:footer="983" w:gutter="0"/>
          <w:pgNumType w:fmt="numberInDash"/>
          <w:cols w:space="720" w:num="1"/>
        </w:sectPr>
      </w:pPr>
    </w:p>
    <w:p>
      <w:pPr>
        <w:pStyle w:val="9"/>
        <w:spacing w:before="229"/>
        <w:rPr>
          <w:sz w:val="36"/>
        </w:rPr>
      </w:pPr>
    </w:p>
    <w:p>
      <w:pPr>
        <w:pStyle w:val="2"/>
      </w:pPr>
      <w:bookmarkStart w:id="6" w:name="_bookmark3"/>
      <w:bookmarkEnd w:id="6"/>
      <w:bookmarkStart w:id="7" w:name="第四章 资格审查"/>
      <w:bookmarkEnd w:id="7"/>
      <w:r>
        <w:rPr>
          <w:spacing w:val="-16"/>
        </w:rPr>
        <w:t>第四章 资格审查</w:t>
      </w:r>
    </w:p>
    <w:p>
      <w:pPr>
        <w:pStyle w:val="9"/>
        <w:spacing w:before="58"/>
        <w:rPr>
          <w:b/>
          <w:sz w:val="28"/>
        </w:rPr>
      </w:pPr>
    </w:p>
    <w:p>
      <w:pPr>
        <w:pStyle w:val="6"/>
      </w:pPr>
      <w:r>
        <w:rPr>
          <w:spacing w:val="-16"/>
        </w:rPr>
        <w:t>一、资格审查程序</w:t>
      </w:r>
    </w:p>
    <w:p>
      <w:pPr>
        <w:pStyle w:val="15"/>
        <w:numPr>
          <w:ilvl w:val="1"/>
          <w:numId w:val="43"/>
        </w:numPr>
        <w:tabs>
          <w:tab w:val="left" w:pos="1616"/>
        </w:tabs>
        <w:spacing w:before="287" w:after="0" w:line="261" w:lineRule="auto"/>
        <w:ind w:left="887" w:right="1158" w:firstLine="501"/>
        <w:jc w:val="left"/>
        <w:rPr>
          <w:sz w:val="24"/>
        </w:rPr>
      </w:pPr>
      <w:r>
        <w:rPr>
          <w:spacing w:val="-8"/>
          <w:sz w:val="24"/>
        </w:rPr>
        <w:t>开标结束后，采购人或采购代理机构将根据《资格审查要求》中的规定，</w:t>
      </w:r>
      <w:r>
        <w:rPr>
          <w:spacing w:val="-2"/>
          <w:sz w:val="24"/>
        </w:rPr>
        <w:t>对投标人进行资格审查，并形成资格审查结果。</w:t>
      </w:r>
    </w:p>
    <w:p>
      <w:pPr>
        <w:pStyle w:val="15"/>
        <w:numPr>
          <w:ilvl w:val="1"/>
          <w:numId w:val="43"/>
        </w:numPr>
        <w:tabs>
          <w:tab w:val="left" w:pos="1596"/>
        </w:tabs>
        <w:spacing w:before="114" w:after="0" w:line="261" w:lineRule="auto"/>
        <w:ind w:left="891" w:right="1237" w:firstLine="480"/>
        <w:jc w:val="left"/>
        <w:rPr>
          <w:sz w:val="24"/>
        </w:rPr>
      </w:pPr>
      <w:r>
        <w:rPr>
          <w:spacing w:val="-8"/>
          <w:sz w:val="24"/>
        </w:rPr>
        <w:t>投标人《资格证明文件》有任何一项不符合《资格审查要求》的，资格审</w:t>
      </w:r>
      <w:r>
        <w:rPr>
          <w:spacing w:val="-2"/>
          <w:sz w:val="24"/>
        </w:rPr>
        <w:t>查不合格，其</w:t>
      </w:r>
      <w:r>
        <w:rPr>
          <w:b/>
          <w:spacing w:val="-2"/>
          <w:sz w:val="24"/>
        </w:rPr>
        <w:t>投标无效</w:t>
      </w:r>
      <w:r>
        <w:rPr>
          <w:spacing w:val="-2"/>
          <w:sz w:val="24"/>
        </w:rPr>
        <w:t>。</w:t>
      </w:r>
    </w:p>
    <w:p>
      <w:pPr>
        <w:pStyle w:val="15"/>
        <w:numPr>
          <w:ilvl w:val="1"/>
          <w:numId w:val="43"/>
        </w:numPr>
        <w:tabs>
          <w:tab w:val="left" w:pos="1613"/>
        </w:tabs>
        <w:spacing w:before="97" w:after="0" w:line="240" w:lineRule="auto"/>
        <w:ind w:left="1613" w:right="0" w:hanging="237"/>
        <w:jc w:val="left"/>
        <w:rPr>
          <w:sz w:val="24"/>
        </w:rPr>
      </w:pPr>
      <w:r>
        <w:rPr>
          <w:spacing w:val="-2"/>
          <w:sz w:val="24"/>
        </w:rPr>
        <w:t xml:space="preserve">资格审查合格的投标人不足 </w:t>
      </w:r>
      <w:r>
        <w:rPr>
          <w:sz w:val="24"/>
        </w:rPr>
        <w:t>3</w:t>
      </w:r>
      <w:r>
        <w:rPr>
          <w:spacing w:val="-5"/>
          <w:sz w:val="24"/>
        </w:rPr>
        <w:t xml:space="preserve"> 家的，不进行评标。</w:t>
      </w:r>
    </w:p>
    <w:p>
      <w:pPr>
        <w:pStyle w:val="6"/>
        <w:spacing w:before="200"/>
      </w:pPr>
      <w:r>
        <w:rPr>
          <w:spacing w:val="-16"/>
        </w:rPr>
        <w:t>二、资格审查要求</w:t>
      </w:r>
    </w:p>
    <w:p>
      <w:pPr>
        <w:pStyle w:val="9"/>
        <w:spacing w:before="5"/>
        <w:rPr>
          <w:b/>
          <w:sz w:val="13"/>
        </w:rPr>
      </w:pPr>
    </w:p>
    <w:tbl>
      <w:tblPr>
        <w:tblStyle w:val="12"/>
        <w:tblW w:w="0" w:type="auto"/>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815"/>
        <w:gridCol w:w="5649"/>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25" w:type="dxa"/>
            <w:shd w:val="clear" w:color="auto" w:fill="D6D6D6"/>
          </w:tcPr>
          <w:p>
            <w:pPr>
              <w:pStyle w:val="16"/>
              <w:spacing w:before="140"/>
              <w:ind w:left="74" w:right="32"/>
              <w:jc w:val="center"/>
              <w:rPr>
                <w:b/>
                <w:sz w:val="24"/>
              </w:rPr>
            </w:pPr>
            <w:r>
              <w:rPr>
                <w:b/>
                <w:spacing w:val="-11"/>
                <w:sz w:val="24"/>
              </w:rPr>
              <w:t>序号</w:t>
            </w:r>
          </w:p>
        </w:tc>
        <w:tc>
          <w:tcPr>
            <w:tcW w:w="1815" w:type="dxa"/>
            <w:shd w:val="clear" w:color="auto" w:fill="D6D6D6"/>
          </w:tcPr>
          <w:p>
            <w:pPr>
              <w:pStyle w:val="16"/>
              <w:spacing w:before="138"/>
              <w:ind w:left="447"/>
              <w:rPr>
                <w:b/>
                <w:sz w:val="24"/>
              </w:rPr>
            </w:pPr>
            <w:r>
              <w:rPr>
                <w:b/>
                <w:spacing w:val="-14"/>
                <w:sz w:val="24"/>
              </w:rPr>
              <w:t>审查因素</w:t>
            </w:r>
          </w:p>
        </w:tc>
        <w:tc>
          <w:tcPr>
            <w:tcW w:w="5649" w:type="dxa"/>
            <w:shd w:val="clear" w:color="auto" w:fill="D6D6D6"/>
          </w:tcPr>
          <w:p>
            <w:pPr>
              <w:pStyle w:val="16"/>
              <w:spacing w:before="138"/>
              <w:ind w:left="54"/>
              <w:jc w:val="center"/>
              <w:rPr>
                <w:b/>
                <w:sz w:val="24"/>
              </w:rPr>
            </w:pPr>
            <w:r>
              <w:rPr>
                <w:b/>
                <w:spacing w:val="-14"/>
                <w:sz w:val="24"/>
              </w:rPr>
              <w:t>审查内容</w:t>
            </w:r>
          </w:p>
        </w:tc>
        <w:tc>
          <w:tcPr>
            <w:tcW w:w="1605" w:type="dxa"/>
            <w:shd w:val="clear" w:color="auto" w:fill="D6D6D6"/>
          </w:tcPr>
          <w:p>
            <w:pPr>
              <w:pStyle w:val="16"/>
              <w:spacing w:before="138"/>
              <w:ind w:right="319"/>
              <w:jc w:val="right"/>
              <w:rPr>
                <w:b/>
                <w:sz w:val="24"/>
              </w:rPr>
            </w:pPr>
            <w:r>
              <w:rPr>
                <w:b/>
                <w:spacing w:val="-12"/>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825" w:type="dxa"/>
          </w:tcPr>
          <w:p>
            <w:pPr>
              <w:pStyle w:val="16"/>
              <w:spacing w:before="63"/>
              <w:rPr>
                <w:b/>
                <w:sz w:val="24"/>
              </w:rPr>
            </w:pPr>
          </w:p>
          <w:p>
            <w:pPr>
              <w:pStyle w:val="16"/>
              <w:ind w:left="74"/>
              <w:jc w:val="center"/>
              <w:rPr>
                <w:b/>
                <w:sz w:val="24"/>
              </w:rPr>
            </w:pPr>
            <w:r>
              <w:rPr>
                <w:b/>
                <w:spacing w:val="-10"/>
                <w:sz w:val="24"/>
              </w:rPr>
              <w:t>1</w:t>
            </w:r>
          </w:p>
        </w:tc>
        <w:tc>
          <w:tcPr>
            <w:tcW w:w="1815" w:type="dxa"/>
          </w:tcPr>
          <w:p>
            <w:pPr>
              <w:pStyle w:val="16"/>
              <w:spacing w:before="85" w:line="232" w:lineRule="auto"/>
              <w:ind w:left="118" w:right="52"/>
              <w:jc w:val="both"/>
              <w:rPr>
                <w:sz w:val="24"/>
              </w:rPr>
            </w:pPr>
            <w:r>
              <w:rPr>
                <w:spacing w:val="-8"/>
                <w:sz w:val="24"/>
              </w:rPr>
              <w:t>满足《政府采购法》第二十二条</w:t>
            </w:r>
            <w:r>
              <w:rPr>
                <w:spacing w:val="-6"/>
                <w:sz w:val="24"/>
              </w:rPr>
              <w:t>规定</w:t>
            </w:r>
          </w:p>
        </w:tc>
        <w:tc>
          <w:tcPr>
            <w:tcW w:w="5649" w:type="dxa"/>
          </w:tcPr>
          <w:p>
            <w:pPr>
              <w:pStyle w:val="16"/>
              <w:spacing w:before="60"/>
              <w:rPr>
                <w:b/>
                <w:sz w:val="24"/>
              </w:rPr>
            </w:pPr>
          </w:p>
          <w:p>
            <w:pPr>
              <w:pStyle w:val="16"/>
              <w:spacing w:before="1"/>
              <w:ind w:left="125"/>
              <w:rPr>
                <w:sz w:val="24"/>
              </w:rPr>
            </w:pPr>
            <w:r>
              <w:rPr>
                <w:spacing w:val="1"/>
                <w:sz w:val="24"/>
              </w:rPr>
              <w:t>具体规定见“第一章 招标公告”</w:t>
            </w:r>
          </w:p>
        </w:tc>
        <w:tc>
          <w:tcPr>
            <w:tcW w:w="1605"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825" w:type="dxa"/>
          </w:tcPr>
          <w:p>
            <w:pPr>
              <w:pStyle w:val="16"/>
              <w:spacing w:before="260"/>
              <w:ind w:left="74" w:right="15"/>
              <w:jc w:val="center"/>
              <w:rPr>
                <w:b/>
                <w:sz w:val="24"/>
              </w:rPr>
            </w:pPr>
            <w:r>
              <w:rPr>
                <w:b/>
                <w:spacing w:val="-13"/>
                <w:sz w:val="24"/>
              </w:rPr>
              <w:t>1-</w:t>
            </w:r>
            <w:r>
              <w:rPr>
                <w:b/>
                <w:spacing w:val="-10"/>
                <w:sz w:val="24"/>
              </w:rPr>
              <w:t>1</w:t>
            </w:r>
          </w:p>
        </w:tc>
        <w:tc>
          <w:tcPr>
            <w:tcW w:w="1815" w:type="dxa"/>
          </w:tcPr>
          <w:p>
            <w:pPr>
              <w:pStyle w:val="16"/>
              <w:spacing w:before="128" w:line="228" w:lineRule="auto"/>
              <w:ind w:left="118" w:right="340" w:firstLine="4"/>
              <w:rPr>
                <w:sz w:val="24"/>
              </w:rPr>
            </w:pPr>
            <w:r>
              <w:rPr>
                <w:spacing w:val="25"/>
                <w:sz w:val="24"/>
              </w:rPr>
              <w:t>营业执照等</w:t>
            </w:r>
            <w:r>
              <w:rPr>
                <w:spacing w:val="-7"/>
                <w:sz w:val="24"/>
              </w:rPr>
              <w:t>证 明文件</w:t>
            </w:r>
          </w:p>
        </w:tc>
        <w:tc>
          <w:tcPr>
            <w:tcW w:w="5649" w:type="dxa"/>
          </w:tcPr>
          <w:p>
            <w:pPr>
              <w:pStyle w:val="16"/>
              <w:spacing w:before="61" w:line="261" w:lineRule="auto"/>
              <w:ind w:left="120" w:right="70"/>
              <w:jc w:val="both"/>
              <w:rPr>
                <w:rFonts w:ascii="宋体" w:hAnsi="宋体" w:eastAsia="宋体" w:cs="宋体"/>
                <w:spacing w:val="-32"/>
                <w:sz w:val="24"/>
              </w:rPr>
            </w:pPr>
            <w:r>
              <w:rPr>
                <w:rFonts w:ascii="宋体" w:hAnsi="宋体" w:eastAsia="宋体" w:cs="宋体"/>
                <w:spacing w:val="-32"/>
                <w:sz w:val="24"/>
              </w:rPr>
              <w:t>投标人为企业（包括合伙企业）的，应提供有效的“营业执</w:t>
            </w:r>
          </w:p>
          <w:p>
            <w:pPr>
              <w:pStyle w:val="16"/>
              <w:spacing w:before="61" w:line="261" w:lineRule="auto"/>
              <w:ind w:left="120" w:right="70"/>
              <w:jc w:val="both"/>
              <w:rPr>
                <w:rFonts w:ascii="宋体" w:hAnsi="宋体" w:eastAsia="宋体" w:cs="宋体"/>
                <w:spacing w:val="-32"/>
                <w:sz w:val="24"/>
              </w:rPr>
            </w:pPr>
            <w:r>
              <w:rPr>
                <w:rFonts w:ascii="宋体" w:hAnsi="宋体" w:eastAsia="宋体" w:cs="宋体"/>
                <w:spacing w:val="-32"/>
                <w:sz w:val="24"/>
              </w:rPr>
              <w:t>照”；投标人为事业单位的，应提供有效的“事业单位法人</w:t>
            </w:r>
          </w:p>
          <w:p>
            <w:pPr>
              <w:pStyle w:val="16"/>
              <w:spacing w:before="61" w:line="261" w:lineRule="auto"/>
              <w:ind w:left="120" w:right="70"/>
              <w:jc w:val="both"/>
              <w:rPr>
                <w:rFonts w:ascii="宋体" w:hAnsi="宋体" w:eastAsia="宋体" w:cs="宋体"/>
                <w:spacing w:val="-32"/>
                <w:sz w:val="24"/>
              </w:rPr>
            </w:pPr>
            <w:r>
              <w:rPr>
                <w:rFonts w:ascii="宋体" w:hAnsi="宋体" w:eastAsia="宋体" w:cs="宋体"/>
                <w:spacing w:val="-32"/>
                <w:sz w:val="24"/>
              </w:rPr>
              <w:t>证书” ；投标人是非企业机构的，应提供有效的“执业</w:t>
            </w:r>
          </w:p>
          <w:p>
            <w:pPr>
              <w:pStyle w:val="16"/>
              <w:spacing w:before="61" w:line="261" w:lineRule="auto"/>
              <w:ind w:left="120" w:right="70"/>
              <w:jc w:val="both"/>
              <w:rPr>
                <w:sz w:val="24"/>
              </w:rPr>
            </w:pPr>
            <w:r>
              <w:rPr>
                <w:rFonts w:ascii="宋体" w:hAnsi="宋体" w:eastAsia="宋体" w:cs="宋体"/>
                <w:spacing w:val="-32"/>
                <w:sz w:val="24"/>
              </w:rPr>
              <w:t>许可证”、“登记证书”等证明文件；投标人是个体工商户的，应提供有效的“个体工商户营业执照”；投标人是自然人的，应提供有效的自然人身份证明。</w:t>
            </w:r>
          </w:p>
        </w:tc>
        <w:tc>
          <w:tcPr>
            <w:tcW w:w="1605" w:type="dxa"/>
          </w:tcPr>
          <w:p>
            <w:pPr>
              <w:pStyle w:val="16"/>
              <w:spacing w:line="270" w:lineRule="exact"/>
              <w:ind w:left="125"/>
              <w:rPr>
                <w:sz w:val="24"/>
              </w:rPr>
            </w:pPr>
            <w:r>
              <w:rPr>
                <w:spacing w:val="-2"/>
                <w:sz w:val="24"/>
              </w:rPr>
              <w:t>提供证明文</w:t>
            </w:r>
          </w:p>
          <w:p>
            <w:pPr>
              <w:pStyle w:val="16"/>
              <w:spacing w:line="235" w:lineRule="auto"/>
              <w:ind w:left="123" w:right="269"/>
              <w:rPr>
                <w:sz w:val="24"/>
              </w:rPr>
            </w:pPr>
            <w:r>
              <w:rPr>
                <w:spacing w:val="-2"/>
                <w:sz w:val="24"/>
              </w:rPr>
              <w:t>件的电子件</w:t>
            </w:r>
            <w:r>
              <w:rPr>
                <w:spacing w:val="-7"/>
                <w:sz w:val="24"/>
              </w:rPr>
              <w:t>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825" w:type="dxa"/>
          </w:tcPr>
          <w:p>
            <w:pPr>
              <w:pStyle w:val="16"/>
              <w:spacing w:before="67"/>
              <w:rPr>
                <w:b/>
                <w:sz w:val="24"/>
              </w:rPr>
            </w:pPr>
          </w:p>
          <w:p>
            <w:pPr>
              <w:pStyle w:val="16"/>
              <w:ind w:left="74" w:right="15"/>
              <w:jc w:val="center"/>
              <w:rPr>
                <w:b/>
                <w:sz w:val="24"/>
              </w:rPr>
            </w:pPr>
            <w:r>
              <w:rPr>
                <w:b/>
                <w:spacing w:val="-13"/>
                <w:sz w:val="24"/>
              </w:rPr>
              <w:t>1-</w:t>
            </w:r>
            <w:r>
              <w:rPr>
                <w:b/>
                <w:spacing w:val="-10"/>
                <w:sz w:val="24"/>
              </w:rPr>
              <w:t>2</w:t>
            </w:r>
          </w:p>
        </w:tc>
        <w:tc>
          <w:tcPr>
            <w:tcW w:w="1815" w:type="dxa"/>
          </w:tcPr>
          <w:p>
            <w:pPr>
              <w:pStyle w:val="16"/>
              <w:spacing w:before="245" w:line="228" w:lineRule="auto"/>
              <w:ind w:left="116" w:right="105" w:firstLine="2"/>
              <w:rPr>
                <w:sz w:val="24"/>
              </w:rPr>
            </w:pPr>
            <w:r>
              <w:rPr>
                <w:spacing w:val="20"/>
                <w:sz w:val="24"/>
              </w:rPr>
              <w:t>投标人具有良</w:t>
            </w:r>
            <w:r>
              <w:rPr>
                <w:spacing w:val="-2"/>
                <w:sz w:val="24"/>
              </w:rPr>
              <w:t>好的商业信誉和健全的财务</w:t>
            </w:r>
          </w:p>
          <w:p>
            <w:pPr>
              <w:pStyle w:val="16"/>
              <w:spacing w:line="299" w:lineRule="exact"/>
              <w:ind w:left="116"/>
              <w:rPr>
                <w:sz w:val="24"/>
              </w:rPr>
            </w:pPr>
            <w:r>
              <w:rPr>
                <w:spacing w:val="-6"/>
                <w:sz w:val="24"/>
              </w:rPr>
              <w:t>会计制度</w:t>
            </w:r>
          </w:p>
        </w:tc>
        <w:tc>
          <w:tcPr>
            <w:tcW w:w="5649" w:type="dxa"/>
          </w:tcPr>
          <w:p>
            <w:pPr>
              <w:pStyle w:val="16"/>
              <w:spacing w:before="77" w:line="268" w:lineRule="auto"/>
              <w:ind w:left="12" w:right="111"/>
              <w:jc w:val="both"/>
              <w:rPr>
                <w:sz w:val="24"/>
              </w:rPr>
            </w:pPr>
            <w:r>
              <w:rPr>
                <w:spacing w:val="-2"/>
                <w:sz w:val="24"/>
              </w:rPr>
              <w:t>经审计的最近一个年度（2023年</w:t>
            </w:r>
            <w:r>
              <w:rPr>
                <w:rFonts w:hint="eastAsia"/>
                <w:spacing w:val="-2"/>
                <w:sz w:val="24"/>
                <w:lang w:eastAsia="zh-CN"/>
              </w:rPr>
              <w:t>度</w:t>
            </w:r>
            <w:r>
              <w:rPr>
                <w:spacing w:val="-2"/>
                <w:sz w:val="24"/>
              </w:rPr>
              <w:t>）</w:t>
            </w:r>
            <w:r>
              <w:rPr>
                <w:rFonts w:hint="eastAsia"/>
                <w:spacing w:val="-2"/>
                <w:sz w:val="24"/>
                <w:lang w:eastAsia="zh-CN"/>
              </w:rPr>
              <w:t>或（</w:t>
            </w:r>
            <w:r>
              <w:rPr>
                <w:rFonts w:hint="eastAsia"/>
                <w:spacing w:val="-2"/>
                <w:sz w:val="24"/>
                <w:lang w:val="en-US" w:eastAsia="zh-CN"/>
              </w:rPr>
              <w:t>2024年度）</w:t>
            </w:r>
            <w:r>
              <w:rPr>
                <w:spacing w:val="-2"/>
                <w:sz w:val="24"/>
              </w:rPr>
              <w:t>的财务状况报告或开标时间前一年内银行出具的资信证明，成立不满一个月不提供。</w:t>
            </w:r>
          </w:p>
        </w:tc>
        <w:tc>
          <w:tcPr>
            <w:tcW w:w="1605" w:type="dxa"/>
          </w:tcPr>
          <w:p>
            <w:pPr>
              <w:pStyle w:val="16"/>
              <w:spacing w:before="89" w:line="232" w:lineRule="auto"/>
              <w:ind w:left="123" w:right="120" w:firstLine="2"/>
              <w:jc w:val="both"/>
              <w:rPr>
                <w:sz w:val="24"/>
              </w:rPr>
            </w:pPr>
            <w:r>
              <w:rPr>
                <w:spacing w:val="27"/>
                <w:sz w:val="24"/>
              </w:rPr>
              <w:t>提供证明文件的电子件</w:t>
            </w:r>
            <w:r>
              <w:rPr>
                <w:spacing w:val="-2"/>
                <w:sz w:val="24"/>
              </w:rPr>
              <w:t>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2" w:hRule="atLeast"/>
        </w:trPr>
        <w:tc>
          <w:tcPr>
            <w:tcW w:w="825" w:type="dxa"/>
          </w:tcPr>
          <w:p>
            <w:pPr>
              <w:pStyle w:val="16"/>
              <w:spacing w:before="303"/>
              <w:ind w:left="74" w:right="15"/>
              <w:jc w:val="center"/>
              <w:rPr>
                <w:b/>
                <w:sz w:val="24"/>
              </w:rPr>
            </w:pPr>
            <w:r>
              <w:rPr>
                <w:b/>
                <w:spacing w:val="-13"/>
                <w:sz w:val="24"/>
              </w:rPr>
              <w:t>1-</w:t>
            </w:r>
            <w:r>
              <w:rPr>
                <w:b/>
                <w:spacing w:val="-10"/>
                <w:sz w:val="24"/>
              </w:rPr>
              <w:t>3</w:t>
            </w:r>
          </w:p>
        </w:tc>
        <w:tc>
          <w:tcPr>
            <w:tcW w:w="1815" w:type="dxa"/>
          </w:tcPr>
          <w:p>
            <w:pPr>
              <w:pStyle w:val="16"/>
              <w:spacing w:before="167" w:line="230" w:lineRule="auto"/>
              <w:ind w:left="116" w:right="345" w:firstLine="2"/>
              <w:rPr>
                <w:sz w:val="24"/>
              </w:rPr>
            </w:pPr>
            <w:r>
              <w:rPr>
                <w:spacing w:val="25"/>
                <w:sz w:val="24"/>
              </w:rPr>
              <w:t>投标人信用</w:t>
            </w:r>
            <w:r>
              <w:rPr>
                <w:spacing w:val="7"/>
                <w:sz w:val="24"/>
              </w:rPr>
              <w:t>记录</w:t>
            </w:r>
          </w:p>
        </w:tc>
        <w:tc>
          <w:tcPr>
            <w:tcW w:w="5649" w:type="dxa"/>
          </w:tcPr>
          <w:p>
            <w:pPr>
              <w:pStyle w:val="16"/>
              <w:spacing w:before="77" w:line="268" w:lineRule="auto"/>
              <w:ind w:left="12" w:right="111"/>
              <w:jc w:val="both"/>
              <w:rPr>
                <w:rFonts w:ascii="宋体" w:hAnsi="宋体" w:eastAsia="宋体" w:cs="宋体"/>
                <w:spacing w:val="-2"/>
                <w:sz w:val="24"/>
              </w:rPr>
            </w:pPr>
            <w:r>
              <w:rPr>
                <w:rFonts w:ascii="宋体" w:hAnsi="宋体" w:eastAsia="宋体" w:cs="宋体"/>
                <w:spacing w:val="-2"/>
                <w:sz w:val="24"/>
              </w:rPr>
              <w:t>查询渠道：信用中国网站和中国政府采购网</w:t>
            </w:r>
          </w:p>
          <w:p>
            <w:pPr>
              <w:pStyle w:val="16"/>
              <w:spacing w:before="77" w:line="268" w:lineRule="auto"/>
              <w:ind w:left="12" w:right="111"/>
              <w:jc w:val="both"/>
              <w:rPr>
                <w:sz w:val="24"/>
              </w:rPr>
            </w:pPr>
            <w:r>
              <w:rPr>
                <w:rFonts w:ascii="宋体" w:hAnsi="宋体" w:eastAsia="宋体" w:cs="宋体"/>
                <w:spacing w:val="-2"/>
                <w:sz w:val="24"/>
              </w:rPr>
              <w:t>（</w:t>
            </w:r>
            <w:r>
              <w:rPr>
                <w:rFonts w:ascii="宋体" w:hAnsi="宋体" w:eastAsia="宋体" w:cs="宋体"/>
                <w:spacing w:val="-2"/>
                <w:sz w:val="24"/>
              </w:rPr>
              <w:fldChar w:fldCharType="begin"/>
            </w:r>
            <w:r>
              <w:rPr>
                <w:rFonts w:ascii="宋体" w:hAnsi="宋体" w:eastAsia="宋体" w:cs="宋体"/>
                <w:spacing w:val="-2"/>
                <w:sz w:val="24"/>
              </w:rPr>
              <w:instrText xml:space="preserve"> HYPERLINK "http://www.creditchina.gov.cn/" \h </w:instrText>
            </w:r>
            <w:r>
              <w:rPr>
                <w:rFonts w:ascii="宋体" w:hAnsi="宋体" w:eastAsia="宋体" w:cs="宋体"/>
                <w:spacing w:val="-2"/>
                <w:sz w:val="24"/>
              </w:rPr>
              <w:fldChar w:fldCharType="separate"/>
            </w:r>
            <w:r>
              <w:rPr>
                <w:rFonts w:ascii="宋体" w:hAnsi="宋体" w:eastAsia="宋体" w:cs="宋体"/>
                <w:spacing w:val="-2"/>
                <w:sz w:val="24"/>
              </w:rPr>
              <w:t>www.creditchina.gov.cn</w:t>
            </w:r>
            <w:r>
              <w:rPr>
                <w:rFonts w:ascii="宋体" w:hAnsi="宋体" w:eastAsia="宋体" w:cs="宋体"/>
                <w:spacing w:val="-2"/>
                <w:sz w:val="24"/>
              </w:rPr>
              <w:fldChar w:fldCharType="end"/>
            </w:r>
            <w:r>
              <w:rPr>
                <w:rFonts w:ascii="宋体" w:hAnsi="宋体" w:eastAsia="宋体" w:cs="宋体"/>
                <w:spacing w:val="-2"/>
                <w:sz w:val="24"/>
              </w:rPr>
              <w:t xml:space="preserve"> 、</w:t>
            </w:r>
            <w:r>
              <w:rPr>
                <w:rFonts w:ascii="宋体" w:hAnsi="宋体" w:eastAsia="宋体" w:cs="宋体"/>
                <w:spacing w:val="-2"/>
                <w:sz w:val="24"/>
              </w:rPr>
              <w:fldChar w:fldCharType="begin"/>
            </w:r>
            <w:r>
              <w:rPr>
                <w:rFonts w:ascii="宋体" w:hAnsi="宋体" w:eastAsia="宋体" w:cs="宋体"/>
                <w:spacing w:val="-2"/>
                <w:sz w:val="24"/>
              </w:rPr>
              <w:instrText xml:space="preserve"> HYPERLINK "http://www.ccgp.gov.cn/" \h </w:instrText>
            </w:r>
            <w:r>
              <w:rPr>
                <w:rFonts w:ascii="宋体" w:hAnsi="宋体" w:eastAsia="宋体" w:cs="宋体"/>
                <w:spacing w:val="-2"/>
                <w:sz w:val="24"/>
              </w:rPr>
              <w:fldChar w:fldCharType="separate"/>
            </w:r>
            <w:r>
              <w:rPr>
                <w:rFonts w:ascii="宋体" w:hAnsi="宋体" w:eastAsia="宋体" w:cs="宋体"/>
                <w:spacing w:val="-2"/>
                <w:sz w:val="24"/>
              </w:rPr>
              <w:t>www.ccgp.gov.cn</w:t>
            </w:r>
            <w:r>
              <w:rPr>
                <w:rFonts w:ascii="宋体" w:hAnsi="宋体" w:eastAsia="宋体" w:cs="宋体"/>
                <w:spacing w:val="-2"/>
                <w:sz w:val="24"/>
              </w:rPr>
              <w:fldChar w:fldCharType="end"/>
            </w:r>
            <w:r>
              <w:rPr>
                <w:rFonts w:ascii="宋体" w:hAnsi="宋体" w:eastAsia="宋体" w:cs="宋体"/>
                <w:spacing w:val="-2"/>
                <w:sz w:val="24"/>
              </w:rPr>
              <w:t>）；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失信主体、政府采购严重违法失信行为记录名单的投标人，其投标无效。联合体形式投标的，联合体成员存在不良信用记录，视同联合体存在不良信用记录。</w:t>
            </w:r>
          </w:p>
        </w:tc>
        <w:tc>
          <w:tcPr>
            <w:tcW w:w="1605" w:type="dxa"/>
          </w:tcPr>
          <w:p>
            <w:pPr>
              <w:pStyle w:val="16"/>
              <w:spacing w:before="31" w:line="300" w:lineRule="exact"/>
              <w:ind w:right="283"/>
              <w:jc w:val="right"/>
              <w:rPr>
                <w:sz w:val="24"/>
              </w:rPr>
            </w:pPr>
            <w:r>
              <w:rPr>
                <w:spacing w:val="-7"/>
                <w:sz w:val="24"/>
              </w:rPr>
              <w:t>无须投标人</w:t>
            </w:r>
          </w:p>
          <w:p>
            <w:pPr>
              <w:pStyle w:val="16"/>
              <w:spacing w:before="11" w:line="232" w:lineRule="auto"/>
              <w:ind w:left="123" w:right="53" w:firstLine="2"/>
              <w:rPr>
                <w:sz w:val="24"/>
              </w:rPr>
            </w:pPr>
            <w:r>
              <w:rPr>
                <w:spacing w:val="-6"/>
                <w:sz w:val="24"/>
              </w:rPr>
              <w:t>提供，由采购人或采购代理</w:t>
            </w:r>
            <w:r>
              <w:rPr>
                <w:spacing w:val="-2"/>
                <w:sz w:val="24"/>
              </w:rPr>
              <w:t>机构查询。</w:t>
            </w:r>
          </w:p>
        </w:tc>
      </w:tr>
    </w:tbl>
    <w:p>
      <w:pPr>
        <w:spacing w:after="0"/>
        <w:rPr>
          <w:rFonts w:ascii="Times New Roman"/>
          <w:sz w:val="22"/>
        </w:rPr>
        <w:sectPr>
          <w:headerReference r:id="rId14" w:type="default"/>
          <w:footerReference r:id="rId15" w:type="default"/>
          <w:pgSz w:w="11910" w:h="16840"/>
          <w:pgMar w:top="1100" w:right="720" w:bottom="1180" w:left="920" w:header="916" w:footer="983" w:gutter="0"/>
          <w:pgNumType w:fmt="numberInDash"/>
          <w:cols w:space="720" w:num="1"/>
        </w:sectPr>
      </w:pPr>
    </w:p>
    <w:p>
      <w:pPr>
        <w:pStyle w:val="9"/>
        <w:spacing w:before="1"/>
        <w:rPr>
          <w:b/>
          <w:sz w:val="20"/>
        </w:rPr>
      </w:pPr>
    </w:p>
    <w:tbl>
      <w:tblPr>
        <w:tblStyle w:val="12"/>
        <w:tblW w:w="0" w:type="auto"/>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815"/>
        <w:gridCol w:w="5649"/>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825" w:type="dxa"/>
            <w:tcBorders>
              <w:bottom w:val="nil"/>
            </w:tcBorders>
          </w:tcPr>
          <w:p>
            <w:pPr>
              <w:pStyle w:val="16"/>
              <w:spacing w:before="13"/>
              <w:ind w:left="74" w:right="24"/>
              <w:jc w:val="center"/>
              <w:rPr>
                <w:b/>
                <w:sz w:val="24"/>
              </w:rPr>
            </w:pPr>
            <w:r>
              <w:rPr>
                <w:b/>
                <w:spacing w:val="-13"/>
                <w:sz w:val="24"/>
              </w:rPr>
              <w:t>1-</w:t>
            </w:r>
            <w:r>
              <w:rPr>
                <w:b/>
                <w:spacing w:val="-10"/>
                <w:sz w:val="24"/>
              </w:rPr>
              <w:t>4</w:t>
            </w:r>
          </w:p>
        </w:tc>
        <w:tc>
          <w:tcPr>
            <w:tcW w:w="1815" w:type="dxa"/>
            <w:vMerge w:val="restart"/>
          </w:tcPr>
          <w:p>
            <w:pPr>
              <w:pStyle w:val="16"/>
              <w:spacing w:before="34" w:line="235" w:lineRule="auto"/>
              <w:ind w:left="118" w:right="251"/>
              <w:jc w:val="both"/>
              <w:rPr>
                <w:sz w:val="24"/>
              </w:rPr>
            </w:pPr>
            <w:r>
              <w:rPr>
                <w:spacing w:val="-4"/>
                <w:sz w:val="24"/>
              </w:rPr>
              <w:t>有依法缴纳税收和社会保障资金的良好记</w:t>
            </w:r>
            <w:r>
              <w:rPr>
                <w:spacing w:val="-10"/>
                <w:sz w:val="24"/>
              </w:rPr>
              <w:t>录</w:t>
            </w:r>
          </w:p>
        </w:tc>
        <w:tc>
          <w:tcPr>
            <w:tcW w:w="5649" w:type="dxa"/>
            <w:vMerge w:val="restart"/>
          </w:tcPr>
          <w:p>
            <w:pPr>
              <w:pStyle w:val="16"/>
              <w:spacing w:before="80" w:line="271" w:lineRule="auto"/>
              <w:ind w:left="14" w:right="147" w:firstLine="2"/>
              <w:jc w:val="both"/>
              <w:rPr>
                <w:sz w:val="24"/>
              </w:rPr>
            </w:pPr>
            <w:r>
              <w:rPr>
                <w:spacing w:val="-4"/>
                <w:sz w:val="24"/>
              </w:rPr>
              <w:t>依法缴纳税收和社会保障资金的相关材料（提供提交投标文件截止时间前一年内至少一个月依法缴纳税收</w:t>
            </w:r>
            <w:r>
              <w:rPr>
                <w:spacing w:val="-5"/>
                <w:sz w:val="24"/>
              </w:rPr>
              <w:t>及缴纳社会保障资金的证明材料。投标人依法享受缓</w:t>
            </w:r>
          </w:p>
          <w:p>
            <w:pPr>
              <w:pStyle w:val="16"/>
              <w:spacing w:line="308" w:lineRule="exact"/>
              <w:ind w:left="14"/>
              <w:rPr>
                <w:spacing w:val="-5"/>
                <w:sz w:val="24"/>
              </w:rPr>
            </w:pPr>
            <w:r>
              <w:rPr>
                <w:spacing w:val="-5"/>
                <w:sz w:val="24"/>
              </w:rPr>
              <w:t>缴、免缴税收、社会保障资金的提供证明材料，成立</w:t>
            </w:r>
          </w:p>
          <w:p>
            <w:pPr>
              <w:pStyle w:val="16"/>
              <w:spacing w:before="18"/>
              <w:ind w:left="14"/>
              <w:rPr>
                <w:sz w:val="24"/>
              </w:rPr>
            </w:pPr>
            <w:r>
              <w:rPr>
                <w:spacing w:val="-8"/>
                <w:sz w:val="24"/>
              </w:rPr>
              <w:t>不满一个月不提供）；</w:t>
            </w:r>
          </w:p>
        </w:tc>
        <w:tc>
          <w:tcPr>
            <w:tcW w:w="1605" w:type="dxa"/>
            <w:vMerge w:val="restart"/>
          </w:tcPr>
          <w:p>
            <w:pPr>
              <w:pStyle w:val="16"/>
              <w:spacing w:before="35" w:line="232" w:lineRule="auto"/>
              <w:ind w:left="125" w:right="51"/>
              <w:jc w:val="both"/>
              <w:rPr>
                <w:sz w:val="24"/>
              </w:rPr>
            </w:pPr>
            <w:r>
              <w:rPr>
                <w:spacing w:val="-6"/>
                <w:sz w:val="24"/>
              </w:rPr>
              <w:t>提供证明文件的电子件或电</w:t>
            </w:r>
            <w:r>
              <w:rPr>
                <w:spacing w:val="-4"/>
                <w:sz w:val="24"/>
              </w:rPr>
              <w:t>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825" w:type="dxa"/>
            <w:tcBorders>
              <w:top w:val="nil"/>
            </w:tcBorders>
          </w:tcPr>
          <w:p>
            <w:pPr>
              <w:pStyle w:val="16"/>
              <w:rPr>
                <w:rFonts w:ascii="Times New Roman"/>
                <w:sz w:val="22"/>
              </w:rPr>
            </w:pPr>
          </w:p>
        </w:tc>
        <w:tc>
          <w:tcPr>
            <w:tcW w:w="1815" w:type="dxa"/>
            <w:vMerge w:val="continue"/>
          </w:tcPr>
          <w:p>
            <w:pPr>
              <w:pStyle w:val="16"/>
              <w:rPr>
                <w:rFonts w:ascii="Times New Roman"/>
                <w:sz w:val="22"/>
              </w:rPr>
            </w:pPr>
          </w:p>
        </w:tc>
        <w:tc>
          <w:tcPr>
            <w:tcW w:w="5649" w:type="dxa"/>
            <w:vMerge w:val="continue"/>
          </w:tcPr>
          <w:p>
            <w:pPr>
              <w:pStyle w:val="16"/>
              <w:spacing w:before="18"/>
              <w:ind w:left="14"/>
              <w:rPr>
                <w:sz w:val="24"/>
              </w:rPr>
            </w:pPr>
          </w:p>
        </w:tc>
        <w:tc>
          <w:tcPr>
            <w:tcW w:w="1605" w:type="dxa"/>
            <w:vMerge w:val="continue"/>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7" w:hRule="atLeast"/>
        </w:trPr>
        <w:tc>
          <w:tcPr>
            <w:tcW w:w="825" w:type="dxa"/>
          </w:tcPr>
          <w:p>
            <w:pPr>
              <w:pStyle w:val="16"/>
              <w:spacing w:before="12"/>
              <w:ind w:left="74" w:right="24"/>
              <w:jc w:val="center"/>
              <w:rPr>
                <w:b/>
                <w:sz w:val="24"/>
              </w:rPr>
            </w:pPr>
            <w:r>
              <w:rPr>
                <w:b/>
                <w:spacing w:val="-13"/>
                <w:sz w:val="24"/>
              </w:rPr>
              <w:t>1-</w:t>
            </w:r>
            <w:r>
              <w:rPr>
                <w:b/>
                <w:spacing w:val="-10"/>
                <w:sz w:val="24"/>
              </w:rPr>
              <w:t>5</w:t>
            </w:r>
          </w:p>
        </w:tc>
        <w:tc>
          <w:tcPr>
            <w:tcW w:w="1815" w:type="dxa"/>
          </w:tcPr>
          <w:p>
            <w:pPr>
              <w:pStyle w:val="16"/>
              <w:spacing w:before="151" w:line="228" w:lineRule="auto"/>
              <w:ind w:left="13" w:right="126" w:firstLine="4"/>
              <w:jc w:val="both"/>
              <w:rPr>
                <w:sz w:val="24"/>
              </w:rPr>
            </w:pPr>
            <w:r>
              <w:rPr>
                <w:spacing w:val="-4"/>
                <w:sz w:val="24"/>
              </w:rPr>
              <w:t>具备履行合同所必需的设备和专业技术能力的证明材料</w:t>
            </w:r>
          </w:p>
        </w:tc>
        <w:tc>
          <w:tcPr>
            <w:tcW w:w="5649" w:type="dxa"/>
          </w:tcPr>
          <w:p>
            <w:pPr>
              <w:pStyle w:val="16"/>
              <w:spacing w:before="76" w:line="261" w:lineRule="auto"/>
              <w:ind w:left="17" w:right="164" w:firstLine="2"/>
              <w:rPr>
                <w:sz w:val="24"/>
              </w:rPr>
            </w:pPr>
            <w:r>
              <w:rPr>
                <w:spacing w:val="-4"/>
                <w:sz w:val="24"/>
              </w:rPr>
              <w:t>具备履行合同所必需的设备和专业技术能力的证明材</w:t>
            </w:r>
            <w:r>
              <w:rPr>
                <w:spacing w:val="-10"/>
                <w:sz w:val="24"/>
              </w:rPr>
              <w:t>料</w:t>
            </w:r>
          </w:p>
        </w:tc>
        <w:tc>
          <w:tcPr>
            <w:tcW w:w="1605" w:type="dxa"/>
          </w:tcPr>
          <w:p>
            <w:pPr>
              <w:pStyle w:val="16"/>
              <w:spacing w:before="33" w:line="228" w:lineRule="auto"/>
              <w:ind w:left="145" w:right="58" w:hanging="20"/>
              <w:rPr>
                <w:sz w:val="24"/>
              </w:rPr>
            </w:pPr>
            <w:r>
              <w:rPr>
                <w:spacing w:val="-8"/>
                <w:sz w:val="24"/>
              </w:rPr>
              <w:t>提供加盖公章</w:t>
            </w:r>
            <w:r>
              <w:rPr>
                <w:spacing w:val="-4"/>
                <w:sz w:val="24"/>
              </w:rPr>
              <w:t>的承诺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25" w:type="dxa"/>
          </w:tcPr>
          <w:p>
            <w:pPr>
              <w:pStyle w:val="16"/>
              <w:spacing w:before="14"/>
              <w:ind w:left="74" w:right="44"/>
              <w:jc w:val="center"/>
              <w:rPr>
                <w:b/>
                <w:sz w:val="24"/>
              </w:rPr>
            </w:pPr>
            <w:r>
              <w:rPr>
                <w:b/>
                <w:spacing w:val="-8"/>
                <w:sz w:val="24"/>
              </w:rPr>
              <w:t>2-</w:t>
            </w:r>
            <w:r>
              <w:rPr>
                <w:b/>
                <w:spacing w:val="-10"/>
                <w:sz w:val="24"/>
              </w:rPr>
              <w:t>1</w:t>
            </w:r>
          </w:p>
        </w:tc>
        <w:tc>
          <w:tcPr>
            <w:tcW w:w="1815" w:type="dxa"/>
          </w:tcPr>
          <w:p>
            <w:pPr>
              <w:pStyle w:val="16"/>
              <w:spacing w:before="107"/>
              <w:rPr>
                <w:b/>
                <w:sz w:val="24"/>
              </w:rPr>
            </w:pPr>
          </w:p>
          <w:p>
            <w:pPr>
              <w:pStyle w:val="16"/>
              <w:spacing w:before="1"/>
              <w:ind w:left="140"/>
              <w:rPr>
                <w:sz w:val="24"/>
              </w:rPr>
            </w:pPr>
            <w:r>
              <w:rPr>
                <w:spacing w:val="-10"/>
                <w:sz w:val="24"/>
              </w:rPr>
              <w:t>中小企业政策</w:t>
            </w:r>
          </w:p>
        </w:tc>
        <w:tc>
          <w:tcPr>
            <w:tcW w:w="5649" w:type="dxa"/>
          </w:tcPr>
          <w:p>
            <w:pPr>
              <w:pStyle w:val="16"/>
              <w:spacing w:before="57"/>
              <w:ind w:left="12"/>
              <w:rPr>
                <w:sz w:val="24"/>
              </w:rPr>
            </w:pPr>
            <w:r>
              <w:rPr>
                <w:spacing w:val="-7"/>
                <w:sz w:val="24"/>
              </w:rPr>
              <w:t>落实政府采购政策的资格要求：供应商应为小微企业</w:t>
            </w:r>
          </w:p>
        </w:tc>
        <w:tc>
          <w:tcPr>
            <w:tcW w:w="1605" w:type="dxa"/>
          </w:tcPr>
          <w:p>
            <w:pPr>
              <w:pStyle w:val="16"/>
              <w:spacing w:before="33" w:line="230" w:lineRule="auto"/>
              <w:ind w:left="123" w:right="48" w:firstLine="2"/>
              <w:jc w:val="both"/>
              <w:rPr>
                <w:sz w:val="24"/>
              </w:rPr>
            </w:pPr>
            <w:r>
              <w:rPr>
                <w:spacing w:val="-6"/>
                <w:sz w:val="24"/>
              </w:rPr>
              <w:t>提供《中小企业声明函》的</w:t>
            </w:r>
            <w:r>
              <w:rPr>
                <w:spacing w:val="-7"/>
                <w:sz w:val="24"/>
              </w:rPr>
              <w:t>盖章原件扫描</w:t>
            </w:r>
          </w:p>
          <w:p>
            <w:pPr>
              <w:pStyle w:val="16"/>
              <w:spacing w:line="292" w:lineRule="exact"/>
              <w:ind w:left="123"/>
              <w:rPr>
                <w:sz w:val="24"/>
              </w:rPr>
            </w:pPr>
            <w:r>
              <w:rPr>
                <w:spacing w:val="-10"/>
                <w:sz w:val="24"/>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25" w:type="dxa"/>
          </w:tcPr>
          <w:p>
            <w:pPr>
              <w:pStyle w:val="16"/>
              <w:spacing w:before="37"/>
              <w:rPr>
                <w:b/>
                <w:sz w:val="24"/>
              </w:rPr>
            </w:pPr>
          </w:p>
          <w:p>
            <w:pPr>
              <w:pStyle w:val="16"/>
              <w:ind w:left="74" w:right="24"/>
              <w:jc w:val="center"/>
              <w:rPr>
                <w:b/>
                <w:sz w:val="24"/>
              </w:rPr>
            </w:pPr>
            <w:r>
              <w:rPr>
                <w:b/>
                <w:spacing w:val="-10"/>
                <w:sz w:val="24"/>
              </w:rPr>
              <w:t>3</w:t>
            </w:r>
          </w:p>
        </w:tc>
        <w:tc>
          <w:tcPr>
            <w:tcW w:w="1815" w:type="dxa"/>
          </w:tcPr>
          <w:p>
            <w:pPr>
              <w:pStyle w:val="16"/>
              <w:spacing w:before="217" w:line="228" w:lineRule="auto"/>
              <w:ind w:left="123" w:right="340" w:hanging="5"/>
              <w:rPr>
                <w:sz w:val="24"/>
              </w:rPr>
            </w:pPr>
            <w:r>
              <w:rPr>
                <w:spacing w:val="25"/>
                <w:sz w:val="24"/>
              </w:rPr>
              <w:t>本项目的特</w:t>
            </w:r>
            <w:r>
              <w:rPr>
                <w:spacing w:val="8"/>
                <w:sz w:val="24"/>
              </w:rPr>
              <w:t>定资格要求</w:t>
            </w:r>
          </w:p>
        </w:tc>
        <w:tc>
          <w:tcPr>
            <w:tcW w:w="5649" w:type="dxa"/>
          </w:tcPr>
          <w:p>
            <w:pPr>
              <w:pStyle w:val="16"/>
              <w:spacing w:before="58"/>
              <w:ind w:left="12"/>
              <w:rPr>
                <w:sz w:val="24"/>
              </w:rPr>
            </w:pPr>
            <w:r>
              <w:rPr>
                <w:spacing w:val="-28"/>
                <w:sz w:val="24"/>
              </w:rPr>
              <w:t>有效的《餐饮服务许可证》或《食品经营许可证》；</w:t>
            </w:r>
          </w:p>
        </w:tc>
        <w:tc>
          <w:tcPr>
            <w:tcW w:w="1605" w:type="dxa"/>
          </w:tcPr>
          <w:p>
            <w:pPr>
              <w:pStyle w:val="16"/>
              <w:spacing w:before="20" w:line="304" w:lineRule="exact"/>
              <w:ind w:left="123" w:firstLine="2"/>
              <w:rPr>
                <w:sz w:val="24"/>
              </w:rPr>
            </w:pPr>
            <w:r>
              <w:rPr>
                <w:spacing w:val="26"/>
                <w:sz w:val="24"/>
              </w:rPr>
              <w:t>提供证明文</w:t>
            </w:r>
          </w:p>
          <w:p>
            <w:pPr>
              <w:pStyle w:val="16"/>
              <w:spacing w:before="3" w:line="292" w:lineRule="exact"/>
              <w:ind w:left="123" w:right="120"/>
              <w:rPr>
                <w:sz w:val="24"/>
              </w:rPr>
            </w:pPr>
            <w:r>
              <w:rPr>
                <w:spacing w:val="27"/>
                <w:sz w:val="24"/>
              </w:rPr>
              <w:t>件的电子件</w:t>
            </w:r>
            <w:r>
              <w:rPr>
                <w:spacing w:val="-2"/>
                <w:sz w:val="24"/>
              </w:rPr>
              <w:t>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9" w:hRule="atLeast"/>
        </w:trPr>
        <w:tc>
          <w:tcPr>
            <w:tcW w:w="825" w:type="dxa"/>
          </w:tcPr>
          <w:p>
            <w:pPr>
              <w:pStyle w:val="16"/>
              <w:spacing w:before="37"/>
              <w:rPr>
                <w:b/>
                <w:sz w:val="24"/>
              </w:rPr>
            </w:pPr>
          </w:p>
          <w:p>
            <w:pPr>
              <w:pStyle w:val="16"/>
              <w:ind w:left="74" w:right="27"/>
              <w:jc w:val="center"/>
              <w:rPr>
                <w:b/>
                <w:sz w:val="24"/>
              </w:rPr>
            </w:pPr>
            <w:r>
              <w:rPr>
                <w:b/>
                <w:spacing w:val="-12"/>
                <w:sz w:val="24"/>
              </w:rPr>
              <w:t>3-</w:t>
            </w:r>
            <w:r>
              <w:rPr>
                <w:b/>
                <w:spacing w:val="-10"/>
                <w:sz w:val="24"/>
              </w:rPr>
              <w:t>1</w:t>
            </w:r>
          </w:p>
        </w:tc>
        <w:tc>
          <w:tcPr>
            <w:tcW w:w="1815" w:type="dxa"/>
          </w:tcPr>
          <w:p>
            <w:pPr>
              <w:pStyle w:val="16"/>
              <w:spacing w:before="171" w:line="298" w:lineRule="exact"/>
              <w:ind w:left="118" w:right="340"/>
              <w:rPr>
                <w:sz w:val="24"/>
              </w:rPr>
            </w:pPr>
            <w:r>
              <w:rPr>
                <w:spacing w:val="25"/>
                <w:sz w:val="24"/>
              </w:rPr>
              <w:t>本项目的其</w:t>
            </w:r>
            <w:r>
              <w:rPr>
                <w:spacing w:val="13"/>
                <w:sz w:val="24"/>
              </w:rPr>
              <w:t>他要求</w:t>
            </w:r>
          </w:p>
        </w:tc>
        <w:tc>
          <w:tcPr>
            <w:tcW w:w="5649" w:type="dxa"/>
          </w:tcPr>
          <w:p>
            <w:pPr>
              <w:pStyle w:val="16"/>
              <w:spacing w:before="80" w:line="256" w:lineRule="auto"/>
              <w:ind w:left="12" w:right="198" w:firstLine="16"/>
              <w:rPr>
                <w:spacing w:val="-10"/>
                <w:sz w:val="24"/>
              </w:rPr>
            </w:pPr>
            <w:r>
              <w:rPr>
                <w:spacing w:val="-10"/>
                <w:sz w:val="24"/>
              </w:rPr>
              <w:t>1、单位负责人为同一人或者存在直接控股、管理关系</w:t>
            </w:r>
            <w:r>
              <w:rPr>
                <w:spacing w:val="-7"/>
                <w:sz w:val="24"/>
              </w:rPr>
              <w:t>的不同供应商，不得参加同一合同项下的政府采购活</w:t>
            </w:r>
          </w:p>
          <w:p>
            <w:pPr>
              <w:pStyle w:val="16"/>
              <w:spacing w:line="277" w:lineRule="exact"/>
              <w:ind w:left="12"/>
              <w:rPr>
                <w:sz w:val="24"/>
              </w:rPr>
            </w:pPr>
            <w:r>
              <w:rPr>
                <w:spacing w:val="-9"/>
                <w:sz w:val="24"/>
              </w:rPr>
              <w:t>动；</w:t>
            </w:r>
          </w:p>
          <w:p>
            <w:pPr>
              <w:pStyle w:val="16"/>
              <w:spacing w:before="45" w:line="301" w:lineRule="exact"/>
              <w:ind w:left="12"/>
              <w:rPr>
                <w:sz w:val="24"/>
              </w:rPr>
            </w:pPr>
            <w:r>
              <w:rPr>
                <w:spacing w:val="-24"/>
                <w:sz w:val="24"/>
              </w:rPr>
              <w:t>2、除单一来源采购项目外，为采购项目提供整体设计、规</w:t>
            </w:r>
          </w:p>
          <w:p>
            <w:pPr>
              <w:pStyle w:val="16"/>
              <w:spacing w:before="5" w:line="304" w:lineRule="exact"/>
              <w:ind w:left="12" w:right="-15"/>
              <w:rPr>
                <w:sz w:val="24"/>
              </w:rPr>
            </w:pPr>
            <w:r>
              <w:rPr>
                <w:spacing w:val="-26"/>
                <w:sz w:val="24"/>
              </w:rPr>
              <w:t>范编制或者项目管理、监理、检测等服务的供应商，不得再</w:t>
            </w:r>
          </w:p>
          <w:p>
            <w:pPr>
              <w:pStyle w:val="16"/>
              <w:spacing w:before="7"/>
              <w:ind w:left="12"/>
              <w:rPr>
                <w:sz w:val="24"/>
              </w:rPr>
            </w:pPr>
            <w:r>
              <w:rPr>
                <w:spacing w:val="-24"/>
                <w:sz w:val="24"/>
              </w:rPr>
              <w:t>参加该采购项目的其他采购活动。</w:t>
            </w:r>
          </w:p>
        </w:tc>
        <w:tc>
          <w:tcPr>
            <w:tcW w:w="1605" w:type="dxa"/>
          </w:tcPr>
          <w:p>
            <w:pPr>
              <w:pStyle w:val="16"/>
              <w:spacing w:before="40" w:line="228" w:lineRule="auto"/>
              <w:ind w:left="37" w:right="166" w:hanging="20"/>
              <w:rPr>
                <w:sz w:val="24"/>
              </w:rPr>
            </w:pPr>
            <w:r>
              <w:rPr>
                <w:spacing w:val="-8"/>
                <w:sz w:val="24"/>
              </w:rPr>
              <w:t>提供加盖公章</w:t>
            </w:r>
            <w:r>
              <w:rPr>
                <w:spacing w:val="-4"/>
                <w:sz w:val="24"/>
              </w:rPr>
              <w:t>的承诺</w:t>
            </w:r>
          </w:p>
        </w:tc>
      </w:tr>
    </w:tbl>
    <w:p>
      <w:pPr>
        <w:spacing w:after="0"/>
        <w:rPr>
          <w:rFonts w:ascii="Times New Roman"/>
          <w:sz w:val="22"/>
        </w:rPr>
        <w:sectPr>
          <w:pgSz w:w="11910" w:h="16840"/>
          <w:pgMar w:top="1100" w:right="720" w:bottom="1180" w:left="920" w:header="916" w:footer="983" w:gutter="0"/>
          <w:pgNumType w:fmt="numberInDash"/>
          <w:cols w:space="720" w:num="1"/>
        </w:sectPr>
      </w:pPr>
    </w:p>
    <w:p>
      <w:pPr>
        <w:pStyle w:val="2"/>
        <w:spacing w:before="280"/>
        <w:ind w:right="415"/>
      </w:pPr>
      <w:bookmarkStart w:id="8" w:name="_bookmark4"/>
      <w:bookmarkEnd w:id="8"/>
      <w:bookmarkStart w:id="9" w:name="第五章 评标方法及标准(综合评分法)"/>
      <w:bookmarkEnd w:id="9"/>
      <w:r>
        <w:rPr>
          <w:spacing w:val="-21"/>
        </w:rPr>
        <w:t>第五章 评标方法及标准(综合评分法)</w:t>
      </w:r>
    </w:p>
    <w:p>
      <w:pPr>
        <w:pStyle w:val="9"/>
        <w:spacing w:before="391" w:line="345" w:lineRule="auto"/>
        <w:ind w:left="889" w:right="1240" w:firstLine="477"/>
      </w:pPr>
      <w:r>
        <w:rPr>
          <w:spacing w:val="-10"/>
        </w:rPr>
        <w:t>根据《中华人民共和国政府采购法》及其实施条例、《政府采购货物和服务</w:t>
      </w:r>
      <w:r>
        <w:rPr>
          <w:spacing w:val="-2"/>
        </w:rPr>
        <w:t>招标投标管理办法》及相关法律法规确定以下评标方法及标准。</w:t>
      </w:r>
    </w:p>
    <w:p>
      <w:pPr>
        <w:pStyle w:val="6"/>
        <w:spacing w:before="167"/>
      </w:pPr>
      <w:r>
        <w:rPr>
          <w:spacing w:val="-16"/>
        </w:rPr>
        <w:t>一、评标方法</w:t>
      </w:r>
    </w:p>
    <w:p>
      <w:pPr>
        <w:pStyle w:val="15"/>
        <w:numPr>
          <w:ilvl w:val="0"/>
          <w:numId w:val="44"/>
        </w:numPr>
        <w:tabs>
          <w:tab w:val="left" w:pos="1571"/>
        </w:tabs>
        <w:spacing w:before="322" w:after="0" w:line="345" w:lineRule="auto"/>
        <w:ind w:left="889" w:right="1064" w:firstLine="494"/>
        <w:jc w:val="left"/>
        <w:rPr>
          <w:sz w:val="24"/>
        </w:rPr>
      </w:pPr>
      <w:r>
        <w:rPr>
          <w:b/>
          <w:spacing w:val="-18"/>
          <w:sz w:val="24"/>
        </w:rPr>
        <w:t>本项目采用综合评分法</w:t>
      </w:r>
      <w:r>
        <w:rPr>
          <w:spacing w:val="-18"/>
          <w:sz w:val="24"/>
        </w:rPr>
        <w:t>。综合评分法，是指投标文件满足招标文件全部实质性要求，且按照评审因素的量化指标评审得分最高的投标人为中标候选人的评标方法。</w:t>
      </w:r>
    </w:p>
    <w:p>
      <w:pPr>
        <w:pStyle w:val="6"/>
        <w:spacing w:before="167"/>
      </w:pPr>
      <w:r>
        <w:rPr>
          <w:spacing w:val="-16"/>
        </w:rPr>
        <w:t>二、评标程序</w:t>
      </w:r>
    </w:p>
    <w:p>
      <w:pPr>
        <w:pStyle w:val="8"/>
        <w:spacing w:before="306"/>
      </w:pPr>
      <w:r>
        <w:rPr>
          <w:spacing w:val="-12"/>
        </w:rPr>
        <w:t>（一）符合性审查</w:t>
      </w:r>
    </w:p>
    <w:p>
      <w:pPr>
        <w:pStyle w:val="15"/>
        <w:numPr>
          <w:ilvl w:val="0"/>
          <w:numId w:val="44"/>
        </w:numPr>
        <w:tabs>
          <w:tab w:val="left" w:pos="1571"/>
        </w:tabs>
        <w:spacing w:before="216" w:after="0" w:line="357" w:lineRule="auto"/>
        <w:ind w:left="891" w:right="725" w:firstLine="477"/>
        <w:jc w:val="left"/>
        <w:rPr>
          <w:sz w:val="24"/>
        </w:rPr>
      </w:pPr>
      <w:r>
        <w:rPr>
          <w:spacing w:val="-4"/>
          <w:sz w:val="24"/>
        </w:rPr>
        <w:t xml:space="preserve">评标委员会应当对通过资格审查的投标人的投标文件进行符合性审查，以确 </w:t>
      </w:r>
      <w:r>
        <w:rPr>
          <w:spacing w:val="-14"/>
          <w:sz w:val="24"/>
        </w:rPr>
        <w:t>定其是否满足招标文件的实质性要求。投标人必须通过符合性审查的全部评审指标，不</w:t>
      </w:r>
      <w:r>
        <w:rPr>
          <w:spacing w:val="-2"/>
          <w:sz w:val="24"/>
        </w:rPr>
        <w:t>满足招标文件的实质性要求的，其</w:t>
      </w:r>
      <w:r>
        <w:rPr>
          <w:b/>
          <w:spacing w:val="-2"/>
          <w:sz w:val="24"/>
        </w:rPr>
        <w:t>投标无效</w:t>
      </w:r>
      <w:r>
        <w:rPr>
          <w:spacing w:val="-10"/>
          <w:sz w:val="24"/>
        </w:rPr>
        <w:t>。具体内容详本章“ 四、评标标准”中</w:t>
      </w:r>
      <w:r>
        <w:rPr>
          <w:spacing w:val="-2"/>
          <w:sz w:val="24"/>
        </w:rPr>
        <w:t>的“（一）符合性审查”。</w:t>
      </w:r>
    </w:p>
    <w:p>
      <w:pPr>
        <w:pStyle w:val="9"/>
        <w:spacing w:before="24" w:line="345" w:lineRule="auto"/>
        <w:ind w:left="894" w:right="1064" w:firstLine="472"/>
      </w:pPr>
      <w:r>
        <w:rPr>
          <w:spacing w:val="-20"/>
        </w:rPr>
        <w:t xml:space="preserve">通过符合性审查的有效供应商不足 </w:t>
      </w:r>
      <w:r>
        <w:rPr>
          <w:spacing w:val="-18"/>
        </w:rPr>
        <w:t>3</w:t>
      </w:r>
      <w:r>
        <w:rPr>
          <w:spacing w:val="-23"/>
        </w:rPr>
        <w:t xml:space="preserve"> 家的应当终止采购活动，发布项目终止公告</w:t>
      </w:r>
      <w:r>
        <w:rPr>
          <w:spacing w:val="-2"/>
        </w:rPr>
        <w:t>并说明原因，重新开展采购活动。</w:t>
      </w:r>
    </w:p>
    <w:p>
      <w:pPr>
        <w:pStyle w:val="8"/>
        <w:spacing w:before="71"/>
      </w:pPr>
      <w:r>
        <w:rPr>
          <w:spacing w:val="-12"/>
        </w:rPr>
        <w:t>（二）投标文件澄清及修正</w:t>
      </w:r>
    </w:p>
    <w:p>
      <w:pPr>
        <w:pStyle w:val="15"/>
        <w:numPr>
          <w:ilvl w:val="0"/>
          <w:numId w:val="44"/>
        </w:numPr>
        <w:tabs>
          <w:tab w:val="left" w:pos="1559"/>
        </w:tabs>
        <w:spacing w:before="235" w:after="0" w:line="312" w:lineRule="auto"/>
        <w:ind w:left="887" w:right="1041" w:firstLine="484"/>
        <w:jc w:val="both"/>
        <w:rPr>
          <w:sz w:val="24"/>
        </w:rPr>
      </w:pPr>
      <w:r>
        <w:rPr>
          <w:spacing w:val="-16"/>
          <w:sz w:val="24"/>
        </w:rPr>
        <w:t>评标期间，对于投标文件中含义不明确、同类问题表述不一致或者有明显文字和计算错误的内容需要投标人作出必要的澄清、说明或者补正的，评标委员会应当在</w:t>
      </w:r>
      <w:r>
        <w:rPr>
          <w:spacing w:val="-22"/>
          <w:sz w:val="24"/>
        </w:rPr>
        <w:t>政采云平台评标系统中以书面形式要求投标人作出必要的澄清、说明或者补正。</w:t>
      </w:r>
    </w:p>
    <w:p>
      <w:pPr>
        <w:pStyle w:val="15"/>
        <w:numPr>
          <w:ilvl w:val="0"/>
          <w:numId w:val="44"/>
        </w:numPr>
        <w:tabs>
          <w:tab w:val="left" w:pos="1570"/>
        </w:tabs>
        <w:spacing w:before="183" w:after="0" w:line="288" w:lineRule="auto"/>
        <w:ind w:left="887" w:right="1232" w:firstLine="477"/>
        <w:jc w:val="left"/>
        <w:rPr>
          <w:sz w:val="24"/>
        </w:rPr>
      </w:pPr>
      <w:r>
        <w:rPr>
          <w:spacing w:val="-8"/>
          <w:sz w:val="24"/>
        </w:rPr>
        <w:t>投标人应按照评标委员会要求在规定时间内作出澄清、说明或者补正，澄</w:t>
      </w:r>
      <w:r>
        <w:rPr>
          <w:spacing w:val="-2"/>
          <w:sz w:val="24"/>
        </w:rPr>
        <w:t>清、说明或者补正不得超出投标文件的范围或者改变投标文件的实质性内容。</w:t>
      </w:r>
    </w:p>
    <w:p>
      <w:pPr>
        <w:pStyle w:val="15"/>
        <w:numPr>
          <w:ilvl w:val="0"/>
          <w:numId w:val="44"/>
        </w:numPr>
        <w:tabs>
          <w:tab w:val="left" w:pos="1574"/>
        </w:tabs>
        <w:spacing w:before="182" w:after="0" w:line="288" w:lineRule="auto"/>
        <w:ind w:left="891" w:right="1230" w:firstLine="480"/>
        <w:jc w:val="left"/>
        <w:rPr>
          <w:sz w:val="24"/>
        </w:rPr>
      </w:pPr>
      <w:r>
        <w:rPr>
          <w:spacing w:val="-8"/>
          <w:sz w:val="24"/>
        </w:rPr>
        <w:t>投标人的澄清、说明或者补正是其投标文件的有效组成部分，澄清、说明</w:t>
      </w:r>
      <w:r>
        <w:rPr>
          <w:spacing w:val="-2"/>
          <w:sz w:val="24"/>
        </w:rPr>
        <w:t>或者补正应当在政采云平台评标系统中加盖电子印章后提交。</w:t>
      </w:r>
    </w:p>
    <w:p>
      <w:pPr>
        <w:pStyle w:val="15"/>
        <w:numPr>
          <w:ilvl w:val="0"/>
          <w:numId w:val="44"/>
        </w:numPr>
        <w:tabs>
          <w:tab w:val="left" w:pos="1554"/>
        </w:tabs>
        <w:spacing w:before="183" w:after="0" w:line="324" w:lineRule="auto"/>
        <w:ind w:left="889" w:right="1055" w:firstLine="477"/>
        <w:jc w:val="both"/>
        <w:rPr>
          <w:sz w:val="24"/>
        </w:rPr>
      </w:pPr>
      <w:r>
        <w:rPr>
          <w:spacing w:val="-16"/>
          <w:sz w:val="24"/>
        </w:rPr>
        <w:t>报价合理性说明：评标委员会认为投标人的报价明显低于其他通过符合性审查</w:t>
      </w:r>
      <w:r>
        <w:rPr>
          <w:spacing w:val="-4"/>
          <w:sz w:val="24"/>
        </w:rPr>
        <w:t>投标人的报价，有可能影响服务质量或者不能诚信履约的，应当要求该投标人在合理的时间内提供说明，必要时提交相关证明材料；若投标人不能证明其报价合</w:t>
      </w:r>
      <w:r>
        <w:rPr>
          <w:spacing w:val="-2"/>
          <w:sz w:val="24"/>
        </w:rPr>
        <w:t>理性的，评标委员会应当将其作</w:t>
      </w:r>
      <w:r>
        <w:rPr>
          <w:b/>
          <w:spacing w:val="-2"/>
          <w:sz w:val="24"/>
        </w:rPr>
        <w:t>无效投标</w:t>
      </w:r>
      <w:r>
        <w:rPr>
          <w:spacing w:val="-2"/>
          <w:sz w:val="24"/>
        </w:rPr>
        <w:t>处理。</w:t>
      </w:r>
    </w:p>
    <w:p>
      <w:pPr>
        <w:spacing w:after="0" w:line="324" w:lineRule="auto"/>
        <w:jc w:val="both"/>
        <w:rPr>
          <w:sz w:val="24"/>
        </w:rPr>
        <w:sectPr>
          <w:pgSz w:w="11910" w:h="16840"/>
          <w:pgMar w:top="1100" w:right="720" w:bottom="1180" w:left="920" w:header="916" w:footer="983" w:gutter="0"/>
          <w:pgNumType w:fmt="numberInDash"/>
          <w:cols w:space="720" w:num="1"/>
        </w:sectPr>
      </w:pPr>
    </w:p>
    <w:p>
      <w:pPr>
        <w:pStyle w:val="9"/>
        <w:spacing w:before="118"/>
      </w:pPr>
    </w:p>
    <w:p>
      <w:pPr>
        <w:pStyle w:val="15"/>
        <w:numPr>
          <w:ilvl w:val="0"/>
          <w:numId w:val="44"/>
        </w:numPr>
        <w:tabs>
          <w:tab w:val="left" w:pos="1572"/>
        </w:tabs>
        <w:spacing w:before="1" w:after="0" w:line="324" w:lineRule="auto"/>
        <w:ind w:left="891" w:right="1062" w:firstLine="480"/>
        <w:jc w:val="both"/>
        <w:rPr>
          <w:sz w:val="24"/>
        </w:rPr>
      </w:pPr>
      <w:r>
        <w:rPr>
          <w:spacing w:val="-10"/>
          <w:sz w:val="24"/>
        </w:rPr>
        <w:t>投标报价须包含招标文件全部内容，如分项报价表有缺漏视为已含在其他各</w:t>
      </w:r>
      <w:r>
        <w:rPr>
          <w:spacing w:val="-4"/>
          <w:sz w:val="24"/>
        </w:rPr>
        <w:t>项报价中，将不对投标总价进行调整。评标委员会有权要求投标人在评标现场合理的时间内对此进行书面确认，投标人不确认的，视为将一个采购包中的内容拆</w:t>
      </w:r>
      <w:r>
        <w:rPr>
          <w:spacing w:val="-2"/>
          <w:sz w:val="24"/>
        </w:rPr>
        <w:t>分投标，其</w:t>
      </w:r>
      <w:r>
        <w:rPr>
          <w:b/>
          <w:spacing w:val="-2"/>
          <w:sz w:val="24"/>
        </w:rPr>
        <w:t>投标无效</w:t>
      </w:r>
      <w:r>
        <w:rPr>
          <w:spacing w:val="-2"/>
          <w:sz w:val="24"/>
        </w:rPr>
        <w:t>。</w:t>
      </w:r>
    </w:p>
    <w:p>
      <w:pPr>
        <w:pStyle w:val="15"/>
        <w:numPr>
          <w:ilvl w:val="0"/>
          <w:numId w:val="44"/>
        </w:numPr>
        <w:tabs>
          <w:tab w:val="left" w:pos="1573"/>
        </w:tabs>
        <w:spacing w:before="175" w:after="0" w:line="290" w:lineRule="auto"/>
        <w:ind w:left="887" w:right="1230" w:firstLine="480"/>
        <w:jc w:val="left"/>
        <w:rPr>
          <w:sz w:val="24"/>
        </w:rPr>
      </w:pPr>
      <w:r>
        <w:rPr>
          <w:spacing w:val="-8"/>
          <w:sz w:val="24"/>
        </w:rPr>
        <w:t>投标文件报价出现前后不一致的，除招标文件另有规定外，按照下列规定</w:t>
      </w:r>
      <w:r>
        <w:rPr>
          <w:spacing w:val="-4"/>
          <w:sz w:val="24"/>
        </w:rPr>
        <w:t>修正：</w:t>
      </w:r>
    </w:p>
    <w:p>
      <w:pPr>
        <w:pStyle w:val="15"/>
        <w:numPr>
          <w:ilvl w:val="1"/>
          <w:numId w:val="44"/>
        </w:numPr>
        <w:tabs>
          <w:tab w:val="left" w:pos="1766"/>
        </w:tabs>
        <w:spacing w:before="176" w:after="0" w:line="288" w:lineRule="auto"/>
        <w:ind w:left="889" w:right="995" w:firstLine="480"/>
        <w:jc w:val="left"/>
        <w:rPr>
          <w:sz w:val="24"/>
        </w:rPr>
      </w:pPr>
      <w:r>
        <w:rPr>
          <w:spacing w:val="-14"/>
          <w:sz w:val="24"/>
        </w:rPr>
        <w:t>投标文件中开标一览表（报价表）内容与投标文件中相应内容不一致的，以</w:t>
      </w:r>
      <w:r>
        <w:rPr>
          <w:spacing w:val="-2"/>
          <w:sz w:val="24"/>
        </w:rPr>
        <w:t>开标一览表（报价表）为准；</w:t>
      </w:r>
    </w:p>
    <w:p>
      <w:pPr>
        <w:pStyle w:val="15"/>
        <w:numPr>
          <w:ilvl w:val="1"/>
          <w:numId w:val="44"/>
        </w:numPr>
        <w:tabs>
          <w:tab w:val="left" w:pos="1802"/>
        </w:tabs>
        <w:spacing w:before="163" w:after="0" w:line="240" w:lineRule="auto"/>
        <w:ind w:left="1802" w:right="0" w:hanging="433"/>
        <w:jc w:val="left"/>
        <w:rPr>
          <w:sz w:val="24"/>
        </w:rPr>
      </w:pPr>
      <w:r>
        <w:rPr>
          <w:spacing w:val="-5"/>
          <w:sz w:val="24"/>
        </w:rPr>
        <w:t>大写金额和小写金额不一致的，以大写金额为准；</w:t>
      </w:r>
    </w:p>
    <w:p>
      <w:pPr>
        <w:pStyle w:val="15"/>
        <w:numPr>
          <w:ilvl w:val="1"/>
          <w:numId w:val="44"/>
        </w:numPr>
        <w:tabs>
          <w:tab w:val="left" w:pos="1787"/>
        </w:tabs>
        <w:spacing w:before="173" w:after="0" w:line="288" w:lineRule="auto"/>
        <w:ind w:left="894" w:right="1218" w:firstLine="475"/>
        <w:jc w:val="left"/>
        <w:rPr>
          <w:sz w:val="24"/>
        </w:rPr>
      </w:pPr>
      <w:r>
        <w:rPr>
          <w:spacing w:val="-6"/>
          <w:sz w:val="24"/>
        </w:rPr>
        <w:t>单价金额小数点或者百分比有明显错位的，以开标一览表的总价为准，</w:t>
      </w:r>
      <w:r>
        <w:rPr>
          <w:spacing w:val="-2"/>
          <w:sz w:val="24"/>
        </w:rPr>
        <w:t>并修改单价；</w:t>
      </w:r>
    </w:p>
    <w:p>
      <w:pPr>
        <w:pStyle w:val="15"/>
        <w:numPr>
          <w:ilvl w:val="1"/>
          <w:numId w:val="44"/>
        </w:numPr>
        <w:tabs>
          <w:tab w:val="left" w:pos="1807"/>
        </w:tabs>
        <w:spacing w:before="163" w:after="0" w:line="240" w:lineRule="auto"/>
        <w:ind w:left="1807" w:right="0" w:hanging="438"/>
        <w:jc w:val="left"/>
        <w:rPr>
          <w:sz w:val="24"/>
        </w:rPr>
      </w:pPr>
      <w:r>
        <w:rPr>
          <w:spacing w:val="-5"/>
          <w:sz w:val="24"/>
        </w:rPr>
        <w:t>总价金额与按单价汇总金额不一致的，以单价金额计算结果为准。</w:t>
      </w:r>
    </w:p>
    <w:p>
      <w:pPr>
        <w:pStyle w:val="9"/>
        <w:spacing w:before="175" w:line="350" w:lineRule="auto"/>
        <w:ind w:left="889" w:right="1055" w:firstLine="501"/>
        <w:jc w:val="both"/>
      </w:pPr>
      <w:r>
        <w:rPr>
          <w:spacing w:val="-10"/>
        </w:rPr>
        <w:t>同时出现两种以上不一致的，按照 8.1—8.4</w:t>
      </w:r>
      <w:r>
        <w:rPr>
          <w:spacing w:val="-11"/>
        </w:rPr>
        <w:t xml:space="preserve"> 的顺序修正。修正后的报价采用</w:t>
      </w:r>
      <w:r>
        <w:rPr>
          <w:spacing w:val="-4"/>
        </w:rPr>
        <w:t>书面形式，并加盖公章，或者由法定代表人或其授权的代表签字，经投标人确认</w:t>
      </w:r>
      <w:r>
        <w:rPr>
          <w:spacing w:val="-2"/>
        </w:rPr>
        <w:t>后产生约束力，投标人不确认的，其</w:t>
      </w:r>
      <w:r>
        <w:rPr>
          <w:b/>
          <w:spacing w:val="-2"/>
        </w:rPr>
        <w:t>投标无效</w:t>
      </w:r>
      <w:r>
        <w:rPr>
          <w:spacing w:val="-2"/>
        </w:rPr>
        <w:t>。</w:t>
      </w:r>
    </w:p>
    <w:p>
      <w:pPr>
        <w:pStyle w:val="8"/>
        <w:spacing w:before="69"/>
      </w:pPr>
      <w:r>
        <w:rPr>
          <w:spacing w:val="-12"/>
        </w:rPr>
        <w:t>（三）比较与评价</w:t>
      </w:r>
    </w:p>
    <w:p>
      <w:pPr>
        <w:pStyle w:val="15"/>
        <w:numPr>
          <w:ilvl w:val="0"/>
          <w:numId w:val="44"/>
        </w:numPr>
        <w:tabs>
          <w:tab w:val="left" w:pos="1567"/>
        </w:tabs>
        <w:spacing w:before="238" w:after="0" w:line="324" w:lineRule="auto"/>
        <w:ind w:left="887" w:right="1067" w:firstLine="480"/>
        <w:jc w:val="both"/>
        <w:rPr>
          <w:sz w:val="24"/>
        </w:rPr>
      </w:pPr>
      <w:r>
        <w:rPr>
          <w:spacing w:val="-10"/>
          <w:sz w:val="24"/>
        </w:rPr>
        <w:t>评标委员会应当按照招标文件中规定的评标方法和标准，对符合性审查合格</w:t>
      </w:r>
      <w:r>
        <w:rPr>
          <w:spacing w:val="-4"/>
          <w:sz w:val="24"/>
        </w:rPr>
        <w:t>的投标文件进行商务和技术评估，综合比较与评价；未通过符合性审查的投标文件不得进入比较与评价。评审因素包括投标报价、商务技术以及落实政府采购政</w:t>
      </w:r>
      <w:r>
        <w:rPr>
          <w:spacing w:val="-7"/>
          <w:sz w:val="24"/>
        </w:rPr>
        <w:t>策。评审因素及标准见本章“ 四、评标标准”。</w:t>
      </w:r>
    </w:p>
    <w:p>
      <w:pPr>
        <w:pStyle w:val="15"/>
        <w:numPr>
          <w:ilvl w:val="0"/>
          <w:numId w:val="44"/>
        </w:numPr>
        <w:tabs>
          <w:tab w:val="left" w:pos="1675"/>
        </w:tabs>
        <w:spacing w:before="158" w:after="0" w:line="240" w:lineRule="auto"/>
        <w:ind w:left="1675" w:right="0" w:hanging="291"/>
        <w:jc w:val="both"/>
        <w:rPr>
          <w:sz w:val="24"/>
        </w:rPr>
      </w:pPr>
      <w:r>
        <w:rPr>
          <w:spacing w:val="-13"/>
          <w:sz w:val="24"/>
        </w:rPr>
        <w:t xml:space="preserve">有效投标人不足 </w:t>
      </w:r>
      <w:r>
        <w:rPr>
          <w:spacing w:val="-12"/>
          <w:sz w:val="24"/>
        </w:rPr>
        <w:t>3</w:t>
      </w:r>
      <w:r>
        <w:rPr>
          <w:spacing w:val="-14"/>
          <w:sz w:val="24"/>
        </w:rPr>
        <w:t xml:space="preserve"> 家的应按</w:t>
      </w:r>
      <w:r>
        <w:rPr>
          <w:b/>
          <w:spacing w:val="-12"/>
          <w:sz w:val="24"/>
        </w:rPr>
        <w:t>废标</w:t>
      </w:r>
      <w:r>
        <w:rPr>
          <w:spacing w:val="-12"/>
          <w:sz w:val="24"/>
        </w:rPr>
        <w:t>处理。</w:t>
      </w:r>
    </w:p>
    <w:p>
      <w:pPr>
        <w:pStyle w:val="8"/>
        <w:spacing w:before="214"/>
      </w:pPr>
      <w:r>
        <w:rPr>
          <w:spacing w:val="-12"/>
        </w:rPr>
        <w:t>（四）报价评审</w:t>
      </w:r>
    </w:p>
    <w:p>
      <w:pPr>
        <w:pStyle w:val="15"/>
        <w:numPr>
          <w:ilvl w:val="0"/>
          <w:numId w:val="44"/>
        </w:numPr>
        <w:tabs>
          <w:tab w:val="left" w:pos="1742"/>
        </w:tabs>
        <w:spacing w:before="211" w:after="0" w:line="240" w:lineRule="auto"/>
        <w:ind w:left="1742" w:right="0" w:hanging="358"/>
        <w:jc w:val="both"/>
        <w:rPr>
          <w:sz w:val="24"/>
        </w:rPr>
      </w:pPr>
      <w:r>
        <w:rPr>
          <w:spacing w:val="-9"/>
          <w:sz w:val="24"/>
        </w:rPr>
        <w:t>投标报价评审</w:t>
      </w:r>
    </w:p>
    <w:p>
      <w:pPr>
        <w:pStyle w:val="15"/>
        <w:numPr>
          <w:ilvl w:val="1"/>
          <w:numId w:val="44"/>
        </w:numPr>
        <w:tabs>
          <w:tab w:val="left" w:pos="1888"/>
        </w:tabs>
        <w:spacing w:before="177" w:after="0" w:line="324" w:lineRule="auto"/>
        <w:ind w:left="887" w:right="1060" w:firstLine="496"/>
        <w:jc w:val="both"/>
        <w:rPr>
          <w:sz w:val="24"/>
        </w:rPr>
      </w:pPr>
      <w:r>
        <w:rPr>
          <w:spacing w:val="-12"/>
          <w:sz w:val="24"/>
        </w:rPr>
        <w:t>服务项目的价格分值占总分值的比重不得低于 10%。执行国家统一定价标</w:t>
      </w:r>
      <w:r>
        <w:rPr>
          <w:spacing w:val="-4"/>
          <w:sz w:val="24"/>
        </w:rPr>
        <w:t>准和采用固定价格采购的项目，其价格不列为评审因素。价格分应当采用低价优先法计算，即满足招标文件要求且投标价格最低的投标报价为评标基准价，其价</w:t>
      </w:r>
      <w:r>
        <w:rPr>
          <w:spacing w:val="-2"/>
          <w:sz w:val="24"/>
        </w:rPr>
        <w:t>格分为满分。其他投标人的价格分统一按照下列公式计算：</w:t>
      </w:r>
    </w:p>
    <w:p>
      <w:pPr>
        <w:pStyle w:val="9"/>
        <w:spacing w:before="180" w:line="345" w:lineRule="auto"/>
        <w:ind w:left="1367" w:right="3232" w:firstLine="2"/>
      </w:pPr>
      <w:r>
        <w:rPr>
          <w:spacing w:val="-2"/>
        </w:rPr>
        <w:t>投标报价得分=(评标基准价／投标报价)×价格分值</w:t>
      </w:r>
      <w:r>
        <w:rPr>
          <w:spacing w:val="40"/>
        </w:rPr>
        <w:t xml:space="preserve"> </w:t>
      </w:r>
      <w:r>
        <w:rPr>
          <w:spacing w:val="-6"/>
        </w:rPr>
        <w:t>评标过程中，不得去掉报价中的最高报价和最低报价。</w:t>
      </w:r>
    </w:p>
    <w:p>
      <w:pPr>
        <w:spacing w:after="0" w:line="345" w:lineRule="auto"/>
        <w:sectPr>
          <w:pgSz w:w="11910" w:h="16840"/>
          <w:pgMar w:top="1100" w:right="720" w:bottom="1180" w:left="920" w:header="916" w:footer="983" w:gutter="0"/>
          <w:pgNumType w:fmt="numberInDash"/>
          <w:cols w:space="720" w:num="1"/>
        </w:sectPr>
      </w:pPr>
    </w:p>
    <w:p>
      <w:pPr>
        <w:pStyle w:val="9"/>
        <w:spacing w:before="94"/>
      </w:pPr>
    </w:p>
    <w:p>
      <w:pPr>
        <w:pStyle w:val="15"/>
        <w:numPr>
          <w:ilvl w:val="1"/>
          <w:numId w:val="44"/>
        </w:numPr>
        <w:tabs>
          <w:tab w:val="left" w:pos="1862"/>
        </w:tabs>
        <w:spacing w:before="1" w:after="0" w:line="240" w:lineRule="auto"/>
        <w:ind w:left="1862" w:right="0" w:hanging="476"/>
        <w:jc w:val="left"/>
        <w:rPr>
          <w:sz w:val="24"/>
        </w:rPr>
      </w:pPr>
      <w:r>
        <w:rPr>
          <w:spacing w:val="-22"/>
          <w:sz w:val="24"/>
        </w:rPr>
        <w:t>除算术修正和落实政府采购政策的价格扣除外，不对投标报价进行调整；</w:t>
      </w:r>
    </w:p>
    <w:p>
      <w:pPr>
        <w:pStyle w:val="15"/>
        <w:numPr>
          <w:ilvl w:val="1"/>
          <w:numId w:val="44"/>
        </w:numPr>
        <w:tabs>
          <w:tab w:val="left" w:pos="1920"/>
        </w:tabs>
        <w:spacing w:before="153" w:after="0" w:line="240" w:lineRule="auto"/>
        <w:ind w:left="1920" w:right="0" w:hanging="534"/>
        <w:jc w:val="left"/>
        <w:rPr>
          <w:sz w:val="24"/>
        </w:rPr>
      </w:pPr>
      <w:r>
        <w:rPr>
          <w:spacing w:val="-13"/>
          <w:sz w:val="24"/>
        </w:rPr>
        <w:t>价格分值见本章“ 四、评标标准”。</w:t>
      </w:r>
    </w:p>
    <w:p>
      <w:pPr>
        <w:pStyle w:val="15"/>
        <w:numPr>
          <w:ilvl w:val="0"/>
          <w:numId w:val="44"/>
        </w:numPr>
        <w:tabs>
          <w:tab w:val="left" w:pos="1706"/>
        </w:tabs>
        <w:spacing w:before="154" w:after="0" w:line="240" w:lineRule="auto"/>
        <w:ind w:left="1706" w:right="0" w:hanging="322"/>
        <w:jc w:val="left"/>
        <w:rPr>
          <w:sz w:val="24"/>
        </w:rPr>
      </w:pPr>
      <w:r>
        <w:rPr>
          <w:spacing w:val="-5"/>
          <w:sz w:val="24"/>
        </w:rPr>
        <w:t>政府采购政策评审</w:t>
      </w:r>
    </w:p>
    <w:p>
      <w:pPr>
        <w:pStyle w:val="15"/>
        <w:numPr>
          <w:ilvl w:val="1"/>
          <w:numId w:val="44"/>
        </w:numPr>
        <w:tabs>
          <w:tab w:val="left" w:pos="1900"/>
        </w:tabs>
        <w:spacing w:before="156" w:after="0" w:line="357" w:lineRule="auto"/>
        <w:ind w:left="889" w:right="1057" w:firstLine="496"/>
        <w:jc w:val="left"/>
        <w:rPr>
          <w:sz w:val="24"/>
        </w:rPr>
      </w:pPr>
      <w:r>
        <w:rPr>
          <w:spacing w:val="-12"/>
          <w:sz w:val="24"/>
        </w:rPr>
        <w:t>非专门面向中小企业的采购项目或采购包，对符合规定的小微企业（含监</w:t>
      </w:r>
      <w:r>
        <w:rPr>
          <w:spacing w:val="-4"/>
          <w:sz w:val="24"/>
        </w:rPr>
        <w:t>狱企业、残疾人福利性单位、联合体各方均为小微企业的联合体、符合小微企业</w:t>
      </w:r>
    </w:p>
    <w:p>
      <w:pPr>
        <w:pStyle w:val="9"/>
        <w:spacing w:before="23" w:line="288" w:lineRule="auto"/>
        <w:ind w:left="908" w:right="719" w:hanging="22"/>
      </w:pPr>
      <w:r>
        <w:rPr>
          <w:spacing w:val="-2"/>
        </w:rPr>
        <w:t>划分标准的个体工商户视同小微企业）报价按照本招标文件“投标人须知前附表”中的规定扣除，对小微企业中的监狱企业、残疾人福利性单位、采购产品纳入创</w:t>
      </w:r>
    </w:p>
    <w:p>
      <w:pPr>
        <w:pStyle w:val="9"/>
        <w:spacing w:before="182" w:line="312" w:lineRule="auto"/>
        <w:ind w:left="887" w:right="1060"/>
        <w:jc w:val="both"/>
      </w:pPr>
      <w:r>
        <w:rPr>
          <w:spacing w:val="-10"/>
        </w:rPr>
        <w:t>新产品应用示范推荐目录内企业、采购产品获得节能产品或环境标志产品认证证书</w:t>
      </w:r>
      <w:r>
        <w:rPr>
          <w:spacing w:val="-4"/>
        </w:rPr>
        <w:t>的企业报价按照本招标文件“投标人须知前附表”中的规定扣除，用扣除后的价</w:t>
      </w:r>
      <w:r>
        <w:rPr>
          <w:spacing w:val="-2"/>
        </w:rPr>
        <w:t>格计算评审基准价。</w:t>
      </w:r>
    </w:p>
    <w:p>
      <w:pPr>
        <w:pStyle w:val="15"/>
        <w:numPr>
          <w:ilvl w:val="1"/>
          <w:numId w:val="44"/>
        </w:numPr>
        <w:tabs>
          <w:tab w:val="left" w:pos="1928"/>
        </w:tabs>
        <w:spacing w:before="183" w:after="0" w:line="324" w:lineRule="auto"/>
        <w:ind w:left="872" w:right="1132" w:firstLine="513"/>
        <w:jc w:val="left"/>
        <w:rPr>
          <w:sz w:val="24"/>
        </w:rPr>
      </w:pPr>
      <w:r>
        <w:rPr>
          <w:spacing w:val="-2"/>
          <w:sz w:val="24"/>
        </w:rPr>
        <w:t xml:space="preserve">参加政府采购活动的小微企业（含节能环保、创新产品企业）未提供 </w:t>
      </w:r>
      <w:r>
        <w:rPr>
          <w:spacing w:val="-6"/>
          <w:sz w:val="24"/>
        </w:rPr>
        <w:t>“中小企业声明函”的；监狱企业未提供“监狱企业证明文件”的；残疾人福利性单位未提供“残疾人福利性单位声明函”的；不得享受相应的价格扣除优惠。</w:t>
      </w:r>
      <w:r>
        <w:rPr>
          <w:spacing w:val="-12"/>
          <w:sz w:val="24"/>
        </w:rPr>
        <w:t>组成联合体或者接受分包的小微企业与联合体内其他企业、分包企业之间存在直接</w:t>
      </w:r>
    </w:p>
    <w:p>
      <w:pPr>
        <w:pStyle w:val="9"/>
        <w:spacing w:before="177" w:line="348" w:lineRule="auto"/>
        <w:ind w:left="887" w:right="779"/>
      </w:pPr>
      <w:r>
        <w:rPr>
          <w:spacing w:val="-2"/>
        </w:rPr>
        <w:t>控股、管理关系的，不得享受价格扣除优惠。若供应商同时属于小型或微型企业、</w:t>
      </w:r>
      <w:r>
        <w:t>监狱企业、残疾人福利性单位 中的两种及以上，将不重复享受小微企业价格扣</w:t>
      </w:r>
      <w:r>
        <w:rPr>
          <w:spacing w:val="40"/>
        </w:rPr>
        <w:t xml:space="preserve"> </w:t>
      </w:r>
      <w:r>
        <w:rPr>
          <w:spacing w:val="-2"/>
        </w:rPr>
        <w:t>减的优惠政策。</w:t>
      </w:r>
    </w:p>
    <w:p>
      <w:pPr>
        <w:pStyle w:val="9"/>
        <w:spacing w:before="40" w:line="343" w:lineRule="auto"/>
        <w:ind w:left="889" w:right="1134" w:firstLine="480"/>
      </w:pPr>
      <w:r>
        <w:rPr>
          <w:spacing w:val="-12"/>
        </w:rPr>
        <w:t>组成联合体或者接受分包的小微企业与联合体内其他企业、分包企业之间存在</w:t>
      </w:r>
      <w:r>
        <w:rPr>
          <w:spacing w:val="-2"/>
        </w:rPr>
        <w:t>直接控股、管理关系的，不享受价格扣除优惠政策。</w:t>
      </w:r>
    </w:p>
    <w:p>
      <w:pPr>
        <w:pStyle w:val="9"/>
        <w:spacing w:before="17"/>
        <w:ind w:left="1369"/>
      </w:pPr>
      <w:r>
        <w:rPr>
          <w:spacing w:val="-5"/>
        </w:rPr>
        <w:t>价格扣除比例对小型企业和微型企业同等对待，不作区分。</w:t>
      </w:r>
    </w:p>
    <w:p>
      <w:pPr>
        <w:pStyle w:val="15"/>
        <w:numPr>
          <w:ilvl w:val="1"/>
          <w:numId w:val="44"/>
        </w:numPr>
        <w:tabs>
          <w:tab w:val="left" w:pos="1926"/>
        </w:tabs>
        <w:spacing w:before="175" w:after="0" w:line="290" w:lineRule="auto"/>
        <w:ind w:left="884" w:right="1283" w:firstLine="499"/>
        <w:jc w:val="left"/>
        <w:rPr>
          <w:sz w:val="24"/>
        </w:rPr>
      </w:pPr>
      <w:r>
        <w:rPr>
          <w:spacing w:val="-6"/>
          <w:sz w:val="24"/>
        </w:rPr>
        <w:t>专门面向中小企业、预留部分采购份额面向中小企业采购的项目或采</w:t>
      </w:r>
      <w:r>
        <w:rPr>
          <w:spacing w:val="-2"/>
          <w:sz w:val="24"/>
        </w:rPr>
        <w:t>购包，评审时不再进行价格扣除。</w:t>
      </w:r>
    </w:p>
    <w:p>
      <w:pPr>
        <w:pStyle w:val="15"/>
        <w:numPr>
          <w:ilvl w:val="1"/>
          <w:numId w:val="44"/>
        </w:numPr>
        <w:tabs>
          <w:tab w:val="left" w:pos="1926"/>
        </w:tabs>
        <w:spacing w:before="181" w:after="0" w:line="338" w:lineRule="auto"/>
        <w:ind w:left="887" w:right="1160" w:firstLine="496"/>
        <w:jc w:val="left"/>
        <w:rPr>
          <w:sz w:val="24"/>
        </w:rPr>
      </w:pPr>
      <w:r>
        <w:rPr>
          <w:spacing w:val="-2"/>
          <w:sz w:val="24"/>
        </w:rPr>
        <w:t>对于未预留份额专门面向中小企业的政府采购项目，以及预留份额政</w:t>
      </w:r>
      <w:r>
        <w:rPr>
          <w:spacing w:val="-6"/>
          <w:sz w:val="24"/>
        </w:rPr>
        <w:t>府采购项目中的非预留部分标项，对小型和微型企业的投标报价给予 10%-20%的扣除，用扣除后的价格参与评审。接受大中型企业与小微企业组成联合体或者允</w:t>
      </w:r>
      <w:r>
        <w:rPr>
          <w:spacing w:val="-12"/>
          <w:sz w:val="24"/>
        </w:rPr>
        <w:t>许大中型企业向一家或者多家小微企业分包的政府采购项目，对于联合体协议书或</w:t>
      </w:r>
      <w:r>
        <w:rPr>
          <w:spacing w:val="-6"/>
          <w:sz w:val="24"/>
        </w:rPr>
        <w:t>者分包意向协议书约定小微企业的合同份额占到合同总金额 30%以上的，对联合体或者大中型企业的报价给予 4%-6%的扣除，用扣除后的价格参加评审。组成联</w:t>
      </w:r>
      <w:r>
        <w:rPr>
          <w:spacing w:val="-8"/>
          <w:sz w:val="24"/>
        </w:rPr>
        <w:t>合体或者接受分包的小微企业与联合体内其他企业、分包企业之间存在直接控</w:t>
      </w:r>
    </w:p>
    <w:p>
      <w:pPr>
        <w:spacing w:after="0" w:line="338" w:lineRule="auto"/>
        <w:jc w:val="left"/>
        <w:rPr>
          <w:sz w:val="24"/>
        </w:rPr>
        <w:sectPr>
          <w:pgSz w:w="11910" w:h="16840"/>
          <w:pgMar w:top="1100" w:right="720" w:bottom="1180" w:left="920" w:header="916" w:footer="983" w:gutter="0"/>
          <w:pgNumType w:fmt="numberInDash"/>
          <w:cols w:space="720" w:num="1"/>
        </w:sectPr>
      </w:pPr>
    </w:p>
    <w:p>
      <w:pPr>
        <w:pStyle w:val="9"/>
        <w:spacing w:before="94"/>
      </w:pPr>
    </w:p>
    <w:p>
      <w:pPr>
        <w:pStyle w:val="9"/>
        <w:spacing w:before="1"/>
        <w:ind w:left="887"/>
      </w:pPr>
      <w:r>
        <w:rPr>
          <w:spacing w:val="-5"/>
        </w:rPr>
        <w:t>股、管理关系的，不享受价格扣除优惠政策。</w:t>
      </w:r>
    </w:p>
    <w:p>
      <w:pPr>
        <w:pStyle w:val="8"/>
        <w:spacing w:before="216"/>
      </w:pPr>
      <w:r>
        <w:rPr>
          <w:spacing w:val="-12"/>
        </w:rPr>
        <w:t>（五）评标得分及复核</w:t>
      </w:r>
    </w:p>
    <w:p>
      <w:pPr>
        <w:pStyle w:val="15"/>
        <w:numPr>
          <w:ilvl w:val="0"/>
          <w:numId w:val="44"/>
        </w:numPr>
        <w:tabs>
          <w:tab w:val="left" w:pos="1703"/>
        </w:tabs>
        <w:spacing w:before="283" w:after="0" w:line="285" w:lineRule="auto"/>
        <w:ind w:left="891" w:right="1225" w:firstLine="492"/>
        <w:jc w:val="left"/>
        <w:rPr>
          <w:sz w:val="24"/>
        </w:rPr>
      </w:pPr>
      <w:r>
        <w:rPr>
          <w:spacing w:val="-4"/>
          <w:sz w:val="24"/>
        </w:rPr>
        <w:t>评标过程中，各项分值一般精确到小数点后两位，评标得分应为商务评</w:t>
      </w:r>
      <w:r>
        <w:rPr>
          <w:spacing w:val="-2"/>
          <w:sz w:val="24"/>
        </w:rPr>
        <w:t>分、技术评分、报价评分之和。评标委员会各成员应汇总每个投标人的得分。</w:t>
      </w:r>
    </w:p>
    <w:p>
      <w:pPr>
        <w:pStyle w:val="15"/>
        <w:numPr>
          <w:ilvl w:val="0"/>
          <w:numId w:val="44"/>
        </w:numPr>
        <w:tabs>
          <w:tab w:val="left" w:pos="1703"/>
        </w:tabs>
        <w:spacing w:before="174" w:after="0" w:line="283" w:lineRule="auto"/>
        <w:ind w:left="887" w:right="988" w:firstLine="496"/>
        <w:jc w:val="left"/>
        <w:rPr>
          <w:sz w:val="24"/>
        </w:rPr>
      </w:pPr>
      <w:r>
        <w:rPr>
          <w:spacing w:val="-4"/>
          <w:sz w:val="24"/>
        </w:rPr>
        <w:t>评标结果汇总完成后，采购代理机构应对评标结果进行复核。经复核发现</w:t>
      </w:r>
      <w:r>
        <w:rPr>
          <w:spacing w:val="-10"/>
          <w:w w:val="90"/>
          <w:sz w:val="24"/>
        </w:rPr>
        <w:t>存在以下情形之一的，评标委员会应当当场修改评标结果，并在评标报告中记载：</w:t>
      </w:r>
    </w:p>
    <w:p>
      <w:pPr>
        <w:pStyle w:val="15"/>
        <w:numPr>
          <w:ilvl w:val="1"/>
          <w:numId w:val="44"/>
        </w:numPr>
        <w:tabs>
          <w:tab w:val="left" w:pos="1921"/>
        </w:tabs>
        <w:spacing w:before="154" w:after="0" w:line="240" w:lineRule="auto"/>
        <w:ind w:left="1921" w:right="0" w:hanging="533"/>
        <w:jc w:val="left"/>
        <w:rPr>
          <w:sz w:val="24"/>
        </w:rPr>
      </w:pPr>
      <w:r>
        <w:rPr>
          <w:spacing w:val="-7"/>
          <w:sz w:val="24"/>
        </w:rPr>
        <w:t>分值汇总计算错误的；</w:t>
      </w:r>
    </w:p>
    <w:p>
      <w:pPr>
        <w:pStyle w:val="15"/>
        <w:numPr>
          <w:ilvl w:val="1"/>
          <w:numId w:val="44"/>
        </w:numPr>
        <w:tabs>
          <w:tab w:val="left" w:pos="1929"/>
        </w:tabs>
        <w:spacing w:before="149" w:after="0" w:line="240" w:lineRule="auto"/>
        <w:ind w:left="1929" w:right="0" w:hanging="541"/>
        <w:jc w:val="left"/>
        <w:rPr>
          <w:sz w:val="24"/>
        </w:rPr>
      </w:pPr>
      <w:r>
        <w:rPr>
          <w:spacing w:val="-7"/>
          <w:sz w:val="24"/>
        </w:rPr>
        <w:t>分项评分超出评分标准范围的；</w:t>
      </w:r>
    </w:p>
    <w:p>
      <w:pPr>
        <w:pStyle w:val="15"/>
        <w:numPr>
          <w:ilvl w:val="1"/>
          <w:numId w:val="44"/>
        </w:numPr>
        <w:tabs>
          <w:tab w:val="left" w:pos="1921"/>
        </w:tabs>
        <w:spacing w:before="142" w:after="0" w:line="240" w:lineRule="auto"/>
        <w:ind w:left="1921" w:right="0" w:hanging="533"/>
        <w:jc w:val="left"/>
        <w:rPr>
          <w:sz w:val="24"/>
        </w:rPr>
      </w:pPr>
      <w:r>
        <w:rPr>
          <w:spacing w:val="-5"/>
          <w:sz w:val="24"/>
        </w:rPr>
        <w:t>评标委员会成员对客观评审因素评分不一致的；</w:t>
      </w:r>
    </w:p>
    <w:p>
      <w:pPr>
        <w:pStyle w:val="15"/>
        <w:numPr>
          <w:ilvl w:val="1"/>
          <w:numId w:val="44"/>
        </w:numPr>
        <w:tabs>
          <w:tab w:val="left" w:pos="1933"/>
        </w:tabs>
        <w:spacing w:before="146" w:after="0" w:line="240" w:lineRule="auto"/>
        <w:ind w:left="1933" w:right="0" w:hanging="545"/>
        <w:jc w:val="left"/>
        <w:rPr>
          <w:sz w:val="24"/>
        </w:rPr>
      </w:pPr>
      <w:r>
        <w:rPr>
          <w:spacing w:val="-7"/>
          <w:sz w:val="24"/>
        </w:rPr>
        <w:t>经评标委员会认定评分畸高、畸低的。</w:t>
      </w:r>
    </w:p>
    <w:p>
      <w:pPr>
        <w:pStyle w:val="15"/>
        <w:numPr>
          <w:ilvl w:val="0"/>
          <w:numId w:val="44"/>
        </w:numPr>
        <w:tabs>
          <w:tab w:val="left" w:pos="1751"/>
        </w:tabs>
        <w:spacing w:before="170" w:after="0" w:line="283" w:lineRule="auto"/>
        <w:ind w:left="908" w:right="1225" w:firstLine="475"/>
        <w:jc w:val="both"/>
        <w:rPr>
          <w:sz w:val="24"/>
        </w:rPr>
      </w:pPr>
      <w:r>
        <w:rPr>
          <w:spacing w:val="-6"/>
          <w:sz w:val="24"/>
        </w:rPr>
        <w:t>各投标人的最终得分为评标委员会所有成员对各投标人评标得分汇总后</w:t>
      </w:r>
      <w:r>
        <w:rPr>
          <w:spacing w:val="-2"/>
          <w:sz w:val="24"/>
        </w:rPr>
        <w:t>的算术平均值。</w:t>
      </w:r>
    </w:p>
    <w:p>
      <w:pPr>
        <w:pStyle w:val="15"/>
        <w:numPr>
          <w:ilvl w:val="1"/>
          <w:numId w:val="44"/>
        </w:numPr>
        <w:tabs>
          <w:tab w:val="left" w:pos="1928"/>
        </w:tabs>
        <w:spacing w:before="176" w:after="0" w:line="307" w:lineRule="auto"/>
        <w:ind w:left="884" w:right="1254" w:firstLine="501"/>
        <w:jc w:val="both"/>
        <w:rPr>
          <w:sz w:val="24"/>
        </w:rPr>
      </w:pPr>
      <w:r>
        <w:rPr>
          <w:spacing w:val="-6"/>
          <w:sz w:val="24"/>
        </w:rPr>
        <w:t>除资格性检查认定错误、分值汇总计算错误、分项评分超出评分标准</w:t>
      </w:r>
      <w:r>
        <w:rPr>
          <w:spacing w:val="-8"/>
          <w:sz w:val="24"/>
        </w:rPr>
        <w:t>范围、客观分评分不一致、经评标委员会一致认定评分畸高、畸低的情形外，采购人或者采购代理机构不得以任何理由组织重新评审。采购人、采购代理机构发</w:t>
      </w:r>
    </w:p>
    <w:p>
      <w:pPr>
        <w:pStyle w:val="9"/>
        <w:spacing w:before="180" w:line="340" w:lineRule="auto"/>
        <w:ind w:left="891" w:right="894" w:hanging="3"/>
      </w:pPr>
      <w:r>
        <w:rPr>
          <w:spacing w:val="-12"/>
        </w:rPr>
        <w:t>现评标委员会未按照招标文件规定的评审标准进行评审的，应当重新开展采购活动，</w:t>
      </w:r>
      <w:r>
        <w:rPr>
          <w:spacing w:val="-2"/>
        </w:rPr>
        <w:t>并同时书面报告本级财政部门。</w:t>
      </w:r>
    </w:p>
    <w:p>
      <w:pPr>
        <w:pStyle w:val="15"/>
        <w:numPr>
          <w:ilvl w:val="1"/>
          <w:numId w:val="44"/>
        </w:numPr>
        <w:tabs>
          <w:tab w:val="left" w:pos="1928"/>
        </w:tabs>
        <w:spacing w:before="33" w:after="0" w:line="340" w:lineRule="auto"/>
        <w:ind w:left="891" w:right="1281" w:firstLine="494"/>
        <w:jc w:val="left"/>
        <w:rPr>
          <w:sz w:val="24"/>
        </w:rPr>
      </w:pPr>
      <w:r>
        <w:rPr>
          <w:spacing w:val="-6"/>
          <w:sz w:val="24"/>
        </w:rPr>
        <w:t>采购人或者采购代理机构不得通过对样品进行检测、对投标人进行考</w:t>
      </w:r>
      <w:r>
        <w:rPr>
          <w:spacing w:val="-2"/>
          <w:sz w:val="24"/>
        </w:rPr>
        <w:t>察等方式改变评审结果。</w:t>
      </w:r>
    </w:p>
    <w:p>
      <w:pPr>
        <w:pStyle w:val="8"/>
        <w:spacing w:before="11"/>
      </w:pPr>
      <w:r>
        <w:rPr>
          <w:spacing w:val="-12"/>
        </w:rPr>
        <w:t>（六）排序与推荐</w:t>
      </w:r>
    </w:p>
    <w:p>
      <w:pPr>
        <w:pStyle w:val="15"/>
        <w:numPr>
          <w:ilvl w:val="0"/>
          <w:numId w:val="44"/>
        </w:numPr>
        <w:tabs>
          <w:tab w:val="left" w:pos="1700"/>
        </w:tabs>
        <w:spacing w:before="235" w:after="0" w:line="324" w:lineRule="auto"/>
        <w:ind w:left="887" w:right="971" w:firstLine="496"/>
        <w:jc w:val="left"/>
        <w:rPr>
          <w:sz w:val="24"/>
        </w:rPr>
      </w:pPr>
      <w:r>
        <w:rPr>
          <w:spacing w:val="-4"/>
          <w:sz w:val="24"/>
        </w:rPr>
        <w:t>评标结果按评审后得分由高到低顺序排列。投标文件满足招标文件全部实</w:t>
      </w:r>
      <w:r>
        <w:rPr>
          <w:spacing w:val="-26"/>
          <w:sz w:val="24"/>
        </w:rPr>
        <w:t xml:space="preserve">质性要求，且按照评审因素的量化指标评审得分最高的投标人为排名第一的中标候选人。得分相同的，按投标报价由低到高顺序排列。得分且投标报价相同的，按技术指标优劣顺 </w:t>
      </w:r>
      <w:r>
        <w:rPr>
          <w:spacing w:val="-4"/>
          <w:sz w:val="24"/>
        </w:rPr>
        <w:t>序排列。</w:t>
      </w:r>
    </w:p>
    <w:p>
      <w:pPr>
        <w:pStyle w:val="15"/>
        <w:numPr>
          <w:ilvl w:val="0"/>
          <w:numId w:val="44"/>
        </w:numPr>
        <w:tabs>
          <w:tab w:val="left" w:pos="1776"/>
        </w:tabs>
        <w:spacing w:before="159" w:after="0" w:line="240" w:lineRule="auto"/>
        <w:ind w:left="1776" w:right="0" w:hanging="392"/>
        <w:jc w:val="left"/>
        <w:rPr>
          <w:sz w:val="24"/>
        </w:rPr>
      </w:pPr>
      <w:r>
        <w:rPr>
          <w:spacing w:val="-5"/>
          <w:sz w:val="24"/>
        </w:rPr>
        <w:t>中标候选人推荐家数详见“投标人须知前附表”。</w:t>
      </w:r>
    </w:p>
    <w:p>
      <w:pPr>
        <w:pStyle w:val="8"/>
        <w:spacing w:before="213"/>
      </w:pPr>
      <w:r>
        <w:rPr>
          <w:spacing w:val="-12"/>
        </w:rPr>
        <w:t>（七）编写评标报告</w:t>
      </w:r>
    </w:p>
    <w:p>
      <w:pPr>
        <w:pStyle w:val="15"/>
        <w:numPr>
          <w:ilvl w:val="0"/>
          <w:numId w:val="44"/>
        </w:numPr>
        <w:tabs>
          <w:tab w:val="left" w:pos="1711"/>
        </w:tabs>
        <w:spacing w:before="238" w:after="0" w:line="348" w:lineRule="auto"/>
        <w:ind w:left="884" w:right="1065" w:firstLine="499"/>
        <w:jc w:val="both"/>
        <w:rPr>
          <w:sz w:val="24"/>
        </w:rPr>
      </w:pPr>
      <w:r>
        <w:rPr>
          <w:spacing w:val="-2"/>
          <w:sz w:val="24"/>
        </w:rPr>
        <w:t>评标委员会根据全体评标成员签字的原始评标记录和评标结果编写评标</w:t>
      </w:r>
      <w:r>
        <w:rPr>
          <w:spacing w:val="-4"/>
          <w:sz w:val="24"/>
        </w:rPr>
        <w:t>报告。评标委员会应当在评标报告上签名，对自己的评审意见承担法律责任。评</w:t>
      </w:r>
      <w:r>
        <w:rPr>
          <w:spacing w:val="-8"/>
          <w:sz w:val="24"/>
        </w:rPr>
        <w:t>标委员会成员对需要共同认定的事项存在争议的，应当按照少数服从多数的原则</w:t>
      </w:r>
    </w:p>
    <w:p>
      <w:pPr>
        <w:spacing w:after="0" w:line="348" w:lineRule="auto"/>
        <w:jc w:val="both"/>
        <w:rPr>
          <w:sz w:val="24"/>
        </w:rPr>
        <w:sectPr>
          <w:pgSz w:w="11910" w:h="16840"/>
          <w:pgMar w:top="1100" w:right="720" w:bottom="1180" w:left="920" w:header="916" w:footer="983" w:gutter="0"/>
          <w:pgNumType w:fmt="numberInDash"/>
          <w:cols w:space="720" w:num="1"/>
        </w:sectPr>
      </w:pPr>
    </w:p>
    <w:p>
      <w:pPr>
        <w:pStyle w:val="9"/>
        <w:spacing w:before="116"/>
      </w:pPr>
    </w:p>
    <w:p>
      <w:pPr>
        <w:pStyle w:val="9"/>
        <w:spacing w:line="343" w:lineRule="auto"/>
        <w:ind w:left="908" w:right="1254" w:hanging="20"/>
      </w:pPr>
      <w:r>
        <w:rPr>
          <w:spacing w:val="-10"/>
        </w:rPr>
        <w:t>作出结论。持不同意见的评标委员会成员应当在评标报告上签署不同意见，并说</w:t>
      </w:r>
      <w:r>
        <w:rPr>
          <w:spacing w:val="-2"/>
        </w:rPr>
        <w:t>明理由，否则视为同意评标报告。</w:t>
      </w:r>
    </w:p>
    <w:p>
      <w:pPr>
        <w:pStyle w:val="8"/>
        <w:spacing w:before="80"/>
      </w:pPr>
      <w:r>
        <w:rPr>
          <w:spacing w:val="-12"/>
        </w:rPr>
        <w:t>（八）投标无效及应予废标的情形</w:t>
      </w:r>
    </w:p>
    <w:p>
      <w:pPr>
        <w:pStyle w:val="15"/>
        <w:numPr>
          <w:ilvl w:val="0"/>
          <w:numId w:val="44"/>
        </w:numPr>
        <w:tabs>
          <w:tab w:val="left" w:pos="1753"/>
        </w:tabs>
        <w:spacing w:before="261" w:after="0" w:line="240" w:lineRule="auto"/>
        <w:ind w:left="1753" w:right="0" w:hanging="367"/>
        <w:jc w:val="left"/>
        <w:rPr>
          <w:sz w:val="24"/>
        </w:rPr>
      </w:pPr>
      <w:r>
        <w:rPr>
          <w:spacing w:val="-8"/>
          <w:sz w:val="24"/>
        </w:rPr>
        <w:t>投标人存在下列情形之一的，</w:t>
      </w:r>
      <w:r>
        <w:rPr>
          <w:b/>
          <w:spacing w:val="-8"/>
          <w:sz w:val="24"/>
        </w:rPr>
        <w:t>投标无效</w:t>
      </w:r>
      <w:r>
        <w:rPr>
          <w:spacing w:val="-10"/>
          <w:sz w:val="24"/>
        </w:rPr>
        <w:t>：</w:t>
      </w:r>
    </w:p>
    <w:p>
      <w:pPr>
        <w:pStyle w:val="15"/>
        <w:numPr>
          <w:ilvl w:val="1"/>
          <w:numId w:val="44"/>
        </w:numPr>
        <w:tabs>
          <w:tab w:val="left" w:pos="1931"/>
        </w:tabs>
        <w:spacing w:before="144" w:after="0" w:line="240" w:lineRule="auto"/>
        <w:ind w:left="1931" w:right="0" w:hanging="543"/>
        <w:jc w:val="left"/>
        <w:rPr>
          <w:sz w:val="24"/>
        </w:rPr>
      </w:pPr>
      <w:r>
        <w:rPr>
          <w:spacing w:val="-5"/>
          <w:sz w:val="24"/>
        </w:rPr>
        <w:t>投标人不具备《中华人民共和国政府采购法》第二十二条规定条件；</w:t>
      </w:r>
    </w:p>
    <w:p>
      <w:pPr>
        <w:pStyle w:val="15"/>
        <w:numPr>
          <w:ilvl w:val="1"/>
          <w:numId w:val="44"/>
        </w:numPr>
        <w:tabs>
          <w:tab w:val="left" w:pos="1938"/>
        </w:tabs>
        <w:spacing w:before="147" w:after="0" w:line="240" w:lineRule="auto"/>
        <w:ind w:left="1938" w:right="0" w:hanging="550"/>
        <w:jc w:val="left"/>
        <w:rPr>
          <w:sz w:val="24"/>
        </w:rPr>
      </w:pPr>
      <w:r>
        <w:rPr>
          <w:spacing w:val="-7"/>
          <w:sz w:val="24"/>
        </w:rPr>
        <w:t>投标文件未按招标文件要求签署、盖章的；</w:t>
      </w:r>
    </w:p>
    <w:p>
      <w:pPr>
        <w:pStyle w:val="15"/>
        <w:numPr>
          <w:ilvl w:val="1"/>
          <w:numId w:val="44"/>
        </w:numPr>
        <w:tabs>
          <w:tab w:val="left" w:pos="1914"/>
        </w:tabs>
        <w:spacing w:before="165" w:after="0" w:line="285" w:lineRule="auto"/>
        <w:ind w:left="887" w:right="1096" w:firstLine="499"/>
        <w:jc w:val="left"/>
        <w:rPr>
          <w:sz w:val="24"/>
        </w:rPr>
      </w:pPr>
      <w:r>
        <w:rPr>
          <w:spacing w:val="-8"/>
          <w:sz w:val="24"/>
        </w:rPr>
        <w:t>不具备招标文件中规定的资格要求的（投标人未提供有效资格文件的，</w:t>
      </w:r>
      <w:r>
        <w:rPr>
          <w:spacing w:val="-2"/>
          <w:sz w:val="24"/>
        </w:rPr>
        <w:t>视为投标人不具备招标文件中规定的资格要求）；</w:t>
      </w:r>
    </w:p>
    <w:p>
      <w:pPr>
        <w:pStyle w:val="15"/>
        <w:numPr>
          <w:ilvl w:val="1"/>
          <w:numId w:val="44"/>
        </w:numPr>
        <w:tabs>
          <w:tab w:val="left" w:pos="1924"/>
        </w:tabs>
        <w:spacing w:before="163" w:after="0" w:line="240" w:lineRule="auto"/>
        <w:ind w:left="1924" w:right="0" w:hanging="536"/>
        <w:jc w:val="left"/>
        <w:rPr>
          <w:sz w:val="24"/>
        </w:rPr>
      </w:pPr>
      <w:r>
        <w:rPr>
          <w:spacing w:val="-7"/>
          <w:sz w:val="24"/>
        </w:rPr>
        <w:t>投标文件提供虚假材料的；</w:t>
      </w:r>
    </w:p>
    <w:p>
      <w:pPr>
        <w:pStyle w:val="15"/>
        <w:numPr>
          <w:ilvl w:val="1"/>
          <w:numId w:val="44"/>
        </w:numPr>
        <w:tabs>
          <w:tab w:val="left" w:pos="1921"/>
        </w:tabs>
        <w:spacing w:before="158" w:after="0" w:line="285" w:lineRule="auto"/>
        <w:ind w:left="889" w:right="1273" w:firstLine="496"/>
        <w:jc w:val="left"/>
        <w:rPr>
          <w:sz w:val="24"/>
        </w:rPr>
      </w:pPr>
      <w:r>
        <w:rPr>
          <w:spacing w:val="-6"/>
          <w:sz w:val="24"/>
        </w:rPr>
        <w:t>投标文件不满足招标文件中标注“★”号的实质性条款（或指标）要</w:t>
      </w:r>
      <w:r>
        <w:rPr>
          <w:spacing w:val="-4"/>
          <w:sz w:val="24"/>
        </w:rPr>
        <w:t>求的；</w:t>
      </w:r>
    </w:p>
    <w:p>
      <w:pPr>
        <w:pStyle w:val="15"/>
        <w:numPr>
          <w:ilvl w:val="1"/>
          <w:numId w:val="44"/>
        </w:numPr>
        <w:tabs>
          <w:tab w:val="left" w:pos="1926"/>
        </w:tabs>
        <w:spacing w:before="160" w:after="0" w:line="240" w:lineRule="auto"/>
        <w:ind w:left="1926" w:right="0" w:hanging="538"/>
        <w:jc w:val="left"/>
        <w:rPr>
          <w:sz w:val="24"/>
        </w:rPr>
      </w:pPr>
      <w:r>
        <w:rPr>
          <w:spacing w:val="-5"/>
          <w:sz w:val="24"/>
        </w:rPr>
        <w:t>投标人报价超过招标文件中规定的最高限价或者预算金额的；</w:t>
      </w:r>
    </w:p>
    <w:p>
      <w:pPr>
        <w:pStyle w:val="15"/>
        <w:numPr>
          <w:ilvl w:val="1"/>
          <w:numId w:val="44"/>
        </w:numPr>
        <w:tabs>
          <w:tab w:val="left" w:pos="1923"/>
        </w:tabs>
        <w:spacing w:before="139" w:after="0" w:line="240" w:lineRule="auto"/>
        <w:ind w:left="1923" w:right="0" w:hanging="535"/>
        <w:jc w:val="left"/>
        <w:rPr>
          <w:sz w:val="24"/>
        </w:rPr>
      </w:pPr>
      <w:r>
        <w:rPr>
          <w:spacing w:val="-5"/>
          <w:sz w:val="24"/>
        </w:rPr>
        <w:t>联合体的供应商未提交各方共同签署的联合体协议的；</w:t>
      </w:r>
    </w:p>
    <w:p>
      <w:pPr>
        <w:pStyle w:val="15"/>
        <w:numPr>
          <w:ilvl w:val="1"/>
          <w:numId w:val="44"/>
        </w:numPr>
        <w:tabs>
          <w:tab w:val="left" w:pos="1926"/>
        </w:tabs>
        <w:spacing w:before="149" w:after="0" w:line="240" w:lineRule="auto"/>
        <w:ind w:left="1926" w:right="0" w:hanging="538"/>
        <w:jc w:val="left"/>
        <w:rPr>
          <w:sz w:val="24"/>
        </w:rPr>
      </w:pPr>
      <w:r>
        <w:rPr>
          <w:spacing w:val="-5"/>
          <w:sz w:val="24"/>
        </w:rPr>
        <w:t>投标人未按招标文件的规定交纳投标保证金的；</w:t>
      </w:r>
    </w:p>
    <w:p>
      <w:pPr>
        <w:pStyle w:val="15"/>
        <w:numPr>
          <w:ilvl w:val="1"/>
          <w:numId w:val="44"/>
        </w:numPr>
        <w:tabs>
          <w:tab w:val="left" w:pos="1917"/>
        </w:tabs>
        <w:spacing w:before="170" w:after="0" w:line="283" w:lineRule="auto"/>
        <w:ind w:left="887" w:right="1398" w:firstLine="499"/>
        <w:jc w:val="left"/>
        <w:rPr>
          <w:sz w:val="24"/>
        </w:rPr>
      </w:pPr>
      <w:r>
        <w:rPr>
          <w:spacing w:val="-6"/>
          <w:sz w:val="24"/>
        </w:rPr>
        <w:t>评审期间,投标人没有按评标委员会的要求提交经授权代表签字的澄</w:t>
      </w:r>
      <w:r>
        <w:rPr>
          <w:spacing w:val="-2"/>
          <w:sz w:val="24"/>
        </w:rPr>
        <w:t>清、说明、补正或改变了投标文件的实质性内容的；</w:t>
      </w:r>
    </w:p>
    <w:p>
      <w:pPr>
        <w:pStyle w:val="15"/>
        <w:numPr>
          <w:ilvl w:val="1"/>
          <w:numId w:val="44"/>
        </w:numPr>
        <w:tabs>
          <w:tab w:val="left" w:pos="1940"/>
        </w:tabs>
        <w:spacing w:before="176" w:after="0" w:line="285" w:lineRule="auto"/>
        <w:ind w:left="887" w:right="1196" w:firstLine="499"/>
        <w:jc w:val="left"/>
        <w:rPr>
          <w:sz w:val="24"/>
        </w:rPr>
      </w:pPr>
      <w:r>
        <w:rPr>
          <w:spacing w:val="-28"/>
          <w:sz w:val="24"/>
        </w:rPr>
        <w:t>投标人对采购人、采购代理机构、评标委员会及其工作人员施加影响,有碍公</w:t>
      </w:r>
      <w:r>
        <w:rPr>
          <w:spacing w:val="-2"/>
          <w:sz w:val="24"/>
        </w:rPr>
        <w:t>平、公正的；</w:t>
      </w:r>
    </w:p>
    <w:p>
      <w:pPr>
        <w:pStyle w:val="15"/>
        <w:numPr>
          <w:ilvl w:val="1"/>
          <w:numId w:val="44"/>
        </w:numPr>
        <w:tabs>
          <w:tab w:val="left" w:pos="2040"/>
        </w:tabs>
        <w:spacing w:before="157" w:after="0" w:line="240" w:lineRule="auto"/>
        <w:ind w:left="2040" w:right="0" w:hanging="652"/>
        <w:jc w:val="left"/>
        <w:rPr>
          <w:sz w:val="24"/>
        </w:rPr>
      </w:pPr>
      <w:r>
        <w:rPr>
          <w:spacing w:val="-5"/>
          <w:sz w:val="24"/>
        </w:rPr>
        <w:t>投标文件含有采购人不能接受的附加条件的；</w:t>
      </w:r>
    </w:p>
    <w:p>
      <w:pPr>
        <w:pStyle w:val="15"/>
        <w:numPr>
          <w:ilvl w:val="1"/>
          <w:numId w:val="44"/>
        </w:numPr>
        <w:tabs>
          <w:tab w:val="left" w:pos="2040"/>
        </w:tabs>
        <w:spacing w:before="142" w:after="0" w:line="240" w:lineRule="auto"/>
        <w:ind w:left="2040" w:right="0" w:hanging="652"/>
        <w:jc w:val="left"/>
        <w:rPr>
          <w:sz w:val="24"/>
        </w:rPr>
      </w:pPr>
      <w:r>
        <w:rPr>
          <w:spacing w:val="-5"/>
          <w:sz w:val="24"/>
        </w:rPr>
        <w:t>法律、法规、规章规定属于投标无效的其他情形。</w:t>
      </w:r>
    </w:p>
    <w:p>
      <w:pPr>
        <w:pStyle w:val="15"/>
        <w:numPr>
          <w:ilvl w:val="0"/>
          <w:numId w:val="44"/>
        </w:numPr>
        <w:tabs>
          <w:tab w:val="left" w:pos="1692"/>
        </w:tabs>
        <w:spacing w:before="149" w:after="0" w:line="240" w:lineRule="auto"/>
        <w:ind w:left="1692" w:right="0" w:hanging="320"/>
        <w:jc w:val="left"/>
        <w:rPr>
          <w:sz w:val="24"/>
        </w:rPr>
      </w:pPr>
      <w:r>
        <w:rPr>
          <w:spacing w:val="-4"/>
          <w:sz w:val="24"/>
        </w:rPr>
        <w:t>有下列情形之一的，视为投标人串通投标，其</w:t>
      </w:r>
      <w:r>
        <w:rPr>
          <w:b/>
          <w:spacing w:val="-4"/>
          <w:sz w:val="24"/>
        </w:rPr>
        <w:t>投标无效</w:t>
      </w:r>
      <w:r>
        <w:rPr>
          <w:spacing w:val="-10"/>
          <w:sz w:val="24"/>
        </w:rPr>
        <w:t>：</w:t>
      </w:r>
    </w:p>
    <w:p>
      <w:pPr>
        <w:pStyle w:val="15"/>
        <w:numPr>
          <w:ilvl w:val="1"/>
          <w:numId w:val="44"/>
        </w:numPr>
        <w:tabs>
          <w:tab w:val="left" w:pos="1922"/>
        </w:tabs>
        <w:spacing w:before="141" w:after="0" w:line="240" w:lineRule="auto"/>
        <w:ind w:left="1922" w:right="0" w:hanging="550"/>
        <w:jc w:val="left"/>
        <w:rPr>
          <w:sz w:val="24"/>
        </w:rPr>
      </w:pPr>
      <w:r>
        <w:rPr>
          <w:spacing w:val="-5"/>
          <w:sz w:val="24"/>
        </w:rPr>
        <w:t>不同投标人的投标文件由同一单位或者个人编制；</w:t>
      </w:r>
    </w:p>
    <w:p>
      <w:pPr>
        <w:pStyle w:val="15"/>
        <w:numPr>
          <w:ilvl w:val="1"/>
          <w:numId w:val="44"/>
        </w:numPr>
        <w:tabs>
          <w:tab w:val="left" w:pos="1922"/>
        </w:tabs>
        <w:spacing w:before="149" w:after="0" w:line="240" w:lineRule="auto"/>
        <w:ind w:left="1922" w:right="0" w:hanging="550"/>
        <w:jc w:val="left"/>
        <w:rPr>
          <w:sz w:val="24"/>
        </w:rPr>
      </w:pPr>
      <w:r>
        <w:rPr>
          <w:spacing w:val="-5"/>
          <w:sz w:val="24"/>
        </w:rPr>
        <w:t>不同投标人委托同一单位或者个人办理投标事宜；</w:t>
      </w:r>
    </w:p>
    <w:p>
      <w:pPr>
        <w:pStyle w:val="15"/>
        <w:numPr>
          <w:ilvl w:val="1"/>
          <w:numId w:val="44"/>
        </w:numPr>
        <w:tabs>
          <w:tab w:val="left" w:pos="1915"/>
        </w:tabs>
        <w:spacing w:before="149" w:after="0" w:line="240" w:lineRule="auto"/>
        <w:ind w:left="1915" w:right="0" w:hanging="543"/>
        <w:jc w:val="left"/>
        <w:rPr>
          <w:sz w:val="24"/>
        </w:rPr>
      </w:pPr>
      <w:r>
        <w:rPr>
          <w:spacing w:val="-5"/>
          <w:sz w:val="24"/>
        </w:rPr>
        <w:t>不同投标人的投标文件载明的项目管理成员或者联系人员为同一人；</w:t>
      </w:r>
    </w:p>
    <w:p>
      <w:pPr>
        <w:pStyle w:val="15"/>
        <w:numPr>
          <w:ilvl w:val="1"/>
          <w:numId w:val="44"/>
        </w:numPr>
        <w:tabs>
          <w:tab w:val="left" w:pos="1927"/>
        </w:tabs>
        <w:spacing w:before="142" w:after="0" w:line="240" w:lineRule="auto"/>
        <w:ind w:left="1927" w:right="0" w:hanging="555"/>
        <w:jc w:val="left"/>
        <w:rPr>
          <w:sz w:val="24"/>
        </w:rPr>
      </w:pPr>
      <w:r>
        <w:rPr>
          <w:spacing w:val="-5"/>
          <w:sz w:val="24"/>
        </w:rPr>
        <w:t>不同投标人的投标文件异常一致或者投标报价呈规律性差异；</w:t>
      </w:r>
    </w:p>
    <w:p>
      <w:pPr>
        <w:pStyle w:val="15"/>
        <w:numPr>
          <w:ilvl w:val="1"/>
          <w:numId w:val="44"/>
        </w:numPr>
        <w:tabs>
          <w:tab w:val="left" w:pos="1915"/>
        </w:tabs>
        <w:spacing w:before="148" w:after="0" w:line="240" w:lineRule="auto"/>
        <w:ind w:left="1915" w:right="0" w:hanging="543"/>
        <w:jc w:val="left"/>
        <w:rPr>
          <w:sz w:val="24"/>
        </w:rPr>
      </w:pPr>
      <w:r>
        <w:rPr>
          <w:spacing w:val="-5"/>
          <w:sz w:val="24"/>
        </w:rPr>
        <w:t>不同投标人的投标文件相互混装；</w:t>
      </w:r>
    </w:p>
    <w:p>
      <w:pPr>
        <w:pStyle w:val="15"/>
        <w:numPr>
          <w:ilvl w:val="1"/>
          <w:numId w:val="44"/>
        </w:numPr>
        <w:tabs>
          <w:tab w:val="left" w:pos="1927"/>
        </w:tabs>
        <w:spacing w:before="149" w:after="0" w:line="240" w:lineRule="auto"/>
        <w:ind w:left="1927" w:right="0" w:hanging="555"/>
        <w:jc w:val="left"/>
        <w:rPr>
          <w:sz w:val="24"/>
        </w:rPr>
      </w:pPr>
      <w:r>
        <w:rPr>
          <w:spacing w:val="-5"/>
          <w:sz w:val="24"/>
        </w:rPr>
        <w:t>不同投标人的投标保证金从同一单位或者个人的账户转出；</w:t>
      </w:r>
    </w:p>
    <w:p>
      <w:pPr>
        <w:pStyle w:val="15"/>
        <w:numPr>
          <w:ilvl w:val="1"/>
          <w:numId w:val="44"/>
        </w:numPr>
        <w:tabs>
          <w:tab w:val="left" w:pos="1893"/>
        </w:tabs>
        <w:spacing w:before="166" w:after="0" w:line="283" w:lineRule="auto"/>
        <w:ind w:left="911" w:right="1360" w:firstLine="460"/>
        <w:jc w:val="left"/>
        <w:rPr>
          <w:sz w:val="24"/>
        </w:rPr>
      </w:pPr>
      <w:r>
        <w:rPr>
          <w:spacing w:val="-10"/>
          <w:sz w:val="24"/>
        </w:rPr>
        <w:t>不同投标人使用同一电脑（</w:t>
      </w:r>
      <w:r>
        <w:rPr>
          <w:spacing w:val="-12"/>
          <w:sz w:val="24"/>
        </w:rPr>
        <w:t xml:space="preserve">机器特征值一致：如 </w:t>
      </w:r>
      <w:r>
        <w:rPr>
          <w:spacing w:val="-10"/>
          <w:sz w:val="24"/>
        </w:rPr>
        <w:t>MAC 地址等）或使用</w:t>
      </w:r>
      <w:r>
        <w:rPr>
          <w:spacing w:val="-2"/>
          <w:sz w:val="24"/>
        </w:rPr>
        <w:t>同一电子密钥，编制或上传电子投标文件；</w:t>
      </w:r>
    </w:p>
    <w:p>
      <w:pPr>
        <w:pStyle w:val="15"/>
        <w:numPr>
          <w:ilvl w:val="1"/>
          <w:numId w:val="44"/>
        </w:numPr>
        <w:tabs>
          <w:tab w:val="left" w:pos="1927"/>
        </w:tabs>
        <w:spacing w:before="164" w:after="0" w:line="240" w:lineRule="auto"/>
        <w:ind w:left="1927" w:right="0" w:hanging="555"/>
        <w:jc w:val="left"/>
        <w:rPr>
          <w:sz w:val="24"/>
        </w:rPr>
      </w:pPr>
      <w:r>
        <w:rPr>
          <w:spacing w:val="-5"/>
          <w:sz w:val="24"/>
        </w:rPr>
        <w:t>法律、法规、规章规定属于投标人串通投标的其他情形。</w:t>
      </w:r>
    </w:p>
    <w:p>
      <w:pPr>
        <w:spacing w:after="0" w:line="240" w:lineRule="auto"/>
        <w:jc w:val="left"/>
        <w:rPr>
          <w:sz w:val="24"/>
        </w:rPr>
        <w:sectPr>
          <w:pgSz w:w="11910" w:h="16840"/>
          <w:pgMar w:top="1100" w:right="720" w:bottom="1180" w:left="920" w:header="916" w:footer="983" w:gutter="0"/>
          <w:pgNumType w:fmt="numberInDash"/>
          <w:cols w:space="720" w:num="1"/>
        </w:sectPr>
      </w:pPr>
    </w:p>
    <w:p>
      <w:pPr>
        <w:pStyle w:val="9"/>
        <w:spacing w:before="164"/>
      </w:pPr>
    </w:p>
    <w:p>
      <w:pPr>
        <w:pStyle w:val="15"/>
        <w:numPr>
          <w:ilvl w:val="0"/>
          <w:numId w:val="44"/>
        </w:numPr>
        <w:tabs>
          <w:tab w:val="left" w:pos="1688"/>
        </w:tabs>
        <w:spacing w:before="0" w:after="0" w:line="285" w:lineRule="auto"/>
        <w:ind w:left="887" w:right="1228" w:firstLine="484"/>
        <w:jc w:val="left"/>
        <w:rPr>
          <w:sz w:val="24"/>
        </w:rPr>
      </w:pPr>
      <w:r>
        <w:rPr>
          <w:spacing w:val="-4"/>
          <w:sz w:val="24"/>
        </w:rPr>
        <w:t>根据《中华人民共和国政府采购法》第三十六条之规定，在招标采购过</w:t>
      </w:r>
      <w:r>
        <w:rPr>
          <w:spacing w:val="-2"/>
          <w:sz w:val="24"/>
        </w:rPr>
        <w:t>程中，出现下列情形之一的，应予</w:t>
      </w:r>
      <w:r>
        <w:rPr>
          <w:b/>
          <w:spacing w:val="-2"/>
          <w:sz w:val="24"/>
        </w:rPr>
        <w:t>废标</w:t>
      </w:r>
      <w:r>
        <w:rPr>
          <w:spacing w:val="-2"/>
          <w:sz w:val="24"/>
        </w:rPr>
        <w:t>：</w:t>
      </w:r>
    </w:p>
    <w:p>
      <w:pPr>
        <w:pStyle w:val="15"/>
        <w:numPr>
          <w:ilvl w:val="1"/>
          <w:numId w:val="44"/>
        </w:numPr>
        <w:tabs>
          <w:tab w:val="left" w:pos="1837"/>
        </w:tabs>
        <w:spacing w:before="160" w:after="0" w:line="240" w:lineRule="auto"/>
        <w:ind w:left="1837" w:right="0" w:hanging="465"/>
        <w:jc w:val="left"/>
        <w:rPr>
          <w:sz w:val="24"/>
        </w:rPr>
      </w:pPr>
      <w:r>
        <w:rPr>
          <w:spacing w:val="-25"/>
          <w:sz w:val="24"/>
        </w:rPr>
        <w:t xml:space="preserve">符合专业条件的供应商或者对招标文件作实质响应的供应商不足 </w:t>
      </w:r>
      <w:r>
        <w:rPr>
          <w:spacing w:val="-24"/>
          <w:sz w:val="24"/>
        </w:rPr>
        <w:t>3</w:t>
      </w:r>
      <w:r>
        <w:rPr>
          <w:spacing w:val="-32"/>
          <w:sz w:val="24"/>
        </w:rPr>
        <w:t xml:space="preserve"> 家的；</w:t>
      </w:r>
    </w:p>
    <w:p>
      <w:pPr>
        <w:pStyle w:val="15"/>
        <w:numPr>
          <w:ilvl w:val="1"/>
          <w:numId w:val="44"/>
        </w:numPr>
        <w:tabs>
          <w:tab w:val="left" w:pos="1937"/>
        </w:tabs>
        <w:spacing w:before="139" w:after="0" w:line="240" w:lineRule="auto"/>
        <w:ind w:left="1937" w:right="0" w:hanging="565"/>
        <w:jc w:val="left"/>
        <w:rPr>
          <w:sz w:val="24"/>
        </w:rPr>
      </w:pPr>
      <w:r>
        <w:rPr>
          <w:spacing w:val="-7"/>
          <w:sz w:val="24"/>
        </w:rPr>
        <w:t>出现影响采购公正的违法、违规行为的；</w:t>
      </w:r>
    </w:p>
    <w:p>
      <w:pPr>
        <w:pStyle w:val="15"/>
        <w:numPr>
          <w:ilvl w:val="1"/>
          <w:numId w:val="44"/>
        </w:numPr>
        <w:tabs>
          <w:tab w:val="left" w:pos="1924"/>
        </w:tabs>
        <w:spacing w:before="144" w:after="0" w:line="240" w:lineRule="auto"/>
        <w:ind w:left="1924" w:right="0" w:hanging="552"/>
        <w:jc w:val="left"/>
        <w:rPr>
          <w:sz w:val="24"/>
        </w:rPr>
      </w:pPr>
      <w:r>
        <w:rPr>
          <w:spacing w:val="-5"/>
          <w:sz w:val="24"/>
        </w:rPr>
        <w:t>投标人的报价均超过了采购预算，采购人不能支付的；</w:t>
      </w:r>
    </w:p>
    <w:p>
      <w:pPr>
        <w:pStyle w:val="15"/>
        <w:numPr>
          <w:ilvl w:val="1"/>
          <w:numId w:val="44"/>
        </w:numPr>
        <w:tabs>
          <w:tab w:val="left" w:pos="1929"/>
        </w:tabs>
        <w:spacing w:before="149" w:after="0" w:line="240" w:lineRule="auto"/>
        <w:ind w:left="1929" w:right="0" w:hanging="557"/>
        <w:jc w:val="left"/>
        <w:rPr>
          <w:sz w:val="24"/>
        </w:rPr>
      </w:pPr>
      <w:r>
        <w:rPr>
          <w:spacing w:val="-7"/>
          <w:sz w:val="24"/>
        </w:rPr>
        <w:t>因重大变故，采购任务取消的；</w:t>
      </w:r>
    </w:p>
    <w:p>
      <w:pPr>
        <w:pStyle w:val="15"/>
        <w:numPr>
          <w:ilvl w:val="1"/>
          <w:numId w:val="44"/>
        </w:numPr>
        <w:tabs>
          <w:tab w:val="left" w:pos="1922"/>
        </w:tabs>
        <w:spacing w:before="144" w:after="0" w:line="240" w:lineRule="auto"/>
        <w:ind w:left="1922" w:right="0" w:hanging="550"/>
        <w:jc w:val="left"/>
        <w:rPr>
          <w:sz w:val="24"/>
        </w:rPr>
      </w:pPr>
      <w:r>
        <w:rPr>
          <w:spacing w:val="-5"/>
          <w:sz w:val="24"/>
        </w:rPr>
        <w:t>法律、法规、规章规定属于废标的其他情形。</w:t>
      </w:r>
    </w:p>
    <w:p>
      <w:pPr>
        <w:pStyle w:val="15"/>
        <w:numPr>
          <w:ilvl w:val="0"/>
          <w:numId w:val="44"/>
        </w:numPr>
        <w:tabs>
          <w:tab w:val="left" w:pos="1696"/>
        </w:tabs>
        <w:spacing w:before="146" w:after="0" w:line="240" w:lineRule="auto"/>
        <w:ind w:left="1696" w:right="0" w:hanging="324"/>
        <w:jc w:val="left"/>
        <w:rPr>
          <w:sz w:val="24"/>
        </w:rPr>
      </w:pPr>
      <w:r>
        <w:rPr>
          <w:spacing w:val="-3"/>
          <w:sz w:val="24"/>
        </w:rPr>
        <w:t>废标后，采购人应当将废标理由通知所有投标人。</w:t>
      </w:r>
    </w:p>
    <w:p>
      <w:pPr>
        <w:pStyle w:val="8"/>
        <w:spacing w:before="161"/>
      </w:pPr>
      <w:r>
        <w:rPr>
          <w:spacing w:val="-12"/>
        </w:rPr>
        <w:t>（九）停止评标的情形</w:t>
      </w:r>
    </w:p>
    <w:p>
      <w:pPr>
        <w:pStyle w:val="15"/>
        <w:numPr>
          <w:ilvl w:val="0"/>
          <w:numId w:val="44"/>
        </w:numPr>
        <w:tabs>
          <w:tab w:val="left" w:pos="1703"/>
        </w:tabs>
        <w:spacing w:before="238" w:after="0" w:line="350" w:lineRule="auto"/>
        <w:ind w:left="889" w:right="1076" w:firstLine="480"/>
        <w:jc w:val="both"/>
        <w:rPr>
          <w:sz w:val="24"/>
        </w:rPr>
      </w:pPr>
      <w:r>
        <w:rPr>
          <w:spacing w:val="-2"/>
          <w:sz w:val="24"/>
        </w:rPr>
        <w:t>评标委员会发现招标文件存在歧义、重大缺陷导致评标工作无法进行，</w:t>
      </w:r>
      <w:r>
        <w:rPr>
          <w:spacing w:val="-4"/>
          <w:sz w:val="24"/>
        </w:rPr>
        <w:t>或者招标文件内容违反国家有关强制性规定的，应当停止评标工作，与采购人或者采购代理机构沟通并作书面记录。采购人或者采购代理机构确认后，应当修改</w:t>
      </w:r>
      <w:r>
        <w:rPr>
          <w:spacing w:val="-2"/>
          <w:sz w:val="24"/>
        </w:rPr>
        <w:t>招标文件，重新组织采购活动。</w:t>
      </w:r>
    </w:p>
    <w:p>
      <w:pPr>
        <w:pStyle w:val="8"/>
        <w:spacing w:before="76"/>
      </w:pPr>
      <w:r>
        <w:rPr>
          <w:spacing w:val="-12"/>
        </w:rPr>
        <w:t>（十）重新开展采购</w:t>
      </w:r>
    </w:p>
    <w:p>
      <w:pPr>
        <w:pStyle w:val="15"/>
        <w:numPr>
          <w:ilvl w:val="0"/>
          <w:numId w:val="44"/>
        </w:numPr>
        <w:tabs>
          <w:tab w:val="left" w:pos="1688"/>
        </w:tabs>
        <w:spacing w:before="286" w:after="0" w:line="283" w:lineRule="auto"/>
        <w:ind w:left="891" w:right="1228" w:firstLine="480"/>
        <w:jc w:val="left"/>
        <w:rPr>
          <w:sz w:val="24"/>
        </w:rPr>
      </w:pPr>
      <w:r>
        <w:rPr>
          <w:spacing w:val="-4"/>
          <w:sz w:val="24"/>
        </w:rPr>
        <w:t>有《中华人民共和国政府采购法》第七十一条、第七十二条规定的违法</w:t>
      </w:r>
      <w:r>
        <w:rPr>
          <w:spacing w:val="-2"/>
          <w:sz w:val="24"/>
        </w:rPr>
        <w:t>行为之一，影响或者可能影响中标结果的，依照下列规定处理：</w:t>
      </w:r>
    </w:p>
    <w:p>
      <w:pPr>
        <w:pStyle w:val="15"/>
        <w:numPr>
          <w:ilvl w:val="1"/>
          <w:numId w:val="44"/>
        </w:numPr>
        <w:tabs>
          <w:tab w:val="left" w:pos="1851"/>
        </w:tabs>
        <w:spacing w:before="156" w:after="0" w:line="240" w:lineRule="auto"/>
        <w:ind w:left="1851" w:right="0" w:hanging="479"/>
        <w:jc w:val="both"/>
        <w:rPr>
          <w:sz w:val="24"/>
        </w:rPr>
      </w:pPr>
      <w:r>
        <w:rPr>
          <w:spacing w:val="-22"/>
          <w:sz w:val="24"/>
        </w:rPr>
        <w:t>未确定中标供应商的，终止本次政府采购活动，重新开展政府采购活动。</w:t>
      </w:r>
    </w:p>
    <w:p>
      <w:pPr>
        <w:pStyle w:val="15"/>
        <w:numPr>
          <w:ilvl w:val="1"/>
          <w:numId w:val="44"/>
        </w:numPr>
        <w:tabs>
          <w:tab w:val="left" w:pos="1929"/>
        </w:tabs>
        <w:spacing w:before="166" w:after="0" w:line="307" w:lineRule="auto"/>
        <w:ind w:left="887" w:right="1254" w:firstLine="484"/>
        <w:jc w:val="both"/>
        <w:rPr>
          <w:sz w:val="24"/>
        </w:rPr>
      </w:pPr>
      <w:r>
        <w:rPr>
          <w:spacing w:val="-6"/>
          <w:sz w:val="24"/>
        </w:rPr>
        <w:t>已确定中标供应商但尚未签订政府采购合同的，中标结果无效，从合</w:t>
      </w:r>
      <w:r>
        <w:rPr>
          <w:spacing w:val="-10"/>
          <w:sz w:val="24"/>
        </w:rPr>
        <w:t>格的中标候选人中另行确定中标供应商；没有合格的中标候选人的，重新开展政</w:t>
      </w:r>
      <w:r>
        <w:rPr>
          <w:spacing w:val="-2"/>
          <w:sz w:val="24"/>
        </w:rPr>
        <w:t>府采购活动。</w:t>
      </w:r>
    </w:p>
    <w:p>
      <w:pPr>
        <w:pStyle w:val="15"/>
        <w:numPr>
          <w:ilvl w:val="1"/>
          <w:numId w:val="44"/>
        </w:numPr>
        <w:tabs>
          <w:tab w:val="left" w:pos="1902"/>
        </w:tabs>
        <w:spacing w:before="172" w:after="0" w:line="283" w:lineRule="auto"/>
        <w:ind w:left="911" w:right="1280" w:firstLine="460"/>
        <w:jc w:val="both"/>
        <w:rPr>
          <w:sz w:val="24"/>
        </w:rPr>
      </w:pPr>
      <w:r>
        <w:rPr>
          <w:spacing w:val="-6"/>
          <w:sz w:val="24"/>
        </w:rPr>
        <w:t>政府采购合同已签订但尚未履行的，撤销合同，从合格的中标候选人</w:t>
      </w:r>
      <w:r>
        <w:rPr>
          <w:spacing w:val="-4"/>
          <w:sz w:val="24"/>
        </w:rPr>
        <w:t>中另行确定中标供应商；没有合格的中标候选人的，重新开展政府采购活动。</w:t>
      </w:r>
    </w:p>
    <w:p>
      <w:pPr>
        <w:pStyle w:val="15"/>
        <w:numPr>
          <w:ilvl w:val="1"/>
          <w:numId w:val="44"/>
        </w:numPr>
        <w:tabs>
          <w:tab w:val="left" w:pos="1902"/>
        </w:tabs>
        <w:spacing w:before="178" w:after="0" w:line="285" w:lineRule="auto"/>
        <w:ind w:left="889" w:right="1280" w:firstLine="482"/>
        <w:jc w:val="both"/>
        <w:rPr>
          <w:sz w:val="24"/>
        </w:rPr>
      </w:pPr>
      <w:r>
        <w:rPr>
          <w:spacing w:val="-6"/>
          <w:sz w:val="24"/>
        </w:rPr>
        <w:t>政府采购合同已经履行，给采购人、供应商造成损失的，由责任人承</w:t>
      </w:r>
      <w:r>
        <w:rPr>
          <w:spacing w:val="-2"/>
          <w:sz w:val="24"/>
        </w:rPr>
        <w:t>担赔偿责任。</w:t>
      </w:r>
    </w:p>
    <w:p>
      <w:pPr>
        <w:pStyle w:val="15"/>
        <w:numPr>
          <w:ilvl w:val="1"/>
          <w:numId w:val="44"/>
        </w:numPr>
        <w:tabs>
          <w:tab w:val="left" w:pos="1902"/>
        </w:tabs>
        <w:spacing w:before="177" w:after="0" w:line="307" w:lineRule="auto"/>
        <w:ind w:left="889" w:right="1045" w:firstLine="482"/>
        <w:jc w:val="both"/>
        <w:rPr>
          <w:sz w:val="24"/>
        </w:rPr>
      </w:pPr>
      <w:r>
        <w:rPr>
          <w:spacing w:val="-6"/>
          <w:sz w:val="24"/>
        </w:rPr>
        <w:t>政府采购当事人有其他违反《中华人民共和国政府采购法》或者《中华</w:t>
      </w:r>
      <w:r>
        <w:rPr>
          <w:spacing w:val="-4"/>
          <w:sz w:val="24"/>
        </w:rPr>
        <w:t>人民共和国政府采购法实施条例》等法律法规规定的行为，经改正后仍然影响或</w:t>
      </w:r>
      <w:r>
        <w:rPr>
          <w:spacing w:val="-11"/>
          <w:sz w:val="24"/>
        </w:rPr>
        <w:t xml:space="preserve">者可能影响中标结果或者依法被认定为中标无效的，依照 </w:t>
      </w:r>
      <w:r>
        <w:rPr>
          <w:spacing w:val="-10"/>
          <w:sz w:val="24"/>
        </w:rPr>
        <w:t>24.1—24.4</w:t>
      </w:r>
      <w:r>
        <w:rPr>
          <w:spacing w:val="-12"/>
          <w:sz w:val="24"/>
        </w:rPr>
        <w:t xml:space="preserve"> 规定处理。</w:t>
      </w:r>
    </w:p>
    <w:p>
      <w:pPr>
        <w:pStyle w:val="6"/>
        <w:spacing w:before="256"/>
        <w:ind w:left="889"/>
      </w:pPr>
      <w:r>
        <w:rPr>
          <w:spacing w:val="-16"/>
        </w:rPr>
        <w:t>三、评标其他要求</w:t>
      </w:r>
    </w:p>
    <w:p>
      <w:pPr>
        <w:pStyle w:val="9"/>
        <w:spacing w:before="306"/>
        <w:ind w:left="1357"/>
      </w:pPr>
      <w:r>
        <w:rPr>
          <w:spacing w:val="-5"/>
        </w:rPr>
        <w:t>【可根据项目的情况增加上述内容中未包含的要求】</w:t>
      </w:r>
    </w:p>
    <w:p>
      <w:pPr>
        <w:spacing w:after="0"/>
        <w:sectPr>
          <w:pgSz w:w="11910" w:h="16840"/>
          <w:pgMar w:top="1100" w:right="720" w:bottom="1180" w:left="920" w:header="916" w:footer="983" w:gutter="0"/>
          <w:pgNumType w:fmt="numberInDash"/>
          <w:cols w:space="720" w:num="1"/>
        </w:sectPr>
      </w:pPr>
    </w:p>
    <w:p>
      <w:pPr>
        <w:pStyle w:val="9"/>
        <w:spacing w:before="100"/>
        <w:rPr>
          <w:sz w:val="28"/>
        </w:rPr>
      </w:pPr>
    </w:p>
    <w:p>
      <w:pPr>
        <w:pStyle w:val="6"/>
        <w:ind w:left="916"/>
      </w:pPr>
      <w:r>
        <w:rPr>
          <w:spacing w:val="-20"/>
        </w:rPr>
        <w:t>四、评标标准</w:t>
      </w:r>
    </w:p>
    <w:p>
      <w:pPr>
        <w:pStyle w:val="8"/>
        <w:spacing w:before="303"/>
      </w:pPr>
      <w:r>
        <w:rPr>
          <w:spacing w:val="-12"/>
        </w:rPr>
        <w:t>（一）符合性审查表</w:t>
      </w:r>
    </w:p>
    <w:p>
      <w:pPr>
        <w:pStyle w:val="9"/>
        <w:spacing w:before="8"/>
        <w:rPr>
          <w:b/>
          <w:sz w:val="9"/>
        </w:rPr>
      </w:pPr>
    </w:p>
    <w:tbl>
      <w:tblPr>
        <w:tblStyle w:val="12"/>
        <w:tblW w:w="0" w:type="auto"/>
        <w:tblInd w:w="4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6"/>
        <w:gridCol w:w="1301"/>
        <w:gridCol w:w="5471"/>
        <w:gridCol w:w="865"/>
        <w:gridCol w:w="10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16" w:type="dxa"/>
            <w:vMerge w:val="restart"/>
            <w:shd w:val="clear" w:color="auto" w:fill="D6D6D6"/>
            <w:textDirection w:val="tbRl"/>
          </w:tcPr>
          <w:p>
            <w:pPr>
              <w:pStyle w:val="16"/>
              <w:spacing w:before="33"/>
              <w:ind w:left="225"/>
              <w:rPr>
                <w:b/>
                <w:sz w:val="21"/>
              </w:rPr>
            </w:pPr>
            <w:r>
              <w:rPr>
                <w:b/>
                <w:spacing w:val="-8"/>
                <w:sz w:val="21"/>
              </w:rPr>
              <w:t>序 号</w:t>
            </w:r>
          </w:p>
        </w:tc>
        <w:tc>
          <w:tcPr>
            <w:tcW w:w="1301" w:type="dxa"/>
            <w:vMerge w:val="restart"/>
            <w:shd w:val="clear" w:color="auto" w:fill="D6D6D6"/>
          </w:tcPr>
          <w:p>
            <w:pPr>
              <w:pStyle w:val="16"/>
              <w:spacing w:before="84"/>
              <w:rPr>
                <w:b/>
                <w:sz w:val="21"/>
              </w:rPr>
            </w:pPr>
          </w:p>
          <w:p>
            <w:pPr>
              <w:pStyle w:val="16"/>
              <w:ind w:left="142"/>
              <w:rPr>
                <w:b/>
                <w:sz w:val="21"/>
              </w:rPr>
            </w:pPr>
            <w:r>
              <w:rPr>
                <w:b/>
                <w:spacing w:val="-12"/>
                <w:sz w:val="21"/>
              </w:rPr>
              <w:t>审查项名称</w:t>
            </w:r>
          </w:p>
        </w:tc>
        <w:tc>
          <w:tcPr>
            <w:tcW w:w="5471" w:type="dxa"/>
            <w:vMerge w:val="restart"/>
            <w:shd w:val="clear" w:color="auto" w:fill="D6D6D6"/>
          </w:tcPr>
          <w:p>
            <w:pPr>
              <w:pStyle w:val="16"/>
              <w:spacing w:before="84"/>
              <w:rPr>
                <w:b/>
                <w:sz w:val="21"/>
              </w:rPr>
            </w:pPr>
          </w:p>
          <w:p>
            <w:pPr>
              <w:pStyle w:val="16"/>
              <w:ind w:left="53"/>
              <w:jc w:val="center"/>
              <w:rPr>
                <w:b/>
                <w:sz w:val="21"/>
              </w:rPr>
            </w:pPr>
            <w:r>
              <w:rPr>
                <w:b/>
                <w:spacing w:val="-12"/>
                <w:sz w:val="21"/>
              </w:rPr>
              <w:t>审查内容</w:t>
            </w:r>
          </w:p>
        </w:tc>
        <w:tc>
          <w:tcPr>
            <w:tcW w:w="1957" w:type="dxa"/>
            <w:gridSpan w:val="2"/>
            <w:shd w:val="clear" w:color="auto" w:fill="D6D6D6"/>
          </w:tcPr>
          <w:p>
            <w:pPr>
              <w:pStyle w:val="16"/>
              <w:spacing w:before="112"/>
              <w:ind w:left="579"/>
              <w:rPr>
                <w:b/>
                <w:sz w:val="21"/>
              </w:rPr>
            </w:pPr>
            <w:r>
              <w:rPr>
                <w:b/>
                <w:spacing w:val="-12"/>
                <w:sz w:val="21"/>
              </w:rPr>
              <w:t>审查结果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16" w:type="dxa"/>
            <w:vMerge w:val="continue"/>
            <w:tcBorders>
              <w:top w:val="nil"/>
            </w:tcBorders>
            <w:shd w:val="clear" w:color="auto" w:fill="D6D6D6"/>
            <w:textDirection w:val="tbRl"/>
          </w:tcPr>
          <w:p>
            <w:pPr>
              <w:rPr>
                <w:sz w:val="2"/>
                <w:szCs w:val="2"/>
              </w:rPr>
            </w:pPr>
          </w:p>
        </w:tc>
        <w:tc>
          <w:tcPr>
            <w:tcW w:w="1301" w:type="dxa"/>
            <w:vMerge w:val="continue"/>
            <w:tcBorders>
              <w:top w:val="nil"/>
            </w:tcBorders>
            <w:shd w:val="clear" w:color="auto" w:fill="D6D6D6"/>
          </w:tcPr>
          <w:p>
            <w:pPr>
              <w:rPr>
                <w:sz w:val="2"/>
                <w:szCs w:val="2"/>
              </w:rPr>
            </w:pPr>
          </w:p>
        </w:tc>
        <w:tc>
          <w:tcPr>
            <w:tcW w:w="5471" w:type="dxa"/>
            <w:vMerge w:val="continue"/>
            <w:tcBorders>
              <w:top w:val="nil"/>
            </w:tcBorders>
            <w:shd w:val="clear" w:color="auto" w:fill="D6D6D6"/>
          </w:tcPr>
          <w:p>
            <w:pPr>
              <w:rPr>
                <w:sz w:val="2"/>
                <w:szCs w:val="2"/>
              </w:rPr>
            </w:pPr>
          </w:p>
        </w:tc>
        <w:tc>
          <w:tcPr>
            <w:tcW w:w="865" w:type="dxa"/>
            <w:shd w:val="clear" w:color="auto" w:fill="D6D6D6"/>
          </w:tcPr>
          <w:p>
            <w:pPr>
              <w:pStyle w:val="16"/>
              <w:spacing w:before="105"/>
              <w:ind w:left="236"/>
              <w:rPr>
                <w:b/>
                <w:sz w:val="21"/>
              </w:rPr>
            </w:pPr>
            <w:r>
              <w:rPr>
                <w:b/>
                <w:spacing w:val="-10"/>
                <w:sz w:val="21"/>
              </w:rPr>
              <w:t>符合</w:t>
            </w:r>
          </w:p>
        </w:tc>
        <w:tc>
          <w:tcPr>
            <w:tcW w:w="1092" w:type="dxa"/>
            <w:shd w:val="clear" w:color="auto" w:fill="D6D6D6"/>
          </w:tcPr>
          <w:p>
            <w:pPr>
              <w:pStyle w:val="16"/>
              <w:spacing w:before="105"/>
              <w:ind w:left="245"/>
              <w:rPr>
                <w:b/>
                <w:sz w:val="21"/>
              </w:rPr>
            </w:pPr>
            <w:r>
              <w:rPr>
                <w:b/>
                <w:spacing w:val="-12"/>
                <w:sz w:val="21"/>
              </w:rPr>
              <w:t>不符合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516" w:type="dxa"/>
          </w:tcPr>
          <w:p>
            <w:pPr>
              <w:pStyle w:val="16"/>
              <w:rPr>
                <w:b/>
                <w:sz w:val="21"/>
              </w:rPr>
            </w:pPr>
          </w:p>
          <w:p>
            <w:pPr>
              <w:pStyle w:val="16"/>
              <w:ind w:left="65"/>
              <w:jc w:val="center"/>
              <w:rPr>
                <w:sz w:val="21"/>
              </w:rPr>
            </w:pPr>
            <w:r>
              <w:rPr>
                <w:spacing w:val="-10"/>
                <w:sz w:val="21"/>
              </w:rPr>
              <w:t>1</w:t>
            </w:r>
          </w:p>
        </w:tc>
        <w:tc>
          <w:tcPr>
            <w:tcW w:w="1301" w:type="dxa"/>
          </w:tcPr>
          <w:p>
            <w:pPr>
              <w:pStyle w:val="16"/>
              <w:spacing w:before="136" w:line="259" w:lineRule="auto"/>
              <w:ind w:left="115" w:right="145" w:firstLine="2"/>
              <w:rPr>
                <w:sz w:val="21"/>
              </w:rPr>
            </w:pPr>
            <w:r>
              <w:rPr>
                <w:spacing w:val="-8"/>
                <w:sz w:val="21"/>
              </w:rPr>
              <w:t>投标文件签</w:t>
            </w:r>
            <w:r>
              <w:rPr>
                <w:spacing w:val="-10"/>
                <w:sz w:val="21"/>
              </w:rPr>
              <w:t>署</w:t>
            </w:r>
          </w:p>
        </w:tc>
        <w:tc>
          <w:tcPr>
            <w:tcW w:w="5471" w:type="dxa"/>
          </w:tcPr>
          <w:p>
            <w:pPr>
              <w:pStyle w:val="16"/>
              <w:rPr>
                <w:b/>
                <w:sz w:val="21"/>
              </w:rPr>
            </w:pPr>
          </w:p>
          <w:p>
            <w:pPr>
              <w:pStyle w:val="16"/>
              <w:ind w:left="118"/>
              <w:rPr>
                <w:sz w:val="21"/>
              </w:rPr>
            </w:pPr>
            <w:r>
              <w:rPr>
                <w:spacing w:val="-9"/>
                <w:sz w:val="21"/>
              </w:rPr>
              <w:t>投标文件按招标文件要求格式提供，并签署、盖章的</w:t>
            </w:r>
          </w:p>
        </w:tc>
        <w:tc>
          <w:tcPr>
            <w:tcW w:w="865" w:type="dxa"/>
          </w:tcPr>
          <w:p>
            <w:pPr>
              <w:pStyle w:val="16"/>
              <w:rPr>
                <w:rFonts w:ascii="Times New Roman"/>
                <w:sz w:val="20"/>
              </w:rPr>
            </w:pPr>
          </w:p>
        </w:tc>
        <w:tc>
          <w:tcPr>
            <w:tcW w:w="109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16" w:type="dxa"/>
          </w:tcPr>
          <w:p>
            <w:pPr>
              <w:pStyle w:val="16"/>
              <w:spacing w:before="59"/>
              <w:rPr>
                <w:b/>
                <w:sz w:val="21"/>
              </w:rPr>
            </w:pPr>
          </w:p>
          <w:p>
            <w:pPr>
              <w:pStyle w:val="16"/>
              <w:ind w:left="65" w:right="24"/>
              <w:jc w:val="center"/>
              <w:rPr>
                <w:sz w:val="21"/>
              </w:rPr>
            </w:pPr>
            <w:r>
              <w:rPr>
                <w:spacing w:val="-10"/>
                <w:sz w:val="21"/>
              </w:rPr>
              <w:t>2</w:t>
            </w:r>
          </w:p>
        </w:tc>
        <w:tc>
          <w:tcPr>
            <w:tcW w:w="1301" w:type="dxa"/>
          </w:tcPr>
          <w:p>
            <w:pPr>
              <w:pStyle w:val="16"/>
              <w:spacing w:before="59"/>
              <w:rPr>
                <w:b/>
                <w:sz w:val="21"/>
              </w:rPr>
            </w:pPr>
          </w:p>
          <w:p>
            <w:pPr>
              <w:pStyle w:val="16"/>
              <w:ind w:left="120"/>
              <w:rPr>
                <w:sz w:val="21"/>
              </w:rPr>
            </w:pPr>
            <w:r>
              <w:rPr>
                <w:spacing w:val="-10"/>
                <w:sz w:val="21"/>
              </w:rPr>
              <w:t>实质性要求</w:t>
            </w:r>
          </w:p>
        </w:tc>
        <w:tc>
          <w:tcPr>
            <w:tcW w:w="5471" w:type="dxa"/>
          </w:tcPr>
          <w:p>
            <w:pPr>
              <w:pStyle w:val="16"/>
              <w:spacing w:before="196" w:line="256" w:lineRule="auto"/>
              <w:ind w:left="118" w:right="190"/>
              <w:rPr>
                <w:sz w:val="21"/>
              </w:rPr>
            </w:pPr>
            <w:r>
              <w:rPr>
                <w:spacing w:val="-6"/>
                <w:sz w:val="21"/>
              </w:rPr>
              <w:t>投标文件满足招标文件中标注“★”号的实质性条款（或</w:t>
            </w:r>
            <w:r>
              <w:rPr>
                <w:spacing w:val="-2"/>
                <w:sz w:val="21"/>
              </w:rPr>
              <w:t>指标）要求的，具体详见“实质性响应一览表”</w:t>
            </w:r>
          </w:p>
        </w:tc>
        <w:tc>
          <w:tcPr>
            <w:tcW w:w="865" w:type="dxa"/>
          </w:tcPr>
          <w:p>
            <w:pPr>
              <w:pStyle w:val="16"/>
              <w:rPr>
                <w:rFonts w:ascii="Times New Roman"/>
                <w:sz w:val="20"/>
              </w:rPr>
            </w:pPr>
          </w:p>
        </w:tc>
        <w:tc>
          <w:tcPr>
            <w:tcW w:w="109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16" w:type="dxa"/>
          </w:tcPr>
          <w:p>
            <w:pPr>
              <w:pStyle w:val="16"/>
              <w:spacing w:before="213"/>
              <w:ind w:left="65" w:right="19"/>
              <w:jc w:val="center"/>
              <w:rPr>
                <w:sz w:val="21"/>
              </w:rPr>
            </w:pPr>
            <w:r>
              <w:rPr>
                <w:spacing w:val="-10"/>
                <w:sz w:val="21"/>
              </w:rPr>
              <w:t>3</w:t>
            </w:r>
          </w:p>
        </w:tc>
        <w:tc>
          <w:tcPr>
            <w:tcW w:w="1301" w:type="dxa"/>
          </w:tcPr>
          <w:p>
            <w:pPr>
              <w:pStyle w:val="16"/>
              <w:spacing w:before="211"/>
              <w:ind w:left="118"/>
              <w:rPr>
                <w:sz w:val="21"/>
              </w:rPr>
            </w:pPr>
            <w:r>
              <w:rPr>
                <w:spacing w:val="-12"/>
                <w:sz w:val="21"/>
              </w:rPr>
              <w:t>投标报价</w:t>
            </w:r>
          </w:p>
        </w:tc>
        <w:tc>
          <w:tcPr>
            <w:tcW w:w="5471" w:type="dxa"/>
          </w:tcPr>
          <w:p>
            <w:pPr>
              <w:pStyle w:val="16"/>
              <w:spacing w:before="76" w:line="256" w:lineRule="auto"/>
              <w:ind w:left="115" w:right="211" w:firstLine="2"/>
              <w:rPr>
                <w:sz w:val="21"/>
              </w:rPr>
            </w:pPr>
            <w:r>
              <w:rPr>
                <w:spacing w:val="-6"/>
                <w:sz w:val="21"/>
              </w:rPr>
              <w:t>投标人报价未超过招标文件中规定的最高限价或者预算金额的</w:t>
            </w:r>
          </w:p>
        </w:tc>
        <w:tc>
          <w:tcPr>
            <w:tcW w:w="865" w:type="dxa"/>
          </w:tcPr>
          <w:p>
            <w:pPr>
              <w:pStyle w:val="16"/>
              <w:rPr>
                <w:rFonts w:ascii="Times New Roman"/>
                <w:sz w:val="20"/>
              </w:rPr>
            </w:pPr>
          </w:p>
        </w:tc>
        <w:tc>
          <w:tcPr>
            <w:tcW w:w="109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516" w:type="dxa"/>
          </w:tcPr>
          <w:p>
            <w:pPr>
              <w:pStyle w:val="16"/>
              <w:spacing w:before="201"/>
              <w:ind w:left="65" w:right="29"/>
              <w:jc w:val="center"/>
              <w:rPr>
                <w:sz w:val="21"/>
              </w:rPr>
            </w:pPr>
            <w:r>
              <w:rPr>
                <w:spacing w:val="-10"/>
                <w:sz w:val="21"/>
              </w:rPr>
              <w:t>4</w:t>
            </w:r>
          </w:p>
        </w:tc>
        <w:tc>
          <w:tcPr>
            <w:tcW w:w="1301" w:type="dxa"/>
          </w:tcPr>
          <w:p>
            <w:pPr>
              <w:pStyle w:val="16"/>
              <w:spacing w:before="201"/>
              <w:ind w:left="115"/>
              <w:rPr>
                <w:sz w:val="21"/>
              </w:rPr>
            </w:pPr>
            <w:r>
              <w:rPr>
                <w:spacing w:val="-12"/>
                <w:sz w:val="21"/>
              </w:rPr>
              <w:t>虚假材料</w:t>
            </w:r>
          </w:p>
        </w:tc>
        <w:tc>
          <w:tcPr>
            <w:tcW w:w="5471" w:type="dxa"/>
          </w:tcPr>
          <w:p>
            <w:pPr>
              <w:pStyle w:val="16"/>
              <w:spacing w:before="201"/>
              <w:ind w:left="118"/>
              <w:rPr>
                <w:sz w:val="21"/>
              </w:rPr>
            </w:pPr>
            <w:r>
              <w:rPr>
                <w:spacing w:val="-9"/>
                <w:sz w:val="21"/>
              </w:rPr>
              <w:t>投标文件未提供虚假材料的</w:t>
            </w:r>
          </w:p>
        </w:tc>
        <w:tc>
          <w:tcPr>
            <w:tcW w:w="865" w:type="dxa"/>
          </w:tcPr>
          <w:p>
            <w:pPr>
              <w:pStyle w:val="16"/>
              <w:rPr>
                <w:rFonts w:ascii="Times New Roman"/>
                <w:sz w:val="20"/>
              </w:rPr>
            </w:pPr>
          </w:p>
        </w:tc>
        <w:tc>
          <w:tcPr>
            <w:tcW w:w="109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516" w:type="dxa"/>
          </w:tcPr>
          <w:p>
            <w:pPr>
              <w:pStyle w:val="16"/>
              <w:spacing w:before="261"/>
              <w:ind w:left="65" w:right="19"/>
              <w:jc w:val="center"/>
              <w:rPr>
                <w:sz w:val="21"/>
              </w:rPr>
            </w:pPr>
            <w:r>
              <w:rPr>
                <w:spacing w:val="-10"/>
                <w:sz w:val="21"/>
              </w:rPr>
              <w:t>5</w:t>
            </w:r>
          </w:p>
        </w:tc>
        <w:tc>
          <w:tcPr>
            <w:tcW w:w="1301" w:type="dxa"/>
          </w:tcPr>
          <w:p>
            <w:pPr>
              <w:pStyle w:val="16"/>
              <w:spacing w:before="225"/>
              <w:ind w:left="118"/>
              <w:rPr>
                <w:sz w:val="21"/>
              </w:rPr>
            </w:pPr>
            <w:r>
              <w:rPr>
                <w:spacing w:val="-10"/>
                <w:sz w:val="21"/>
              </w:rPr>
              <w:t>投标保证金</w:t>
            </w:r>
          </w:p>
        </w:tc>
        <w:tc>
          <w:tcPr>
            <w:tcW w:w="5471" w:type="dxa"/>
          </w:tcPr>
          <w:p>
            <w:pPr>
              <w:pStyle w:val="16"/>
              <w:spacing w:before="225"/>
              <w:ind w:left="118"/>
              <w:rPr>
                <w:sz w:val="21"/>
              </w:rPr>
            </w:pPr>
            <w:r>
              <w:rPr>
                <w:spacing w:val="-9"/>
                <w:sz w:val="21"/>
              </w:rPr>
              <w:t>投标人按招标文件的规定交纳投标保证金的</w:t>
            </w:r>
          </w:p>
        </w:tc>
        <w:tc>
          <w:tcPr>
            <w:tcW w:w="865" w:type="dxa"/>
          </w:tcPr>
          <w:p>
            <w:pPr>
              <w:pStyle w:val="16"/>
              <w:rPr>
                <w:rFonts w:ascii="Times New Roman"/>
                <w:sz w:val="20"/>
              </w:rPr>
            </w:pPr>
          </w:p>
        </w:tc>
        <w:tc>
          <w:tcPr>
            <w:tcW w:w="109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516" w:type="dxa"/>
          </w:tcPr>
          <w:p>
            <w:pPr>
              <w:pStyle w:val="16"/>
              <w:spacing w:before="226"/>
              <w:ind w:left="65" w:right="24"/>
              <w:jc w:val="center"/>
              <w:rPr>
                <w:sz w:val="21"/>
              </w:rPr>
            </w:pPr>
            <w:r>
              <w:rPr>
                <w:spacing w:val="-10"/>
                <w:sz w:val="21"/>
              </w:rPr>
              <w:t>6</w:t>
            </w:r>
          </w:p>
        </w:tc>
        <w:tc>
          <w:tcPr>
            <w:tcW w:w="1301" w:type="dxa"/>
          </w:tcPr>
          <w:p>
            <w:pPr>
              <w:pStyle w:val="16"/>
              <w:spacing w:before="46" w:line="247" w:lineRule="auto"/>
              <w:ind w:left="115" w:right="71" w:firstLine="2"/>
              <w:rPr>
                <w:sz w:val="21"/>
              </w:rPr>
            </w:pPr>
            <w:r>
              <w:rPr>
                <w:spacing w:val="-2"/>
                <w:sz w:val="21"/>
              </w:rPr>
              <w:t>投标文件的</w:t>
            </w:r>
            <w:r>
              <w:rPr>
                <w:spacing w:val="-34"/>
                <w:sz w:val="21"/>
              </w:rPr>
              <w:t>澄清、说明、</w:t>
            </w:r>
          </w:p>
          <w:p>
            <w:pPr>
              <w:pStyle w:val="16"/>
              <w:spacing w:before="2"/>
              <w:ind w:left="115"/>
              <w:rPr>
                <w:sz w:val="21"/>
              </w:rPr>
            </w:pPr>
            <w:r>
              <w:rPr>
                <w:spacing w:val="-10"/>
                <w:sz w:val="21"/>
              </w:rPr>
              <w:t>补正</w:t>
            </w:r>
          </w:p>
        </w:tc>
        <w:tc>
          <w:tcPr>
            <w:tcW w:w="5471" w:type="dxa"/>
          </w:tcPr>
          <w:p>
            <w:pPr>
              <w:pStyle w:val="16"/>
              <w:spacing w:before="200" w:line="256" w:lineRule="auto"/>
              <w:ind w:left="115" w:right="298"/>
              <w:rPr>
                <w:sz w:val="21"/>
              </w:rPr>
            </w:pPr>
            <w:r>
              <w:rPr>
                <w:spacing w:val="-6"/>
                <w:sz w:val="21"/>
              </w:rPr>
              <w:t>评审期间,投标人按评标委员会的要求提交经授权代表签</w:t>
            </w:r>
            <w:r>
              <w:rPr>
                <w:spacing w:val="-2"/>
                <w:sz w:val="21"/>
              </w:rPr>
              <w:t>字的澄清、说明、补正或未改变投标文件的实质性内容</w:t>
            </w:r>
          </w:p>
        </w:tc>
        <w:tc>
          <w:tcPr>
            <w:tcW w:w="865" w:type="dxa"/>
          </w:tcPr>
          <w:p>
            <w:pPr>
              <w:pStyle w:val="16"/>
              <w:rPr>
                <w:rFonts w:ascii="Times New Roman"/>
                <w:sz w:val="20"/>
              </w:rPr>
            </w:pPr>
          </w:p>
        </w:tc>
        <w:tc>
          <w:tcPr>
            <w:tcW w:w="109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516" w:type="dxa"/>
          </w:tcPr>
          <w:p>
            <w:pPr>
              <w:pStyle w:val="16"/>
              <w:spacing w:before="66"/>
              <w:rPr>
                <w:b/>
                <w:sz w:val="21"/>
              </w:rPr>
            </w:pPr>
          </w:p>
          <w:p>
            <w:pPr>
              <w:pStyle w:val="16"/>
              <w:ind w:left="65" w:right="19"/>
              <w:jc w:val="center"/>
              <w:rPr>
                <w:sz w:val="21"/>
              </w:rPr>
            </w:pPr>
            <w:r>
              <w:rPr>
                <w:spacing w:val="-10"/>
                <w:sz w:val="21"/>
              </w:rPr>
              <w:t>7</w:t>
            </w:r>
          </w:p>
        </w:tc>
        <w:tc>
          <w:tcPr>
            <w:tcW w:w="1301" w:type="dxa"/>
          </w:tcPr>
          <w:p>
            <w:pPr>
              <w:pStyle w:val="16"/>
              <w:spacing w:before="106" w:line="278" w:lineRule="auto"/>
              <w:ind w:left="113" w:right="140" w:firstLine="4"/>
              <w:rPr>
                <w:sz w:val="21"/>
              </w:rPr>
            </w:pPr>
            <w:r>
              <w:rPr>
                <w:spacing w:val="-6"/>
                <w:sz w:val="21"/>
              </w:rPr>
              <w:t>投标人影响评标</w:t>
            </w:r>
          </w:p>
        </w:tc>
        <w:tc>
          <w:tcPr>
            <w:tcW w:w="5471" w:type="dxa"/>
          </w:tcPr>
          <w:p>
            <w:pPr>
              <w:pStyle w:val="16"/>
              <w:spacing w:before="106" w:line="276" w:lineRule="auto"/>
              <w:ind w:left="122" w:right="192" w:hanging="5"/>
              <w:rPr>
                <w:sz w:val="21"/>
              </w:rPr>
            </w:pPr>
            <w:r>
              <w:rPr>
                <w:spacing w:val="-6"/>
                <w:sz w:val="21"/>
              </w:rPr>
              <w:t>投标人对采购人、采购代理机构、评标委员会及其工作人</w:t>
            </w:r>
            <w:r>
              <w:rPr>
                <w:spacing w:val="-2"/>
                <w:sz w:val="21"/>
              </w:rPr>
              <w:t>员未施加影响,无有碍公平、公正的</w:t>
            </w:r>
          </w:p>
        </w:tc>
        <w:tc>
          <w:tcPr>
            <w:tcW w:w="865" w:type="dxa"/>
          </w:tcPr>
          <w:p>
            <w:pPr>
              <w:pStyle w:val="16"/>
              <w:rPr>
                <w:rFonts w:ascii="Times New Roman"/>
                <w:sz w:val="20"/>
              </w:rPr>
            </w:pPr>
          </w:p>
        </w:tc>
        <w:tc>
          <w:tcPr>
            <w:tcW w:w="109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516" w:type="dxa"/>
          </w:tcPr>
          <w:p>
            <w:pPr>
              <w:pStyle w:val="16"/>
              <w:spacing w:before="271"/>
              <w:ind w:left="65" w:right="24"/>
              <w:jc w:val="center"/>
              <w:rPr>
                <w:sz w:val="21"/>
              </w:rPr>
            </w:pPr>
            <w:r>
              <w:rPr>
                <w:spacing w:val="-10"/>
                <w:sz w:val="21"/>
              </w:rPr>
              <w:t>8</w:t>
            </w:r>
          </w:p>
        </w:tc>
        <w:tc>
          <w:tcPr>
            <w:tcW w:w="1301" w:type="dxa"/>
          </w:tcPr>
          <w:p>
            <w:pPr>
              <w:pStyle w:val="16"/>
              <w:spacing w:before="96" w:line="259" w:lineRule="auto"/>
              <w:ind w:left="118" w:right="143" w:firstLine="14"/>
              <w:rPr>
                <w:sz w:val="21"/>
              </w:rPr>
            </w:pPr>
            <w:r>
              <w:rPr>
                <w:spacing w:val="-10"/>
                <w:sz w:val="21"/>
              </w:rPr>
              <w:t>围标串标情形</w:t>
            </w:r>
          </w:p>
        </w:tc>
        <w:tc>
          <w:tcPr>
            <w:tcW w:w="5471" w:type="dxa"/>
          </w:tcPr>
          <w:p>
            <w:pPr>
              <w:pStyle w:val="16"/>
              <w:spacing w:before="230"/>
              <w:ind w:left="118"/>
              <w:rPr>
                <w:sz w:val="21"/>
              </w:rPr>
            </w:pPr>
            <w:r>
              <w:rPr>
                <w:spacing w:val="-12"/>
                <w:sz w:val="21"/>
              </w:rPr>
              <w:t>没有“第五章 评标方法及标准”第 20</w:t>
            </w:r>
            <w:r>
              <w:rPr>
                <w:spacing w:val="-14"/>
                <w:sz w:val="21"/>
              </w:rPr>
              <w:t xml:space="preserve"> 条情形之一的</w:t>
            </w:r>
          </w:p>
        </w:tc>
        <w:tc>
          <w:tcPr>
            <w:tcW w:w="865" w:type="dxa"/>
          </w:tcPr>
          <w:p>
            <w:pPr>
              <w:pStyle w:val="16"/>
              <w:rPr>
                <w:rFonts w:ascii="Times New Roman"/>
                <w:sz w:val="20"/>
              </w:rPr>
            </w:pPr>
          </w:p>
        </w:tc>
        <w:tc>
          <w:tcPr>
            <w:tcW w:w="109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516" w:type="dxa"/>
          </w:tcPr>
          <w:p>
            <w:pPr>
              <w:pStyle w:val="16"/>
              <w:spacing w:before="234"/>
              <w:ind w:left="65" w:right="24"/>
              <w:jc w:val="center"/>
              <w:rPr>
                <w:sz w:val="21"/>
              </w:rPr>
            </w:pPr>
            <w:r>
              <w:rPr>
                <w:spacing w:val="-10"/>
                <w:sz w:val="21"/>
              </w:rPr>
              <w:t>9</w:t>
            </w:r>
          </w:p>
        </w:tc>
        <w:tc>
          <w:tcPr>
            <w:tcW w:w="1301" w:type="dxa"/>
          </w:tcPr>
          <w:p>
            <w:pPr>
              <w:pStyle w:val="16"/>
              <w:spacing w:before="78"/>
              <w:ind w:left="118"/>
              <w:rPr>
                <w:sz w:val="21"/>
              </w:rPr>
            </w:pPr>
            <w:r>
              <w:rPr>
                <w:spacing w:val="-9"/>
                <w:sz w:val="21"/>
              </w:rPr>
              <w:t>投标有效期</w:t>
            </w:r>
          </w:p>
        </w:tc>
        <w:tc>
          <w:tcPr>
            <w:tcW w:w="5471" w:type="dxa"/>
          </w:tcPr>
          <w:p>
            <w:pPr>
              <w:pStyle w:val="16"/>
              <w:spacing w:before="234"/>
              <w:ind w:left="118"/>
              <w:rPr>
                <w:sz w:val="21"/>
              </w:rPr>
            </w:pPr>
            <w:r>
              <w:rPr>
                <w:spacing w:val="-12"/>
                <w:sz w:val="21"/>
              </w:rPr>
              <w:t>投标有效期满足招标文件要求</w:t>
            </w:r>
          </w:p>
        </w:tc>
        <w:tc>
          <w:tcPr>
            <w:tcW w:w="865" w:type="dxa"/>
          </w:tcPr>
          <w:p>
            <w:pPr>
              <w:pStyle w:val="16"/>
              <w:rPr>
                <w:rFonts w:ascii="Times New Roman"/>
                <w:sz w:val="20"/>
              </w:rPr>
            </w:pPr>
          </w:p>
        </w:tc>
        <w:tc>
          <w:tcPr>
            <w:tcW w:w="109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516" w:type="dxa"/>
          </w:tcPr>
          <w:p>
            <w:pPr>
              <w:pStyle w:val="16"/>
              <w:spacing w:before="232"/>
              <w:ind w:left="65" w:right="5"/>
              <w:jc w:val="center"/>
              <w:rPr>
                <w:sz w:val="21"/>
              </w:rPr>
            </w:pPr>
            <w:r>
              <w:rPr>
                <w:spacing w:val="-5"/>
                <w:sz w:val="21"/>
              </w:rPr>
              <w:t>10</w:t>
            </w:r>
          </w:p>
        </w:tc>
        <w:tc>
          <w:tcPr>
            <w:tcW w:w="1301" w:type="dxa"/>
          </w:tcPr>
          <w:p>
            <w:pPr>
              <w:pStyle w:val="16"/>
              <w:spacing w:before="232"/>
              <w:ind w:left="132"/>
              <w:rPr>
                <w:sz w:val="21"/>
              </w:rPr>
            </w:pPr>
            <w:r>
              <w:rPr>
                <w:spacing w:val="-16"/>
                <w:sz w:val="21"/>
              </w:rPr>
              <w:t>附加条件</w:t>
            </w:r>
          </w:p>
        </w:tc>
        <w:tc>
          <w:tcPr>
            <w:tcW w:w="5471" w:type="dxa"/>
          </w:tcPr>
          <w:p>
            <w:pPr>
              <w:pStyle w:val="16"/>
              <w:spacing w:before="232"/>
              <w:ind w:left="118"/>
              <w:rPr>
                <w:sz w:val="21"/>
              </w:rPr>
            </w:pPr>
            <w:r>
              <w:rPr>
                <w:spacing w:val="-9"/>
                <w:sz w:val="21"/>
              </w:rPr>
              <w:t>投标文件没有采购人不能接受的附加条件的</w:t>
            </w:r>
          </w:p>
        </w:tc>
        <w:tc>
          <w:tcPr>
            <w:tcW w:w="865" w:type="dxa"/>
          </w:tcPr>
          <w:p>
            <w:pPr>
              <w:pStyle w:val="16"/>
              <w:rPr>
                <w:rFonts w:ascii="Times New Roman"/>
                <w:sz w:val="20"/>
              </w:rPr>
            </w:pPr>
          </w:p>
        </w:tc>
        <w:tc>
          <w:tcPr>
            <w:tcW w:w="109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16" w:type="dxa"/>
          </w:tcPr>
          <w:p>
            <w:pPr>
              <w:pStyle w:val="16"/>
              <w:spacing w:before="235"/>
              <w:ind w:left="65" w:right="9"/>
              <w:jc w:val="center"/>
              <w:rPr>
                <w:sz w:val="21"/>
              </w:rPr>
            </w:pPr>
            <w:r>
              <w:rPr>
                <w:spacing w:val="-5"/>
                <w:sz w:val="21"/>
              </w:rPr>
              <w:t>11</w:t>
            </w:r>
          </w:p>
        </w:tc>
        <w:tc>
          <w:tcPr>
            <w:tcW w:w="1301" w:type="dxa"/>
          </w:tcPr>
          <w:p>
            <w:pPr>
              <w:pStyle w:val="16"/>
              <w:spacing w:before="98" w:line="259" w:lineRule="auto"/>
              <w:ind w:left="118" w:right="143" w:hanging="3"/>
              <w:rPr>
                <w:sz w:val="21"/>
              </w:rPr>
            </w:pPr>
            <w:r>
              <w:rPr>
                <w:spacing w:val="-6"/>
                <w:sz w:val="21"/>
              </w:rPr>
              <w:t>其他无效情</w:t>
            </w:r>
            <w:r>
              <w:rPr>
                <w:spacing w:val="-10"/>
                <w:sz w:val="21"/>
              </w:rPr>
              <w:t>形</w:t>
            </w:r>
          </w:p>
        </w:tc>
        <w:tc>
          <w:tcPr>
            <w:tcW w:w="5471" w:type="dxa"/>
          </w:tcPr>
          <w:p>
            <w:pPr>
              <w:pStyle w:val="16"/>
              <w:spacing w:before="235"/>
              <w:ind w:left="118"/>
              <w:rPr>
                <w:sz w:val="21"/>
              </w:rPr>
            </w:pPr>
            <w:r>
              <w:rPr>
                <w:spacing w:val="-9"/>
                <w:sz w:val="21"/>
              </w:rPr>
              <w:t>没有法律、法规、规章规定属于投标无效的其他情形。</w:t>
            </w:r>
          </w:p>
        </w:tc>
        <w:tc>
          <w:tcPr>
            <w:tcW w:w="865" w:type="dxa"/>
          </w:tcPr>
          <w:p>
            <w:pPr>
              <w:pStyle w:val="16"/>
              <w:rPr>
                <w:rFonts w:ascii="Times New Roman"/>
                <w:sz w:val="20"/>
              </w:rPr>
            </w:pPr>
          </w:p>
        </w:tc>
        <w:tc>
          <w:tcPr>
            <w:tcW w:w="1092" w:type="dxa"/>
          </w:tcPr>
          <w:p>
            <w:pPr>
              <w:pStyle w:val="16"/>
              <w:rPr>
                <w:rFonts w:ascii="Times New Roman"/>
                <w:sz w:val="20"/>
              </w:rPr>
            </w:pPr>
          </w:p>
        </w:tc>
      </w:tr>
    </w:tbl>
    <w:p>
      <w:pPr>
        <w:spacing w:after="0"/>
        <w:rPr>
          <w:rFonts w:ascii="Times New Roman"/>
          <w:sz w:val="20"/>
        </w:rPr>
        <w:sectPr>
          <w:pgSz w:w="11910" w:h="16840"/>
          <w:pgMar w:top="1100" w:right="720" w:bottom="1180" w:left="920" w:header="916" w:footer="983" w:gutter="0"/>
          <w:pgNumType w:fmt="numberInDash"/>
          <w:cols w:space="720" w:num="1"/>
        </w:sectPr>
      </w:pPr>
    </w:p>
    <w:p>
      <w:pPr>
        <w:pStyle w:val="9"/>
        <w:rPr>
          <w:b/>
        </w:rPr>
      </w:pPr>
    </w:p>
    <w:p>
      <w:pPr>
        <w:pStyle w:val="9"/>
        <w:spacing w:before="111"/>
        <w:rPr>
          <w:b/>
        </w:rPr>
      </w:pPr>
    </w:p>
    <w:p>
      <w:pPr>
        <w:pStyle w:val="8"/>
        <w:ind w:left="891"/>
      </w:pPr>
      <w:r>
        <w:rPr>
          <w:spacing w:val="-12"/>
        </w:rPr>
        <w:t>符合性审查表-附表</w:t>
      </w:r>
    </w:p>
    <w:p>
      <w:pPr>
        <w:pStyle w:val="6"/>
        <w:spacing w:before="214"/>
        <w:ind w:left="204" w:right="369"/>
        <w:jc w:val="center"/>
      </w:pPr>
      <w:r>
        <w:rPr>
          <w:spacing w:val="-16"/>
        </w:rPr>
        <w:t>实质性响应一览表</w:t>
      </w:r>
    </w:p>
    <w:p>
      <w:pPr>
        <w:pStyle w:val="9"/>
        <w:spacing w:before="253"/>
        <w:ind w:left="204" w:right="381"/>
        <w:jc w:val="center"/>
      </w:pPr>
      <w:r>
        <w:rPr>
          <w:spacing w:val="-6"/>
        </w:rPr>
        <w:t>（投标人须对本附表所有内容逐条响应且无负偏离，否则其</w:t>
      </w:r>
      <w:r>
        <w:rPr>
          <w:b/>
          <w:spacing w:val="-6"/>
        </w:rPr>
        <w:t>投标无效</w:t>
      </w:r>
      <w:r>
        <w:rPr>
          <w:spacing w:val="-10"/>
        </w:rPr>
        <w:t>）</w:t>
      </w:r>
    </w:p>
    <w:p>
      <w:pPr>
        <w:pStyle w:val="9"/>
        <w:spacing w:before="195"/>
        <w:rPr>
          <w:sz w:val="20"/>
        </w:rPr>
      </w:pPr>
    </w:p>
    <w:tbl>
      <w:tblPr>
        <w:tblStyle w:val="12"/>
        <w:tblW w:w="0" w:type="auto"/>
        <w:tblInd w:w="5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3"/>
        <w:gridCol w:w="1990"/>
        <w:gridCol w:w="4254"/>
        <w:gridCol w:w="1871"/>
        <w:gridCol w:w="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13" w:type="dxa"/>
            <w:vMerge w:val="restart"/>
            <w:textDirection w:val="tbRl"/>
          </w:tcPr>
          <w:p>
            <w:pPr>
              <w:pStyle w:val="16"/>
              <w:spacing w:line="216" w:lineRule="auto"/>
              <w:ind w:left="435"/>
              <w:rPr>
                <w:sz w:val="21"/>
              </w:rPr>
            </w:pPr>
            <w:r>
              <w:rPr>
                <w:spacing w:val="10"/>
                <w:sz w:val="21"/>
              </w:rPr>
              <w:t>序 号</w:t>
            </w:r>
          </w:p>
        </w:tc>
        <w:tc>
          <w:tcPr>
            <w:tcW w:w="6244" w:type="dxa"/>
            <w:gridSpan w:val="2"/>
          </w:tcPr>
          <w:p>
            <w:pPr>
              <w:pStyle w:val="16"/>
              <w:spacing w:before="204"/>
              <w:ind w:left="1661"/>
              <w:rPr>
                <w:sz w:val="21"/>
              </w:rPr>
            </w:pPr>
            <w:r>
              <w:rPr>
                <w:spacing w:val="-9"/>
                <w:sz w:val="21"/>
              </w:rPr>
              <w:t>招标文件要求的实质性响应内容</w:t>
            </w:r>
          </w:p>
        </w:tc>
        <w:tc>
          <w:tcPr>
            <w:tcW w:w="1871" w:type="dxa"/>
            <w:vMerge w:val="restart"/>
          </w:tcPr>
          <w:p>
            <w:pPr>
              <w:pStyle w:val="16"/>
              <w:spacing w:before="159"/>
              <w:rPr>
                <w:sz w:val="21"/>
              </w:rPr>
            </w:pPr>
          </w:p>
          <w:p>
            <w:pPr>
              <w:pStyle w:val="16"/>
              <w:spacing w:line="300" w:lineRule="auto"/>
              <w:ind w:left="532" w:right="205" w:hanging="317"/>
              <w:rPr>
                <w:sz w:val="21"/>
              </w:rPr>
            </w:pPr>
            <w:r>
              <w:rPr>
                <w:spacing w:val="-6"/>
                <w:sz w:val="21"/>
              </w:rPr>
              <w:t>投标文件响应的</w:t>
            </w:r>
            <w:r>
              <w:rPr>
                <w:spacing w:val="-4"/>
                <w:sz w:val="21"/>
              </w:rPr>
              <w:t>具体内容</w:t>
            </w:r>
          </w:p>
        </w:tc>
        <w:tc>
          <w:tcPr>
            <w:tcW w:w="736" w:type="dxa"/>
            <w:vMerge w:val="restart"/>
          </w:tcPr>
          <w:p>
            <w:pPr>
              <w:pStyle w:val="16"/>
              <w:rPr>
                <w:sz w:val="21"/>
              </w:rPr>
            </w:pPr>
          </w:p>
          <w:p>
            <w:pPr>
              <w:pStyle w:val="16"/>
              <w:spacing w:before="47"/>
              <w:rPr>
                <w:sz w:val="21"/>
              </w:rPr>
            </w:pPr>
          </w:p>
          <w:p>
            <w:pPr>
              <w:pStyle w:val="16"/>
              <w:ind w:left="173"/>
              <w:rPr>
                <w:sz w:val="21"/>
              </w:rPr>
            </w:pPr>
            <w:r>
              <w:rPr>
                <w:spacing w:val="-10"/>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413" w:type="dxa"/>
            <w:vMerge w:val="continue"/>
            <w:tcBorders>
              <w:top w:val="nil"/>
            </w:tcBorders>
            <w:textDirection w:val="tbRl"/>
          </w:tcPr>
          <w:p>
            <w:pPr>
              <w:rPr>
                <w:sz w:val="2"/>
                <w:szCs w:val="2"/>
              </w:rPr>
            </w:pPr>
          </w:p>
        </w:tc>
        <w:tc>
          <w:tcPr>
            <w:tcW w:w="1990" w:type="dxa"/>
          </w:tcPr>
          <w:p>
            <w:pPr>
              <w:pStyle w:val="16"/>
              <w:spacing w:before="15"/>
              <w:rPr>
                <w:sz w:val="21"/>
              </w:rPr>
            </w:pPr>
          </w:p>
          <w:p>
            <w:pPr>
              <w:pStyle w:val="16"/>
              <w:spacing w:before="1"/>
              <w:ind w:left="483"/>
              <w:rPr>
                <w:sz w:val="21"/>
              </w:rPr>
            </w:pPr>
            <w:r>
              <w:rPr>
                <w:spacing w:val="-10"/>
                <w:sz w:val="21"/>
              </w:rPr>
              <w:t>实质性要求</w:t>
            </w:r>
          </w:p>
        </w:tc>
        <w:tc>
          <w:tcPr>
            <w:tcW w:w="4254" w:type="dxa"/>
          </w:tcPr>
          <w:p>
            <w:pPr>
              <w:pStyle w:val="16"/>
              <w:spacing w:before="15"/>
              <w:rPr>
                <w:sz w:val="21"/>
              </w:rPr>
            </w:pPr>
          </w:p>
          <w:p>
            <w:pPr>
              <w:pStyle w:val="16"/>
              <w:spacing w:before="1"/>
              <w:ind w:left="1296"/>
              <w:rPr>
                <w:sz w:val="21"/>
              </w:rPr>
            </w:pPr>
            <w:r>
              <w:rPr>
                <w:spacing w:val="-10"/>
                <w:sz w:val="21"/>
              </w:rPr>
              <w:t>招标文件中的规定</w:t>
            </w:r>
          </w:p>
        </w:tc>
        <w:tc>
          <w:tcPr>
            <w:tcW w:w="1871" w:type="dxa"/>
            <w:vMerge w:val="continue"/>
            <w:tcBorders>
              <w:top w:val="nil"/>
            </w:tcBorders>
          </w:tcPr>
          <w:p>
            <w:pPr>
              <w:rPr>
                <w:sz w:val="2"/>
                <w:szCs w:val="2"/>
              </w:rPr>
            </w:pPr>
          </w:p>
        </w:tc>
        <w:tc>
          <w:tcPr>
            <w:tcW w:w="73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413" w:type="dxa"/>
          </w:tcPr>
          <w:p>
            <w:pPr>
              <w:pStyle w:val="16"/>
              <w:spacing w:before="232"/>
              <w:rPr>
                <w:sz w:val="21"/>
              </w:rPr>
            </w:pPr>
          </w:p>
          <w:p>
            <w:pPr>
              <w:pStyle w:val="16"/>
              <w:ind w:left="69"/>
              <w:jc w:val="center"/>
              <w:rPr>
                <w:sz w:val="21"/>
              </w:rPr>
            </w:pPr>
            <w:r>
              <w:rPr>
                <w:spacing w:val="-10"/>
                <w:sz w:val="21"/>
              </w:rPr>
              <w:t>1</w:t>
            </w:r>
          </w:p>
        </w:tc>
        <w:tc>
          <w:tcPr>
            <w:tcW w:w="1990" w:type="dxa"/>
          </w:tcPr>
          <w:p>
            <w:pPr>
              <w:pStyle w:val="16"/>
              <w:rPr>
                <w:sz w:val="21"/>
              </w:rPr>
            </w:pPr>
          </w:p>
          <w:p>
            <w:pPr>
              <w:pStyle w:val="16"/>
              <w:spacing w:before="182"/>
              <w:rPr>
                <w:sz w:val="21"/>
              </w:rPr>
            </w:pPr>
          </w:p>
          <w:p>
            <w:pPr>
              <w:pStyle w:val="16"/>
              <w:spacing w:before="1"/>
              <w:ind w:left="116"/>
              <w:rPr>
                <w:sz w:val="21"/>
              </w:rPr>
            </w:pPr>
            <w:r>
              <w:rPr>
                <w:spacing w:val="-10"/>
                <w:sz w:val="21"/>
              </w:rPr>
              <w:t>投标有效期</w:t>
            </w:r>
          </w:p>
        </w:tc>
        <w:tc>
          <w:tcPr>
            <w:tcW w:w="4254" w:type="dxa"/>
          </w:tcPr>
          <w:p>
            <w:pPr>
              <w:pStyle w:val="16"/>
              <w:spacing w:before="160"/>
              <w:rPr>
                <w:sz w:val="21"/>
              </w:rPr>
            </w:pPr>
          </w:p>
          <w:p>
            <w:pPr>
              <w:pStyle w:val="16"/>
              <w:spacing w:line="302" w:lineRule="auto"/>
              <w:ind w:left="118" w:right="225" w:hanging="3"/>
              <w:rPr>
                <w:sz w:val="21"/>
              </w:rPr>
            </w:pPr>
            <w:r>
              <w:rPr>
                <w:spacing w:val="-6"/>
                <w:sz w:val="21"/>
              </w:rPr>
              <w:t>招标文件“第二章投标须知”关于投标有效</w:t>
            </w:r>
            <w:r>
              <w:rPr>
                <w:spacing w:val="-4"/>
                <w:sz w:val="21"/>
              </w:rPr>
              <w:t>期的规定</w:t>
            </w:r>
          </w:p>
        </w:tc>
        <w:tc>
          <w:tcPr>
            <w:tcW w:w="1871" w:type="dxa"/>
          </w:tcPr>
          <w:p>
            <w:pPr>
              <w:pStyle w:val="16"/>
              <w:spacing w:before="167" w:line="300" w:lineRule="auto"/>
              <w:ind w:left="119" w:right="270" w:hanging="8"/>
              <w:jc w:val="both"/>
              <w:rPr>
                <w:sz w:val="21"/>
              </w:rPr>
            </w:pPr>
            <w:r>
              <w:rPr>
                <w:spacing w:val="-2"/>
                <w:sz w:val="21"/>
              </w:rPr>
              <w:t>【投标人在此处填写投标文件的相关内容】</w:t>
            </w:r>
          </w:p>
        </w:tc>
        <w:tc>
          <w:tcPr>
            <w:tcW w:w="736"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413" w:type="dxa"/>
          </w:tcPr>
          <w:p>
            <w:pPr>
              <w:pStyle w:val="16"/>
              <w:spacing w:before="157"/>
              <w:rPr>
                <w:sz w:val="21"/>
              </w:rPr>
            </w:pPr>
          </w:p>
          <w:p>
            <w:pPr>
              <w:pStyle w:val="16"/>
              <w:spacing w:before="1"/>
              <w:ind w:left="69" w:right="29"/>
              <w:jc w:val="center"/>
              <w:rPr>
                <w:sz w:val="21"/>
              </w:rPr>
            </w:pPr>
            <w:r>
              <w:rPr>
                <w:spacing w:val="-10"/>
                <w:sz w:val="21"/>
              </w:rPr>
              <w:t>2</w:t>
            </w:r>
          </w:p>
        </w:tc>
        <w:tc>
          <w:tcPr>
            <w:tcW w:w="1990" w:type="dxa"/>
          </w:tcPr>
          <w:p>
            <w:pPr>
              <w:pStyle w:val="16"/>
              <w:spacing w:before="261"/>
              <w:rPr>
                <w:sz w:val="21"/>
              </w:rPr>
            </w:pPr>
          </w:p>
          <w:p>
            <w:pPr>
              <w:pStyle w:val="16"/>
              <w:ind w:left="113"/>
              <w:rPr>
                <w:sz w:val="21"/>
              </w:rPr>
            </w:pPr>
            <w:r>
              <w:rPr>
                <w:spacing w:val="-10"/>
                <w:sz w:val="21"/>
              </w:rPr>
              <w:t>经营管理模式</w:t>
            </w:r>
          </w:p>
        </w:tc>
        <w:tc>
          <w:tcPr>
            <w:tcW w:w="4254" w:type="dxa"/>
          </w:tcPr>
          <w:p>
            <w:pPr>
              <w:pStyle w:val="16"/>
              <w:spacing w:before="10"/>
              <w:rPr>
                <w:sz w:val="21"/>
              </w:rPr>
            </w:pPr>
          </w:p>
          <w:p>
            <w:pPr>
              <w:pStyle w:val="16"/>
              <w:spacing w:line="228" w:lineRule="auto"/>
              <w:ind w:left="10" w:right="53"/>
              <w:rPr>
                <w:sz w:val="21"/>
              </w:rPr>
            </w:pPr>
            <w:r>
              <w:rPr>
                <w:spacing w:val="-2"/>
                <w:sz w:val="21"/>
              </w:rPr>
              <w:t>招标文件“第二章投标须知”关于服务内容及要求的规定</w:t>
            </w:r>
          </w:p>
        </w:tc>
        <w:tc>
          <w:tcPr>
            <w:tcW w:w="1871" w:type="dxa"/>
          </w:tcPr>
          <w:p>
            <w:pPr>
              <w:pStyle w:val="16"/>
              <w:rPr>
                <w:rFonts w:ascii="Times New Roman"/>
                <w:sz w:val="20"/>
              </w:rPr>
            </w:pPr>
          </w:p>
        </w:tc>
        <w:tc>
          <w:tcPr>
            <w:tcW w:w="736"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413" w:type="dxa"/>
          </w:tcPr>
          <w:p>
            <w:pPr>
              <w:pStyle w:val="16"/>
              <w:spacing w:before="239"/>
              <w:rPr>
                <w:sz w:val="21"/>
              </w:rPr>
            </w:pPr>
          </w:p>
          <w:p>
            <w:pPr>
              <w:pStyle w:val="16"/>
              <w:ind w:left="69" w:right="24"/>
              <w:jc w:val="center"/>
              <w:rPr>
                <w:sz w:val="21"/>
              </w:rPr>
            </w:pPr>
            <w:r>
              <w:rPr>
                <w:spacing w:val="-10"/>
                <w:sz w:val="21"/>
              </w:rPr>
              <w:t>3</w:t>
            </w:r>
          </w:p>
        </w:tc>
        <w:tc>
          <w:tcPr>
            <w:tcW w:w="1990" w:type="dxa"/>
          </w:tcPr>
          <w:p>
            <w:pPr>
              <w:pStyle w:val="16"/>
              <w:rPr>
                <w:sz w:val="21"/>
              </w:rPr>
            </w:pPr>
          </w:p>
          <w:p>
            <w:pPr>
              <w:pStyle w:val="16"/>
              <w:spacing w:before="71"/>
              <w:rPr>
                <w:sz w:val="21"/>
              </w:rPr>
            </w:pPr>
          </w:p>
          <w:p>
            <w:pPr>
              <w:pStyle w:val="16"/>
              <w:spacing w:before="1"/>
              <w:ind w:left="133"/>
              <w:rPr>
                <w:sz w:val="21"/>
              </w:rPr>
            </w:pPr>
            <w:r>
              <w:rPr>
                <w:spacing w:val="-12"/>
                <w:sz w:val="21"/>
              </w:rPr>
              <w:t>团队配置要求</w:t>
            </w:r>
          </w:p>
        </w:tc>
        <w:tc>
          <w:tcPr>
            <w:tcW w:w="4254" w:type="dxa"/>
          </w:tcPr>
          <w:p>
            <w:pPr>
              <w:pStyle w:val="16"/>
              <w:spacing w:before="87"/>
              <w:rPr>
                <w:sz w:val="21"/>
              </w:rPr>
            </w:pPr>
          </w:p>
          <w:p>
            <w:pPr>
              <w:pStyle w:val="16"/>
              <w:spacing w:line="230" w:lineRule="auto"/>
              <w:ind w:left="10" w:right="53"/>
              <w:rPr>
                <w:sz w:val="21"/>
              </w:rPr>
            </w:pPr>
            <w:r>
              <w:rPr>
                <w:spacing w:val="-2"/>
                <w:sz w:val="21"/>
              </w:rPr>
              <w:t>招标文件“第二章投标须知”关于服务内容及要求的规定</w:t>
            </w:r>
          </w:p>
        </w:tc>
        <w:tc>
          <w:tcPr>
            <w:tcW w:w="1871" w:type="dxa"/>
          </w:tcPr>
          <w:p>
            <w:pPr>
              <w:pStyle w:val="16"/>
              <w:rPr>
                <w:rFonts w:ascii="Times New Roman"/>
                <w:sz w:val="20"/>
              </w:rPr>
            </w:pPr>
          </w:p>
        </w:tc>
        <w:tc>
          <w:tcPr>
            <w:tcW w:w="736"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413" w:type="dxa"/>
          </w:tcPr>
          <w:p>
            <w:pPr>
              <w:pStyle w:val="16"/>
              <w:spacing w:before="171"/>
              <w:rPr>
                <w:sz w:val="21"/>
              </w:rPr>
            </w:pPr>
          </w:p>
          <w:p>
            <w:pPr>
              <w:pStyle w:val="16"/>
              <w:ind w:left="69" w:right="39"/>
              <w:jc w:val="center"/>
              <w:rPr>
                <w:sz w:val="21"/>
              </w:rPr>
            </w:pPr>
            <w:r>
              <w:rPr>
                <w:spacing w:val="-10"/>
                <w:sz w:val="21"/>
              </w:rPr>
              <w:t>4</w:t>
            </w:r>
          </w:p>
        </w:tc>
        <w:tc>
          <w:tcPr>
            <w:tcW w:w="1990" w:type="dxa"/>
          </w:tcPr>
          <w:p>
            <w:pPr>
              <w:pStyle w:val="16"/>
              <w:rPr>
                <w:sz w:val="21"/>
              </w:rPr>
            </w:pPr>
          </w:p>
          <w:p>
            <w:pPr>
              <w:pStyle w:val="16"/>
              <w:spacing w:before="4"/>
              <w:rPr>
                <w:sz w:val="21"/>
              </w:rPr>
            </w:pPr>
          </w:p>
          <w:p>
            <w:pPr>
              <w:pStyle w:val="16"/>
              <w:ind w:left="113"/>
              <w:rPr>
                <w:sz w:val="21"/>
              </w:rPr>
            </w:pPr>
            <w:r>
              <w:rPr>
                <w:spacing w:val="-11"/>
                <w:sz w:val="21"/>
              </w:rPr>
              <w:t>服务期限</w:t>
            </w:r>
          </w:p>
        </w:tc>
        <w:tc>
          <w:tcPr>
            <w:tcW w:w="4254" w:type="dxa"/>
          </w:tcPr>
          <w:p>
            <w:pPr>
              <w:pStyle w:val="16"/>
              <w:spacing w:before="26"/>
              <w:rPr>
                <w:sz w:val="21"/>
              </w:rPr>
            </w:pPr>
          </w:p>
          <w:p>
            <w:pPr>
              <w:pStyle w:val="16"/>
              <w:spacing w:line="228" w:lineRule="auto"/>
              <w:ind w:left="10" w:right="53"/>
              <w:rPr>
                <w:sz w:val="21"/>
              </w:rPr>
            </w:pPr>
            <w:r>
              <w:rPr>
                <w:spacing w:val="-2"/>
                <w:sz w:val="21"/>
              </w:rPr>
              <w:t>招标文件“第二章投标须知”关于服务内容及要求的规定</w:t>
            </w:r>
          </w:p>
        </w:tc>
        <w:tc>
          <w:tcPr>
            <w:tcW w:w="1871" w:type="dxa"/>
          </w:tcPr>
          <w:p>
            <w:pPr>
              <w:pStyle w:val="16"/>
              <w:rPr>
                <w:rFonts w:ascii="Times New Roman"/>
                <w:sz w:val="20"/>
              </w:rPr>
            </w:pPr>
          </w:p>
        </w:tc>
        <w:tc>
          <w:tcPr>
            <w:tcW w:w="736"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413" w:type="dxa"/>
          </w:tcPr>
          <w:p>
            <w:pPr>
              <w:pStyle w:val="16"/>
              <w:spacing w:before="23"/>
              <w:rPr>
                <w:sz w:val="21"/>
              </w:rPr>
            </w:pPr>
          </w:p>
          <w:p>
            <w:pPr>
              <w:pStyle w:val="16"/>
              <w:ind w:left="69" w:right="24"/>
              <w:jc w:val="center"/>
              <w:rPr>
                <w:sz w:val="21"/>
              </w:rPr>
            </w:pPr>
            <w:r>
              <w:rPr>
                <w:spacing w:val="-10"/>
                <w:sz w:val="21"/>
              </w:rPr>
              <w:t>5</w:t>
            </w:r>
          </w:p>
        </w:tc>
        <w:tc>
          <w:tcPr>
            <w:tcW w:w="1990" w:type="dxa"/>
          </w:tcPr>
          <w:p>
            <w:pPr>
              <w:pStyle w:val="16"/>
              <w:spacing w:before="131"/>
              <w:rPr>
                <w:sz w:val="21"/>
              </w:rPr>
            </w:pPr>
          </w:p>
          <w:p>
            <w:pPr>
              <w:pStyle w:val="16"/>
              <w:ind w:left="116"/>
              <w:rPr>
                <w:sz w:val="21"/>
              </w:rPr>
            </w:pPr>
            <w:r>
              <w:rPr>
                <w:spacing w:val="-10"/>
                <w:sz w:val="21"/>
              </w:rPr>
              <w:t>履约保证金</w:t>
            </w:r>
          </w:p>
        </w:tc>
        <w:tc>
          <w:tcPr>
            <w:tcW w:w="4254" w:type="dxa"/>
          </w:tcPr>
          <w:p>
            <w:pPr>
              <w:pStyle w:val="16"/>
              <w:spacing w:before="151" w:line="228" w:lineRule="auto"/>
              <w:ind w:left="10" w:right="53"/>
              <w:rPr>
                <w:sz w:val="21"/>
              </w:rPr>
            </w:pPr>
            <w:r>
              <w:rPr>
                <w:spacing w:val="-2"/>
                <w:sz w:val="21"/>
              </w:rPr>
              <w:t>招标文件“第二章投标须知”关于服务内容及要求的规定</w:t>
            </w:r>
          </w:p>
        </w:tc>
        <w:tc>
          <w:tcPr>
            <w:tcW w:w="1871" w:type="dxa"/>
          </w:tcPr>
          <w:p>
            <w:pPr>
              <w:pStyle w:val="16"/>
              <w:rPr>
                <w:rFonts w:ascii="Times New Roman"/>
                <w:sz w:val="20"/>
              </w:rPr>
            </w:pPr>
          </w:p>
        </w:tc>
        <w:tc>
          <w:tcPr>
            <w:tcW w:w="736"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413" w:type="dxa"/>
          </w:tcPr>
          <w:p>
            <w:pPr>
              <w:pStyle w:val="16"/>
              <w:spacing w:before="150"/>
              <w:rPr>
                <w:sz w:val="21"/>
              </w:rPr>
            </w:pPr>
          </w:p>
          <w:p>
            <w:pPr>
              <w:pStyle w:val="16"/>
              <w:ind w:left="69" w:right="29"/>
              <w:jc w:val="center"/>
              <w:rPr>
                <w:sz w:val="21"/>
              </w:rPr>
            </w:pPr>
            <w:r>
              <w:rPr>
                <w:spacing w:val="-10"/>
                <w:sz w:val="21"/>
              </w:rPr>
              <w:t>6</w:t>
            </w:r>
          </w:p>
        </w:tc>
        <w:tc>
          <w:tcPr>
            <w:tcW w:w="1990" w:type="dxa"/>
          </w:tcPr>
          <w:p>
            <w:pPr>
              <w:pStyle w:val="16"/>
              <w:spacing w:before="121"/>
              <w:rPr>
                <w:sz w:val="21"/>
              </w:rPr>
            </w:pPr>
          </w:p>
          <w:p>
            <w:pPr>
              <w:pStyle w:val="16"/>
              <w:spacing w:before="1"/>
              <w:ind w:left="133"/>
              <w:rPr>
                <w:sz w:val="21"/>
              </w:rPr>
            </w:pPr>
            <w:r>
              <w:rPr>
                <w:spacing w:val="-14"/>
                <w:sz w:val="21"/>
              </w:rPr>
              <w:t>中标后分包</w:t>
            </w:r>
          </w:p>
        </w:tc>
        <w:tc>
          <w:tcPr>
            <w:tcW w:w="4254" w:type="dxa"/>
          </w:tcPr>
          <w:p>
            <w:pPr>
              <w:pStyle w:val="16"/>
              <w:spacing w:before="5"/>
              <w:rPr>
                <w:sz w:val="21"/>
              </w:rPr>
            </w:pPr>
          </w:p>
          <w:p>
            <w:pPr>
              <w:pStyle w:val="16"/>
              <w:spacing w:line="228" w:lineRule="auto"/>
              <w:ind w:left="10" w:right="53"/>
              <w:rPr>
                <w:sz w:val="21"/>
              </w:rPr>
            </w:pPr>
            <w:r>
              <w:rPr>
                <w:spacing w:val="-2"/>
                <w:sz w:val="21"/>
              </w:rPr>
              <w:t>招标文件“第二章投标须知”关于服务内容及要求的规定</w:t>
            </w:r>
          </w:p>
        </w:tc>
        <w:tc>
          <w:tcPr>
            <w:tcW w:w="1871" w:type="dxa"/>
          </w:tcPr>
          <w:p>
            <w:pPr>
              <w:pStyle w:val="16"/>
              <w:rPr>
                <w:rFonts w:ascii="Times New Roman"/>
                <w:sz w:val="20"/>
              </w:rPr>
            </w:pPr>
          </w:p>
        </w:tc>
        <w:tc>
          <w:tcPr>
            <w:tcW w:w="736"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413" w:type="dxa"/>
          </w:tcPr>
          <w:p>
            <w:pPr>
              <w:pStyle w:val="16"/>
              <w:spacing w:before="175"/>
              <w:rPr>
                <w:sz w:val="21"/>
              </w:rPr>
            </w:pPr>
          </w:p>
          <w:p>
            <w:pPr>
              <w:pStyle w:val="16"/>
              <w:ind w:left="69" w:right="24"/>
              <w:jc w:val="center"/>
              <w:rPr>
                <w:sz w:val="21"/>
              </w:rPr>
            </w:pPr>
            <w:r>
              <w:rPr>
                <w:spacing w:val="-10"/>
                <w:sz w:val="21"/>
              </w:rPr>
              <w:t>7</w:t>
            </w:r>
          </w:p>
        </w:tc>
        <w:tc>
          <w:tcPr>
            <w:tcW w:w="1990" w:type="dxa"/>
          </w:tcPr>
          <w:p>
            <w:pPr>
              <w:pStyle w:val="16"/>
              <w:spacing w:before="144"/>
              <w:rPr>
                <w:sz w:val="21"/>
              </w:rPr>
            </w:pPr>
          </w:p>
          <w:p>
            <w:pPr>
              <w:pStyle w:val="16"/>
              <w:ind w:left="113"/>
              <w:rPr>
                <w:sz w:val="21"/>
              </w:rPr>
            </w:pPr>
            <w:r>
              <w:rPr>
                <w:spacing w:val="-11"/>
                <w:sz w:val="21"/>
              </w:rPr>
              <w:t>财务核算</w:t>
            </w:r>
          </w:p>
        </w:tc>
        <w:tc>
          <w:tcPr>
            <w:tcW w:w="4254" w:type="dxa"/>
          </w:tcPr>
          <w:p>
            <w:pPr>
              <w:pStyle w:val="16"/>
              <w:spacing w:before="25"/>
              <w:rPr>
                <w:sz w:val="21"/>
              </w:rPr>
            </w:pPr>
          </w:p>
          <w:p>
            <w:pPr>
              <w:pStyle w:val="16"/>
              <w:spacing w:before="1" w:line="230" w:lineRule="auto"/>
              <w:ind w:left="12" w:right="53" w:hanging="3"/>
              <w:rPr>
                <w:sz w:val="21"/>
              </w:rPr>
            </w:pPr>
            <w:r>
              <w:rPr>
                <w:spacing w:val="-2"/>
                <w:sz w:val="21"/>
              </w:rPr>
              <w:t>招标文件“第三章采购需求”关于财务核算内容及要求的规定</w:t>
            </w:r>
          </w:p>
        </w:tc>
        <w:tc>
          <w:tcPr>
            <w:tcW w:w="1871" w:type="dxa"/>
          </w:tcPr>
          <w:p>
            <w:pPr>
              <w:pStyle w:val="16"/>
              <w:rPr>
                <w:rFonts w:ascii="Times New Roman"/>
                <w:sz w:val="20"/>
              </w:rPr>
            </w:pPr>
          </w:p>
        </w:tc>
        <w:tc>
          <w:tcPr>
            <w:tcW w:w="736"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413" w:type="dxa"/>
          </w:tcPr>
          <w:p>
            <w:pPr>
              <w:pStyle w:val="16"/>
              <w:rPr>
                <w:rFonts w:ascii="Times New Roman"/>
                <w:sz w:val="20"/>
              </w:rPr>
            </w:pPr>
          </w:p>
        </w:tc>
        <w:tc>
          <w:tcPr>
            <w:tcW w:w="1990" w:type="dxa"/>
          </w:tcPr>
          <w:p>
            <w:pPr>
              <w:pStyle w:val="16"/>
              <w:rPr>
                <w:rFonts w:ascii="Times New Roman"/>
                <w:sz w:val="20"/>
              </w:rPr>
            </w:pPr>
          </w:p>
        </w:tc>
        <w:tc>
          <w:tcPr>
            <w:tcW w:w="4254" w:type="dxa"/>
          </w:tcPr>
          <w:p>
            <w:pPr>
              <w:pStyle w:val="16"/>
              <w:rPr>
                <w:rFonts w:ascii="Times New Roman"/>
                <w:sz w:val="20"/>
              </w:rPr>
            </w:pPr>
          </w:p>
        </w:tc>
        <w:tc>
          <w:tcPr>
            <w:tcW w:w="1871" w:type="dxa"/>
          </w:tcPr>
          <w:p>
            <w:pPr>
              <w:pStyle w:val="16"/>
              <w:rPr>
                <w:rFonts w:ascii="Times New Roman"/>
                <w:sz w:val="20"/>
              </w:rPr>
            </w:pPr>
          </w:p>
        </w:tc>
        <w:tc>
          <w:tcPr>
            <w:tcW w:w="736" w:type="dxa"/>
          </w:tcPr>
          <w:p>
            <w:pPr>
              <w:pStyle w:val="16"/>
              <w:rPr>
                <w:rFonts w:ascii="Times New Roman"/>
                <w:sz w:val="20"/>
              </w:rPr>
            </w:pPr>
          </w:p>
        </w:tc>
      </w:tr>
    </w:tbl>
    <w:p>
      <w:pPr>
        <w:pStyle w:val="9"/>
        <w:rPr>
          <w:sz w:val="21"/>
        </w:rPr>
      </w:pPr>
    </w:p>
    <w:p>
      <w:pPr>
        <w:pStyle w:val="9"/>
        <w:spacing w:before="34"/>
        <w:rPr>
          <w:sz w:val="21"/>
        </w:rPr>
      </w:pPr>
    </w:p>
    <w:p>
      <w:pPr>
        <w:spacing w:before="0"/>
        <w:ind w:left="887" w:right="0" w:firstLine="0"/>
        <w:jc w:val="left"/>
        <w:rPr>
          <w:b/>
          <w:sz w:val="21"/>
        </w:rPr>
      </w:pPr>
      <w:r>
        <w:rPr>
          <w:b/>
          <w:spacing w:val="-9"/>
          <w:sz w:val="21"/>
        </w:rPr>
        <w:t>注：“实质性响应一览表”中的内容为参考，可根据项目情况自行设置。</w:t>
      </w:r>
    </w:p>
    <w:p>
      <w:pPr>
        <w:spacing w:after="0"/>
        <w:jc w:val="left"/>
        <w:rPr>
          <w:sz w:val="21"/>
        </w:rPr>
        <w:sectPr>
          <w:pgSz w:w="11910" w:h="16840"/>
          <w:pgMar w:top="1100" w:right="720" w:bottom="1180" w:left="920" w:header="916" w:footer="983" w:gutter="0"/>
          <w:pgNumType w:fmt="numberInDash"/>
          <w:cols w:space="720" w:num="1"/>
        </w:sectPr>
      </w:pPr>
    </w:p>
    <w:p>
      <w:pPr>
        <w:pStyle w:val="9"/>
        <w:spacing w:line="20" w:lineRule="exact"/>
        <w:ind w:left="880"/>
        <w:rPr>
          <w:sz w:val="2"/>
        </w:rPr>
      </w:pPr>
      <w:r>
        <w:rPr>
          <w:sz w:val="2"/>
        </w:rPr>
        <mc:AlternateContent>
          <mc:Choice Requires="wpg">
            <w:drawing>
              <wp:inline distT="0" distB="0" distL="0" distR="0">
                <wp:extent cx="5372100" cy="9525"/>
                <wp:effectExtent l="0" t="0" r="0" b="0"/>
                <wp:docPr id="20" name="Group 20"/>
                <wp:cNvGraphicFramePr/>
                <a:graphic xmlns:a="http://schemas.openxmlformats.org/drawingml/2006/main">
                  <a:graphicData uri="http://schemas.microsoft.com/office/word/2010/wordprocessingGroup">
                    <wpg:wgp>
                      <wpg:cNvGrpSpPr/>
                      <wpg:grpSpPr>
                        <a:xfrm>
                          <a:off x="0" y="0"/>
                          <a:ext cx="5372100" cy="9525"/>
                          <a:chOff x="0" y="0"/>
                          <a:chExt cx="5372100" cy="9525"/>
                        </a:xfrm>
                      </wpg:grpSpPr>
                      <wps:wsp>
                        <wps:cNvPr id="21" name="Graphic 21"/>
                        <wps:cNvSpPr/>
                        <wps:spPr>
                          <a:xfrm>
                            <a:off x="0" y="0"/>
                            <a:ext cx="5372100" cy="9525"/>
                          </a:xfrm>
                          <a:custGeom>
                            <a:avLst/>
                            <a:gdLst/>
                            <a:ahLst/>
                            <a:cxnLst/>
                            <a:rect l="l" t="t" r="r" b="b"/>
                            <a:pathLst>
                              <a:path w="5372100" h="9525">
                                <a:moveTo>
                                  <a:pt x="5372100" y="0"/>
                                </a:moveTo>
                                <a:lnTo>
                                  <a:pt x="5274564" y="0"/>
                                </a:lnTo>
                                <a:lnTo>
                                  <a:pt x="97536" y="0"/>
                                </a:lnTo>
                                <a:lnTo>
                                  <a:pt x="0" y="0"/>
                                </a:lnTo>
                                <a:lnTo>
                                  <a:pt x="0" y="9144"/>
                                </a:lnTo>
                                <a:lnTo>
                                  <a:pt x="97536" y="9144"/>
                                </a:lnTo>
                                <a:lnTo>
                                  <a:pt x="5274564" y="9144"/>
                                </a:lnTo>
                                <a:lnTo>
                                  <a:pt x="5372100" y="9144"/>
                                </a:lnTo>
                                <a:lnTo>
                                  <a:pt x="5372100" y="0"/>
                                </a:lnTo>
                                <a:close/>
                              </a:path>
                            </a:pathLst>
                          </a:custGeom>
                          <a:solidFill>
                            <a:srgbClr val="000000"/>
                          </a:solidFill>
                        </wps:spPr>
                        <wps:bodyPr wrap="square" lIns="0" tIns="0" rIns="0" bIns="0" rtlCol="0">
                          <a:noAutofit/>
                        </wps:bodyPr>
                      </wps:wsp>
                    </wpg:wgp>
                  </a:graphicData>
                </a:graphic>
              </wp:inline>
            </w:drawing>
          </mc:Choice>
          <mc:Fallback>
            <w:pict>
              <v:group id="Group 20" o:spid="_x0000_s1026" o:spt="203" style="height:0.75pt;width:423pt;" coordsize="5372100,9525" o:gfxdata="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7FDKnTAAAAAwEAAA8AAAAAAAAAAQAgAAAA&#10;IgAAAGRycy9kb3ducmV2LnhtbFBLAQIUABQAAAAIAIdO4kCi6BQCggIAALQGAAAOAAAAAAAAAAEA&#10;IAAAACIBAABkcnMvZTJvRG9jLnhtbFBLBQYAAAAABgAGAFkBAAAWBgAAAAA=&#10;">
                <o:lock v:ext="edit" aspectratio="f"/>
                <v:shape id="Graphic 21" o:spid="_x0000_s1026" o:spt="100" style="position:absolute;left:0;top:0;height:9525;width:5372100;" fillcolor="#000000" filled="t" stroked="f" coordsize="5372100,9525" o:gfxdata="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Awv2r4A&#10;AADbAAAADwAAAAAAAAABACAAAAAiAAAAZHJzL2Rvd25yZXYueG1sUEsBAhQAFAAAAAgAh07iQDMv&#10;BZ47AAAAOQAAABAAAAAAAAAAAQAgAAAADQEAAGRycy9zaGFwZXhtbC54bWxQSwUGAAAAAAYABgBb&#10;AQAAtwMAAAAA&#10;" path="m5372100,0l5274564,0,97536,0,0,0,0,9144,97536,9144,5274564,9144,5372100,9144,5372100,0xe">
                  <v:fill on="t" focussize="0,0"/>
                  <v:stroke on="f"/>
                  <v:imagedata o:title=""/>
                  <o:lock v:ext="edit" aspectratio="f"/>
                  <v:textbox inset="0mm,0mm,0mm,0mm"/>
                </v:shape>
                <w10:wrap type="none"/>
                <w10:anchorlock/>
              </v:group>
            </w:pict>
          </mc:Fallback>
        </mc:AlternateContent>
      </w:r>
    </w:p>
    <w:p>
      <w:pPr>
        <w:pStyle w:val="9"/>
        <w:spacing w:before="95"/>
        <w:rPr>
          <w:b/>
        </w:rPr>
      </w:pPr>
    </w:p>
    <w:p>
      <w:pPr>
        <w:pStyle w:val="8"/>
        <w:ind w:left="1050"/>
      </w:pPr>
      <w:r>
        <w:rPr>
          <w:spacing w:val="-12"/>
        </w:rPr>
        <w:t>（二）评分标准</w:t>
      </w:r>
    </w:p>
    <w:p>
      <w:pPr>
        <w:pStyle w:val="9"/>
        <w:spacing w:before="166" w:line="336" w:lineRule="auto"/>
        <w:ind w:left="488" w:right="1528" w:firstLine="655"/>
        <w:jc w:val="both"/>
      </w:pPr>
      <w:r>
        <w:rPr>
          <w:spacing w:val="-4"/>
        </w:rPr>
        <w:t>投标文件评价采用综合评分法，评分按报价、技术和商务两部分分别打分</w:t>
      </w:r>
      <w:r>
        <w:rPr>
          <w:spacing w:val="-9"/>
        </w:rPr>
        <w:t xml:space="preserve">的方 式进行。两项总分为 </w:t>
      </w:r>
      <w:r>
        <w:rPr>
          <w:spacing w:val="-2"/>
        </w:rPr>
        <w:t>100</w:t>
      </w:r>
      <w:r>
        <w:rPr>
          <w:spacing w:val="-7"/>
        </w:rPr>
        <w:t xml:space="preserve"> 分。注：技术和商务部分总分</w:t>
      </w:r>
      <w:r>
        <w:rPr>
          <w:spacing w:val="-2"/>
        </w:rPr>
        <w:t>70分，报价部分总分30分。</w:t>
      </w:r>
    </w:p>
    <w:p>
      <w:pPr>
        <w:pStyle w:val="8"/>
        <w:spacing w:before="60"/>
        <w:ind w:left="258" w:right="225"/>
        <w:jc w:val="center"/>
      </w:pPr>
      <w:r>
        <w:rPr>
          <w:rFonts w:hint="eastAsia"/>
          <w:spacing w:val="-7"/>
          <w:lang w:eastAsia="zh-CN"/>
        </w:rPr>
        <w:t>二标包</w:t>
      </w:r>
      <w:r>
        <w:rPr>
          <w:spacing w:val="-7"/>
        </w:rPr>
        <w:t>评审标准</w:t>
      </w:r>
    </w:p>
    <w:p>
      <w:pPr>
        <w:pStyle w:val="9"/>
        <w:spacing w:before="8"/>
        <w:rPr>
          <w:b/>
          <w:sz w:val="10"/>
        </w:rPr>
      </w:pPr>
    </w:p>
    <w:tbl>
      <w:tblPr>
        <w:tblStyle w:val="12"/>
        <w:tblW w:w="9935" w:type="dxa"/>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
        <w:gridCol w:w="726"/>
        <w:gridCol w:w="2"/>
        <w:gridCol w:w="734"/>
        <w:gridCol w:w="2"/>
        <w:gridCol w:w="785"/>
        <w:gridCol w:w="2"/>
        <w:gridCol w:w="7118"/>
        <w:gridCol w:w="562"/>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62" w:hRule="atLeast"/>
        </w:trPr>
        <w:tc>
          <w:tcPr>
            <w:tcW w:w="728" w:type="dxa"/>
            <w:gridSpan w:val="2"/>
          </w:tcPr>
          <w:p>
            <w:pPr>
              <w:pStyle w:val="16"/>
              <w:spacing w:before="72" w:line="370" w:lineRule="exact"/>
              <w:ind w:left="63" w:right="3"/>
              <w:jc w:val="center"/>
              <w:rPr>
                <w:rFonts w:ascii="微软雅黑" w:eastAsia="微软雅黑"/>
                <w:b/>
                <w:sz w:val="24"/>
              </w:rPr>
            </w:pPr>
            <w:r>
              <w:rPr>
                <w:rFonts w:ascii="微软雅黑" w:eastAsia="微软雅黑"/>
                <w:b/>
                <w:spacing w:val="-7"/>
                <w:sz w:val="24"/>
              </w:rPr>
              <w:t>序号</w:t>
            </w:r>
          </w:p>
        </w:tc>
        <w:tc>
          <w:tcPr>
            <w:tcW w:w="1523" w:type="dxa"/>
            <w:gridSpan w:val="4"/>
          </w:tcPr>
          <w:p>
            <w:pPr>
              <w:pStyle w:val="16"/>
              <w:spacing w:before="69" w:line="373" w:lineRule="exact"/>
              <w:ind w:left="324"/>
              <w:rPr>
                <w:rFonts w:ascii="微软雅黑" w:eastAsia="微软雅黑"/>
                <w:b/>
                <w:sz w:val="24"/>
              </w:rPr>
            </w:pPr>
            <w:r>
              <w:rPr>
                <w:rFonts w:ascii="微软雅黑" w:eastAsia="微软雅黑"/>
                <w:b/>
                <w:spacing w:val="-6"/>
                <w:sz w:val="24"/>
              </w:rPr>
              <w:t>评分内容</w:t>
            </w:r>
          </w:p>
        </w:tc>
        <w:tc>
          <w:tcPr>
            <w:tcW w:w="7118" w:type="dxa"/>
          </w:tcPr>
          <w:p>
            <w:pPr>
              <w:pStyle w:val="16"/>
              <w:spacing w:before="69" w:line="373" w:lineRule="exact"/>
              <w:ind w:left="98"/>
              <w:jc w:val="center"/>
              <w:rPr>
                <w:rFonts w:ascii="微软雅黑" w:eastAsia="微软雅黑"/>
                <w:b/>
                <w:sz w:val="24"/>
              </w:rPr>
            </w:pPr>
            <w:r>
              <w:rPr>
                <w:rFonts w:ascii="微软雅黑" w:eastAsia="微软雅黑"/>
                <w:b/>
                <w:spacing w:val="-6"/>
                <w:sz w:val="24"/>
              </w:rPr>
              <w:t>评分方法</w:t>
            </w:r>
          </w:p>
        </w:tc>
        <w:tc>
          <w:tcPr>
            <w:tcW w:w="564" w:type="dxa"/>
            <w:gridSpan w:val="2"/>
          </w:tcPr>
          <w:p>
            <w:pPr>
              <w:pStyle w:val="16"/>
              <w:spacing w:before="69" w:line="373" w:lineRule="exact"/>
              <w:ind w:left="77"/>
              <w:jc w:val="center"/>
              <w:rPr>
                <w:rFonts w:ascii="微软雅黑" w:eastAsia="微软雅黑"/>
                <w:b/>
                <w:sz w:val="24"/>
              </w:rPr>
            </w:pPr>
            <w:r>
              <w:rPr>
                <w:rFonts w:ascii="微软雅黑" w:eastAsia="微软雅黑"/>
                <w:b/>
                <w:spacing w:val="-8"/>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1338" w:hRule="atLeast"/>
        </w:trPr>
        <w:tc>
          <w:tcPr>
            <w:tcW w:w="728" w:type="dxa"/>
            <w:gridSpan w:val="2"/>
          </w:tcPr>
          <w:p>
            <w:pPr>
              <w:pStyle w:val="16"/>
              <w:spacing w:before="309"/>
              <w:rPr>
                <w:b/>
                <w:sz w:val="24"/>
              </w:rPr>
            </w:pPr>
          </w:p>
          <w:p>
            <w:pPr>
              <w:pStyle w:val="16"/>
              <w:spacing w:before="1"/>
              <w:ind w:left="63"/>
              <w:jc w:val="center"/>
              <w:rPr>
                <w:rFonts w:ascii="Times New Roman"/>
                <w:sz w:val="24"/>
              </w:rPr>
            </w:pPr>
            <w:r>
              <w:rPr>
                <w:rFonts w:ascii="Times New Roman"/>
                <w:spacing w:val="-10"/>
                <w:sz w:val="24"/>
              </w:rPr>
              <w:t>1</w:t>
            </w:r>
          </w:p>
        </w:tc>
        <w:tc>
          <w:tcPr>
            <w:tcW w:w="1523" w:type="dxa"/>
            <w:gridSpan w:val="4"/>
          </w:tcPr>
          <w:p>
            <w:pPr>
              <w:pStyle w:val="16"/>
              <w:spacing w:before="114"/>
              <w:rPr>
                <w:b/>
                <w:sz w:val="24"/>
              </w:rPr>
            </w:pPr>
          </w:p>
          <w:p>
            <w:pPr>
              <w:pStyle w:val="16"/>
              <w:spacing w:line="301" w:lineRule="exact"/>
              <w:ind w:left="12"/>
              <w:jc w:val="center"/>
              <w:rPr>
                <w:sz w:val="24"/>
              </w:rPr>
            </w:pPr>
            <w:r>
              <w:rPr>
                <w:spacing w:val="-7"/>
                <w:sz w:val="24"/>
              </w:rPr>
              <w:t>投标报价</w:t>
            </w:r>
          </w:p>
          <w:p>
            <w:pPr>
              <w:pStyle w:val="16"/>
              <w:spacing w:line="301" w:lineRule="exact"/>
              <w:ind w:left="12" w:right="1"/>
              <w:jc w:val="center"/>
              <w:rPr>
                <w:rFonts w:ascii="Times New Roman" w:eastAsia="Times New Roman"/>
                <w:sz w:val="24"/>
              </w:rPr>
            </w:pPr>
            <w:r>
              <w:rPr>
                <w:rFonts w:ascii="Times New Roman" w:eastAsia="Times New Roman"/>
                <w:spacing w:val="-4"/>
                <w:sz w:val="24"/>
              </w:rPr>
              <w:t>(30</w:t>
            </w:r>
            <w:r>
              <w:rPr>
                <w:spacing w:val="-4"/>
                <w:sz w:val="24"/>
              </w:rPr>
              <w:t>分</w:t>
            </w:r>
            <w:r>
              <w:rPr>
                <w:rFonts w:ascii="Times New Roman" w:eastAsia="Times New Roman"/>
                <w:spacing w:val="-10"/>
                <w:sz w:val="24"/>
              </w:rPr>
              <w:t>)</w:t>
            </w:r>
          </w:p>
        </w:tc>
        <w:tc>
          <w:tcPr>
            <w:tcW w:w="7118" w:type="dxa"/>
          </w:tcPr>
          <w:p>
            <w:pPr>
              <w:pStyle w:val="16"/>
              <w:spacing w:before="83" w:line="232" w:lineRule="auto"/>
              <w:ind w:left="23" w:right="2" w:firstLine="504"/>
              <w:jc w:val="both"/>
              <w:rPr>
                <w:sz w:val="24"/>
              </w:rPr>
            </w:pPr>
            <w:r>
              <w:rPr>
                <w:spacing w:val="-2"/>
                <w:sz w:val="24"/>
              </w:rPr>
              <w:t>以满足招标文件要求的支付餐饮服务费比例最低的投标价为基准价，其报价分为满分。其他投标人的报价按下列公</w:t>
            </w:r>
            <w:r>
              <w:rPr>
                <w:spacing w:val="-4"/>
                <w:sz w:val="24"/>
              </w:rPr>
              <w:t>式计算：</w:t>
            </w:r>
          </w:p>
          <w:p>
            <w:pPr>
              <w:pStyle w:val="16"/>
              <w:spacing w:before="1"/>
              <w:ind w:left="438"/>
              <w:rPr>
                <w:rFonts w:ascii="Times New Roman" w:hAnsi="Times New Roman" w:eastAsia="Times New Roman"/>
                <w:sz w:val="24"/>
              </w:rPr>
            </w:pPr>
            <w:r>
              <w:rPr>
                <w:spacing w:val="-2"/>
                <w:sz w:val="24"/>
              </w:rPr>
              <w:t>报价得分＝（评标基准价</w:t>
            </w:r>
            <w:r>
              <w:rPr>
                <w:rFonts w:ascii="Times New Roman" w:hAnsi="Times New Roman" w:eastAsia="Times New Roman"/>
                <w:spacing w:val="-2"/>
                <w:sz w:val="24"/>
              </w:rPr>
              <w:t>/</w:t>
            </w:r>
            <w:r>
              <w:rPr>
                <w:spacing w:val="-2"/>
                <w:sz w:val="24"/>
              </w:rPr>
              <w:t>投标人报价</w:t>
            </w:r>
            <w:r>
              <w:rPr>
                <w:spacing w:val="-4"/>
                <w:sz w:val="24"/>
              </w:rPr>
              <w:t>）</w:t>
            </w:r>
            <w:r>
              <w:rPr>
                <w:rFonts w:ascii="Times New Roman" w:hAnsi="Times New Roman" w:eastAsia="Times New Roman"/>
                <w:spacing w:val="-4"/>
                <w:sz w:val="24"/>
              </w:rPr>
              <w:t>×30</w:t>
            </w:r>
          </w:p>
        </w:tc>
        <w:tc>
          <w:tcPr>
            <w:tcW w:w="564" w:type="dxa"/>
            <w:gridSpan w:val="2"/>
          </w:tcPr>
          <w:p>
            <w:pPr>
              <w:pStyle w:val="16"/>
              <w:spacing w:before="309"/>
              <w:rPr>
                <w:b/>
                <w:sz w:val="24"/>
              </w:rPr>
            </w:pPr>
          </w:p>
          <w:p>
            <w:pPr>
              <w:pStyle w:val="16"/>
              <w:spacing w:before="1"/>
              <w:ind w:left="31"/>
              <w:jc w:val="center"/>
              <w:rPr>
                <w:rFonts w:ascii="Times New Roman"/>
                <w:sz w:val="24"/>
              </w:rPr>
            </w:pPr>
            <w:r>
              <w:rPr>
                <w:rFonts w:ascii="Times New Roman"/>
                <w:spacing w:val="-5"/>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2533" w:hRule="atLeast"/>
        </w:trPr>
        <w:tc>
          <w:tcPr>
            <w:tcW w:w="728" w:type="dxa"/>
            <w:gridSpan w:val="2"/>
            <w:vMerge w:val="restart"/>
            <w:vAlign w:val="center"/>
          </w:tcPr>
          <w:p>
            <w:pPr>
              <w:pStyle w:val="16"/>
              <w:jc w:val="center"/>
              <w:rPr>
                <w:rFonts w:hint="eastAsia" w:ascii="Times New Roman" w:eastAsia="宋体"/>
                <w:sz w:val="24"/>
                <w:lang w:val="en-US" w:eastAsia="zh-CN"/>
              </w:rPr>
            </w:pPr>
            <w:r>
              <w:rPr>
                <w:rFonts w:hint="eastAsia" w:ascii="Times New Roman"/>
                <w:sz w:val="24"/>
                <w:lang w:val="en-US" w:eastAsia="zh-CN"/>
              </w:rPr>
              <w:t>2</w:t>
            </w:r>
          </w:p>
        </w:tc>
        <w:tc>
          <w:tcPr>
            <w:tcW w:w="736" w:type="dxa"/>
            <w:gridSpan w:val="2"/>
            <w:vMerge w:val="restart"/>
            <w:vAlign w:val="center"/>
          </w:tcPr>
          <w:p>
            <w:pPr>
              <w:pStyle w:val="16"/>
              <w:rPr>
                <w:rFonts w:ascii="Times New Roman"/>
                <w:sz w:val="24"/>
              </w:rPr>
            </w:pPr>
            <w:r>
              <w:rPr>
                <w:spacing w:val="-18"/>
                <w:sz w:val="24"/>
              </w:rPr>
              <w:t>商 务</w:t>
            </w:r>
            <w:r>
              <w:rPr>
                <w:sz w:val="24"/>
              </w:rPr>
              <w:t xml:space="preserve">条 款 </w:t>
            </w:r>
            <w:r>
              <w:rPr>
                <w:rFonts w:ascii="Times New Roman" w:eastAsia="Times New Roman"/>
                <w:spacing w:val="-4"/>
                <w:sz w:val="24"/>
              </w:rPr>
              <w:t>(28</w:t>
            </w:r>
            <w:r>
              <w:rPr>
                <w:spacing w:val="-4"/>
                <w:sz w:val="24"/>
              </w:rPr>
              <w:t>分</w:t>
            </w:r>
            <w:r>
              <w:rPr>
                <w:rFonts w:ascii="Times New Roman" w:eastAsia="Times New Roman"/>
                <w:spacing w:val="-10"/>
                <w:sz w:val="24"/>
              </w:rPr>
              <w:t>)</w:t>
            </w:r>
          </w:p>
        </w:tc>
        <w:tc>
          <w:tcPr>
            <w:tcW w:w="787" w:type="dxa"/>
            <w:gridSpan w:val="2"/>
            <w:vAlign w:val="center"/>
          </w:tcPr>
          <w:p>
            <w:pPr>
              <w:pStyle w:val="16"/>
              <w:spacing w:before="145" w:line="230" w:lineRule="auto"/>
              <w:ind w:left="169" w:right="134" w:hanging="8"/>
              <w:jc w:val="center"/>
              <w:rPr>
                <w:sz w:val="24"/>
              </w:rPr>
            </w:pPr>
            <w:r>
              <w:rPr>
                <w:spacing w:val="-6"/>
                <w:sz w:val="24"/>
              </w:rPr>
              <w:t>企业</w:t>
            </w:r>
            <w:r>
              <w:rPr>
                <w:rFonts w:ascii="宋体" w:hAnsi="宋体" w:eastAsia="宋体" w:cs="宋体"/>
                <w:spacing w:val="-6"/>
                <w:sz w:val="24"/>
              </w:rPr>
              <w:t>资</w:t>
            </w:r>
            <w:r>
              <w:rPr>
                <w:spacing w:val="-10"/>
                <w:sz w:val="24"/>
              </w:rPr>
              <w:t>历</w:t>
            </w:r>
          </w:p>
        </w:tc>
        <w:tc>
          <w:tcPr>
            <w:tcW w:w="7118" w:type="dxa"/>
          </w:tcPr>
          <w:p>
            <w:pPr>
              <w:pStyle w:val="17"/>
              <w:spacing w:before="34" w:line="224" w:lineRule="auto"/>
              <w:ind w:left="31" w:right="16" w:hanging="2"/>
              <w:rPr>
                <w:spacing w:val="7"/>
              </w:rPr>
            </w:pPr>
            <w:r>
              <w:rPr>
                <w:spacing w:val="7"/>
              </w:rPr>
              <w:t>1.提供有效期内的GB/T19001质量管理体系； 2.GB/T24001环境管理体系；</w:t>
            </w:r>
          </w:p>
          <w:p>
            <w:pPr>
              <w:pStyle w:val="17"/>
              <w:spacing w:before="34" w:line="224" w:lineRule="auto"/>
              <w:ind w:left="31" w:right="16" w:hanging="2"/>
              <w:rPr>
                <w:spacing w:val="7"/>
              </w:rPr>
            </w:pPr>
            <w:r>
              <w:rPr>
                <w:spacing w:val="7"/>
              </w:rPr>
              <w:t>3.ISO22000食品安全管理体系；</w:t>
            </w:r>
          </w:p>
          <w:p>
            <w:pPr>
              <w:pStyle w:val="17"/>
              <w:spacing w:before="34" w:line="224" w:lineRule="auto"/>
              <w:ind w:left="31" w:right="16" w:hanging="2"/>
              <w:rPr>
                <w:spacing w:val="7"/>
              </w:rPr>
            </w:pPr>
            <w:r>
              <w:rPr>
                <w:spacing w:val="7"/>
              </w:rPr>
              <w:t>4.GB/T45001职业健康安全管理体系认证；</w:t>
            </w:r>
          </w:p>
          <w:p>
            <w:pPr>
              <w:pStyle w:val="17"/>
              <w:spacing w:before="34" w:line="224" w:lineRule="auto"/>
              <w:ind w:left="31" w:right="16" w:hanging="2"/>
              <w:rPr>
                <w:spacing w:val="7"/>
              </w:rPr>
            </w:pPr>
            <w:r>
              <w:rPr>
                <w:spacing w:val="7"/>
              </w:rPr>
              <w:t>有一项证书及证明材料得0.5分，本项最高得2分，未提供或 不满足的不得分。</w:t>
            </w:r>
          </w:p>
          <w:p>
            <w:pPr>
              <w:pStyle w:val="17"/>
              <w:spacing w:before="34" w:line="224" w:lineRule="auto"/>
              <w:ind w:left="31" w:right="16" w:hanging="2"/>
              <w:rPr>
                <w:sz w:val="24"/>
              </w:rPr>
            </w:pPr>
            <w:r>
              <w:rPr>
                <w:spacing w:val="7"/>
              </w:rPr>
              <w:t>注：须在国家认监委官网可查，并提供有效期内的认证证书 复印件及国家认监委网查询截图，加盖投标人公章。</w:t>
            </w:r>
          </w:p>
        </w:tc>
        <w:tc>
          <w:tcPr>
            <w:tcW w:w="564" w:type="dxa"/>
            <w:gridSpan w:val="2"/>
          </w:tcPr>
          <w:p>
            <w:pPr>
              <w:pStyle w:val="16"/>
              <w:spacing w:before="14"/>
              <w:rPr>
                <w:b/>
                <w:sz w:val="24"/>
              </w:rPr>
            </w:pPr>
          </w:p>
          <w:p>
            <w:pPr>
              <w:pStyle w:val="16"/>
              <w:ind w:left="24"/>
              <w:jc w:val="center"/>
              <w:rPr>
                <w:rFonts w:ascii="Times New Roman"/>
                <w:sz w:val="24"/>
              </w:rPr>
            </w:pPr>
            <w:r>
              <w:rPr>
                <w:rFonts w:ascii="Times New Roman"/>
                <w:spacing w:val="-1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2812" w:hRule="atLeast"/>
        </w:trPr>
        <w:tc>
          <w:tcPr>
            <w:tcW w:w="728" w:type="dxa"/>
            <w:gridSpan w:val="2"/>
            <w:vMerge w:val="continue"/>
          </w:tcPr>
          <w:p>
            <w:pPr>
              <w:rPr>
                <w:sz w:val="2"/>
                <w:szCs w:val="2"/>
              </w:rPr>
            </w:pPr>
          </w:p>
        </w:tc>
        <w:tc>
          <w:tcPr>
            <w:tcW w:w="736" w:type="dxa"/>
            <w:gridSpan w:val="2"/>
            <w:vMerge w:val="continue"/>
          </w:tcPr>
          <w:p>
            <w:pPr>
              <w:rPr>
                <w:sz w:val="2"/>
                <w:szCs w:val="2"/>
              </w:rPr>
            </w:pPr>
          </w:p>
        </w:tc>
        <w:tc>
          <w:tcPr>
            <w:tcW w:w="787" w:type="dxa"/>
            <w:gridSpan w:val="2"/>
          </w:tcPr>
          <w:p>
            <w:pPr>
              <w:pStyle w:val="16"/>
              <w:rPr>
                <w:b/>
                <w:sz w:val="24"/>
              </w:rPr>
            </w:pPr>
          </w:p>
          <w:p>
            <w:pPr>
              <w:pStyle w:val="16"/>
              <w:rPr>
                <w:b/>
                <w:sz w:val="24"/>
              </w:rPr>
            </w:pPr>
          </w:p>
          <w:p>
            <w:pPr>
              <w:pStyle w:val="16"/>
              <w:rPr>
                <w:b/>
                <w:sz w:val="24"/>
              </w:rPr>
            </w:pPr>
          </w:p>
          <w:p>
            <w:pPr>
              <w:pStyle w:val="16"/>
              <w:spacing w:before="37"/>
              <w:rPr>
                <w:b/>
                <w:sz w:val="24"/>
              </w:rPr>
            </w:pPr>
          </w:p>
          <w:p>
            <w:pPr>
              <w:pStyle w:val="16"/>
              <w:spacing w:line="230" w:lineRule="auto"/>
              <w:ind w:left="157" w:right="142"/>
              <w:rPr>
                <w:sz w:val="24"/>
              </w:rPr>
            </w:pPr>
            <w:r>
              <w:rPr>
                <w:spacing w:val="-6"/>
                <w:sz w:val="24"/>
              </w:rPr>
              <w:t>类似</w:t>
            </w:r>
            <w:r>
              <w:rPr>
                <w:spacing w:val="-8"/>
                <w:sz w:val="24"/>
              </w:rPr>
              <w:t>业绩</w:t>
            </w:r>
          </w:p>
        </w:tc>
        <w:tc>
          <w:tcPr>
            <w:tcW w:w="7118" w:type="dxa"/>
          </w:tcPr>
          <w:p>
            <w:pPr>
              <w:pStyle w:val="17"/>
              <w:spacing w:before="34" w:line="224" w:lineRule="auto"/>
              <w:ind w:left="31" w:right="16" w:hanging="2"/>
              <w:rPr>
                <w:spacing w:val="7"/>
              </w:rPr>
            </w:pPr>
            <w:r>
              <w:rPr>
                <w:spacing w:val="7"/>
              </w:rPr>
              <w:t>1.2022年1月1日至今以来具有餐饮服务项目经营满1年， 每个得2分，最高得4分。</w:t>
            </w:r>
          </w:p>
          <w:p>
            <w:pPr>
              <w:pStyle w:val="17"/>
              <w:spacing w:before="34" w:line="224" w:lineRule="auto"/>
              <w:ind w:left="31" w:right="16" w:hanging="2"/>
              <w:rPr>
                <w:spacing w:val="7"/>
              </w:rPr>
            </w:pPr>
            <w:r>
              <w:rPr>
                <w:spacing w:val="7"/>
              </w:rPr>
              <w:t>2.截至投标日，连续在同一业主单位从事餐饮服务超过3 年（不含）的，每个得2分，最高得4分。</w:t>
            </w:r>
          </w:p>
          <w:p>
            <w:pPr>
              <w:pStyle w:val="17"/>
              <w:spacing w:before="34" w:line="224" w:lineRule="auto"/>
              <w:ind w:left="31" w:right="16" w:hanging="2"/>
              <w:rPr>
                <w:sz w:val="24"/>
              </w:rPr>
            </w:pPr>
            <w:r>
              <w:rPr>
                <w:spacing w:val="7"/>
              </w:rPr>
              <w:t>注：（1）业绩证明材料需提供合同复印件，合同内容须 体现以下内容：委托人及受托人、委托人及受托人双方签字 或盖章， 日期、项目服务内容等主要合同信息。（2）合同复 印件要求清晰可见、合同体现内容中如缺项或模糊无法辨认 的视为无效业绩。（3）业绩要求中合同不重复计分。</w:t>
            </w:r>
          </w:p>
        </w:tc>
        <w:tc>
          <w:tcPr>
            <w:tcW w:w="564" w:type="dxa"/>
            <w:gridSpan w:val="2"/>
          </w:tcPr>
          <w:p>
            <w:pPr>
              <w:pStyle w:val="16"/>
              <w:rPr>
                <w:b/>
                <w:sz w:val="24"/>
              </w:rPr>
            </w:pPr>
          </w:p>
          <w:p>
            <w:pPr>
              <w:pStyle w:val="16"/>
              <w:rPr>
                <w:b/>
                <w:sz w:val="24"/>
              </w:rPr>
            </w:pPr>
          </w:p>
          <w:p>
            <w:pPr>
              <w:pStyle w:val="16"/>
              <w:rPr>
                <w:b/>
                <w:sz w:val="24"/>
              </w:rPr>
            </w:pPr>
          </w:p>
          <w:p>
            <w:pPr>
              <w:pStyle w:val="16"/>
              <w:spacing w:before="218"/>
              <w:rPr>
                <w:b/>
                <w:sz w:val="24"/>
              </w:rPr>
            </w:pPr>
          </w:p>
          <w:p>
            <w:pPr>
              <w:pStyle w:val="16"/>
              <w:ind w:left="77" w:right="34"/>
              <w:jc w:val="center"/>
              <w:rPr>
                <w:rFonts w:ascii="Times New Roman"/>
                <w:sz w:val="24"/>
              </w:rPr>
            </w:pPr>
            <w:r>
              <w:rPr>
                <w:rFonts w:ascii="Times New Roman"/>
                <w:spacing w:val="-1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624" w:hRule="atLeast"/>
        </w:trPr>
        <w:tc>
          <w:tcPr>
            <w:tcW w:w="728" w:type="dxa"/>
            <w:gridSpan w:val="2"/>
            <w:vMerge w:val="continue"/>
            <w:tcBorders>
              <w:bottom w:val="nil"/>
            </w:tcBorders>
          </w:tcPr>
          <w:p>
            <w:pPr>
              <w:rPr>
                <w:sz w:val="2"/>
                <w:szCs w:val="2"/>
              </w:rPr>
            </w:pPr>
          </w:p>
        </w:tc>
        <w:tc>
          <w:tcPr>
            <w:tcW w:w="736" w:type="dxa"/>
            <w:gridSpan w:val="2"/>
            <w:vMerge w:val="continue"/>
            <w:tcBorders>
              <w:bottom w:val="nil"/>
            </w:tcBorders>
          </w:tcPr>
          <w:p>
            <w:pPr>
              <w:rPr>
                <w:sz w:val="2"/>
                <w:szCs w:val="2"/>
              </w:rPr>
            </w:pPr>
          </w:p>
        </w:tc>
        <w:tc>
          <w:tcPr>
            <w:tcW w:w="787" w:type="dxa"/>
            <w:gridSpan w:val="2"/>
            <w:vAlign w:val="top"/>
          </w:tcPr>
          <w:p>
            <w:pPr>
              <w:pStyle w:val="16"/>
              <w:rPr>
                <w:b/>
                <w:sz w:val="24"/>
              </w:rPr>
            </w:pPr>
          </w:p>
          <w:p>
            <w:pPr>
              <w:pStyle w:val="16"/>
              <w:rPr>
                <w:b/>
                <w:sz w:val="24"/>
              </w:rPr>
            </w:pPr>
          </w:p>
          <w:p>
            <w:pPr>
              <w:pStyle w:val="16"/>
              <w:rPr>
                <w:b/>
                <w:sz w:val="24"/>
              </w:rPr>
            </w:pPr>
          </w:p>
          <w:p>
            <w:pPr>
              <w:pStyle w:val="16"/>
              <w:rPr>
                <w:b/>
                <w:sz w:val="24"/>
              </w:rPr>
            </w:pPr>
          </w:p>
          <w:p>
            <w:pPr>
              <w:pStyle w:val="16"/>
              <w:rPr>
                <w:b/>
                <w:sz w:val="24"/>
              </w:rPr>
            </w:pPr>
          </w:p>
          <w:p>
            <w:pPr>
              <w:pStyle w:val="16"/>
              <w:rPr>
                <w:b/>
                <w:sz w:val="24"/>
              </w:rPr>
            </w:pPr>
          </w:p>
          <w:p>
            <w:pPr>
              <w:pStyle w:val="16"/>
              <w:rPr>
                <w:b/>
                <w:sz w:val="24"/>
              </w:rPr>
            </w:pPr>
          </w:p>
          <w:p>
            <w:pPr>
              <w:pStyle w:val="16"/>
              <w:rPr>
                <w:b/>
                <w:sz w:val="24"/>
              </w:rPr>
            </w:pPr>
          </w:p>
          <w:p>
            <w:pPr>
              <w:pStyle w:val="16"/>
              <w:rPr>
                <w:b/>
                <w:sz w:val="24"/>
              </w:rPr>
            </w:pPr>
          </w:p>
          <w:p>
            <w:pPr>
              <w:pStyle w:val="16"/>
              <w:spacing w:before="126"/>
              <w:rPr>
                <w:b/>
                <w:sz w:val="24"/>
              </w:rPr>
            </w:pPr>
          </w:p>
          <w:p>
            <w:pPr>
              <w:pStyle w:val="16"/>
              <w:spacing w:before="1" w:line="232" w:lineRule="auto"/>
              <w:ind w:left="56" w:leftChars="0" w:right="14" w:rightChars="0" w:hanging="17" w:firstLineChars="0"/>
              <w:jc w:val="both"/>
              <w:rPr>
                <w:spacing w:val="-6"/>
                <w:sz w:val="24"/>
              </w:rPr>
            </w:pPr>
            <w:r>
              <w:rPr>
                <w:spacing w:val="-4"/>
                <w:sz w:val="24"/>
              </w:rPr>
              <w:t>服务团</w:t>
            </w:r>
            <w:r>
              <w:rPr>
                <w:spacing w:val="-8"/>
                <w:sz w:val="24"/>
              </w:rPr>
              <w:t>队人员</w:t>
            </w:r>
            <w:r>
              <w:rPr>
                <w:spacing w:val="17"/>
                <w:sz w:val="24"/>
              </w:rPr>
              <w:t>配置</w:t>
            </w:r>
          </w:p>
        </w:tc>
        <w:tc>
          <w:tcPr>
            <w:tcW w:w="7118" w:type="dxa"/>
            <w:vAlign w:val="top"/>
          </w:tcPr>
          <w:p>
            <w:pPr>
              <w:pStyle w:val="17"/>
              <w:spacing w:before="34" w:line="224" w:lineRule="auto"/>
              <w:ind w:left="31" w:right="16" w:hanging="2"/>
              <w:rPr>
                <w:spacing w:val="7"/>
              </w:rPr>
            </w:pPr>
            <w:r>
              <w:rPr>
                <w:spacing w:val="7"/>
              </w:rPr>
              <w:t>1.投标人在本项目设置食品安全总监、食品安全员管理 体系，并取得食品安全总监和食品安全员证书。一个证书1 分，满分2分，无证书不得分。</w:t>
            </w:r>
          </w:p>
          <w:p>
            <w:pPr>
              <w:pStyle w:val="17"/>
              <w:spacing w:before="34" w:line="224" w:lineRule="auto"/>
              <w:ind w:left="31" w:right="16" w:hanging="2"/>
              <w:rPr>
                <w:spacing w:val="7"/>
              </w:rPr>
            </w:pPr>
            <w:r>
              <w:rPr>
                <w:spacing w:val="7"/>
              </w:rPr>
              <w:t>2.项目经理具有类似餐饮管理经验，工作经验在3年及以 上得2分，5年及以上得4分，满分4分，需提供项目经理在岗 证明材料，无证明材料不得分。</w:t>
            </w:r>
          </w:p>
          <w:p>
            <w:pPr>
              <w:pStyle w:val="17"/>
              <w:spacing w:before="34" w:line="224" w:lineRule="auto"/>
              <w:ind w:left="31" w:right="16" w:hanging="2"/>
              <w:rPr>
                <w:spacing w:val="7"/>
              </w:rPr>
            </w:pPr>
            <w:r>
              <w:rPr>
                <w:spacing w:val="7"/>
              </w:rPr>
              <w:t>3 . 为鼓励优化提升厨师团队配置， 在规定的人数范围 内，每增加1名中级（或国家职业资格四级） 厨师资格的  得1分；每增加1名高级（或国家职业资格三级） 厨师资格 的加2分；每增加1名技师（或国家职业资格二级）或高级技  师资格（或国家职业资格一级）的得3分，满分10分，团队无 上述证书不得分。</w:t>
            </w:r>
          </w:p>
          <w:p>
            <w:pPr>
              <w:pStyle w:val="17"/>
              <w:spacing w:before="34" w:line="224" w:lineRule="auto"/>
              <w:ind w:left="31" w:right="16" w:hanging="2"/>
              <w:rPr>
                <w:spacing w:val="7"/>
              </w:rPr>
            </w:pPr>
            <w:r>
              <w:rPr>
                <w:spacing w:val="7"/>
              </w:rPr>
              <w:t>4.营养师持有人力资源和社会保障部门或经人力资源和社会 保障部门备案的第三方机构颁发的公共营养师三级及以上职 业资格证书的得2分，无证不得分。</w:t>
            </w:r>
          </w:p>
          <w:p>
            <w:pPr>
              <w:pStyle w:val="17"/>
              <w:spacing w:before="34" w:line="224" w:lineRule="auto"/>
              <w:ind w:left="31" w:right="16" w:hanging="2"/>
              <w:rPr>
                <w:spacing w:val="7"/>
              </w:rPr>
            </w:pPr>
            <w:r>
              <w:rPr>
                <w:spacing w:val="7"/>
              </w:rPr>
              <w:t>注：（1）以上人员需提供包括健康证、资格证书、职称证</w:t>
            </w:r>
          </w:p>
          <w:p>
            <w:pPr>
              <w:pStyle w:val="17"/>
              <w:spacing w:before="34" w:line="224" w:lineRule="auto"/>
              <w:ind w:left="31" w:right="16" w:hanging="2"/>
              <w:rPr>
                <w:spacing w:val="7"/>
              </w:rPr>
            </w:pPr>
            <w:r>
              <w:rPr>
                <w:spacing w:val="7"/>
              </w:rPr>
              <w:t>（如有），身份证和劳动合同或近6个月任三个月社保缴纳证 明。无人员资料或人员资料不明确、无法体现对应内容的，</w:t>
            </w:r>
          </w:p>
          <w:p>
            <w:pPr>
              <w:pStyle w:val="17"/>
              <w:spacing w:before="34" w:line="224" w:lineRule="auto"/>
              <w:ind w:left="31" w:right="16" w:hanging="2"/>
              <w:rPr>
                <w:spacing w:val="-8"/>
                <w:sz w:val="24"/>
              </w:rPr>
            </w:pPr>
            <w:r>
              <w:rPr>
                <w:spacing w:val="7"/>
              </w:rPr>
              <w:t>不予认可。（2）项目经理需要有原业主单位出具证明材料， 证明材料上须明确该项目经理姓名及在此项目管理期限。</w:t>
            </w:r>
          </w:p>
        </w:tc>
        <w:tc>
          <w:tcPr>
            <w:tcW w:w="564" w:type="dxa"/>
            <w:gridSpan w:val="2"/>
            <w:vAlign w:val="center"/>
          </w:tcPr>
          <w:p>
            <w:pPr>
              <w:pStyle w:val="16"/>
              <w:ind w:left="77" w:right="34"/>
              <w:jc w:val="both"/>
              <w:rPr>
                <w:rFonts w:hint="default" w:ascii="Times New Roman" w:eastAsia="宋体"/>
                <w:spacing w:val="-10"/>
                <w:sz w:val="24"/>
                <w:lang w:val="en-US" w:eastAsia="zh-CN"/>
              </w:rPr>
            </w:pPr>
            <w:r>
              <w:rPr>
                <w:rFonts w:hint="eastAsia" w:ascii="Times New Roman"/>
                <w:spacing w:val="-10"/>
                <w:sz w:val="24"/>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753" w:hRule="atLeast"/>
        </w:trPr>
        <w:tc>
          <w:tcPr>
            <w:tcW w:w="728" w:type="dxa"/>
            <w:gridSpan w:val="2"/>
            <w:vMerge w:val="restart"/>
            <w:vAlign w:val="center"/>
          </w:tcPr>
          <w:p>
            <w:pPr>
              <w:pStyle w:val="16"/>
              <w:jc w:val="center"/>
              <w:rPr>
                <w:rFonts w:hint="eastAsia" w:ascii="Times New Roman" w:eastAsia="宋体"/>
                <w:sz w:val="22"/>
                <w:lang w:val="en-US" w:eastAsia="zh-CN"/>
              </w:rPr>
            </w:pPr>
            <w:r>
              <w:rPr>
                <w:rFonts w:hint="eastAsia" w:ascii="Times New Roman"/>
                <w:sz w:val="22"/>
                <w:lang w:val="en-US" w:eastAsia="zh-CN"/>
              </w:rPr>
              <w:t>3</w:t>
            </w:r>
          </w:p>
        </w:tc>
        <w:tc>
          <w:tcPr>
            <w:tcW w:w="736" w:type="dxa"/>
            <w:gridSpan w:val="2"/>
            <w:vMerge w:val="restart"/>
          </w:tcPr>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spacing w:before="303"/>
              <w:rPr>
                <w:sz w:val="24"/>
              </w:rPr>
            </w:pPr>
          </w:p>
          <w:p>
            <w:pPr>
              <w:pStyle w:val="16"/>
              <w:spacing w:line="230" w:lineRule="auto"/>
              <w:ind w:left="53" w:right="34" w:firstLine="79"/>
              <w:jc w:val="both"/>
              <w:rPr>
                <w:rFonts w:ascii="Times New Roman" w:eastAsia="Times New Roman"/>
                <w:sz w:val="24"/>
              </w:rPr>
            </w:pPr>
            <w:r>
              <w:rPr>
                <w:spacing w:val="-18"/>
                <w:sz w:val="24"/>
              </w:rPr>
              <w:t>技 术</w:t>
            </w:r>
            <w:r>
              <w:rPr>
                <w:spacing w:val="-1"/>
                <w:sz w:val="24"/>
              </w:rPr>
              <w:t>条 款</w:t>
            </w:r>
            <w:r>
              <w:rPr>
                <w:sz w:val="24"/>
              </w:rPr>
              <w:t xml:space="preserve"> </w:t>
            </w:r>
            <w:r>
              <w:rPr>
                <w:rFonts w:ascii="Times New Roman" w:eastAsia="Times New Roman"/>
                <w:spacing w:val="-4"/>
                <w:sz w:val="24"/>
              </w:rPr>
              <w:t>(42</w:t>
            </w:r>
            <w:r>
              <w:rPr>
                <w:spacing w:val="-4"/>
                <w:sz w:val="24"/>
              </w:rPr>
              <w:t>分</w:t>
            </w:r>
            <w:r>
              <w:rPr>
                <w:rFonts w:ascii="Times New Roman" w:eastAsia="Times New Roman"/>
                <w:spacing w:val="-10"/>
                <w:sz w:val="24"/>
              </w:rPr>
              <w:t>)</w:t>
            </w:r>
          </w:p>
        </w:tc>
        <w:tc>
          <w:tcPr>
            <w:tcW w:w="787" w:type="dxa"/>
            <w:gridSpan w:val="2"/>
          </w:tcPr>
          <w:p>
            <w:pPr>
              <w:pStyle w:val="16"/>
              <w:rPr>
                <w:sz w:val="24"/>
              </w:rPr>
            </w:pPr>
          </w:p>
          <w:p>
            <w:pPr>
              <w:pStyle w:val="16"/>
              <w:rPr>
                <w:sz w:val="24"/>
              </w:rPr>
            </w:pPr>
          </w:p>
          <w:p>
            <w:pPr>
              <w:pStyle w:val="16"/>
              <w:rPr>
                <w:sz w:val="24"/>
              </w:rPr>
            </w:pPr>
          </w:p>
          <w:p>
            <w:pPr>
              <w:pStyle w:val="16"/>
              <w:spacing w:before="181"/>
              <w:rPr>
                <w:sz w:val="24"/>
              </w:rPr>
            </w:pPr>
          </w:p>
          <w:p>
            <w:pPr>
              <w:pStyle w:val="16"/>
              <w:ind w:left="40" w:right="22"/>
              <w:jc w:val="both"/>
              <w:rPr>
                <w:sz w:val="24"/>
              </w:rPr>
            </w:pPr>
            <w:r>
              <w:rPr>
                <w:spacing w:val="-6"/>
                <w:sz w:val="24"/>
              </w:rPr>
              <w:t>服务质量升级方案</w:t>
            </w:r>
          </w:p>
        </w:tc>
        <w:tc>
          <w:tcPr>
            <w:tcW w:w="7120" w:type="dxa"/>
            <w:gridSpan w:val="2"/>
          </w:tcPr>
          <w:p>
            <w:pPr>
              <w:pStyle w:val="17"/>
              <w:spacing w:before="34" w:line="224" w:lineRule="auto"/>
              <w:ind w:left="31" w:right="16" w:hanging="2"/>
              <w:rPr>
                <w:spacing w:val="7"/>
              </w:rPr>
            </w:pPr>
            <w:r>
              <w:rPr>
                <w:spacing w:val="7"/>
              </w:rPr>
              <w:t>提供所投餐厅服务质量升级方案。</w:t>
            </w:r>
          </w:p>
          <w:p>
            <w:pPr>
              <w:pStyle w:val="17"/>
              <w:spacing w:before="34" w:line="224" w:lineRule="auto"/>
              <w:ind w:left="31" w:right="16" w:hanging="2"/>
              <w:rPr>
                <w:spacing w:val="7"/>
              </w:rPr>
            </w:pPr>
            <w:r>
              <w:rPr>
                <w:spacing w:val="7"/>
              </w:rPr>
              <w:t>1.设备设施配置齐全、性能良好，符合节能减排条件每项得3分，得6分，每有一处设备设施配置方案、节能减排措施描述不清、叙述混乱、不完整、不贴合实际的扣2分，扣完为止。</w:t>
            </w:r>
          </w:p>
          <w:p>
            <w:pPr>
              <w:pStyle w:val="17"/>
              <w:spacing w:before="34" w:line="224" w:lineRule="auto"/>
              <w:ind w:left="31" w:right="16" w:hanging="2"/>
              <w:rPr>
                <w:spacing w:val="7"/>
              </w:rPr>
            </w:pPr>
            <w:r>
              <w:rPr>
                <w:spacing w:val="7"/>
              </w:rPr>
              <w:t>2.餐厅功能区设置。功能分区完整，布局合理（6分）；功能分区完整，布局基本合理（3分）；功能分区完整，布局不合理（0分）。</w:t>
            </w:r>
          </w:p>
          <w:p>
            <w:pPr>
              <w:pStyle w:val="17"/>
              <w:spacing w:before="34" w:line="224" w:lineRule="auto"/>
              <w:ind w:left="31" w:right="16" w:hanging="2"/>
              <w:rPr>
                <w:spacing w:val="7"/>
              </w:rPr>
            </w:pPr>
            <w:r>
              <w:rPr>
                <w:spacing w:val="7"/>
              </w:rPr>
              <w:t>3. 餐厅环境效果图。根据提供的装修效果图进行综合评价，效果优得6分，一般得3分，差得0分。</w:t>
            </w:r>
          </w:p>
          <w:p>
            <w:pPr>
              <w:pStyle w:val="17"/>
              <w:spacing w:before="34" w:line="224" w:lineRule="auto"/>
              <w:ind w:left="31" w:right="16" w:hanging="2"/>
              <w:rPr>
                <w:sz w:val="24"/>
              </w:rPr>
            </w:pPr>
            <w:r>
              <w:rPr>
                <w:spacing w:val="7"/>
              </w:rPr>
              <w:t>4.环境风格。就餐环境风格符合学校校园文化、大学生文化，风格新颖得6分；文化特色较鲜明，得3分；装修无风格、无特色，得0分。</w:t>
            </w:r>
          </w:p>
        </w:tc>
        <w:tc>
          <w:tcPr>
            <w:tcW w:w="562" w:type="dxa"/>
          </w:tcPr>
          <w:p>
            <w:pPr>
              <w:pStyle w:val="16"/>
              <w:rPr>
                <w:sz w:val="24"/>
              </w:rPr>
            </w:pPr>
          </w:p>
          <w:p>
            <w:pPr>
              <w:pStyle w:val="16"/>
              <w:rPr>
                <w:sz w:val="24"/>
              </w:rPr>
            </w:pPr>
          </w:p>
          <w:p>
            <w:pPr>
              <w:pStyle w:val="16"/>
              <w:rPr>
                <w:sz w:val="24"/>
              </w:rPr>
            </w:pPr>
          </w:p>
          <w:p>
            <w:pPr>
              <w:pStyle w:val="16"/>
              <w:rPr>
                <w:sz w:val="24"/>
              </w:rPr>
            </w:pPr>
          </w:p>
          <w:p>
            <w:pPr>
              <w:pStyle w:val="16"/>
              <w:spacing w:before="194"/>
              <w:rPr>
                <w:sz w:val="24"/>
              </w:rPr>
            </w:pPr>
          </w:p>
          <w:p>
            <w:pPr>
              <w:pStyle w:val="16"/>
              <w:ind w:left="24"/>
              <w:jc w:val="center"/>
              <w:rPr>
                <w:rFonts w:ascii="Times New Roman"/>
                <w:sz w:val="24"/>
              </w:rPr>
            </w:pPr>
            <w:r>
              <w:rPr>
                <w:rFonts w:ascii="Times New Roman"/>
                <w:spacing w:val="-5"/>
                <w:sz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998" w:hRule="atLeast"/>
        </w:trPr>
        <w:tc>
          <w:tcPr>
            <w:tcW w:w="728" w:type="dxa"/>
            <w:gridSpan w:val="2"/>
            <w:vMerge w:val="continue"/>
            <w:tcBorders>
              <w:top w:val="nil"/>
            </w:tcBorders>
          </w:tcPr>
          <w:p>
            <w:pPr>
              <w:rPr>
                <w:sz w:val="2"/>
                <w:szCs w:val="2"/>
              </w:rPr>
            </w:pPr>
          </w:p>
        </w:tc>
        <w:tc>
          <w:tcPr>
            <w:tcW w:w="736" w:type="dxa"/>
            <w:gridSpan w:val="2"/>
            <w:vMerge w:val="continue"/>
            <w:tcBorders>
              <w:top w:val="nil"/>
            </w:tcBorders>
          </w:tcPr>
          <w:p>
            <w:pPr>
              <w:rPr>
                <w:sz w:val="2"/>
                <w:szCs w:val="2"/>
              </w:rPr>
            </w:pPr>
          </w:p>
        </w:tc>
        <w:tc>
          <w:tcPr>
            <w:tcW w:w="787" w:type="dxa"/>
            <w:gridSpan w:val="2"/>
          </w:tcPr>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spacing w:before="38"/>
              <w:rPr>
                <w:sz w:val="24"/>
              </w:rPr>
            </w:pPr>
          </w:p>
          <w:p>
            <w:pPr>
              <w:pStyle w:val="16"/>
              <w:spacing w:line="230" w:lineRule="auto"/>
              <w:ind w:left="42" w:right="19"/>
              <w:rPr>
                <w:sz w:val="24"/>
              </w:rPr>
            </w:pPr>
            <w:r>
              <w:rPr>
                <w:spacing w:val="-6"/>
                <w:sz w:val="24"/>
              </w:rPr>
              <w:t>经营管</w:t>
            </w:r>
            <w:r>
              <w:rPr>
                <w:spacing w:val="-8"/>
                <w:sz w:val="24"/>
              </w:rPr>
              <w:t>理方案</w:t>
            </w:r>
          </w:p>
        </w:tc>
        <w:tc>
          <w:tcPr>
            <w:tcW w:w="7120" w:type="dxa"/>
            <w:gridSpan w:val="2"/>
          </w:tcPr>
          <w:p>
            <w:pPr>
              <w:pStyle w:val="17"/>
              <w:spacing w:before="34" w:line="224" w:lineRule="auto"/>
              <w:ind w:left="31" w:right="16" w:hanging="2"/>
              <w:rPr>
                <w:spacing w:val="7"/>
              </w:rPr>
            </w:pPr>
            <w:r>
              <w:rPr>
                <w:spacing w:val="7"/>
              </w:rPr>
              <w:t>对下述11项管理方案的先进性、系统性、完整性，实用性、合理性等五个方面计分：</w:t>
            </w:r>
          </w:p>
          <w:p>
            <w:pPr>
              <w:pStyle w:val="17"/>
              <w:spacing w:before="34" w:line="224" w:lineRule="auto"/>
              <w:ind w:left="31" w:right="16" w:hanging="2"/>
              <w:rPr>
                <w:spacing w:val="7"/>
              </w:rPr>
            </w:pPr>
            <w:r>
              <w:rPr>
                <w:spacing w:val="7"/>
              </w:rPr>
              <w:t>1.总体监控方案（含监控系统、明厨亮灶）； 2.食品质量控制方案；</w:t>
            </w:r>
          </w:p>
          <w:p>
            <w:pPr>
              <w:pStyle w:val="17"/>
              <w:spacing w:before="34" w:line="224" w:lineRule="auto"/>
              <w:ind w:left="31" w:right="16" w:hanging="2"/>
              <w:rPr>
                <w:spacing w:val="7"/>
              </w:rPr>
            </w:pPr>
            <w:r>
              <w:rPr>
                <w:spacing w:val="7"/>
              </w:rPr>
              <w:t>3.服务质量控制方案； 4.卫生管理控制方案；</w:t>
            </w:r>
          </w:p>
          <w:p>
            <w:pPr>
              <w:pStyle w:val="17"/>
              <w:spacing w:before="34" w:line="224" w:lineRule="auto"/>
              <w:ind w:left="31" w:right="16" w:hanging="2"/>
              <w:rPr>
                <w:spacing w:val="7"/>
              </w:rPr>
            </w:pPr>
            <w:r>
              <w:rPr>
                <w:spacing w:val="7"/>
              </w:rPr>
              <w:t>5.原材料采购管理方案；</w:t>
            </w:r>
          </w:p>
          <w:p>
            <w:pPr>
              <w:pStyle w:val="17"/>
              <w:spacing w:before="34" w:line="224" w:lineRule="auto"/>
              <w:ind w:left="31" w:right="16" w:hanging="2"/>
              <w:rPr>
                <w:spacing w:val="7"/>
              </w:rPr>
            </w:pPr>
            <w:r>
              <w:rPr>
                <w:spacing w:val="7"/>
              </w:rPr>
              <w:t>6.操作规程控制管理方案；</w:t>
            </w:r>
          </w:p>
          <w:p>
            <w:pPr>
              <w:pStyle w:val="17"/>
              <w:spacing w:before="34" w:line="224" w:lineRule="auto"/>
              <w:ind w:left="31" w:right="16" w:hanging="2"/>
              <w:rPr>
                <w:spacing w:val="7"/>
              </w:rPr>
            </w:pPr>
            <w:r>
              <w:rPr>
                <w:spacing w:val="7"/>
              </w:rPr>
              <w:t>7.环保方案（含抽排烟处理、污水处理、餐厨垃圾的处理 等）；</w:t>
            </w:r>
          </w:p>
          <w:p>
            <w:pPr>
              <w:pStyle w:val="17"/>
              <w:spacing w:before="34" w:line="224" w:lineRule="auto"/>
              <w:ind w:left="31" w:right="16" w:hanging="2"/>
              <w:rPr>
                <w:spacing w:val="7"/>
              </w:rPr>
            </w:pPr>
            <w:r>
              <w:rPr>
                <w:spacing w:val="7"/>
              </w:rPr>
              <w:t>8.人员职责与管理方案；</w:t>
            </w:r>
          </w:p>
          <w:p>
            <w:pPr>
              <w:pStyle w:val="17"/>
              <w:spacing w:before="34" w:line="224" w:lineRule="auto"/>
              <w:ind w:left="31" w:right="16" w:hanging="2"/>
              <w:rPr>
                <w:spacing w:val="7"/>
              </w:rPr>
            </w:pPr>
            <w:r>
              <w:rPr>
                <w:spacing w:val="7"/>
              </w:rPr>
              <w:t>9.食品安全、消防安全和安全生产等方面管理方案；</w:t>
            </w:r>
          </w:p>
          <w:p>
            <w:pPr>
              <w:pStyle w:val="17"/>
              <w:spacing w:before="34" w:line="224" w:lineRule="auto"/>
              <w:ind w:left="31" w:right="16" w:hanging="2"/>
              <w:rPr>
                <w:spacing w:val="7"/>
              </w:rPr>
            </w:pPr>
            <w:r>
              <w:rPr>
                <w:spacing w:val="7"/>
              </w:rPr>
              <w:t>10.与餐饮行业相关各类突发事件应急预案（含安全生产、 消防安全和食品安全和公共卫生事件等）；</w:t>
            </w:r>
          </w:p>
          <w:p>
            <w:pPr>
              <w:pStyle w:val="17"/>
              <w:spacing w:before="34" w:line="224" w:lineRule="auto"/>
              <w:ind w:left="31" w:right="16" w:hanging="2"/>
              <w:rPr>
                <w:spacing w:val="7"/>
              </w:rPr>
            </w:pPr>
            <w:r>
              <w:rPr>
                <w:spacing w:val="7"/>
              </w:rPr>
              <w:t>11.服务对象投诉的处理和解决方案。</w:t>
            </w:r>
          </w:p>
          <w:p>
            <w:pPr>
              <w:pStyle w:val="17"/>
              <w:spacing w:before="34" w:line="224" w:lineRule="auto"/>
              <w:ind w:left="31" w:right="16" w:hanging="2"/>
              <w:rPr>
                <w:sz w:val="24"/>
              </w:rPr>
            </w:pPr>
            <w:r>
              <w:rPr>
                <w:spacing w:val="7"/>
              </w:rPr>
              <w:t>根据投标人提供情况每有一项内容完整、实施性强、贴合 项目实际情况的，得1分，本项满分11分。每有一处描述不  清、叙述混乱、不完整、不贴合实际的扣1分，扣完为止。</w:t>
            </w:r>
          </w:p>
        </w:tc>
        <w:tc>
          <w:tcPr>
            <w:tcW w:w="562" w:type="dxa"/>
          </w:tcPr>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rPr>
                <w:sz w:val="24"/>
              </w:rPr>
            </w:pPr>
          </w:p>
          <w:p>
            <w:pPr>
              <w:pStyle w:val="16"/>
              <w:spacing w:before="190"/>
              <w:rPr>
                <w:sz w:val="24"/>
              </w:rPr>
            </w:pPr>
          </w:p>
          <w:p>
            <w:pPr>
              <w:pStyle w:val="16"/>
              <w:ind w:left="77" w:right="10"/>
              <w:jc w:val="center"/>
              <w:rPr>
                <w:rFonts w:ascii="Times New Roman"/>
                <w:sz w:val="24"/>
              </w:rPr>
            </w:pPr>
            <w:r>
              <w:rPr>
                <w:rFonts w:ascii="Times New Roman"/>
                <w:spacing w:val="-5"/>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570" w:hRule="atLeast"/>
        </w:trPr>
        <w:tc>
          <w:tcPr>
            <w:tcW w:w="728" w:type="dxa"/>
            <w:gridSpan w:val="2"/>
            <w:vMerge w:val="continue"/>
            <w:tcBorders>
              <w:top w:val="nil"/>
            </w:tcBorders>
          </w:tcPr>
          <w:p>
            <w:pPr>
              <w:rPr>
                <w:sz w:val="2"/>
                <w:szCs w:val="2"/>
              </w:rPr>
            </w:pPr>
          </w:p>
        </w:tc>
        <w:tc>
          <w:tcPr>
            <w:tcW w:w="736" w:type="dxa"/>
            <w:gridSpan w:val="2"/>
            <w:vMerge w:val="continue"/>
            <w:tcBorders>
              <w:top w:val="nil"/>
            </w:tcBorders>
          </w:tcPr>
          <w:p>
            <w:pPr>
              <w:rPr>
                <w:sz w:val="2"/>
                <w:szCs w:val="2"/>
              </w:rPr>
            </w:pPr>
          </w:p>
        </w:tc>
        <w:tc>
          <w:tcPr>
            <w:tcW w:w="787" w:type="dxa"/>
            <w:gridSpan w:val="2"/>
          </w:tcPr>
          <w:p>
            <w:pPr>
              <w:pStyle w:val="16"/>
              <w:spacing w:before="206"/>
              <w:rPr>
                <w:sz w:val="24"/>
              </w:rPr>
            </w:pPr>
          </w:p>
          <w:p>
            <w:pPr>
              <w:pStyle w:val="16"/>
              <w:spacing w:line="228" w:lineRule="auto"/>
              <w:ind w:left="42" w:right="19"/>
              <w:rPr>
                <w:sz w:val="24"/>
              </w:rPr>
            </w:pPr>
            <w:r>
              <w:rPr>
                <w:spacing w:val="-6"/>
                <w:sz w:val="24"/>
              </w:rPr>
              <w:t>经营管</w:t>
            </w:r>
            <w:r>
              <w:rPr>
                <w:spacing w:val="-8"/>
                <w:sz w:val="24"/>
              </w:rPr>
              <w:t>理措施</w:t>
            </w:r>
          </w:p>
        </w:tc>
        <w:tc>
          <w:tcPr>
            <w:tcW w:w="7120" w:type="dxa"/>
            <w:gridSpan w:val="2"/>
          </w:tcPr>
          <w:p>
            <w:pPr>
              <w:pStyle w:val="16"/>
              <w:spacing w:before="50" w:line="230" w:lineRule="auto"/>
              <w:ind w:right="172"/>
              <w:jc w:val="both"/>
              <w:rPr>
                <w:sz w:val="24"/>
              </w:rPr>
            </w:pPr>
            <w:r>
              <w:rPr>
                <w:rFonts w:ascii="宋体" w:hAnsi="宋体" w:eastAsia="宋体" w:cs="宋体"/>
                <w:spacing w:val="7"/>
                <w:sz w:val="24"/>
                <w:szCs w:val="24"/>
                <w:lang w:val="en-US" w:eastAsia="en-US" w:bidi="ar-SA"/>
              </w:rPr>
              <w:t>围绕采购人提出的餐厅经营定位，提出经营方案、服务 内容，业态布设三个方面科学、规范、完整、合理的餐饮服 务运营方案。每有一项内容完整、实施性强、贴合项目实际 情况的，得1分，本项满分3分。每有一处描述不清、叙述混 乱、不完整、不贴合实际的扣1分，扣完为止。</w:t>
            </w:r>
          </w:p>
        </w:tc>
        <w:tc>
          <w:tcPr>
            <w:tcW w:w="562" w:type="dxa"/>
          </w:tcPr>
          <w:p>
            <w:pPr>
              <w:pStyle w:val="16"/>
              <w:rPr>
                <w:sz w:val="24"/>
              </w:rPr>
            </w:pPr>
          </w:p>
          <w:p>
            <w:pPr>
              <w:pStyle w:val="16"/>
              <w:spacing w:before="42"/>
              <w:rPr>
                <w:sz w:val="24"/>
              </w:rPr>
            </w:pPr>
          </w:p>
          <w:p>
            <w:pPr>
              <w:pStyle w:val="16"/>
              <w:ind w:left="34"/>
              <w:jc w:val="center"/>
              <w:rPr>
                <w:rFonts w:ascii="Times New Roman"/>
                <w:sz w:val="24"/>
              </w:rPr>
            </w:pPr>
            <w:r>
              <w:rPr>
                <w:rFonts w:ascii="Times New Roman"/>
                <w:spacing w:val="-1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725" w:hRule="atLeast"/>
        </w:trPr>
        <w:tc>
          <w:tcPr>
            <w:tcW w:w="728" w:type="dxa"/>
            <w:gridSpan w:val="2"/>
            <w:vMerge w:val="continue"/>
            <w:tcBorders>
              <w:top w:val="nil"/>
            </w:tcBorders>
          </w:tcPr>
          <w:p>
            <w:pPr>
              <w:rPr>
                <w:sz w:val="2"/>
                <w:szCs w:val="2"/>
              </w:rPr>
            </w:pPr>
          </w:p>
        </w:tc>
        <w:tc>
          <w:tcPr>
            <w:tcW w:w="736" w:type="dxa"/>
            <w:gridSpan w:val="2"/>
            <w:vMerge w:val="continue"/>
            <w:tcBorders>
              <w:top w:val="nil"/>
            </w:tcBorders>
          </w:tcPr>
          <w:p>
            <w:pPr>
              <w:rPr>
                <w:sz w:val="2"/>
                <w:szCs w:val="2"/>
              </w:rPr>
            </w:pPr>
          </w:p>
        </w:tc>
        <w:tc>
          <w:tcPr>
            <w:tcW w:w="787" w:type="dxa"/>
            <w:gridSpan w:val="2"/>
          </w:tcPr>
          <w:p>
            <w:pPr>
              <w:pStyle w:val="16"/>
              <w:spacing w:before="287"/>
              <w:rPr>
                <w:sz w:val="24"/>
              </w:rPr>
            </w:pPr>
          </w:p>
          <w:p>
            <w:pPr>
              <w:pStyle w:val="16"/>
              <w:spacing w:line="228" w:lineRule="auto"/>
              <w:ind w:left="160" w:right="139"/>
              <w:rPr>
                <w:sz w:val="24"/>
              </w:rPr>
            </w:pPr>
            <w:r>
              <w:rPr>
                <w:spacing w:val="-6"/>
                <w:sz w:val="24"/>
              </w:rPr>
              <w:t>服务</w:t>
            </w:r>
            <w:r>
              <w:rPr>
                <w:spacing w:val="-8"/>
                <w:sz w:val="24"/>
              </w:rPr>
              <w:t>承诺</w:t>
            </w:r>
          </w:p>
        </w:tc>
        <w:tc>
          <w:tcPr>
            <w:tcW w:w="7120" w:type="dxa"/>
            <w:gridSpan w:val="2"/>
          </w:tcPr>
          <w:p>
            <w:pPr>
              <w:pStyle w:val="16"/>
              <w:spacing w:before="50" w:line="230" w:lineRule="auto"/>
              <w:ind w:right="172"/>
              <w:jc w:val="both"/>
              <w:rPr>
                <w:rFonts w:ascii="宋体" w:hAnsi="宋体" w:eastAsia="宋体" w:cs="宋体"/>
                <w:spacing w:val="7"/>
                <w:sz w:val="24"/>
                <w:szCs w:val="24"/>
                <w:lang w:val="en-US" w:eastAsia="en-US" w:bidi="ar-SA"/>
              </w:rPr>
            </w:pPr>
            <w:r>
              <w:rPr>
                <w:rFonts w:ascii="宋体" w:hAnsi="宋体" w:eastAsia="宋体" w:cs="宋体"/>
                <w:spacing w:val="7"/>
                <w:sz w:val="24"/>
                <w:szCs w:val="24"/>
                <w:lang w:val="en-US" w:eastAsia="en-US" w:bidi="ar-SA"/>
              </w:rPr>
              <w:t>投标方承诺中标后办理所投食堂经营场所公众责任险及食品安 全责任险保额均不低于200万元保险，同时提供在本次招标文件发 布之日前，为现正在经营单个项目购买的保额均不低于200万元公 众责任险及食品安全责任险保单，每提供一个得2分，最高得4分。</w:t>
            </w:r>
          </w:p>
          <w:p>
            <w:pPr>
              <w:pStyle w:val="16"/>
              <w:spacing w:before="50" w:line="230" w:lineRule="auto"/>
              <w:ind w:right="172"/>
              <w:jc w:val="both"/>
              <w:rPr>
                <w:sz w:val="22"/>
              </w:rPr>
            </w:pPr>
            <w:r>
              <w:rPr>
                <w:rFonts w:ascii="宋体" w:hAnsi="宋体" w:eastAsia="宋体" w:cs="宋体"/>
                <w:spacing w:val="7"/>
                <w:sz w:val="24"/>
                <w:szCs w:val="24"/>
                <w:lang w:val="en-US" w:eastAsia="en-US" w:bidi="ar-SA"/>
              </w:rPr>
              <w:t>须提供书面承诺，保险合同复印件，加盖企业鲜章，未提供或 承诺不满足的不得分。</w:t>
            </w:r>
          </w:p>
        </w:tc>
        <w:tc>
          <w:tcPr>
            <w:tcW w:w="562" w:type="dxa"/>
          </w:tcPr>
          <w:p>
            <w:pPr>
              <w:pStyle w:val="16"/>
              <w:rPr>
                <w:sz w:val="24"/>
              </w:rPr>
            </w:pPr>
          </w:p>
          <w:p>
            <w:pPr>
              <w:pStyle w:val="16"/>
              <w:spacing w:before="122"/>
              <w:rPr>
                <w:sz w:val="24"/>
              </w:rPr>
            </w:pPr>
          </w:p>
          <w:p>
            <w:pPr>
              <w:pStyle w:val="16"/>
              <w:spacing w:before="1"/>
              <w:ind w:left="19"/>
              <w:jc w:val="center"/>
              <w:rPr>
                <w:rFonts w:ascii="Times New Roman"/>
                <w:sz w:val="24"/>
              </w:rPr>
            </w:pPr>
            <w:r>
              <w:rPr>
                <w:rFonts w:ascii="Times New Roman"/>
                <w:spacing w:val="-1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30" w:hRule="atLeast"/>
        </w:trPr>
        <w:tc>
          <w:tcPr>
            <w:tcW w:w="728" w:type="dxa"/>
            <w:gridSpan w:val="2"/>
          </w:tcPr>
          <w:p>
            <w:pPr>
              <w:pStyle w:val="16"/>
              <w:rPr>
                <w:rFonts w:ascii="Times New Roman"/>
                <w:sz w:val="22"/>
              </w:rPr>
            </w:pPr>
          </w:p>
        </w:tc>
        <w:tc>
          <w:tcPr>
            <w:tcW w:w="736" w:type="dxa"/>
            <w:gridSpan w:val="2"/>
          </w:tcPr>
          <w:p>
            <w:pPr>
              <w:pStyle w:val="16"/>
              <w:rPr>
                <w:rFonts w:ascii="Times New Roman"/>
                <w:sz w:val="22"/>
              </w:rPr>
            </w:pPr>
          </w:p>
        </w:tc>
        <w:tc>
          <w:tcPr>
            <w:tcW w:w="787" w:type="dxa"/>
            <w:gridSpan w:val="2"/>
          </w:tcPr>
          <w:p>
            <w:pPr>
              <w:pStyle w:val="16"/>
              <w:rPr>
                <w:rFonts w:ascii="Times New Roman"/>
                <w:sz w:val="22"/>
              </w:rPr>
            </w:pPr>
          </w:p>
        </w:tc>
        <w:tc>
          <w:tcPr>
            <w:tcW w:w="7120" w:type="dxa"/>
            <w:gridSpan w:val="2"/>
          </w:tcPr>
          <w:p>
            <w:pPr>
              <w:pStyle w:val="16"/>
              <w:rPr>
                <w:rFonts w:ascii="Times New Roman"/>
                <w:sz w:val="22"/>
              </w:rPr>
            </w:pPr>
          </w:p>
        </w:tc>
        <w:tc>
          <w:tcPr>
            <w:tcW w:w="562" w:type="dxa"/>
          </w:tcPr>
          <w:p>
            <w:pPr>
              <w:pStyle w:val="16"/>
              <w:spacing w:before="48" w:line="262" w:lineRule="exact"/>
              <w:ind w:left="77" w:right="17"/>
              <w:jc w:val="center"/>
              <w:rPr>
                <w:rFonts w:ascii="Times New Roman"/>
                <w:sz w:val="24"/>
              </w:rPr>
            </w:pPr>
            <w:r>
              <w:rPr>
                <w:rFonts w:ascii="Times New Roman"/>
                <w:spacing w:val="-5"/>
                <w:sz w:val="24"/>
              </w:rPr>
              <w:t>100</w:t>
            </w:r>
          </w:p>
        </w:tc>
      </w:tr>
    </w:tbl>
    <w:p>
      <w:pPr>
        <w:spacing w:after="0" w:line="262" w:lineRule="exact"/>
        <w:jc w:val="center"/>
        <w:rPr>
          <w:rFonts w:ascii="Times New Roman"/>
          <w:sz w:val="24"/>
        </w:rPr>
        <w:sectPr>
          <w:headerReference r:id="rId16" w:type="default"/>
          <w:footerReference r:id="rId17" w:type="default"/>
          <w:pgSz w:w="11910" w:h="16840"/>
          <w:pgMar w:top="1100" w:right="720" w:bottom="1180" w:left="920" w:header="918" w:footer="983" w:gutter="0"/>
          <w:pgNumType w:fmt="numberInDash"/>
          <w:cols w:space="720" w:num="1"/>
        </w:sectPr>
      </w:pPr>
    </w:p>
    <w:p>
      <w:pPr>
        <w:pStyle w:val="9"/>
        <w:spacing w:before="83"/>
        <w:rPr>
          <w:sz w:val="36"/>
        </w:rPr>
      </w:pPr>
    </w:p>
    <w:p>
      <w:pPr>
        <w:pStyle w:val="2"/>
        <w:ind w:right="381"/>
      </w:pPr>
      <w:bookmarkStart w:id="10" w:name="第六章 合同草案"/>
      <w:bookmarkEnd w:id="10"/>
      <w:bookmarkStart w:id="11" w:name="_bookmark5"/>
      <w:bookmarkEnd w:id="11"/>
      <w:r>
        <w:rPr>
          <w:spacing w:val="-16"/>
        </w:rPr>
        <w:t>第六章 合同草案</w:t>
      </w:r>
    </w:p>
    <w:p>
      <w:pPr>
        <w:pStyle w:val="9"/>
        <w:spacing w:before="230"/>
        <w:rPr>
          <w:b/>
          <w:sz w:val="36"/>
        </w:rPr>
      </w:pPr>
    </w:p>
    <w:p>
      <w:pPr>
        <w:pStyle w:val="9"/>
        <w:tabs>
          <w:tab w:val="left" w:pos="3915"/>
        </w:tabs>
        <w:spacing w:line="345" w:lineRule="auto"/>
        <w:ind w:left="908" w:right="832" w:hanging="17"/>
        <w:rPr>
          <w:rFonts w:ascii="Times New Roman" w:eastAsia="Times New Roman"/>
        </w:rPr>
      </w:pPr>
      <w:r>
        <w:rPr>
          <w:spacing w:val="-10"/>
        </w:rPr>
        <w:t>（此合同书仅作为签订正式合同时的参考，正式合同书应包括本参考格式的内容）合</w:t>
      </w:r>
      <w:r>
        <w:rPr>
          <w:spacing w:val="-4"/>
        </w:rPr>
        <w:t>同编号：</w:t>
      </w:r>
      <w:r>
        <w:rPr>
          <w:rFonts w:ascii="Times New Roman" w:eastAsia="Times New Roman"/>
          <w:u w:val="single"/>
        </w:rPr>
        <w:tab/>
      </w:r>
    </w:p>
    <w:p>
      <w:pPr>
        <w:pStyle w:val="9"/>
        <w:rPr>
          <w:rFonts w:ascii="Times New Roman"/>
          <w:sz w:val="44"/>
        </w:rPr>
      </w:pPr>
    </w:p>
    <w:p>
      <w:pPr>
        <w:pStyle w:val="9"/>
        <w:spacing w:before="29"/>
        <w:rPr>
          <w:rFonts w:ascii="Times New Roman"/>
          <w:sz w:val="44"/>
        </w:rPr>
      </w:pPr>
    </w:p>
    <w:p>
      <w:pPr>
        <w:spacing w:before="0"/>
        <w:ind w:left="255" w:right="225" w:firstLine="0"/>
        <w:jc w:val="center"/>
        <w:rPr>
          <w:b/>
          <w:sz w:val="44"/>
        </w:rPr>
      </w:pPr>
      <w:r>
        <w:rPr>
          <w:b/>
          <w:spacing w:val="-10"/>
          <w:w w:val="85"/>
          <w:sz w:val="44"/>
        </w:rPr>
        <w:t>政府采购合同参考范本</w:t>
      </w:r>
    </w:p>
    <w:p>
      <w:pPr>
        <w:spacing w:before="2"/>
        <w:ind w:left="294" w:right="225" w:firstLine="0"/>
        <w:jc w:val="center"/>
        <w:rPr>
          <w:b/>
          <w:sz w:val="44"/>
        </w:rPr>
      </w:pPr>
      <w:r>
        <w:rPr>
          <w:b/>
          <w:spacing w:val="-64"/>
          <w:sz w:val="44"/>
        </w:rPr>
        <w:t>（服务类</w:t>
      </w:r>
      <w:r>
        <w:rPr>
          <w:b/>
          <w:spacing w:val="-74"/>
          <w:sz w:val="44"/>
        </w:rPr>
        <w:t>）</w:t>
      </w:r>
    </w:p>
    <w:p>
      <w:pPr>
        <w:pStyle w:val="9"/>
        <w:rPr>
          <w:b/>
          <w:sz w:val="44"/>
        </w:rPr>
      </w:pPr>
    </w:p>
    <w:p>
      <w:pPr>
        <w:pStyle w:val="9"/>
        <w:rPr>
          <w:b/>
          <w:sz w:val="44"/>
        </w:rPr>
      </w:pPr>
    </w:p>
    <w:p>
      <w:pPr>
        <w:pStyle w:val="9"/>
        <w:spacing w:before="505"/>
        <w:rPr>
          <w:b/>
          <w:sz w:val="44"/>
        </w:rPr>
      </w:pPr>
    </w:p>
    <w:p>
      <w:pPr>
        <w:spacing w:before="0"/>
        <w:ind w:left="204" w:right="391" w:firstLine="0"/>
        <w:jc w:val="center"/>
        <w:rPr>
          <w:b/>
          <w:sz w:val="36"/>
        </w:rPr>
      </w:pPr>
      <w:r>
        <w:rPr>
          <w:b/>
          <w:spacing w:val="-15"/>
          <w:sz w:val="36"/>
        </w:rPr>
        <w:t>第一部分 合同书</w:t>
      </w:r>
    </w:p>
    <w:p>
      <w:pPr>
        <w:pStyle w:val="9"/>
        <w:rPr>
          <w:b/>
          <w:sz w:val="36"/>
        </w:rPr>
      </w:pPr>
    </w:p>
    <w:p>
      <w:pPr>
        <w:pStyle w:val="9"/>
        <w:rPr>
          <w:b/>
          <w:sz w:val="36"/>
        </w:rPr>
      </w:pPr>
    </w:p>
    <w:p>
      <w:pPr>
        <w:pStyle w:val="9"/>
        <w:spacing w:before="461"/>
        <w:rPr>
          <w:b/>
          <w:sz w:val="36"/>
        </w:rPr>
      </w:pPr>
    </w:p>
    <w:p>
      <w:pPr>
        <w:pStyle w:val="9"/>
        <w:tabs>
          <w:tab w:val="left" w:pos="4702"/>
        </w:tabs>
        <w:spacing w:line="549" w:lineRule="auto"/>
        <w:ind w:left="1849" w:right="1564"/>
        <w:rPr>
          <w:rFonts w:ascii="Times New Roman" w:eastAsia="Times New Roman"/>
        </w:rPr>
      </w:pPr>
      <w:r>
        <w:rPr>
          <w:spacing w:val="-6"/>
        </w:rPr>
        <w:t>项目名称：</w:t>
      </w:r>
      <w:r>
        <w:rPr>
          <w:spacing w:val="-17"/>
          <w:position w:val="-2"/>
        </w:rPr>
        <w:drawing>
          <wp:inline distT="0" distB="0" distL="0" distR="0">
            <wp:extent cx="621665" cy="7620"/>
            <wp:effectExtent l="0" t="0" r="0" b="0"/>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0" cstate="print"/>
                    <a:stretch>
                      <a:fillRect/>
                    </a:stretch>
                  </pic:blipFill>
                  <pic:spPr>
                    <a:xfrm>
                      <a:off x="0" y="0"/>
                      <a:ext cx="621792" cy="7620"/>
                    </a:xfrm>
                    <a:prstGeom prst="rect">
                      <a:avLst/>
                    </a:prstGeom>
                  </pic:spPr>
                </pic:pic>
              </a:graphicData>
            </a:graphic>
          </wp:inline>
        </w:drawing>
      </w:r>
      <w:r>
        <w:rPr>
          <w:spacing w:val="-6"/>
        </w:rPr>
        <w:t>（分包项目须填写完整的分包号及分包名称）</w:t>
      </w:r>
      <w:r>
        <w:rPr>
          <w:spacing w:val="-2"/>
        </w:rPr>
        <w:t>项目编号/包号：</w:t>
      </w:r>
      <w:r>
        <w:rPr>
          <w:rFonts w:ascii="Times New Roman" w:eastAsia="Times New Roman"/>
          <w:u w:val="single"/>
        </w:rPr>
        <w:tab/>
      </w:r>
    </w:p>
    <w:p>
      <w:pPr>
        <w:pStyle w:val="9"/>
        <w:tabs>
          <w:tab w:val="left" w:pos="7474"/>
        </w:tabs>
        <w:spacing w:before="52"/>
        <w:ind w:left="1876"/>
        <w:rPr>
          <w:rFonts w:ascii="Times New Roman" w:eastAsia="Times New Roman"/>
        </w:rPr>
      </w:pPr>
      <w:r>
        <w:rPr>
          <w:spacing w:val="-4"/>
        </w:rPr>
        <w:t>甲方（采购人</w:t>
      </w:r>
      <w:r>
        <w:rPr>
          <w:spacing w:val="-5"/>
        </w:rPr>
        <w:t>）：</w:t>
      </w:r>
      <w:r>
        <w:rPr>
          <w:rFonts w:ascii="Times New Roman" w:eastAsia="Times New Roman"/>
          <w:u w:val="single"/>
        </w:rPr>
        <w:tab/>
      </w:r>
    </w:p>
    <w:p>
      <w:pPr>
        <w:pStyle w:val="9"/>
        <w:spacing w:before="143"/>
        <w:rPr>
          <w:rFonts w:ascii="Times New Roman"/>
        </w:rPr>
      </w:pPr>
    </w:p>
    <w:p>
      <w:pPr>
        <w:pStyle w:val="9"/>
        <w:tabs>
          <w:tab w:val="left" w:pos="7474"/>
        </w:tabs>
        <w:spacing w:before="1"/>
        <w:ind w:left="1844"/>
        <w:rPr>
          <w:rFonts w:ascii="Times New Roman" w:eastAsia="Times New Roman"/>
        </w:rPr>
      </w:pPr>
      <w:r>
        <w:t>乙方（中标人</w:t>
      </w:r>
      <w:r>
        <w:rPr>
          <w:spacing w:val="-5"/>
        </w:rPr>
        <w:t>）：</w:t>
      </w:r>
      <w:r>
        <w:rPr>
          <w:rFonts w:ascii="Times New Roman" w:eastAsia="Times New Roman"/>
          <w:u w:val="single"/>
        </w:rPr>
        <w:tab/>
      </w:r>
    </w:p>
    <w:p>
      <w:pPr>
        <w:pStyle w:val="9"/>
        <w:spacing w:before="143"/>
        <w:rPr>
          <w:rFonts w:ascii="Times New Roman"/>
        </w:rPr>
      </w:pPr>
    </w:p>
    <w:p>
      <w:pPr>
        <w:pStyle w:val="9"/>
        <w:tabs>
          <w:tab w:val="left" w:pos="7354"/>
        </w:tabs>
        <w:spacing w:before="1"/>
        <w:ind w:left="1844"/>
        <w:rPr>
          <w:rFonts w:ascii="Times New Roman" w:eastAsia="Times New Roman"/>
        </w:rPr>
      </w:pPr>
      <w:r>
        <w:rPr>
          <w:spacing w:val="-10"/>
        </w:rPr>
        <w:t>签订地：</w:t>
      </w:r>
      <w:r>
        <w:rPr>
          <w:rFonts w:ascii="Times New Roman" w:eastAsia="Times New Roman"/>
          <w:u w:val="single"/>
        </w:rPr>
        <w:tab/>
      </w:r>
    </w:p>
    <w:p>
      <w:pPr>
        <w:pStyle w:val="9"/>
        <w:spacing w:before="141"/>
        <w:rPr>
          <w:rFonts w:ascii="Times New Roman"/>
        </w:rPr>
      </w:pPr>
    </w:p>
    <w:p>
      <w:pPr>
        <w:pStyle w:val="9"/>
        <w:tabs>
          <w:tab w:val="left" w:pos="5907"/>
        </w:tabs>
        <w:ind w:left="1844"/>
      </w:pPr>
      <w:r>
        <w:rPr>
          <w:spacing w:val="-6"/>
        </w:rPr>
        <w:t>签订日期：</w:t>
      </w:r>
      <w:r>
        <w:rPr>
          <w:spacing w:val="-3"/>
          <w:position w:val="-2"/>
        </w:rPr>
        <w:drawing>
          <wp:inline distT="0" distB="0" distL="0" distR="0">
            <wp:extent cx="1147445" cy="3175"/>
            <wp:effectExtent l="0" t="0" r="0" b="0"/>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1" cstate="print"/>
                    <a:stretch>
                      <a:fillRect/>
                    </a:stretch>
                  </pic:blipFill>
                  <pic:spPr>
                    <a:xfrm>
                      <a:off x="0" y="0"/>
                      <a:ext cx="1147571" cy="3809"/>
                    </a:xfrm>
                    <a:prstGeom prst="rect">
                      <a:avLst/>
                    </a:prstGeom>
                  </pic:spPr>
                </pic:pic>
              </a:graphicData>
            </a:graphic>
          </wp:inline>
        </w:drawing>
      </w:r>
      <w:r>
        <w:rPr>
          <w:spacing w:val="-10"/>
        </w:rPr>
        <w:t>年</w:t>
      </w:r>
      <w:r>
        <w:rPr>
          <w:rFonts w:ascii="Times New Roman" w:eastAsia="Times New Roman"/>
          <w:u w:val="single"/>
        </w:rPr>
        <w:tab/>
      </w:r>
      <w:r>
        <w:t>月</w:t>
      </w:r>
      <w:r>
        <w:rPr>
          <w:spacing w:val="-5"/>
          <w:position w:val="-2"/>
        </w:rPr>
        <w:drawing>
          <wp:inline distT="0" distB="0" distL="0" distR="0">
            <wp:extent cx="541020" cy="6985"/>
            <wp:effectExtent l="0" t="0" r="0" b="0"/>
            <wp:docPr id="28" name="Image 28"/>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2" cstate="print"/>
                    <a:stretch>
                      <a:fillRect/>
                    </a:stretch>
                  </pic:blipFill>
                  <pic:spPr>
                    <a:xfrm>
                      <a:off x="0" y="0"/>
                      <a:ext cx="541020" cy="7619"/>
                    </a:xfrm>
                    <a:prstGeom prst="rect">
                      <a:avLst/>
                    </a:prstGeom>
                  </pic:spPr>
                </pic:pic>
              </a:graphicData>
            </a:graphic>
          </wp:inline>
        </w:drawing>
      </w:r>
      <w:r>
        <w:rPr>
          <w:rFonts w:ascii="Times New Roman" w:eastAsia="Times New Roman"/>
          <w:spacing w:val="-8"/>
        </w:rPr>
        <w:t xml:space="preserve"> </w:t>
      </w:r>
      <w:r>
        <w:rPr>
          <w:spacing w:val="-10"/>
        </w:rPr>
        <w:t>日</w:t>
      </w:r>
    </w:p>
    <w:p>
      <w:pPr>
        <w:spacing w:after="0"/>
        <w:sectPr>
          <w:headerReference r:id="rId18" w:type="default"/>
          <w:footerReference r:id="rId19" w:type="default"/>
          <w:pgSz w:w="11910" w:h="16840"/>
          <w:pgMar w:top="1100" w:right="720" w:bottom="1020" w:left="920" w:header="918" w:footer="836" w:gutter="0"/>
          <w:pgNumType w:fmt="numberInDash"/>
          <w:cols w:space="720" w:num="1"/>
        </w:sectPr>
      </w:pPr>
    </w:p>
    <w:p>
      <w:pPr>
        <w:pStyle w:val="9"/>
        <w:spacing w:before="34"/>
      </w:pPr>
    </w:p>
    <w:p>
      <w:pPr>
        <w:pStyle w:val="9"/>
        <w:tabs>
          <w:tab w:val="left" w:pos="2509"/>
        </w:tabs>
        <w:spacing w:before="1" w:line="348" w:lineRule="auto"/>
        <w:ind w:left="884" w:right="1064" w:firstLine="424"/>
        <w:jc w:val="both"/>
      </w:pPr>
      <w:r>
        <w:rPr>
          <w:rFonts w:ascii="Times New Roman" w:eastAsia="Times New Roman"/>
          <w:u w:val="single"/>
        </w:rPr>
        <w:tab/>
      </w:r>
      <w:r>
        <w:rPr>
          <w:spacing w:val="-2"/>
        </w:rPr>
        <w:t>（以下简称：甲方）通过</w:t>
      </w:r>
      <w:r>
        <w:rPr>
          <w:spacing w:val="-5"/>
          <w:position w:val="-2"/>
        </w:rPr>
        <w:drawing>
          <wp:inline distT="0" distB="0" distL="0" distR="0">
            <wp:extent cx="760095" cy="7620"/>
            <wp:effectExtent l="0" t="0" r="0" b="0"/>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3" cstate="print"/>
                    <a:stretch>
                      <a:fillRect/>
                    </a:stretch>
                  </pic:blipFill>
                  <pic:spPr>
                    <a:xfrm>
                      <a:off x="0" y="0"/>
                      <a:ext cx="760476" cy="7620"/>
                    </a:xfrm>
                    <a:prstGeom prst="rect">
                      <a:avLst/>
                    </a:prstGeom>
                  </pic:spPr>
                </pic:pic>
              </a:graphicData>
            </a:graphic>
          </wp:inline>
        </w:drawing>
      </w:r>
      <w:r>
        <w:rPr>
          <w:spacing w:val="-2"/>
        </w:rPr>
        <w:t>组织的</w:t>
      </w:r>
      <w:r>
        <w:rPr>
          <w:spacing w:val="-2"/>
          <w:u w:val="single"/>
        </w:rPr>
        <w:t>公开招标</w:t>
      </w:r>
      <w:r>
        <w:rPr>
          <w:spacing w:val="-2"/>
        </w:rPr>
        <w:t>方式采购活</w:t>
      </w:r>
      <w:r>
        <w:rPr>
          <w:spacing w:val="-4"/>
        </w:rPr>
        <w:t>动，经</w:t>
      </w:r>
      <w:r>
        <w:rPr>
          <w:spacing w:val="-4"/>
          <w:u w:val="single"/>
        </w:rPr>
        <w:t>评标委员会</w:t>
      </w:r>
      <w:r>
        <w:rPr>
          <w:spacing w:val="-4"/>
        </w:rPr>
        <w:t>评定，</w:t>
      </w:r>
      <w:r>
        <w:rPr>
          <w:spacing w:val="-17"/>
          <w:position w:val="-2"/>
        </w:rPr>
        <w:drawing>
          <wp:inline distT="0" distB="0" distL="0" distR="0">
            <wp:extent cx="760095" cy="7620"/>
            <wp:effectExtent l="0" t="0" r="0"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4" cstate="print"/>
                    <a:stretch>
                      <a:fillRect/>
                    </a:stretch>
                  </pic:blipFill>
                  <pic:spPr>
                    <a:xfrm>
                      <a:off x="0" y="0"/>
                      <a:ext cx="760476" cy="7620"/>
                    </a:xfrm>
                    <a:prstGeom prst="rect">
                      <a:avLst/>
                    </a:prstGeom>
                  </pic:spPr>
                </pic:pic>
              </a:graphicData>
            </a:graphic>
          </wp:inline>
        </w:drawing>
      </w:r>
      <w:r>
        <w:rPr>
          <w:spacing w:val="-4"/>
        </w:rPr>
        <w:t>（以下简称：乙方）为本项目中标人，现按</w:t>
      </w:r>
      <w:r>
        <w:rPr>
          <w:spacing w:val="-2"/>
        </w:rPr>
        <w:t>照采购文件确定的事项签订本合同。</w:t>
      </w:r>
    </w:p>
    <w:p>
      <w:pPr>
        <w:pStyle w:val="9"/>
        <w:spacing w:before="39" w:line="348" w:lineRule="auto"/>
        <w:ind w:left="884" w:right="1062" w:firstLine="432"/>
        <w:jc w:val="both"/>
      </w:pPr>
      <w:r>
        <w:rPr>
          <w:spacing w:val="-2"/>
        </w:rPr>
        <w:t>根据《中华人民共和国民法典》、《中华人民共和国政府采购法》等相关法</w:t>
      </w:r>
      <w:r>
        <w:rPr>
          <w:spacing w:val="-4"/>
        </w:rPr>
        <w:t>律法规之规定，按照平等、自愿、公平和诚实信用的原则，经甲方和乙方协商一</w:t>
      </w:r>
      <w:r>
        <w:rPr>
          <w:spacing w:val="-2"/>
        </w:rPr>
        <w:t>致，约定以下合同条款，以兹共同遵守、全面履行。</w:t>
      </w:r>
    </w:p>
    <w:p>
      <w:pPr>
        <w:pStyle w:val="8"/>
        <w:numPr>
          <w:ilvl w:val="1"/>
          <w:numId w:val="45"/>
        </w:numPr>
        <w:tabs>
          <w:tab w:val="left" w:pos="1802"/>
        </w:tabs>
        <w:spacing w:before="18" w:after="0" w:line="240" w:lineRule="auto"/>
        <w:ind w:left="1802" w:right="0" w:hanging="464"/>
        <w:jc w:val="both"/>
      </w:pPr>
      <w:r>
        <w:rPr>
          <w:spacing w:val="-14"/>
        </w:rPr>
        <w:t>合同组成部分</w:t>
      </w:r>
    </w:p>
    <w:p>
      <w:pPr>
        <w:pStyle w:val="9"/>
        <w:spacing w:before="168" w:line="348" w:lineRule="auto"/>
        <w:ind w:left="887" w:right="1043" w:firstLine="439"/>
        <w:jc w:val="both"/>
      </w:pPr>
      <w:r>
        <w:rPr>
          <w:spacing w:val="-2"/>
        </w:rPr>
        <w:t>下列文件为本合同的组成部分，并构成一个整体，需综合解释、相互补充。</w:t>
      </w:r>
      <w:r>
        <w:rPr>
          <w:spacing w:val="-16"/>
        </w:rPr>
        <w:t>如果下列文件内容出现不一致的情形，那么在保证按照采购文件确定的事项前提下，</w:t>
      </w:r>
      <w:r>
        <w:rPr>
          <w:spacing w:val="-2"/>
        </w:rPr>
        <w:t>组成本合同的多个文件的优先适用顺序如下：</w:t>
      </w:r>
    </w:p>
    <w:p>
      <w:pPr>
        <w:pStyle w:val="15"/>
        <w:numPr>
          <w:ilvl w:val="2"/>
          <w:numId w:val="45"/>
        </w:numPr>
        <w:tabs>
          <w:tab w:val="left" w:pos="1998"/>
        </w:tabs>
        <w:spacing w:before="21" w:after="0" w:line="240" w:lineRule="auto"/>
        <w:ind w:left="1998" w:right="0" w:hanging="662"/>
        <w:jc w:val="both"/>
        <w:rPr>
          <w:sz w:val="24"/>
        </w:rPr>
      </w:pPr>
      <w:r>
        <w:rPr>
          <w:spacing w:val="-7"/>
          <w:sz w:val="24"/>
        </w:rPr>
        <w:t>本合同及其补充合同、变更协议；</w:t>
      </w:r>
    </w:p>
    <w:p>
      <w:pPr>
        <w:pStyle w:val="15"/>
        <w:numPr>
          <w:ilvl w:val="2"/>
          <w:numId w:val="45"/>
        </w:numPr>
        <w:tabs>
          <w:tab w:val="left" w:pos="1990"/>
        </w:tabs>
        <w:spacing w:before="148" w:after="0" w:line="240" w:lineRule="auto"/>
        <w:ind w:left="1990" w:right="0" w:hanging="654"/>
        <w:jc w:val="both"/>
        <w:rPr>
          <w:sz w:val="24"/>
        </w:rPr>
      </w:pPr>
      <w:r>
        <w:rPr>
          <w:spacing w:val="-9"/>
          <w:sz w:val="24"/>
        </w:rPr>
        <w:t>中标通知书；</w:t>
      </w:r>
    </w:p>
    <w:p>
      <w:pPr>
        <w:pStyle w:val="15"/>
        <w:numPr>
          <w:ilvl w:val="2"/>
          <w:numId w:val="45"/>
        </w:numPr>
        <w:tabs>
          <w:tab w:val="left" w:pos="1999"/>
        </w:tabs>
        <w:spacing w:before="156" w:after="0" w:line="240" w:lineRule="auto"/>
        <w:ind w:left="1999" w:right="0" w:hanging="663"/>
        <w:jc w:val="left"/>
        <w:rPr>
          <w:sz w:val="24"/>
        </w:rPr>
      </w:pPr>
      <w:r>
        <w:rPr>
          <w:spacing w:val="-4"/>
          <w:sz w:val="24"/>
        </w:rPr>
        <w:t>投标文件（含澄清或者说明文件</w:t>
      </w:r>
      <w:r>
        <w:rPr>
          <w:spacing w:val="-5"/>
          <w:sz w:val="24"/>
        </w:rPr>
        <w:t>）；</w:t>
      </w:r>
    </w:p>
    <w:p>
      <w:pPr>
        <w:pStyle w:val="15"/>
        <w:numPr>
          <w:ilvl w:val="2"/>
          <w:numId w:val="45"/>
        </w:numPr>
        <w:tabs>
          <w:tab w:val="left" w:pos="2000"/>
        </w:tabs>
        <w:spacing w:before="154" w:after="0" w:line="240" w:lineRule="auto"/>
        <w:ind w:left="2000" w:right="0" w:hanging="664"/>
        <w:jc w:val="left"/>
        <w:rPr>
          <w:sz w:val="24"/>
        </w:rPr>
      </w:pPr>
      <w:r>
        <w:rPr>
          <w:spacing w:val="-2"/>
          <w:sz w:val="24"/>
        </w:rPr>
        <w:t>招标文件（含澄清或者修改文件</w:t>
      </w:r>
      <w:r>
        <w:rPr>
          <w:spacing w:val="-5"/>
          <w:sz w:val="24"/>
        </w:rPr>
        <w:t>）；</w:t>
      </w:r>
    </w:p>
    <w:p>
      <w:pPr>
        <w:pStyle w:val="15"/>
        <w:numPr>
          <w:ilvl w:val="2"/>
          <w:numId w:val="45"/>
        </w:numPr>
        <w:tabs>
          <w:tab w:val="left" w:pos="1982"/>
        </w:tabs>
        <w:spacing w:before="154" w:after="0" w:line="240" w:lineRule="auto"/>
        <w:ind w:left="1982" w:right="0" w:hanging="646"/>
        <w:jc w:val="left"/>
        <w:rPr>
          <w:sz w:val="24"/>
        </w:rPr>
      </w:pPr>
      <w:r>
        <w:rPr>
          <w:spacing w:val="-7"/>
          <w:sz w:val="24"/>
        </w:rPr>
        <w:t>其他相关采购文件。</w:t>
      </w:r>
    </w:p>
    <w:p>
      <w:pPr>
        <w:pStyle w:val="8"/>
        <w:numPr>
          <w:ilvl w:val="1"/>
          <w:numId w:val="45"/>
        </w:numPr>
        <w:tabs>
          <w:tab w:val="left" w:pos="1801"/>
        </w:tabs>
        <w:spacing w:before="151" w:after="0" w:line="240" w:lineRule="auto"/>
        <w:ind w:left="1801" w:right="0" w:hanging="463"/>
        <w:jc w:val="left"/>
      </w:pPr>
      <w:r>
        <w:rPr>
          <w:spacing w:val="-12"/>
        </w:rPr>
        <w:t>服务</w:t>
      </w:r>
    </w:p>
    <w:p>
      <w:pPr>
        <w:pStyle w:val="15"/>
        <w:numPr>
          <w:ilvl w:val="2"/>
          <w:numId w:val="45"/>
        </w:numPr>
        <w:tabs>
          <w:tab w:val="left" w:pos="1984"/>
          <w:tab w:val="left" w:pos="8929"/>
        </w:tabs>
        <w:spacing w:before="149" w:after="0" w:line="240" w:lineRule="auto"/>
        <w:ind w:left="1984" w:right="0" w:hanging="648"/>
        <w:jc w:val="left"/>
        <w:rPr>
          <w:sz w:val="24"/>
        </w:rPr>
      </w:pPr>
      <w:r>
        <mc:AlternateContent>
          <mc:Choice Requires="wps">
            <w:drawing>
              <wp:anchor distT="0" distB="0" distL="0" distR="0" simplePos="0" relativeHeight="251661312" behindDoc="1" locked="0" layoutInCell="1" allowOverlap="1">
                <wp:simplePos x="0" y="0"/>
                <wp:positionH relativeFrom="page">
                  <wp:posOffset>2596515</wp:posOffset>
                </wp:positionH>
                <wp:positionV relativeFrom="paragraph">
                  <wp:posOffset>264795</wp:posOffset>
                </wp:positionV>
                <wp:extent cx="3657600" cy="1270"/>
                <wp:effectExtent l="0" t="0" r="0" b="0"/>
                <wp:wrapNone/>
                <wp:docPr id="31" name="Graphic 31"/>
                <wp:cNvGraphicFramePr/>
                <a:graphic xmlns:a="http://schemas.openxmlformats.org/drawingml/2006/main">
                  <a:graphicData uri="http://schemas.microsoft.com/office/word/2010/wordprocessingShape">
                    <wps:wsp>
                      <wps:cNvSpPr/>
                      <wps:spPr>
                        <a:xfrm>
                          <a:off x="0" y="0"/>
                          <a:ext cx="3657600" cy="1270"/>
                        </a:xfrm>
                        <a:custGeom>
                          <a:avLst/>
                          <a:gdLst/>
                          <a:ahLst/>
                          <a:cxnLst/>
                          <a:rect l="l" t="t" r="r" b="b"/>
                          <a:pathLst>
                            <a:path w="3657600">
                              <a:moveTo>
                                <a:pt x="0" y="0"/>
                              </a:moveTo>
                              <a:lnTo>
                                <a:pt x="3657600"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31" o:spid="_x0000_s1026" o:spt="100" style="position:absolute;left:0pt;margin-left:204.45pt;margin-top:20.85pt;height:0.1pt;width:288pt;mso-position-horizontal-relative:page;z-index:-251655168;mso-width-relative:page;mso-height-relative:page;" filled="f" stroked="t" coordsize="3657600,1" o:gfxdata="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db7dcAAAAJAQAADwAAAAAAAAAB&#10;ACAAAAAiAAAAZHJzL2Rvd25yZXYueG1sUEsBAhQAFAAAAAgAh07iQAEICaARAgAAfAQAAA4AAAAA&#10;AAAAAQAgAAAAJgEAAGRycy9lMm9Eb2MueG1sUEsFBgAAAAAGAAYAWQEAAKkFAAAAAA==&#10;" path="m0,0l3657600,0e">
                <v:fill on="f" focussize="0,0"/>
                <v:stroke weight="0.6pt" color="#000000" joinstyle="round"/>
                <v:imagedata o:title=""/>
                <o:lock v:ext="edit" aspectratio="f"/>
                <v:textbox inset="0mm,0mm,0mm,0mm"/>
              </v:shape>
            </w:pict>
          </mc:Fallback>
        </mc:AlternateContent>
      </w:r>
      <w:r>
        <w:rPr>
          <w:spacing w:val="-4"/>
          <w:sz w:val="24"/>
        </w:rPr>
        <w:t>服务名称</w:t>
      </w:r>
      <w:r>
        <w:rPr>
          <w:spacing w:val="-10"/>
          <w:sz w:val="24"/>
        </w:rPr>
        <w:t>：</w:t>
      </w:r>
      <w:r>
        <w:rPr>
          <w:sz w:val="24"/>
        </w:rPr>
        <w:tab/>
      </w:r>
      <w:r>
        <w:rPr>
          <w:spacing w:val="-10"/>
          <w:sz w:val="24"/>
        </w:rPr>
        <w:t>；</w:t>
      </w:r>
    </w:p>
    <w:p>
      <w:pPr>
        <w:pStyle w:val="15"/>
        <w:numPr>
          <w:ilvl w:val="2"/>
          <w:numId w:val="45"/>
        </w:numPr>
        <w:tabs>
          <w:tab w:val="left" w:pos="1984"/>
          <w:tab w:val="left" w:pos="8929"/>
        </w:tabs>
        <w:spacing w:before="156" w:after="0" w:line="240" w:lineRule="auto"/>
        <w:ind w:left="1984" w:right="0" w:hanging="648"/>
        <w:jc w:val="left"/>
        <w:rPr>
          <w:sz w:val="24"/>
        </w:rPr>
      </w:pPr>
      <w:r>
        <mc:AlternateContent>
          <mc:Choice Requires="wps">
            <w:drawing>
              <wp:anchor distT="0" distB="0" distL="0" distR="0" simplePos="0" relativeHeight="251662336" behindDoc="1" locked="0" layoutInCell="1" allowOverlap="1">
                <wp:simplePos x="0" y="0"/>
                <wp:positionH relativeFrom="page">
                  <wp:posOffset>2596515</wp:posOffset>
                </wp:positionH>
                <wp:positionV relativeFrom="paragraph">
                  <wp:posOffset>269240</wp:posOffset>
                </wp:positionV>
                <wp:extent cx="3657600" cy="1270"/>
                <wp:effectExtent l="0" t="0" r="0" b="0"/>
                <wp:wrapNone/>
                <wp:docPr id="32" name="Graphic 32"/>
                <wp:cNvGraphicFramePr/>
                <a:graphic xmlns:a="http://schemas.openxmlformats.org/drawingml/2006/main">
                  <a:graphicData uri="http://schemas.microsoft.com/office/word/2010/wordprocessingShape">
                    <wps:wsp>
                      <wps:cNvSpPr/>
                      <wps:spPr>
                        <a:xfrm>
                          <a:off x="0" y="0"/>
                          <a:ext cx="3657600" cy="1270"/>
                        </a:xfrm>
                        <a:custGeom>
                          <a:avLst/>
                          <a:gdLst/>
                          <a:ahLst/>
                          <a:cxnLst/>
                          <a:rect l="l" t="t" r="r" b="b"/>
                          <a:pathLst>
                            <a:path w="3657600">
                              <a:moveTo>
                                <a:pt x="0" y="0"/>
                              </a:moveTo>
                              <a:lnTo>
                                <a:pt x="3657600"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32" o:spid="_x0000_s1026" o:spt="100" style="position:absolute;left:0pt;margin-left:204.45pt;margin-top:21.2pt;height:0.1pt;width:288pt;mso-position-horizontal-relative:page;z-index:-251654144;mso-width-relative:page;mso-height-relative:page;" filled="f" stroked="t" coordsize="3657600,1" o:gfxdata="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1o7D/YAAAACQEAAA8AAAAAAAAA&#10;AQAgAAAAIgAAAGRycy9kb3ducmV2LnhtbFBLAQIUABQAAAAIAIdO4kBMekYCEQIAAHwEAAAOAAAA&#10;AAAAAAEAIAAAACcBAABkcnMvZTJvRG9jLnhtbFBLBQYAAAAABgAGAFkBAACqBQAAAAA=&#10;" path="m0,0l3657600,0e">
                <v:fill on="f" focussize="0,0"/>
                <v:stroke weight="0.6pt" color="#000000" joinstyle="round"/>
                <v:imagedata o:title=""/>
                <o:lock v:ext="edit" aspectratio="f"/>
                <v:textbox inset="0mm,0mm,0mm,0mm"/>
              </v:shape>
            </w:pict>
          </mc:Fallback>
        </mc:AlternateContent>
      </w:r>
      <w:r>
        <w:rPr>
          <w:spacing w:val="-4"/>
          <w:sz w:val="24"/>
        </w:rPr>
        <w:t>服务内容</w:t>
      </w:r>
      <w:r>
        <w:rPr>
          <w:spacing w:val="-10"/>
          <w:sz w:val="24"/>
        </w:rPr>
        <w:t>：</w:t>
      </w:r>
      <w:r>
        <w:rPr>
          <w:sz w:val="24"/>
        </w:rPr>
        <w:tab/>
      </w:r>
      <w:r>
        <w:rPr>
          <w:spacing w:val="-10"/>
          <w:sz w:val="24"/>
        </w:rPr>
        <w:t>；</w:t>
      </w:r>
    </w:p>
    <w:p>
      <w:pPr>
        <w:pStyle w:val="15"/>
        <w:numPr>
          <w:ilvl w:val="2"/>
          <w:numId w:val="45"/>
        </w:numPr>
        <w:tabs>
          <w:tab w:val="left" w:pos="1991"/>
          <w:tab w:val="left" w:pos="8931"/>
        </w:tabs>
        <w:spacing w:before="151" w:after="0" w:line="240" w:lineRule="auto"/>
        <w:ind w:left="1991" w:right="0" w:hanging="655"/>
        <w:jc w:val="left"/>
        <w:rPr>
          <w:sz w:val="24"/>
        </w:rPr>
      </w:pPr>
      <w:r>
        <mc:AlternateContent>
          <mc:Choice Requires="wps">
            <w:drawing>
              <wp:anchor distT="0" distB="0" distL="0" distR="0" simplePos="0" relativeHeight="251662336" behindDoc="1" locked="0" layoutInCell="1" allowOverlap="1">
                <wp:simplePos x="0" y="0"/>
                <wp:positionH relativeFrom="page">
                  <wp:posOffset>2598420</wp:posOffset>
                </wp:positionH>
                <wp:positionV relativeFrom="paragraph">
                  <wp:posOffset>266065</wp:posOffset>
                </wp:positionV>
                <wp:extent cx="3657600" cy="1270"/>
                <wp:effectExtent l="0" t="0" r="0" b="0"/>
                <wp:wrapNone/>
                <wp:docPr id="33" name="Graphic 33"/>
                <wp:cNvGraphicFramePr/>
                <a:graphic xmlns:a="http://schemas.openxmlformats.org/drawingml/2006/main">
                  <a:graphicData uri="http://schemas.microsoft.com/office/word/2010/wordprocessingShape">
                    <wps:wsp>
                      <wps:cNvSpPr/>
                      <wps:spPr>
                        <a:xfrm>
                          <a:off x="0" y="0"/>
                          <a:ext cx="3657600" cy="1270"/>
                        </a:xfrm>
                        <a:custGeom>
                          <a:avLst/>
                          <a:gdLst/>
                          <a:ahLst/>
                          <a:cxnLst/>
                          <a:rect l="l" t="t" r="r" b="b"/>
                          <a:pathLst>
                            <a:path w="3657600">
                              <a:moveTo>
                                <a:pt x="0" y="0"/>
                              </a:moveTo>
                              <a:lnTo>
                                <a:pt x="3657600"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33" o:spid="_x0000_s1026" o:spt="100" style="position:absolute;left:0pt;margin-left:204.6pt;margin-top:20.95pt;height:0.1pt;width:288pt;mso-position-horizontal-relative:page;z-index:-251654144;mso-width-relative:page;mso-height-relative:page;" filled="f" stroked="t" coordsize="3657600,1" o:gfxdata="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VCTtXYAAAACQEAAA8AAAAAAAAA&#10;AQAgAAAAIgAAAGRycy9kb3ducmV2LnhtbFBLAQIUABQAAAAIAIdO4kB3VINjEQIAAHwEAAAOAAAA&#10;AAAAAAEAIAAAACcBAABkcnMvZTJvRG9jLnhtbFBLBQYAAAAABgAGAFkBAACqBQAAAAA=&#10;" path="m0,0l3657600,0e">
                <v:fill on="f" focussize="0,0"/>
                <v:stroke weight="0.6pt" color="#000000" joinstyle="round"/>
                <v:imagedata o:title=""/>
                <o:lock v:ext="edit" aspectratio="f"/>
                <v:textbox inset="0mm,0mm,0mm,0mm"/>
              </v:shape>
            </w:pict>
          </mc:Fallback>
        </mc:AlternateContent>
      </w:r>
      <w:r>
        <w:rPr>
          <w:spacing w:val="-6"/>
          <w:sz w:val="24"/>
        </w:rPr>
        <w:t>服务质量</w:t>
      </w:r>
      <w:r>
        <w:rPr>
          <w:spacing w:val="-10"/>
          <w:sz w:val="24"/>
        </w:rPr>
        <w:t>：</w:t>
      </w:r>
      <w:r>
        <w:rPr>
          <w:sz w:val="24"/>
        </w:rPr>
        <w:tab/>
      </w:r>
      <w:r>
        <w:rPr>
          <w:spacing w:val="-10"/>
          <w:sz w:val="24"/>
        </w:rPr>
        <w:t>。</w:t>
      </w:r>
    </w:p>
    <w:p>
      <w:pPr>
        <w:pStyle w:val="8"/>
        <w:numPr>
          <w:ilvl w:val="1"/>
          <w:numId w:val="45"/>
        </w:numPr>
        <w:tabs>
          <w:tab w:val="left" w:pos="1801"/>
        </w:tabs>
        <w:spacing w:before="156" w:after="0" w:line="240" w:lineRule="auto"/>
        <w:ind w:left="1801" w:right="0" w:hanging="463"/>
        <w:jc w:val="left"/>
      </w:pPr>
      <w:r>
        <w:rPr>
          <w:spacing w:val="-12"/>
        </w:rPr>
        <w:t>价款</w:t>
      </w:r>
    </w:p>
    <w:p>
      <w:pPr>
        <w:pStyle w:val="9"/>
        <w:tabs>
          <w:tab w:val="left" w:pos="4554"/>
          <w:tab w:val="left" w:pos="8483"/>
        </w:tabs>
        <w:spacing w:before="177" w:after="16" w:line="338" w:lineRule="auto"/>
        <w:ind w:left="1321" w:right="1084" w:hanging="3"/>
      </w:pPr>
      <w:r>
        <w:rPr>
          <w:spacing w:val="-2"/>
        </w:rPr>
        <w:t>本合同总价为：￥</w:t>
      </w:r>
      <w:r>
        <w:rPr>
          <w:rFonts w:ascii="Times New Roman" w:eastAsia="Times New Roman"/>
          <w:u w:val="single"/>
        </w:rPr>
        <w:tab/>
      </w:r>
      <w:r>
        <w:rPr>
          <w:spacing w:val="-2"/>
        </w:rPr>
        <w:t>元（大写：人民币</w:t>
      </w:r>
      <w:r>
        <w:rPr>
          <w:rFonts w:ascii="Times New Roman" w:eastAsia="Times New Roman"/>
          <w:u w:val="single"/>
        </w:rPr>
        <w:tab/>
      </w:r>
      <w:r>
        <w:rPr>
          <w:spacing w:val="-10"/>
        </w:rPr>
        <w:t>元）。</w:t>
      </w:r>
      <w:r>
        <w:rPr>
          <w:spacing w:val="-2"/>
        </w:rPr>
        <w:t>分项价格：</w:t>
      </w:r>
    </w:p>
    <w:tbl>
      <w:tblPr>
        <w:tblStyle w:val="12"/>
        <w:tblW w:w="0" w:type="auto"/>
        <w:tblInd w:w="7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1"/>
        <w:gridCol w:w="4311"/>
        <w:gridCol w:w="3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61" w:type="dxa"/>
          </w:tcPr>
          <w:p>
            <w:pPr>
              <w:pStyle w:val="16"/>
              <w:spacing w:before="19"/>
              <w:ind w:left="77" w:right="33"/>
              <w:jc w:val="center"/>
              <w:rPr>
                <w:sz w:val="24"/>
              </w:rPr>
            </w:pPr>
            <w:r>
              <w:rPr>
                <w:spacing w:val="-8"/>
                <w:sz w:val="24"/>
              </w:rPr>
              <w:t>序号</w:t>
            </w:r>
          </w:p>
        </w:tc>
        <w:tc>
          <w:tcPr>
            <w:tcW w:w="4311" w:type="dxa"/>
          </w:tcPr>
          <w:p>
            <w:pPr>
              <w:pStyle w:val="16"/>
              <w:spacing w:before="19"/>
              <w:ind w:left="241"/>
              <w:jc w:val="center"/>
              <w:rPr>
                <w:sz w:val="24"/>
              </w:rPr>
            </w:pPr>
            <w:r>
              <w:rPr>
                <w:spacing w:val="-9"/>
                <w:sz w:val="24"/>
              </w:rPr>
              <w:t>分项名称</w:t>
            </w:r>
          </w:p>
        </w:tc>
        <w:tc>
          <w:tcPr>
            <w:tcW w:w="3238" w:type="dxa"/>
          </w:tcPr>
          <w:p>
            <w:pPr>
              <w:pStyle w:val="16"/>
              <w:spacing w:before="16"/>
              <w:ind w:left="41"/>
              <w:jc w:val="center"/>
              <w:rPr>
                <w:sz w:val="24"/>
              </w:rPr>
            </w:pPr>
            <w:r>
              <w:rPr>
                <w:spacing w:val="-9"/>
                <w:sz w:val="24"/>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1" w:type="dxa"/>
          </w:tcPr>
          <w:p>
            <w:pPr>
              <w:pStyle w:val="16"/>
              <w:spacing w:before="16"/>
              <w:ind w:left="77"/>
              <w:jc w:val="center"/>
              <w:rPr>
                <w:sz w:val="24"/>
              </w:rPr>
            </w:pPr>
            <w:r>
              <w:rPr>
                <w:spacing w:val="-10"/>
                <w:sz w:val="24"/>
              </w:rPr>
              <w:t>1</w:t>
            </w:r>
          </w:p>
        </w:tc>
        <w:tc>
          <w:tcPr>
            <w:tcW w:w="4311" w:type="dxa"/>
          </w:tcPr>
          <w:p>
            <w:pPr>
              <w:pStyle w:val="16"/>
              <w:rPr>
                <w:rFonts w:ascii="Times New Roman"/>
                <w:sz w:val="22"/>
              </w:rPr>
            </w:pPr>
          </w:p>
        </w:tc>
        <w:tc>
          <w:tcPr>
            <w:tcW w:w="3238"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61" w:type="dxa"/>
          </w:tcPr>
          <w:p>
            <w:pPr>
              <w:pStyle w:val="16"/>
              <w:spacing w:before="16"/>
              <w:ind w:left="77" w:right="33"/>
              <w:jc w:val="center"/>
              <w:rPr>
                <w:sz w:val="24"/>
              </w:rPr>
            </w:pPr>
            <w:r>
              <w:rPr>
                <w:spacing w:val="-10"/>
                <w:sz w:val="24"/>
              </w:rPr>
              <w:t>2</w:t>
            </w:r>
          </w:p>
        </w:tc>
        <w:tc>
          <w:tcPr>
            <w:tcW w:w="4311" w:type="dxa"/>
          </w:tcPr>
          <w:p>
            <w:pPr>
              <w:pStyle w:val="16"/>
              <w:rPr>
                <w:rFonts w:ascii="Times New Roman"/>
                <w:sz w:val="22"/>
              </w:rPr>
            </w:pPr>
          </w:p>
        </w:tc>
        <w:tc>
          <w:tcPr>
            <w:tcW w:w="3238"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1" w:type="dxa"/>
          </w:tcPr>
          <w:p>
            <w:pPr>
              <w:pStyle w:val="16"/>
              <w:spacing w:before="18"/>
              <w:ind w:left="77" w:right="29"/>
              <w:jc w:val="center"/>
              <w:rPr>
                <w:sz w:val="24"/>
              </w:rPr>
            </w:pPr>
            <w:r>
              <w:rPr>
                <w:spacing w:val="-10"/>
                <w:sz w:val="24"/>
              </w:rPr>
              <w:t>3</w:t>
            </w:r>
          </w:p>
        </w:tc>
        <w:tc>
          <w:tcPr>
            <w:tcW w:w="4311" w:type="dxa"/>
          </w:tcPr>
          <w:p>
            <w:pPr>
              <w:pStyle w:val="16"/>
              <w:rPr>
                <w:rFonts w:ascii="Times New Roman"/>
                <w:sz w:val="22"/>
              </w:rPr>
            </w:pPr>
          </w:p>
        </w:tc>
        <w:tc>
          <w:tcPr>
            <w:tcW w:w="3238"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1" w:type="dxa"/>
          </w:tcPr>
          <w:p>
            <w:pPr>
              <w:pStyle w:val="16"/>
              <w:spacing w:before="69"/>
              <w:ind w:left="77" w:right="19"/>
              <w:jc w:val="center"/>
              <w:rPr>
                <w:sz w:val="24"/>
              </w:rPr>
            </w:pPr>
            <w:r>
              <w:rPr>
                <w:spacing w:val="-5"/>
                <w:sz w:val="24"/>
              </w:rPr>
              <w:t>……</w:t>
            </w:r>
          </w:p>
        </w:tc>
        <w:tc>
          <w:tcPr>
            <w:tcW w:w="4311" w:type="dxa"/>
          </w:tcPr>
          <w:p>
            <w:pPr>
              <w:pStyle w:val="16"/>
              <w:rPr>
                <w:rFonts w:ascii="Times New Roman"/>
                <w:sz w:val="22"/>
              </w:rPr>
            </w:pPr>
          </w:p>
        </w:tc>
        <w:tc>
          <w:tcPr>
            <w:tcW w:w="3238"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272" w:type="dxa"/>
            <w:gridSpan w:val="2"/>
          </w:tcPr>
          <w:p>
            <w:pPr>
              <w:pStyle w:val="16"/>
              <w:spacing w:before="18"/>
              <w:ind w:left="271"/>
              <w:jc w:val="center"/>
              <w:rPr>
                <w:sz w:val="24"/>
              </w:rPr>
            </w:pPr>
            <w:r>
              <w:rPr>
                <w:spacing w:val="-9"/>
                <w:sz w:val="24"/>
              </w:rPr>
              <w:t>总价</w:t>
            </w:r>
          </w:p>
        </w:tc>
        <w:tc>
          <w:tcPr>
            <w:tcW w:w="3238" w:type="dxa"/>
          </w:tcPr>
          <w:p>
            <w:pPr>
              <w:pStyle w:val="16"/>
              <w:rPr>
                <w:rFonts w:ascii="Times New Roman"/>
                <w:sz w:val="22"/>
              </w:rPr>
            </w:pPr>
          </w:p>
        </w:tc>
      </w:tr>
    </w:tbl>
    <w:p>
      <w:pPr>
        <w:pStyle w:val="8"/>
        <w:numPr>
          <w:ilvl w:val="1"/>
          <w:numId w:val="45"/>
        </w:numPr>
        <w:tabs>
          <w:tab w:val="left" w:pos="1786"/>
        </w:tabs>
        <w:spacing w:before="13" w:after="0" w:line="240" w:lineRule="auto"/>
        <w:ind w:left="1786" w:right="0" w:hanging="448"/>
        <w:jc w:val="left"/>
      </w:pPr>
      <w:r>
        <w:rPr>
          <w:spacing w:val="-12"/>
        </w:rPr>
        <w:t>付款方式和发票开具方式</w:t>
      </w:r>
    </w:p>
    <w:p>
      <w:pPr>
        <w:pStyle w:val="15"/>
        <w:numPr>
          <w:ilvl w:val="2"/>
          <w:numId w:val="45"/>
        </w:numPr>
        <w:tabs>
          <w:tab w:val="left" w:pos="1984"/>
          <w:tab w:val="left" w:pos="8929"/>
        </w:tabs>
        <w:spacing w:before="147" w:after="0" w:line="240" w:lineRule="auto"/>
        <w:ind w:left="1984" w:right="0" w:hanging="648"/>
        <w:jc w:val="left"/>
        <w:rPr>
          <w:sz w:val="24"/>
        </w:rPr>
      </w:pPr>
      <w:r>
        <mc:AlternateContent>
          <mc:Choice Requires="wps">
            <w:drawing>
              <wp:anchor distT="0" distB="0" distL="0" distR="0" simplePos="0" relativeHeight="251663360" behindDoc="1" locked="0" layoutInCell="1" allowOverlap="1">
                <wp:simplePos x="0" y="0"/>
                <wp:positionH relativeFrom="page">
                  <wp:posOffset>2596515</wp:posOffset>
                </wp:positionH>
                <wp:positionV relativeFrom="paragraph">
                  <wp:posOffset>263525</wp:posOffset>
                </wp:positionV>
                <wp:extent cx="3657600" cy="1270"/>
                <wp:effectExtent l="0" t="0" r="0" b="0"/>
                <wp:wrapNone/>
                <wp:docPr id="34" name="Graphic 34"/>
                <wp:cNvGraphicFramePr/>
                <a:graphic xmlns:a="http://schemas.openxmlformats.org/drawingml/2006/main">
                  <a:graphicData uri="http://schemas.microsoft.com/office/word/2010/wordprocessingShape">
                    <wps:wsp>
                      <wps:cNvSpPr/>
                      <wps:spPr>
                        <a:xfrm>
                          <a:off x="0" y="0"/>
                          <a:ext cx="3657600" cy="1270"/>
                        </a:xfrm>
                        <a:custGeom>
                          <a:avLst/>
                          <a:gdLst/>
                          <a:ahLst/>
                          <a:cxnLst/>
                          <a:rect l="l" t="t" r="r" b="b"/>
                          <a:pathLst>
                            <a:path w="3657600">
                              <a:moveTo>
                                <a:pt x="0" y="0"/>
                              </a:moveTo>
                              <a:lnTo>
                                <a:pt x="3657600" y="0"/>
                              </a:lnTo>
                            </a:path>
                          </a:pathLst>
                        </a:custGeom>
                        <a:ln w="7619">
                          <a:solidFill>
                            <a:srgbClr val="000000"/>
                          </a:solidFill>
                          <a:prstDash val="solid"/>
                        </a:ln>
                      </wps:spPr>
                      <wps:bodyPr wrap="square" lIns="0" tIns="0" rIns="0" bIns="0" rtlCol="0">
                        <a:noAutofit/>
                      </wps:bodyPr>
                    </wps:wsp>
                  </a:graphicData>
                </a:graphic>
              </wp:anchor>
            </w:drawing>
          </mc:Choice>
          <mc:Fallback>
            <w:pict>
              <v:shape id="Graphic 34" o:spid="_x0000_s1026" o:spt="100" style="position:absolute;left:0pt;margin-left:204.45pt;margin-top:20.75pt;height:0.1pt;width:288pt;mso-position-horizontal-relative:page;z-index:-251653120;mso-width-relative:page;mso-height-relative:page;" filled="f" stroked="t" coordsize="3657600,1" o:gfxdata="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ft8p2AAAAAkBAAAPAAAAAAAA&#10;AAEAIAAAACIAAABkcnMvZG93bnJldi54bWxQSwECFAAUAAAACACHTuJAY4n5wxICAAB8BAAADgAA&#10;AAAAAAABACAAAAAnAQAAZHJzL2Uyb0RvYy54bWxQSwUGAAAAAAYABgBZAQAAqwUAAAAA&#10;" path="m0,0l3657600,0e">
                <v:fill on="f" focussize="0,0"/>
                <v:stroke weight="0.59992125984252pt" color="#000000" joinstyle="round"/>
                <v:imagedata o:title=""/>
                <o:lock v:ext="edit" aspectratio="f"/>
                <v:textbox inset="0mm,0mm,0mm,0mm"/>
              </v:shape>
            </w:pict>
          </mc:Fallback>
        </mc:AlternateContent>
      </w:r>
      <w:r>
        <w:rPr>
          <w:spacing w:val="-4"/>
          <w:sz w:val="24"/>
        </w:rPr>
        <w:t>付款方式</w:t>
      </w:r>
      <w:r>
        <w:rPr>
          <w:spacing w:val="-10"/>
          <w:sz w:val="24"/>
        </w:rPr>
        <w:t>：</w:t>
      </w:r>
      <w:r>
        <w:rPr>
          <w:sz w:val="24"/>
        </w:rPr>
        <w:tab/>
      </w:r>
      <w:r>
        <w:rPr>
          <w:spacing w:val="-10"/>
          <w:sz w:val="24"/>
        </w:rPr>
        <w:t>；</w:t>
      </w:r>
    </w:p>
    <w:p>
      <w:pPr>
        <w:spacing w:after="0" w:line="240" w:lineRule="auto"/>
        <w:jc w:val="left"/>
        <w:rPr>
          <w:sz w:val="24"/>
        </w:rPr>
        <w:sectPr>
          <w:pgSz w:w="11910" w:h="16840"/>
          <w:pgMar w:top="1100" w:right="720" w:bottom="1020" w:left="920" w:header="918" w:footer="836" w:gutter="0"/>
          <w:pgNumType w:fmt="numberInDash"/>
          <w:cols w:space="720" w:num="1"/>
        </w:sectPr>
      </w:pPr>
    </w:p>
    <w:p>
      <w:pPr>
        <w:pStyle w:val="9"/>
        <w:spacing w:before="10"/>
      </w:pPr>
    </w:p>
    <w:p>
      <w:pPr>
        <w:pStyle w:val="15"/>
        <w:numPr>
          <w:ilvl w:val="2"/>
          <w:numId w:val="45"/>
        </w:numPr>
        <w:tabs>
          <w:tab w:val="left" w:pos="1987"/>
        </w:tabs>
        <w:spacing w:before="1" w:after="0" w:line="240" w:lineRule="auto"/>
        <w:ind w:left="1987" w:right="0" w:hanging="651"/>
        <w:jc w:val="left"/>
        <w:rPr>
          <w:sz w:val="24"/>
        </w:rPr>
      </w:pPr>
      <w:r>
        <w:rPr>
          <w:spacing w:val="-6"/>
          <w:sz w:val="24"/>
        </w:rPr>
        <w:t>发票开具方式：</w:t>
      </w:r>
      <w:r>
        <w:rPr>
          <w:spacing w:val="-5"/>
          <w:position w:val="-2"/>
          <w:sz w:val="24"/>
        </w:rPr>
        <w:drawing>
          <wp:inline distT="0" distB="0" distL="0" distR="0">
            <wp:extent cx="3364865" cy="7620"/>
            <wp:effectExtent l="0" t="0" r="0" b="0"/>
            <wp:docPr id="35"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5" cstate="print"/>
                    <a:stretch>
                      <a:fillRect/>
                    </a:stretch>
                  </pic:blipFill>
                  <pic:spPr>
                    <a:xfrm>
                      <a:off x="0" y="0"/>
                      <a:ext cx="3364991" cy="7620"/>
                    </a:xfrm>
                    <a:prstGeom prst="rect">
                      <a:avLst/>
                    </a:prstGeom>
                  </pic:spPr>
                </pic:pic>
              </a:graphicData>
            </a:graphic>
          </wp:inline>
        </w:drawing>
      </w:r>
      <w:r>
        <w:rPr>
          <w:spacing w:val="-10"/>
          <w:sz w:val="24"/>
        </w:rPr>
        <w:t>。</w:t>
      </w:r>
    </w:p>
    <w:p>
      <w:pPr>
        <w:pStyle w:val="8"/>
        <w:numPr>
          <w:ilvl w:val="1"/>
          <w:numId w:val="45"/>
        </w:numPr>
        <w:tabs>
          <w:tab w:val="left" w:pos="1786"/>
        </w:tabs>
        <w:spacing w:before="156" w:after="0" w:line="240" w:lineRule="auto"/>
        <w:ind w:left="1786" w:right="0" w:hanging="446"/>
        <w:jc w:val="left"/>
      </w:pPr>
      <w:r>
        <w:rPr>
          <w:spacing w:val="-12"/>
        </w:rPr>
        <w:t>服务期限、地点和方式</w:t>
      </w:r>
    </w:p>
    <w:p>
      <w:pPr>
        <w:pStyle w:val="15"/>
        <w:numPr>
          <w:ilvl w:val="2"/>
          <w:numId w:val="45"/>
        </w:numPr>
        <w:tabs>
          <w:tab w:val="left" w:pos="1974"/>
        </w:tabs>
        <w:spacing w:before="151" w:after="0" w:line="240" w:lineRule="auto"/>
        <w:ind w:left="1974" w:right="0" w:hanging="638"/>
        <w:jc w:val="left"/>
        <w:rPr>
          <w:sz w:val="24"/>
        </w:rPr>
      </w:pPr>
      <w:r>
        <w:rPr>
          <w:spacing w:val="-6"/>
          <w:sz w:val="24"/>
        </w:rPr>
        <w:t>服务期限：</w:t>
      </w:r>
      <w:r>
        <w:rPr>
          <w:spacing w:val="-3"/>
          <w:position w:val="-2"/>
          <w:sz w:val="24"/>
        </w:rPr>
        <w:drawing>
          <wp:inline distT="0" distB="0" distL="0" distR="0">
            <wp:extent cx="3669665" cy="3810"/>
            <wp:effectExtent l="0" t="0" r="0" b="0"/>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6" cstate="print"/>
                    <a:stretch>
                      <a:fillRect/>
                    </a:stretch>
                  </pic:blipFill>
                  <pic:spPr>
                    <a:xfrm>
                      <a:off x="0" y="0"/>
                      <a:ext cx="3669792" cy="3810"/>
                    </a:xfrm>
                    <a:prstGeom prst="rect">
                      <a:avLst/>
                    </a:prstGeom>
                  </pic:spPr>
                </pic:pic>
              </a:graphicData>
            </a:graphic>
          </wp:inline>
        </w:drawing>
      </w:r>
      <w:r>
        <w:rPr>
          <w:spacing w:val="-10"/>
          <w:sz w:val="24"/>
        </w:rPr>
        <w:t>；</w:t>
      </w:r>
    </w:p>
    <w:p>
      <w:pPr>
        <w:pStyle w:val="15"/>
        <w:numPr>
          <w:ilvl w:val="2"/>
          <w:numId w:val="45"/>
        </w:numPr>
        <w:tabs>
          <w:tab w:val="left" w:pos="1974"/>
          <w:tab w:val="left" w:pos="8929"/>
        </w:tabs>
        <w:spacing w:before="153" w:after="0" w:line="240" w:lineRule="auto"/>
        <w:ind w:left="1974" w:right="0" w:hanging="638"/>
        <w:jc w:val="left"/>
        <w:rPr>
          <w:sz w:val="24"/>
        </w:rPr>
      </w:pPr>
      <w:r>
        <w:rPr>
          <w:spacing w:val="-8"/>
          <w:sz w:val="24"/>
        </w:rPr>
        <w:t>服务地点</w:t>
      </w:r>
      <w:r>
        <w:rPr>
          <w:spacing w:val="-10"/>
          <w:sz w:val="24"/>
        </w:rPr>
        <w:t>：</w:t>
      </w:r>
      <w:r>
        <w:rPr>
          <w:rFonts w:ascii="Times New Roman" w:eastAsia="Times New Roman"/>
          <w:sz w:val="24"/>
          <w:u w:val="single"/>
        </w:rPr>
        <w:tab/>
      </w:r>
      <w:r>
        <w:rPr>
          <w:spacing w:val="-10"/>
          <w:sz w:val="24"/>
        </w:rPr>
        <w:t>；</w:t>
      </w:r>
    </w:p>
    <w:p>
      <w:pPr>
        <w:pStyle w:val="15"/>
        <w:numPr>
          <w:ilvl w:val="2"/>
          <w:numId w:val="45"/>
        </w:numPr>
        <w:tabs>
          <w:tab w:val="left" w:pos="1981"/>
          <w:tab w:val="left" w:pos="8934"/>
        </w:tabs>
        <w:spacing w:before="154" w:after="0" w:line="240" w:lineRule="auto"/>
        <w:ind w:left="1981" w:right="0" w:hanging="645"/>
        <w:jc w:val="left"/>
        <w:rPr>
          <w:sz w:val="24"/>
        </w:rPr>
      </w:pPr>
      <w:r>
        <w:rPr>
          <w:spacing w:val="-8"/>
          <w:sz w:val="24"/>
        </w:rPr>
        <w:t>服务方式</w:t>
      </w:r>
      <w:r>
        <w:rPr>
          <w:spacing w:val="-10"/>
          <w:sz w:val="24"/>
        </w:rPr>
        <w:t>：</w:t>
      </w:r>
      <w:r>
        <w:rPr>
          <w:rFonts w:ascii="Times New Roman" w:eastAsia="Times New Roman"/>
          <w:sz w:val="24"/>
          <w:u w:val="single"/>
        </w:rPr>
        <w:tab/>
      </w:r>
      <w:r>
        <w:rPr>
          <w:spacing w:val="-10"/>
          <w:sz w:val="24"/>
        </w:rPr>
        <w:t>。</w:t>
      </w:r>
    </w:p>
    <w:p>
      <w:pPr>
        <w:pStyle w:val="8"/>
        <w:numPr>
          <w:ilvl w:val="1"/>
          <w:numId w:val="45"/>
        </w:numPr>
        <w:tabs>
          <w:tab w:val="left" w:pos="1800"/>
        </w:tabs>
        <w:spacing w:before="154" w:after="0" w:line="240" w:lineRule="auto"/>
        <w:ind w:left="1800" w:right="0" w:hanging="460"/>
        <w:jc w:val="left"/>
      </w:pPr>
      <w:r>
        <w:rPr>
          <w:spacing w:val="-12"/>
        </w:rPr>
        <w:t>违约责任</w:t>
      </w:r>
    </w:p>
    <w:p>
      <w:pPr>
        <w:pStyle w:val="15"/>
        <w:numPr>
          <w:ilvl w:val="2"/>
          <w:numId w:val="45"/>
        </w:numPr>
        <w:tabs>
          <w:tab w:val="left" w:pos="2023"/>
          <w:tab w:val="left" w:pos="3104"/>
          <w:tab w:val="left" w:pos="7590"/>
        </w:tabs>
        <w:spacing w:before="175" w:after="0" w:line="328" w:lineRule="auto"/>
        <w:ind w:left="884" w:right="1062" w:firstLine="451"/>
        <w:jc w:val="both"/>
        <w:rPr>
          <w:sz w:val="24"/>
        </w:rPr>
      </w:pPr>
      <w:r>
        <w:rPr>
          <w:spacing w:val="-2"/>
          <w:sz w:val="24"/>
        </w:rPr>
        <w:t>除不可抗力外，如果乙方没有按照本合同约定的期限、地点和方式履</w:t>
      </w:r>
      <w:r>
        <w:rPr>
          <w:spacing w:val="-4"/>
          <w:sz w:val="24"/>
        </w:rPr>
        <w:t>行，那么甲方可要求乙方支付违约金，违约金按每迟延履行一日的应提供而未提</w:t>
      </w:r>
      <w:r>
        <w:rPr>
          <w:spacing w:val="-2"/>
          <w:sz w:val="24"/>
        </w:rPr>
        <w:t>供服务价格的</w:t>
      </w:r>
      <w:r>
        <w:rPr>
          <w:rFonts w:ascii="Times New Roman" w:eastAsia="Times New Roman"/>
          <w:sz w:val="24"/>
          <w:u w:val="single"/>
        </w:rPr>
        <w:tab/>
      </w:r>
      <w:r>
        <w:rPr>
          <w:spacing w:val="-2"/>
          <w:sz w:val="24"/>
        </w:rPr>
        <w:t>%计算，最高限额为本合同总价的</w:t>
      </w:r>
      <w:r>
        <w:rPr>
          <w:rFonts w:ascii="Times New Roman" w:eastAsia="Times New Roman"/>
          <w:sz w:val="24"/>
          <w:u w:val="single"/>
        </w:rPr>
        <w:tab/>
      </w:r>
      <w:r>
        <w:rPr>
          <w:spacing w:val="-2"/>
          <w:sz w:val="24"/>
        </w:rPr>
        <w:t>%；迟延履行的</w:t>
      </w:r>
      <w:r>
        <w:rPr>
          <w:spacing w:val="-4"/>
          <w:sz w:val="24"/>
        </w:rPr>
        <w:t>违约金计算数额达到前述最高限额之日起，甲方有权在要求乙方支付违约金的同</w:t>
      </w:r>
      <w:r>
        <w:rPr>
          <w:spacing w:val="-2"/>
          <w:sz w:val="24"/>
        </w:rPr>
        <w:t>时，书面通知乙方解除本合同；</w:t>
      </w:r>
    </w:p>
    <w:p>
      <w:pPr>
        <w:pStyle w:val="15"/>
        <w:numPr>
          <w:ilvl w:val="2"/>
          <w:numId w:val="45"/>
        </w:numPr>
        <w:tabs>
          <w:tab w:val="left" w:pos="2023"/>
        </w:tabs>
        <w:spacing w:before="188" w:after="0" w:line="331" w:lineRule="auto"/>
        <w:ind w:left="884" w:right="1067" w:firstLine="451"/>
        <w:jc w:val="both"/>
        <w:rPr>
          <w:sz w:val="24"/>
        </w:rPr>
      </w:pPr>
      <w:r>
        <w:rPr>
          <w:spacing w:val="-2"/>
          <w:sz w:val="24"/>
        </w:rPr>
        <w:t>除不可抗力外，如果甲方没有按照本合同约定的付款方式付款，那么</w:t>
      </w:r>
      <w:r>
        <w:rPr>
          <w:sz w:val="24"/>
        </w:rPr>
        <w:t>乙方可要求甲方支付违约金，违约金按每迟延付款一日的应付而未付款的</w:t>
      </w:r>
      <w:r>
        <w:rPr>
          <w:rFonts w:ascii="Times New Roman" w:eastAsia="Times New Roman"/>
          <w:spacing w:val="80"/>
          <w:sz w:val="24"/>
          <w:u w:val="single"/>
        </w:rPr>
        <w:t xml:space="preserve">  </w:t>
      </w:r>
      <w:r>
        <w:rPr>
          <w:sz w:val="24"/>
        </w:rPr>
        <w:t>%计算，最高限额为本合同总价的</w:t>
      </w:r>
      <w:r>
        <w:rPr>
          <w:rFonts w:ascii="Times New Roman" w:eastAsia="Times New Roman"/>
          <w:spacing w:val="80"/>
          <w:sz w:val="24"/>
          <w:u w:val="single"/>
        </w:rPr>
        <w:t xml:space="preserve">    </w:t>
      </w:r>
      <w:r>
        <w:rPr>
          <w:sz w:val="24"/>
        </w:rPr>
        <w:t>%；迟延付款的违约金计算数额达到前述</w:t>
      </w:r>
      <w:r>
        <w:rPr>
          <w:spacing w:val="-4"/>
          <w:sz w:val="24"/>
        </w:rPr>
        <w:t>最高限额之日起，乙方有权在要求甲方支付违约金的同时，书面通知甲方解除本合同；</w:t>
      </w:r>
    </w:p>
    <w:p>
      <w:pPr>
        <w:pStyle w:val="15"/>
        <w:numPr>
          <w:ilvl w:val="2"/>
          <w:numId w:val="45"/>
        </w:numPr>
        <w:tabs>
          <w:tab w:val="left" w:pos="2004"/>
        </w:tabs>
        <w:spacing w:before="159" w:after="0" w:line="240" w:lineRule="auto"/>
        <w:ind w:left="2004" w:right="0" w:hanging="668"/>
        <w:jc w:val="both"/>
        <w:rPr>
          <w:sz w:val="24"/>
        </w:rPr>
      </w:pPr>
      <w:r>
        <w:rPr>
          <w:spacing w:val="-7"/>
          <w:sz w:val="24"/>
        </w:rPr>
        <w:t>除不可抗力外，任何一方未能履行本合同约定的其他主要义务，经催</w:t>
      </w:r>
    </w:p>
    <w:p>
      <w:pPr>
        <w:pStyle w:val="9"/>
        <w:spacing w:before="175" w:line="343" w:lineRule="auto"/>
        <w:ind w:left="887" w:right="635" w:firstLine="2"/>
      </w:pPr>
      <w:r>
        <w:rPr>
          <w:spacing w:val="-16"/>
        </w:rPr>
        <w:t>告后在合理期限内仍未履行的，或者任何一方有其他违约行为致使不能实现合同目的的，</w:t>
      </w:r>
      <w:r>
        <w:rPr>
          <w:spacing w:val="-4"/>
        </w:rPr>
        <w:t>或者任何一方有腐败行为（即：提供或给予或接受或索取任何财物或其他好处或者</w:t>
      </w:r>
    </w:p>
    <w:p>
      <w:pPr>
        <w:pStyle w:val="9"/>
        <w:spacing w:before="39"/>
        <w:ind w:left="884"/>
      </w:pPr>
      <w:r>
        <w:rPr>
          <w:spacing w:val="-12"/>
        </w:rPr>
        <w:t>采取其他不正当手段影响对方当事人在合同签订、履行过程中的行为）或者欺诈行为</w:t>
      </w:r>
    </w:p>
    <w:p>
      <w:pPr>
        <w:pStyle w:val="9"/>
        <w:spacing w:before="141" w:line="348" w:lineRule="auto"/>
        <w:ind w:left="891" w:right="1016"/>
      </w:pPr>
      <w:r>
        <w:rPr>
          <w:spacing w:val="-8"/>
        </w:rPr>
        <w:t>（即：以谎报事实或者隐瞒真相的方法来影响对方当事人在合同签订、履行过程中</w:t>
      </w:r>
      <w:r>
        <w:rPr>
          <w:spacing w:val="-2"/>
        </w:rPr>
        <w:t>的行为）的，对方当事人可以书面通知违约方解除本合同；</w:t>
      </w:r>
    </w:p>
    <w:p>
      <w:pPr>
        <w:pStyle w:val="15"/>
        <w:numPr>
          <w:ilvl w:val="2"/>
          <w:numId w:val="45"/>
        </w:numPr>
        <w:tabs>
          <w:tab w:val="left" w:pos="2002"/>
        </w:tabs>
        <w:spacing w:before="39" w:after="0" w:line="331" w:lineRule="auto"/>
        <w:ind w:left="884" w:right="1060" w:firstLine="451"/>
        <w:jc w:val="both"/>
        <w:rPr>
          <w:sz w:val="24"/>
        </w:rPr>
      </w:pPr>
      <w:r>
        <w:rPr>
          <w:spacing w:val="-2"/>
          <w:sz w:val="24"/>
        </w:rPr>
        <w:t>任何一方按照前述约定要求违约方支付违约金的同时，仍有权要求违</w:t>
      </w:r>
      <w:r>
        <w:rPr>
          <w:spacing w:val="-4"/>
          <w:sz w:val="24"/>
        </w:rPr>
        <w:t>约方继续履行合同、采取补救措施，并有权按照己方实际损失情况要求违约方赔偿损失；任何一方按照前述约定要求解除本合同的同时，仍有权要求违约方支付</w:t>
      </w:r>
      <w:r>
        <w:rPr>
          <w:spacing w:val="-10"/>
          <w:sz w:val="24"/>
        </w:rPr>
        <w:t>违约金和按照己方实际损失情况要求违约方赔偿损失；且守约方行使的任何权利救</w:t>
      </w:r>
      <w:r>
        <w:rPr>
          <w:spacing w:val="-2"/>
          <w:sz w:val="24"/>
        </w:rPr>
        <w:t>济方式均不视为其放弃了其他法定或者约定的权利救济方式；</w:t>
      </w:r>
    </w:p>
    <w:p>
      <w:pPr>
        <w:pStyle w:val="15"/>
        <w:numPr>
          <w:ilvl w:val="2"/>
          <w:numId w:val="45"/>
        </w:numPr>
        <w:tabs>
          <w:tab w:val="left" w:pos="1908"/>
        </w:tabs>
        <w:spacing w:before="175" w:after="0" w:line="312" w:lineRule="auto"/>
        <w:ind w:left="884" w:right="930" w:firstLine="453"/>
        <w:jc w:val="left"/>
        <w:rPr>
          <w:sz w:val="24"/>
        </w:rPr>
      </w:pPr>
      <w:r>
        <w:rPr>
          <w:spacing w:val="-22"/>
          <w:sz w:val="24"/>
        </w:rPr>
        <w:t>除前述约定外，除不可抗力外，任何一方未能履行本合同约定的义务，对方当</w:t>
      </w:r>
      <w:r>
        <w:rPr>
          <w:spacing w:val="-2"/>
          <w:sz w:val="24"/>
        </w:rPr>
        <w:t>事人均有权要求继续履行、采取补救措施或者赔偿损失等，且对方当事人行使的任何权利救济方式均不视为其放弃了其他法定或者约定的权利救济方式；</w:t>
      </w:r>
    </w:p>
    <w:p>
      <w:pPr>
        <w:spacing w:after="0" w:line="312" w:lineRule="auto"/>
        <w:jc w:val="left"/>
        <w:rPr>
          <w:sz w:val="24"/>
        </w:rPr>
        <w:sectPr>
          <w:pgSz w:w="11910" w:h="16840"/>
          <w:pgMar w:top="1100" w:right="720" w:bottom="1020" w:left="920" w:header="918" w:footer="836" w:gutter="0"/>
          <w:pgNumType w:fmt="numberInDash"/>
          <w:cols w:space="720" w:num="1"/>
        </w:sectPr>
      </w:pPr>
    </w:p>
    <w:p>
      <w:pPr>
        <w:pStyle w:val="9"/>
        <w:spacing w:before="32"/>
      </w:pPr>
    </w:p>
    <w:p>
      <w:pPr>
        <w:pStyle w:val="15"/>
        <w:numPr>
          <w:ilvl w:val="2"/>
          <w:numId w:val="45"/>
        </w:numPr>
        <w:tabs>
          <w:tab w:val="left" w:pos="2009"/>
        </w:tabs>
        <w:spacing w:before="0" w:after="0" w:line="312" w:lineRule="auto"/>
        <w:ind w:left="889" w:right="1072" w:firstLine="448"/>
        <w:jc w:val="both"/>
        <w:rPr>
          <w:sz w:val="24"/>
        </w:rPr>
      </w:pPr>
      <w:r>
        <w:rPr>
          <w:spacing w:val="-2"/>
          <w:sz w:val="24"/>
        </w:rPr>
        <w:t>如果出现政府采购监督管理部门在处理投诉事项期间，书面通知甲方</w:t>
      </w:r>
      <w:r>
        <w:rPr>
          <w:spacing w:val="-4"/>
          <w:sz w:val="24"/>
        </w:rPr>
        <w:t>暂停采购活动的情形，或者询问或质疑事项可能影响中标结果的，导致甲方中止</w:t>
      </w:r>
      <w:r>
        <w:rPr>
          <w:spacing w:val="-2"/>
          <w:sz w:val="24"/>
        </w:rPr>
        <w:t>履行合同的情形，均不视为甲方违约。</w:t>
      </w:r>
    </w:p>
    <w:p>
      <w:pPr>
        <w:pStyle w:val="15"/>
        <w:numPr>
          <w:ilvl w:val="2"/>
          <w:numId w:val="45"/>
        </w:numPr>
        <w:tabs>
          <w:tab w:val="left" w:pos="2000"/>
        </w:tabs>
        <w:spacing w:before="185" w:after="0" w:line="328" w:lineRule="auto"/>
        <w:ind w:left="884" w:right="1124" w:firstLine="453"/>
        <w:jc w:val="left"/>
        <w:rPr>
          <w:sz w:val="24"/>
        </w:rPr>
      </w:pPr>
      <w:r>
        <w:rPr>
          <w:spacing w:val="-4"/>
          <w:sz w:val="24"/>
        </w:rPr>
        <w:t>因甲方未按合同约定支付价款、未按合同约定受领标的物、擅自解除</w:t>
      </w:r>
      <w:r>
        <w:rPr>
          <w:spacing w:val="-6"/>
          <w:sz w:val="24"/>
        </w:rPr>
        <w:t>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w:t>
      </w:r>
      <w:r>
        <w:rPr>
          <w:spacing w:val="-2"/>
          <w:sz w:val="24"/>
        </w:rPr>
        <w:t>的直接损失。</w:t>
      </w:r>
    </w:p>
    <w:p>
      <w:pPr>
        <w:pStyle w:val="8"/>
        <w:numPr>
          <w:ilvl w:val="1"/>
          <w:numId w:val="45"/>
        </w:numPr>
        <w:tabs>
          <w:tab w:val="left" w:pos="1786"/>
        </w:tabs>
        <w:spacing w:before="169" w:after="0" w:line="240" w:lineRule="auto"/>
        <w:ind w:left="1786" w:right="0" w:hanging="446"/>
        <w:jc w:val="left"/>
      </w:pPr>
      <w:r>
        <w:rPr>
          <w:spacing w:val="-12"/>
        </w:rPr>
        <w:t>合同争议的解决</w:t>
      </w:r>
    </w:p>
    <w:p>
      <w:pPr>
        <w:pStyle w:val="9"/>
        <w:tabs>
          <w:tab w:val="left" w:pos="7367"/>
        </w:tabs>
        <w:spacing w:before="166" w:line="340" w:lineRule="auto"/>
        <w:ind w:left="889" w:right="988" w:firstLine="429"/>
      </w:pPr>
      <w:r>
        <w:rPr>
          <w:spacing w:val="-8"/>
        </w:rPr>
        <w:t>本合同履行过程中发生的任何争议，双方当事人均可通过和解或者调解解决；</w:t>
      </w:r>
      <w:r>
        <w:rPr>
          <w:spacing w:val="-2"/>
        </w:rPr>
        <w:t>不愿和解、调解或者和解、调解不成的，可以选择下列第</w:t>
      </w:r>
      <w:r>
        <w:rPr>
          <w:rFonts w:ascii="Times New Roman" w:eastAsia="Times New Roman"/>
          <w:u w:val="single"/>
        </w:rPr>
        <w:tab/>
      </w:r>
      <w:r>
        <w:rPr>
          <w:spacing w:val="-2"/>
        </w:rPr>
        <w:t>种方式解决：</w:t>
      </w:r>
    </w:p>
    <w:p>
      <w:pPr>
        <w:pStyle w:val="15"/>
        <w:numPr>
          <w:ilvl w:val="2"/>
          <w:numId w:val="45"/>
        </w:numPr>
        <w:tabs>
          <w:tab w:val="left" w:pos="1974"/>
        </w:tabs>
        <w:spacing w:before="40" w:after="0" w:line="288" w:lineRule="auto"/>
        <w:ind w:left="884" w:right="1163" w:firstLine="451"/>
        <w:jc w:val="left"/>
        <w:rPr>
          <w:sz w:val="24"/>
        </w:rPr>
      </w:pPr>
      <w:r>
        <w:rPr>
          <w:spacing w:val="-6"/>
          <w:sz w:val="24"/>
        </w:rPr>
        <w:t>将争议提交</w:t>
      </w:r>
      <w:r>
        <w:rPr>
          <w:spacing w:val="-5"/>
          <w:position w:val="-2"/>
          <w:sz w:val="24"/>
        </w:rPr>
        <w:drawing>
          <wp:inline distT="0" distB="0" distL="0" distR="0">
            <wp:extent cx="1086485" cy="7620"/>
            <wp:effectExtent l="0" t="0" r="0" b="0"/>
            <wp:docPr id="37"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7" cstate="print"/>
                    <a:stretch>
                      <a:fillRect/>
                    </a:stretch>
                  </pic:blipFill>
                  <pic:spPr>
                    <a:xfrm>
                      <a:off x="0" y="0"/>
                      <a:ext cx="1086612" cy="7620"/>
                    </a:xfrm>
                    <a:prstGeom prst="rect">
                      <a:avLst/>
                    </a:prstGeom>
                  </pic:spPr>
                </pic:pic>
              </a:graphicData>
            </a:graphic>
          </wp:inline>
        </w:drawing>
      </w:r>
      <w:r>
        <w:rPr>
          <w:spacing w:val="-6"/>
          <w:sz w:val="24"/>
        </w:rPr>
        <w:t>仲裁委员会依申请仲裁时其现行有效的仲</w:t>
      </w:r>
      <w:r>
        <w:rPr>
          <w:spacing w:val="-2"/>
          <w:sz w:val="24"/>
        </w:rPr>
        <w:t>裁规则裁决；</w:t>
      </w:r>
    </w:p>
    <w:p>
      <w:pPr>
        <w:pStyle w:val="15"/>
        <w:numPr>
          <w:ilvl w:val="2"/>
          <w:numId w:val="45"/>
        </w:numPr>
        <w:tabs>
          <w:tab w:val="left" w:pos="1991"/>
        </w:tabs>
        <w:spacing w:before="166" w:after="0" w:line="240" w:lineRule="auto"/>
        <w:ind w:left="1991" w:right="0" w:hanging="655"/>
        <w:jc w:val="left"/>
        <w:rPr>
          <w:sz w:val="24"/>
        </w:rPr>
      </w:pPr>
      <w:r>
        <w:rPr>
          <w:spacing w:val="-10"/>
          <w:sz w:val="24"/>
        </w:rPr>
        <w:t>向</w:t>
      </w:r>
      <w:r>
        <w:rPr>
          <w:spacing w:val="-10"/>
          <w:position w:val="-2"/>
          <w:sz w:val="24"/>
        </w:rPr>
        <w:drawing>
          <wp:inline distT="0" distB="0" distL="0" distR="0">
            <wp:extent cx="1828800" cy="7620"/>
            <wp:effectExtent l="0" t="0" r="0" b="0"/>
            <wp:docPr id="38"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8" cstate="print"/>
                    <a:stretch>
                      <a:fillRect/>
                    </a:stretch>
                  </pic:blipFill>
                  <pic:spPr>
                    <a:xfrm>
                      <a:off x="0" y="0"/>
                      <a:ext cx="1828800" cy="7620"/>
                    </a:xfrm>
                    <a:prstGeom prst="rect">
                      <a:avLst/>
                    </a:prstGeom>
                  </pic:spPr>
                </pic:pic>
              </a:graphicData>
            </a:graphic>
          </wp:inline>
        </w:drawing>
      </w:r>
      <w:r>
        <w:rPr>
          <w:spacing w:val="-10"/>
          <w:sz w:val="24"/>
        </w:rPr>
        <w:t>人民法院起诉。</w:t>
      </w:r>
    </w:p>
    <w:p>
      <w:pPr>
        <w:pStyle w:val="8"/>
        <w:numPr>
          <w:ilvl w:val="1"/>
          <w:numId w:val="45"/>
        </w:numPr>
        <w:tabs>
          <w:tab w:val="left" w:pos="1803"/>
        </w:tabs>
        <w:spacing w:before="151" w:after="0" w:line="240" w:lineRule="auto"/>
        <w:ind w:left="1803" w:right="0" w:hanging="463"/>
        <w:jc w:val="left"/>
      </w:pPr>
      <w:r>
        <w:rPr>
          <w:spacing w:val="-14"/>
        </w:rPr>
        <w:t>合同生效</w:t>
      </w:r>
    </w:p>
    <w:p>
      <w:pPr>
        <w:pStyle w:val="9"/>
        <w:spacing w:before="151"/>
        <w:ind w:left="1319"/>
      </w:pPr>
      <w:r>
        <w:rPr>
          <w:spacing w:val="-5"/>
        </w:rPr>
        <w:t>本合同自双方当事人盖章时生效。</w:t>
      </w:r>
    </w:p>
    <w:p>
      <w:pPr>
        <w:pStyle w:val="9"/>
        <w:rPr>
          <w:sz w:val="20"/>
        </w:rPr>
      </w:pPr>
    </w:p>
    <w:p>
      <w:pPr>
        <w:pStyle w:val="9"/>
        <w:rPr>
          <w:sz w:val="20"/>
        </w:rPr>
      </w:pPr>
    </w:p>
    <w:p>
      <w:pPr>
        <w:pStyle w:val="9"/>
        <w:spacing w:before="43"/>
        <w:rPr>
          <w:sz w:val="20"/>
        </w:rPr>
      </w:pPr>
    </w:p>
    <w:p>
      <w:pPr>
        <w:spacing w:after="0"/>
        <w:rPr>
          <w:sz w:val="20"/>
        </w:rPr>
        <w:sectPr>
          <w:pgSz w:w="11910" w:h="16840"/>
          <w:pgMar w:top="1100" w:right="720" w:bottom="1020" w:left="920" w:header="918" w:footer="836" w:gutter="0"/>
          <w:pgNumType w:fmt="numberInDash"/>
          <w:cols w:space="720" w:num="1"/>
        </w:sectPr>
      </w:pPr>
    </w:p>
    <w:p>
      <w:pPr>
        <w:pStyle w:val="9"/>
        <w:tabs>
          <w:tab w:val="left" w:pos="1638"/>
          <w:tab w:val="left" w:pos="2607"/>
          <w:tab w:val="left" w:pos="4589"/>
        </w:tabs>
        <w:spacing w:before="70" w:line="372" w:lineRule="auto"/>
        <w:ind w:left="884" w:right="38" w:firstLine="31"/>
      </w:pPr>
      <w:r>
        <w:rPr>
          <w:spacing w:val="-10"/>
        </w:rPr>
        <w:t>甲</w:t>
      </w:r>
      <w:r>
        <w:tab/>
      </w:r>
      <w:r>
        <w:rPr>
          <w:spacing w:val="-6"/>
        </w:rPr>
        <w:t>方：</w:t>
      </w:r>
      <w:r>
        <w:rPr>
          <w:rFonts w:ascii="Times New Roman" w:eastAsia="Times New Roman"/>
          <w:u w:val="single"/>
        </w:rPr>
        <w:tab/>
      </w:r>
      <w:r>
        <w:rPr>
          <w:spacing w:val="-2"/>
          <w:u w:val="single"/>
        </w:rPr>
        <w:t>（单位盖章）</w:t>
      </w:r>
      <w:r>
        <w:rPr>
          <w:u w:val="single"/>
        </w:rPr>
        <w:tab/>
      </w:r>
      <w:r>
        <w:t xml:space="preserve"> </w:t>
      </w:r>
      <w:r>
        <w:rPr>
          <w:spacing w:val="-2"/>
        </w:rPr>
        <w:t>法定代表人</w:t>
      </w:r>
    </w:p>
    <w:p>
      <w:pPr>
        <w:pStyle w:val="9"/>
        <w:spacing w:before="7"/>
        <w:ind w:left="887"/>
      </w:pPr>
      <w:r>
        <w:t>或授权代表（签字</w:t>
      </w:r>
      <w:r>
        <w:rPr>
          <w:spacing w:val="-5"/>
        </w:rPr>
        <w:t>）：</w:t>
      </w:r>
    </w:p>
    <w:p>
      <w:pPr>
        <w:pStyle w:val="9"/>
        <w:tabs>
          <w:tab w:val="left" w:pos="2336"/>
          <w:tab w:val="left" w:pos="3059"/>
          <w:tab w:val="left" w:pos="3817"/>
        </w:tabs>
        <w:spacing w:before="187"/>
        <w:ind w:left="896"/>
      </w:pPr>
      <w:r>
        <w:rPr>
          <w:spacing w:val="-12"/>
        </w:rPr>
        <w:t>时间：</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pPr>
        <w:pStyle w:val="9"/>
        <w:tabs>
          <w:tab w:val="left" w:pos="2113"/>
          <w:tab w:val="left" w:pos="4109"/>
        </w:tabs>
        <w:spacing w:before="70" w:line="369" w:lineRule="auto"/>
        <w:ind w:left="884" w:right="1237" w:firstLine="21"/>
      </w:pPr>
      <w:r>
        <w:br w:type="column"/>
      </w:r>
      <w:r>
        <w:rPr>
          <w:spacing w:val="-4"/>
        </w:rPr>
        <w:t>乙方：</w:t>
      </w:r>
      <w:r>
        <w:rPr>
          <w:rFonts w:ascii="Times New Roman" w:eastAsia="Times New Roman"/>
          <w:u w:val="single"/>
        </w:rPr>
        <w:tab/>
      </w:r>
      <w:r>
        <w:rPr>
          <w:spacing w:val="-2"/>
          <w:u w:val="single"/>
        </w:rPr>
        <w:t>（单位盖章）</w:t>
      </w:r>
      <w:r>
        <w:rPr>
          <w:u w:val="single"/>
        </w:rPr>
        <w:tab/>
      </w:r>
      <w:r>
        <w:t xml:space="preserve"> </w:t>
      </w:r>
      <w:r>
        <w:rPr>
          <w:spacing w:val="-2"/>
        </w:rPr>
        <w:t>法定代表人</w:t>
      </w:r>
    </w:p>
    <w:p>
      <w:pPr>
        <w:pStyle w:val="9"/>
        <w:spacing w:before="13"/>
        <w:ind w:left="1004"/>
      </w:pPr>
      <w:r>
        <w:t>或授权代表（签字</w:t>
      </w:r>
      <w:r>
        <w:rPr>
          <w:spacing w:val="-5"/>
        </w:rPr>
        <w:t>）：</w:t>
      </w:r>
    </w:p>
    <w:p>
      <w:pPr>
        <w:pStyle w:val="9"/>
        <w:tabs>
          <w:tab w:val="left" w:pos="2310"/>
          <w:tab w:val="left" w:pos="3023"/>
          <w:tab w:val="left" w:pos="3774"/>
        </w:tabs>
        <w:spacing w:before="207" w:line="372" w:lineRule="auto"/>
        <w:ind w:left="906" w:right="1331" w:hanging="12"/>
      </w:pPr>
      <w:r>
        <w:rPr>
          <w:spacing w:val="-4"/>
        </w:rPr>
        <w:t>时间：</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r>
        <w:rPr>
          <w:spacing w:val="-2"/>
        </w:rPr>
        <w:t>乙方账户信息</w:t>
      </w:r>
    </w:p>
    <w:p>
      <w:pPr>
        <w:pStyle w:val="9"/>
        <w:tabs>
          <w:tab w:val="left" w:pos="3140"/>
        </w:tabs>
        <w:spacing w:before="36" w:line="314" w:lineRule="auto"/>
        <w:ind w:left="884" w:right="2203"/>
        <w:jc w:val="both"/>
        <w:rPr>
          <w:rFonts w:ascii="Times New Roman" w:eastAsia="Times New Roman"/>
        </w:rPr>
      </w:pPr>
      <w:r>
        <w:rPr>
          <w:spacing w:val="-4"/>
        </w:rPr>
        <w:t>户名：</w:t>
      </w:r>
      <w:r>
        <w:rPr>
          <w:rFonts w:ascii="Times New Roman" w:eastAsia="Times New Roman"/>
          <w:u w:val="single"/>
        </w:rPr>
        <w:tab/>
      </w:r>
      <w:r>
        <w:rPr>
          <w:rFonts w:ascii="Times New Roman" w:eastAsia="Times New Roman"/>
        </w:rPr>
        <w:t xml:space="preserve"> </w:t>
      </w:r>
      <w:r>
        <w:rPr>
          <w:spacing w:val="-4"/>
        </w:rPr>
        <w:t>账号：</w:t>
      </w:r>
      <w:r>
        <w:rPr>
          <w:rFonts w:ascii="Times New Roman" w:eastAsia="Times New Roman"/>
          <w:u w:val="single"/>
        </w:rPr>
        <w:tab/>
      </w:r>
      <w:r>
        <w:rPr>
          <w:rFonts w:ascii="Times New Roman" w:eastAsia="Times New Roman"/>
        </w:rPr>
        <w:t xml:space="preserve"> </w:t>
      </w:r>
      <w:r>
        <w:rPr>
          <w:spacing w:val="-8"/>
        </w:rPr>
        <w:t>开户银行</w:t>
      </w:r>
      <w:r>
        <w:rPr>
          <w:spacing w:val="-10"/>
        </w:rPr>
        <w:t>：</w:t>
      </w:r>
      <w:r>
        <w:rPr>
          <w:rFonts w:ascii="Times New Roman" w:eastAsia="Times New Roman"/>
          <w:u w:val="single"/>
        </w:rPr>
        <w:tab/>
      </w:r>
    </w:p>
    <w:p>
      <w:pPr>
        <w:spacing w:after="0" w:line="314" w:lineRule="auto"/>
        <w:jc w:val="both"/>
        <w:rPr>
          <w:rFonts w:ascii="Times New Roman" w:eastAsia="Times New Roman"/>
        </w:rPr>
        <w:sectPr>
          <w:type w:val="continuous"/>
          <w:pgSz w:w="11910" w:h="16840"/>
          <w:pgMar w:top="1100" w:right="720" w:bottom="280" w:left="920" w:header="918" w:footer="836" w:gutter="0"/>
          <w:pgNumType w:fmt="numberInDash"/>
          <w:cols w:equalWidth="0" w:num="2">
            <w:col w:w="4630" w:space="292"/>
            <w:col w:w="5348"/>
          </w:cols>
        </w:sectPr>
      </w:pPr>
    </w:p>
    <w:p>
      <w:pPr>
        <w:spacing w:before="328"/>
        <w:ind w:left="204" w:right="384" w:firstLine="0"/>
        <w:jc w:val="center"/>
        <w:rPr>
          <w:b/>
          <w:sz w:val="36"/>
        </w:rPr>
      </w:pPr>
      <w:r>
        <w:rPr>
          <w:b/>
          <w:spacing w:val="-17"/>
          <w:sz w:val="36"/>
        </w:rPr>
        <w:t>第二部分 合同一般条款</w:t>
      </w:r>
    </w:p>
    <w:p>
      <w:pPr>
        <w:pStyle w:val="8"/>
        <w:numPr>
          <w:ilvl w:val="1"/>
          <w:numId w:val="46"/>
        </w:numPr>
        <w:tabs>
          <w:tab w:val="left" w:pos="1797"/>
        </w:tabs>
        <w:spacing w:before="230" w:after="0" w:line="240" w:lineRule="auto"/>
        <w:ind w:left="1797" w:right="0" w:hanging="473"/>
        <w:jc w:val="left"/>
      </w:pPr>
      <w:r>
        <w:rPr>
          <w:spacing w:val="-11"/>
        </w:rPr>
        <w:t>定义</w:t>
      </w:r>
    </w:p>
    <w:p>
      <w:pPr>
        <w:pStyle w:val="9"/>
        <w:spacing w:before="151"/>
        <w:ind w:left="1319"/>
      </w:pPr>
      <w:r>
        <w:rPr>
          <w:spacing w:val="-5"/>
        </w:rPr>
        <w:t>本合同中的下列词语应按以下内容进行解释：</w:t>
      </w:r>
    </w:p>
    <w:p>
      <w:pPr>
        <w:pStyle w:val="15"/>
        <w:numPr>
          <w:ilvl w:val="2"/>
          <w:numId w:val="46"/>
        </w:numPr>
        <w:tabs>
          <w:tab w:val="left" w:pos="1891"/>
        </w:tabs>
        <w:spacing w:before="173" w:after="0" w:line="288" w:lineRule="auto"/>
        <w:ind w:left="891" w:right="1319" w:firstLine="429"/>
        <w:jc w:val="left"/>
        <w:rPr>
          <w:sz w:val="24"/>
        </w:rPr>
      </w:pPr>
      <w:r>
        <w:rPr>
          <w:spacing w:val="-6"/>
          <w:sz w:val="24"/>
        </w:rPr>
        <w:t>“合同”系指采购人和中标人签订的载明双方当事人所达成的协议，</w:t>
      </w:r>
      <w:r>
        <w:rPr>
          <w:spacing w:val="-2"/>
          <w:sz w:val="24"/>
        </w:rPr>
        <w:t>并包括所有的附件、附录和构成合同的其他文件。</w:t>
      </w:r>
    </w:p>
    <w:p>
      <w:pPr>
        <w:pStyle w:val="15"/>
        <w:numPr>
          <w:ilvl w:val="2"/>
          <w:numId w:val="46"/>
        </w:numPr>
        <w:tabs>
          <w:tab w:val="left" w:pos="1912"/>
        </w:tabs>
        <w:spacing w:before="177" w:after="0" w:line="288" w:lineRule="auto"/>
        <w:ind w:left="887" w:right="1269" w:firstLine="432"/>
        <w:jc w:val="left"/>
        <w:rPr>
          <w:sz w:val="24"/>
        </w:rPr>
      </w:pPr>
      <w:r>
        <w:rPr>
          <w:spacing w:val="-6"/>
          <w:sz w:val="24"/>
        </w:rPr>
        <w:t>“合同价”系指根据合同约定，中标人在完全履行合同义务后，采购</w:t>
      </w:r>
      <w:r>
        <w:rPr>
          <w:spacing w:val="-2"/>
          <w:sz w:val="24"/>
        </w:rPr>
        <w:t>人应支付给中标人的价格。</w:t>
      </w:r>
    </w:p>
    <w:p>
      <w:pPr>
        <w:pStyle w:val="15"/>
        <w:numPr>
          <w:ilvl w:val="2"/>
          <w:numId w:val="46"/>
        </w:numPr>
        <w:tabs>
          <w:tab w:val="left" w:pos="1926"/>
        </w:tabs>
        <w:spacing w:before="185" w:after="0" w:line="288" w:lineRule="auto"/>
        <w:ind w:left="889" w:right="1072" w:firstLine="432"/>
        <w:jc w:val="left"/>
        <w:rPr>
          <w:sz w:val="24"/>
        </w:rPr>
      </w:pPr>
      <w:r>
        <w:rPr>
          <w:sz w:val="24"/>
        </w:rPr>
        <w:t>“服务”系指中标人根据合同约定应向采购人履行的除货物和工程以</w:t>
      </w:r>
      <w:r>
        <w:rPr>
          <w:spacing w:val="-16"/>
          <w:sz w:val="24"/>
        </w:rPr>
        <w:t>外的其他政府采购对象，包括采购人自身需要的服务和向社会公众提供的公共服务。</w:t>
      </w:r>
    </w:p>
    <w:p>
      <w:pPr>
        <w:pStyle w:val="15"/>
        <w:numPr>
          <w:ilvl w:val="2"/>
          <w:numId w:val="46"/>
        </w:numPr>
        <w:tabs>
          <w:tab w:val="left" w:pos="1911"/>
        </w:tabs>
        <w:spacing w:before="185" w:after="0" w:line="285" w:lineRule="auto"/>
        <w:ind w:left="884" w:right="1269" w:firstLine="434"/>
        <w:jc w:val="left"/>
        <w:rPr>
          <w:sz w:val="24"/>
        </w:rPr>
      </w:pPr>
      <w:r>
        <w:rPr>
          <w:spacing w:val="-6"/>
          <w:sz w:val="24"/>
        </w:rPr>
        <w:t>“甲方”系指与中标人签署合同的采购人；采购人委托采购代理机构</w:t>
      </w:r>
      <w:r>
        <w:rPr>
          <w:spacing w:val="-2"/>
          <w:sz w:val="24"/>
        </w:rPr>
        <w:t>代表其与乙方签订合同的，采购人的授权委托书作为合同附件。</w:t>
      </w:r>
    </w:p>
    <w:p>
      <w:pPr>
        <w:pStyle w:val="15"/>
        <w:numPr>
          <w:ilvl w:val="2"/>
          <w:numId w:val="46"/>
        </w:numPr>
        <w:tabs>
          <w:tab w:val="left" w:pos="1913"/>
        </w:tabs>
        <w:spacing w:before="179" w:after="0" w:line="321" w:lineRule="auto"/>
        <w:ind w:left="884" w:right="1031" w:firstLine="434"/>
        <w:jc w:val="left"/>
        <w:rPr>
          <w:sz w:val="24"/>
        </w:rPr>
      </w:pPr>
      <w:r>
        <w:rPr>
          <w:spacing w:val="-6"/>
          <w:sz w:val="24"/>
        </w:rPr>
        <w:t>“乙方”系指根据合同约定提供服务的中标人；两个以上的自然人、法</w:t>
      </w:r>
      <w:r>
        <w:rPr>
          <w:spacing w:val="-2"/>
          <w:sz w:val="24"/>
        </w:rPr>
        <w:t>人或者其他组织组成一个联合体，以一个供应商的身份共同参加政府采购的，联</w:t>
      </w:r>
      <w:r>
        <w:rPr>
          <w:spacing w:val="-10"/>
          <w:sz w:val="24"/>
        </w:rPr>
        <w:t>合体各方均应为乙方或者与乙方相同地位的合同当事人，并就合同约定的事项对甲</w:t>
      </w:r>
      <w:r>
        <w:rPr>
          <w:spacing w:val="-2"/>
          <w:sz w:val="24"/>
        </w:rPr>
        <w:t>方承担连带责任。</w:t>
      </w:r>
    </w:p>
    <w:p>
      <w:pPr>
        <w:pStyle w:val="15"/>
        <w:numPr>
          <w:ilvl w:val="2"/>
          <w:numId w:val="46"/>
        </w:numPr>
        <w:tabs>
          <w:tab w:val="left" w:pos="1911"/>
        </w:tabs>
        <w:spacing w:before="161" w:after="0" w:line="240" w:lineRule="auto"/>
        <w:ind w:left="1911" w:right="0" w:hanging="590"/>
        <w:jc w:val="left"/>
        <w:rPr>
          <w:sz w:val="24"/>
        </w:rPr>
      </w:pPr>
      <w:r>
        <w:rPr>
          <w:spacing w:val="-5"/>
          <w:sz w:val="24"/>
        </w:rPr>
        <w:t>“现场”系指合同约定提供服务的地点。</w:t>
      </w:r>
    </w:p>
    <w:p>
      <w:pPr>
        <w:pStyle w:val="8"/>
        <w:numPr>
          <w:ilvl w:val="1"/>
          <w:numId w:val="46"/>
        </w:numPr>
        <w:tabs>
          <w:tab w:val="left" w:pos="1794"/>
        </w:tabs>
        <w:spacing w:before="156" w:after="0" w:line="240" w:lineRule="auto"/>
        <w:ind w:left="1794" w:right="0" w:hanging="470"/>
        <w:jc w:val="both"/>
      </w:pPr>
      <w:r>
        <w:rPr>
          <w:spacing w:val="-12"/>
        </w:rPr>
        <w:t>技术规范</w:t>
      </w:r>
    </w:p>
    <w:p>
      <w:pPr>
        <w:pStyle w:val="9"/>
        <w:spacing w:before="173" w:line="345" w:lineRule="auto"/>
        <w:ind w:left="889" w:right="1067" w:firstLine="434"/>
        <w:jc w:val="both"/>
      </w:pPr>
      <w:r>
        <w:rPr>
          <w:spacing w:val="-2"/>
        </w:rPr>
        <w:t>货物所应遵守的技术规范应与采购文件规定的技术规范和技术规范附件(如果有的话)及其技术规范偏差表(如果被甲方接受的话)相一致；如果采购文件中</w:t>
      </w:r>
      <w:r>
        <w:rPr>
          <w:spacing w:val="-16"/>
        </w:rPr>
        <w:t>没有技术规范的相应说明，那么应以国家有关部门最新颁布的相应标准和规范为准。</w:t>
      </w:r>
    </w:p>
    <w:p>
      <w:pPr>
        <w:pStyle w:val="8"/>
        <w:numPr>
          <w:ilvl w:val="1"/>
          <w:numId w:val="46"/>
        </w:numPr>
        <w:tabs>
          <w:tab w:val="left" w:pos="1797"/>
        </w:tabs>
        <w:spacing w:before="25" w:after="0" w:line="240" w:lineRule="auto"/>
        <w:ind w:left="1797" w:right="0" w:hanging="473"/>
        <w:jc w:val="both"/>
      </w:pPr>
      <w:r>
        <w:rPr>
          <w:spacing w:val="-12"/>
        </w:rPr>
        <w:t>知识产权</w:t>
      </w:r>
    </w:p>
    <w:p>
      <w:pPr>
        <w:pStyle w:val="15"/>
        <w:numPr>
          <w:ilvl w:val="2"/>
          <w:numId w:val="46"/>
        </w:numPr>
        <w:tabs>
          <w:tab w:val="left" w:pos="2020"/>
        </w:tabs>
        <w:spacing w:before="175" w:after="0" w:line="348" w:lineRule="auto"/>
        <w:ind w:left="884" w:right="1067" w:firstLine="434"/>
        <w:jc w:val="both"/>
        <w:rPr>
          <w:sz w:val="24"/>
        </w:rPr>
      </w:pPr>
      <w:r>
        <w:rPr>
          <w:spacing w:val="-2"/>
          <w:sz w:val="24"/>
        </w:rPr>
        <w:t>乙方应保证其提供的服务不受任何第三方提出的侵犯其著作权、商标</w:t>
      </w:r>
      <w:r>
        <w:rPr>
          <w:spacing w:val="-4"/>
          <w:sz w:val="24"/>
        </w:rPr>
        <w:t>权、专利权等知识产权方面的起诉；如果任何第三方提出侵权指控，那么乙方须</w:t>
      </w:r>
      <w:r>
        <w:rPr>
          <w:spacing w:val="-2"/>
          <w:sz w:val="24"/>
        </w:rPr>
        <w:t>与该第三方交涉并承担由此发生的一切责任、费用和赔偿；</w:t>
      </w:r>
    </w:p>
    <w:p>
      <w:pPr>
        <w:pStyle w:val="15"/>
        <w:numPr>
          <w:ilvl w:val="2"/>
          <w:numId w:val="46"/>
        </w:numPr>
        <w:tabs>
          <w:tab w:val="left" w:pos="1973"/>
        </w:tabs>
        <w:spacing w:before="37" w:after="0" w:line="348" w:lineRule="auto"/>
        <w:ind w:left="884" w:right="1091" w:firstLine="434"/>
        <w:jc w:val="both"/>
        <w:rPr>
          <w:sz w:val="24"/>
        </w:rPr>
      </w:pPr>
      <w:r>
        <w:rPr>
          <w:spacing w:val="-2"/>
          <w:sz w:val="24"/>
        </w:rPr>
        <w:t>具有知识产权的计算机软件等货物的知识产权归属，详见</w:t>
      </w:r>
      <w:r>
        <w:rPr>
          <w:b/>
          <w:spacing w:val="-2"/>
          <w:sz w:val="24"/>
          <w:u w:val="single"/>
        </w:rPr>
        <w:t>合同专用条</w:t>
      </w:r>
      <w:r>
        <w:rPr>
          <w:b/>
          <w:spacing w:val="40"/>
          <w:sz w:val="24"/>
          <w:u w:val="single"/>
        </w:rPr>
        <w:t xml:space="preserve"> </w:t>
      </w:r>
      <w:r>
        <w:rPr>
          <w:b/>
          <w:spacing w:val="-6"/>
          <w:sz w:val="24"/>
          <w:u w:val="single"/>
        </w:rPr>
        <w:t>款</w:t>
      </w:r>
      <w:r>
        <w:rPr>
          <w:spacing w:val="-6"/>
          <w:sz w:val="24"/>
        </w:rPr>
        <w:t>。</w:t>
      </w:r>
    </w:p>
    <w:p>
      <w:pPr>
        <w:pStyle w:val="8"/>
        <w:numPr>
          <w:ilvl w:val="1"/>
          <w:numId w:val="46"/>
        </w:numPr>
        <w:tabs>
          <w:tab w:val="left" w:pos="1780"/>
        </w:tabs>
        <w:spacing w:before="12" w:after="0" w:line="240" w:lineRule="auto"/>
        <w:ind w:left="1780" w:right="0" w:hanging="456"/>
        <w:jc w:val="both"/>
      </w:pPr>
      <w:r>
        <w:rPr>
          <w:spacing w:val="-9"/>
        </w:rPr>
        <w:t>履约检查和问题反馈</w:t>
      </w:r>
    </w:p>
    <w:p>
      <w:pPr>
        <w:spacing w:after="0" w:line="240" w:lineRule="auto"/>
        <w:jc w:val="both"/>
        <w:sectPr>
          <w:pgSz w:w="11910" w:h="16840"/>
          <w:pgMar w:top="1100" w:right="720" w:bottom="1020" w:left="920" w:header="918" w:footer="836" w:gutter="0"/>
          <w:pgNumType w:fmt="numberInDash"/>
          <w:cols w:space="720" w:num="1"/>
        </w:sectPr>
      </w:pPr>
    </w:p>
    <w:p>
      <w:pPr>
        <w:pStyle w:val="9"/>
        <w:spacing w:before="32"/>
        <w:rPr>
          <w:b/>
        </w:rPr>
      </w:pPr>
    </w:p>
    <w:p>
      <w:pPr>
        <w:pStyle w:val="15"/>
        <w:numPr>
          <w:ilvl w:val="2"/>
          <w:numId w:val="46"/>
        </w:numPr>
        <w:tabs>
          <w:tab w:val="left" w:pos="2023"/>
        </w:tabs>
        <w:spacing w:before="0" w:after="0" w:line="312" w:lineRule="auto"/>
        <w:ind w:left="889" w:right="1069" w:firstLine="432"/>
        <w:jc w:val="both"/>
        <w:rPr>
          <w:sz w:val="24"/>
        </w:rPr>
      </w:pPr>
      <w:r>
        <w:rPr>
          <w:spacing w:val="-2"/>
          <w:sz w:val="24"/>
        </w:rPr>
        <w:t>甲方有权在其认为必要时，对乙方是否能够按照合同约定提供服务进</w:t>
      </w:r>
      <w:r>
        <w:rPr>
          <w:spacing w:val="-4"/>
          <w:sz w:val="24"/>
        </w:rPr>
        <w:t>行履约检查，以确保乙方所提供的服务能够依约满足甲方项目需求，但不得因履</w:t>
      </w:r>
      <w:r>
        <w:rPr>
          <w:spacing w:val="-2"/>
          <w:sz w:val="24"/>
        </w:rPr>
        <w:t>约检查妨碍乙方的正常工作，乙方应予积极配合；</w:t>
      </w:r>
    </w:p>
    <w:p>
      <w:pPr>
        <w:pStyle w:val="15"/>
        <w:numPr>
          <w:ilvl w:val="2"/>
          <w:numId w:val="46"/>
        </w:numPr>
        <w:tabs>
          <w:tab w:val="left" w:pos="1974"/>
        </w:tabs>
        <w:spacing w:before="183" w:after="0" w:line="285" w:lineRule="auto"/>
        <w:ind w:left="899" w:right="1088" w:firstLine="420"/>
        <w:jc w:val="both"/>
        <w:rPr>
          <w:sz w:val="24"/>
        </w:rPr>
      </w:pPr>
      <w:r>
        <w:rPr>
          <w:spacing w:val="-2"/>
          <w:sz w:val="24"/>
        </w:rPr>
        <w:t>合同履行期间，甲方有权将履行过程中出现的问题反馈给乙方，双方当事人应以书面形式约定需要完善和改进的内容。</w:t>
      </w:r>
    </w:p>
    <w:p>
      <w:pPr>
        <w:pStyle w:val="8"/>
        <w:numPr>
          <w:ilvl w:val="1"/>
          <w:numId w:val="46"/>
        </w:numPr>
        <w:tabs>
          <w:tab w:val="left" w:pos="1794"/>
        </w:tabs>
        <w:spacing w:before="181" w:after="0" w:line="343" w:lineRule="auto"/>
        <w:ind w:left="1321" w:right="6320" w:firstLine="2"/>
        <w:jc w:val="both"/>
        <w:rPr>
          <w:b w:val="0"/>
        </w:rPr>
      </w:pPr>
      <w:r>
        <w:rPr>
          <w:spacing w:val="-4"/>
        </w:rPr>
        <w:t>结算方式和付款条件</w:t>
      </w:r>
      <w:r>
        <w:rPr>
          <w:b w:val="0"/>
          <w:spacing w:val="-2"/>
        </w:rPr>
        <w:t>详见</w:t>
      </w:r>
      <w:r>
        <w:rPr>
          <w:spacing w:val="-2"/>
          <w:u w:val="single"/>
        </w:rPr>
        <w:t>合同专用条款</w:t>
      </w:r>
      <w:r>
        <w:rPr>
          <w:b w:val="0"/>
          <w:spacing w:val="-2"/>
        </w:rPr>
        <w:t>。</w:t>
      </w:r>
    </w:p>
    <w:p>
      <w:pPr>
        <w:pStyle w:val="8"/>
        <w:numPr>
          <w:ilvl w:val="1"/>
          <w:numId w:val="46"/>
        </w:numPr>
        <w:tabs>
          <w:tab w:val="left" w:pos="1780"/>
        </w:tabs>
        <w:spacing w:before="15" w:after="0" w:line="240" w:lineRule="auto"/>
        <w:ind w:left="1780" w:right="0" w:hanging="456"/>
        <w:jc w:val="both"/>
      </w:pPr>
      <w:r>
        <w:rPr>
          <w:spacing w:val="-9"/>
        </w:rPr>
        <w:t>技术资料和保密义务</w:t>
      </w:r>
    </w:p>
    <w:p>
      <w:pPr>
        <w:pStyle w:val="15"/>
        <w:numPr>
          <w:ilvl w:val="2"/>
          <w:numId w:val="46"/>
        </w:numPr>
        <w:tabs>
          <w:tab w:val="left" w:pos="1997"/>
        </w:tabs>
        <w:spacing w:before="175" w:after="0" w:line="288" w:lineRule="auto"/>
        <w:ind w:left="896" w:right="1211" w:firstLine="424"/>
        <w:jc w:val="left"/>
        <w:rPr>
          <w:sz w:val="24"/>
        </w:rPr>
      </w:pPr>
      <w:r>
        <w:rPr>
          <w:spacing w:val="-6"/>
          <w:sz w:val="24"/>
        </w:rPr>
        <w:t>乙方有权依据合同约定和项目需要，向甲方了解有关情况，调阅有关</w:t>
      </w:r>
      <w:r>
        <w:rPr>
          <w:spacing w:val="-2"/>
          <w:sz w:val="24"/>
        </w:rPr>
        <w:t>资料等，甲方应予积极配合；</w:t>
      </w:r>
    </w:p>
    <w:p>
      <w:pPr>
        <w:pStyle w:val="15"/>
        <w:numPr>
          <w:ilvl w:val="2"/>
          <w:numId w:val="46"/>
        </w:numPr>
        <w:tabs>
          <w:tab w:val="left" w:pos="1995"/>
        </w:tabs>
        <w:spacing w:before="156" w:after="0" w:line="240" w:lineRule="auto"/>
        <w:ind w:left="1995" w:right="0" w:hanging="674"/>
        <w:jc w:val="left"/>
        <w:rPr>
          <w:sz w:val="24"/>
        </w:rPr>
      </w:pPr>
      <w:r>
        <w:rPr>
          <w:spacing w:val="-5"/>
          <w:sz w:val="24"/>
        </w:rPr>
        <w:t>乙方有义务妥善保管和保护由甲方提供的前款信息和资料等；</w:t>
      </w:r>
    </w:p>
    <w:p>
      <w:pPr>
        <w:pStyle w:val="15"/>
        <w:numPr>
          <w:ilvl w:val="2"/>
          <w:numId w:val="46"/>
        </w:numPr>
        <w:tabs>
          <w:tab w:val="left" w:pos="1953"/>
        </w:tabs>
        <w:spacing w:before="178" w:after="0" w:line="328" w:lineRule="auto"/>
        <w:ind w:left="887" w:right="1079" w:firstLine="432"/>
        <w:jc w:val="left"/>
        <w:rPr>
          <w:sz w:val="24"/>
        </w:rPr>
      </w:pPr>
      <w:r>
        <w:rPr>
          <w:spacing w:val="-2"/>
          <w:sz w:val="24"/>
        </w:rPr>
        <w:t>除非依照法律规定或者对方当事人的书面同意，任何一方均应保证不</w:t>
      </w:r>
      <w:r>
        <w:rPr>
          <w:spacing w:val="-4"/>
          <w:sz w:val="24"/>
        </w:rPr>
        <w:t>向任何第三方提供或披露有关合同的或者履行合同过程中知悉的对方当事人任何未公开的信息和资料，包括但不限于技术情报、技术资料、商业秘密和商业信息</w:t>
      </w:r>
      <w:r>
        <w:rPr>
          <w:spacing w:val="-22"/>
          <w:sz w:val="24"/>
        </w:rPr>
        <w:t>等，并采取一切合理和必要措施和方式防止任何第三方接触到对方当事人的上述保密信</w:t>
      </w:r>
      <w:r>
        <w:rPr>
          <w:spacing w:val="-2"/>
          <w:sz w:val="24"/>
        </w:rPr>
        <w:t>息和资料。</w:t>
      </w:r>
    </w:p>
    <w:p>
      <w:pPr>
        <w:pStyle w:val="8"/>
        <w:numPr>
          <w:ilvl w:val="1"/>
          <w:numId w:val="46"/>
        </w:numPr>
        <w:tabs>
          <w:tab w:val="left" w:pos="1794"/>
        </w:tabs>
        <w:spacing w:before="171" w:after="0" w:line="240" w:lineRule="auto"/>
        <w:ind w:left="1794" w:right="0" w:hanging="470"/>
        <w:jc w:val="left"/>
      </w:pPr>
      <w:r>
        <w:rPr>
          <w:spacing w:val="-12"/>
        </w:rPr>
        <w:t>质量保证</w:t>
      </w:r>
    </w:p>
    <w:p>
      <w:pPr>
        <w:pStyle w:val="15"/>
        <w:numPr>
          <w:ilvl w:val="2"/>
          <w:numId w:val="46"/>
        </w:numPr>
        <w:tabs>
          <w:tab w:val="left" w:pos="1998"/>
        </w:tabs>
        <w:spacing w:before="166" w:after="0" w:line="288" w:lineRule="auto"/>
        <w:ind w:left="894" w:right="1211" w:firstLine="427"/>
        <w:jc w:val="left"/>
        <w:rPr>
          <w:sz w:val="24"/>
        </w:rPr>
      </w:pPr>
      <w:r>
        <w:rPr>
          <w:spacing w:val="-6"/>
          <w:sz w:val="24"/>
        </w:rPr>
        <w:t>乙方应建立和完善履行合同的内部质量保证体系，并提供相关内部规</w:t>
      </w:r>
      <w:r>
        <w:rPr>
          <w:spacing w:val="-2"/>
          <w:sz w:val="24"/>
        </w:rPr>
        <w:t>章制度给甲方，以便甲方进行监督检查；</w:t>
      </w:r>
    </w:p>
    <w:p>
      <w:pPr>
        <w:pStyle w:val="15"/>
        <w:numPr>
          <w:ilvl w:val="2"/>
          <w:numId w:val="46"/>
        </w:numPr>
        <w:tabs>
          <w:tab w:val="left" w:pos="1997"/>
        </w:tabs>
        <w:spacing w:before="185" w:after="0" w:line="288" w:lineRule="auto"/>
        <w:ind w:left="884" w:right="1211" w:firstLine="434"/>
        <w:jc w:val="left"/>
        <w:rPr>
          <w:sz w:val="24"/>
        </w:rPr>
      </w:pPr>
      <w:r>
        <w:rPr>
          <w:spacing w:val="-6"/>
          <w:sz w:val="24"/>
        </w:rPr>
        <w:t>乙方应保证履行合同的人员数量和素质、软件和硬件设备的配置、场</w:t>
      </w:r>
      <w:r>
        <w:rPr>
          <w:spacing w:val="-2"/>
          <w:sz w:val="24"/>
        </w:rPr>
        <w:t>地、环境和设施等满足全面履行合同的要求，并应接受甲方的监督检查。</w:t>
      </w:r>
    </w:p>
    <w:p>
      <w:pPr>
        <w:pStyle w:val="8"/>
        <w:numPr>
          <w:ilvl w:val="1"/>
          <w:numId w:val="46"/>
        </w:numPr>
        <w:tabs>
          <w:tab w:val="left" w:pos="1794"/>
        </w:tabs>
        <w:spacing w:before="165" w:after="0" w:line="240" w:lineRule="auto"/>
        <w:ind w:left="1794" w:right="0" w:hanging="470"/>
        <w:jc w:val="left"/>
      </w:pPr>
      <w:r>
        <w:rPr>
          <w:spacing w:val="-12"/>
        </w:rPr>
        <w:t>延迟履行</w:t>
      </w:r>
    </w:p>
    <w:p>
      <w:pPr>
        <w:pStyle w:val="9"/>
        <w:spacing w:before="166" w:line="350" w:lineRule="auto"/>
        <w:ind w:left="889" w:right="905" w:firstLine="427"/>
        <w:jc w:val="both"/>
      </w:pPr>
      <w:r>
        <w:rPr>
          <w:spacing w:val="-4"/>
        </w:rPr>
        <w:t>在合同履行过程中，如果乙方遇到不能按时提供服务的情况，应及时以书面形</w:t>
      </w:r>
      <w:r>
        <w:rPr>
          <w:spacing w:val="-24"/>
        </w:rPr>
        <w:t>式将不能按时提供服务的理由、预期延误时间通知甲方；甲方收到乙方通知后，认为其理</w:t>
      </w:r>
      <w:r>
        <w:rPr>
          <w:spacing w:val="-2"/>
        </w:rPr>
        <w:t>由正当的，可以书面形式酌情同意乙方可以延长履行的具体时间。</w:t>
      </w:r>
    </w:p>
    <w:p>
      <w:pPr>
        <w:pStyle w:val="8"/>
        <w:numPr>
          <w:ilvl w:val="1"/>
          <w:numId w:val="46"/>
        </w:numPr>
        <w:tabs>
          <w:tab w:val="left" w:pos="1794"/>
        </w:tabs>
        <w:spacing w:before="13" w:after="0" w:line="240" w:lineRule="auto"/>
        <w:ind w:left="1794" w:right="0" w:hanging="470"/>
        <w:jc w:val="left"/>
      </w:pPr>
      <w:r>
        <w:rPr>
          <w:spacing w:val="-12"/>
        </w:rPr>
        <w:t>合同变更</w:t>
      </w:r>
    </w:p>
    <w:p>
      <w:pPr>
        <w:pStyle w:val="15"/>
        <w:numPr>
          <w:ilvl w:val="2"/>
          <w:numId w:val="46"/>
        </w:numPr>
        <w:tabs>
          <w:tab w:val="left" w:pos="1952"/>
        </w:tabs>
        <w:spacing w:before="171" w:after="0" w:line="285" w:lineRule="auto"/>
        <w:ind w:left="884" w:right="1228" w:firstLine="434"/>
        <w:jc w:val="left"/>
        <w:rPr>
          <w:sz w:val="24"/>
        </w:rPr>
      </w:pPr>
      <w:r>
        <w:rPr>
          <w:spacing w:val="-6"/>
          <w:sz w:val="24"/>
        </w:rPr>
        <w:t>双方当事人协商一致，可以签订书面补充合同的形式变更合同，但不</w:t>
      </w:r>
      <w:r>
        <w:rPr>
          <w:spacing w:val="-2"/>
          <w:sz w:val="24"/>
        </w:rPr>
        <w:t>得违背采购文件确定的事项；</w:t>
      </w:r>
    </w:p>
    <w:p>
      <w:pPr>
        <w:pStyle w:val="15"/>
        <w:numPr>
          <w:ilvl w:val="2"/>
          <w:numId w:val="46"/>
        </w:numPr>
        <w:tabs>
          <w:tab w:val="left" w:pos="1955"/>
        </w:tabs>
        <w:spacing w:before="184" w:after="0" w:line="288" w:lineRule="auto"/>
        <w:ind w:left="889" w:right="1182" w:firstLine="432"/>
        <w:jc w:val="left"/>
        <w:rPr>
          <w:sz w:val="24"/>
        </w:rPr>
      </w:pPr>
      <w:r>
        <w:rPr>
          <w:spacing w:val="-4"/>
          <w:sz w:val="24"/>
        </w:rPr>
        <w:t>合同继续履行将损害国家利益和社会公共利益的，双方当事人应当以</w:t>
      </w:r>
      <w:r>
        <w:rPr>
          <w:spacing w:val="-8"/>
          <w:sz w:val="24"/>
        </w:rPr>
        <w:t>书面形式变更合同。有过错的一方应当承担赔偿责任，双方当事人都有过错的，</w:t>
      </w:r>
    </w:p>
    <w:p>
      <w:pPr>
        <w:spacing w:after="0" w:line="288" w:lineRule="auto"/>
        <w:jc w:val="left"/>
        <w:rPr>
          <w:sz w:val="24"/>
        </w:rPr>
        <w:sectPr>
          <w:pgSz w:w="11910" w:h="16840"/>
          <w:pgMar w:top="1100" w:right="720" w:bottom="1020" w:left="920" w:header="918" w:footer="836" w:gutter="0"/>
          <w:pgNumType w:fmt="numberInDash"/>
          <w:cols w:space="720" w:num="1"/>
        </w:sectPr>
      </w:pPr>
    </w:p>
    <w:p>
      <w:pPr>
        <w:pStyle w:val="9"/>
        <w:spacing w:before="13"/>
      </w:pPr>
    </w:p>
    <w:p>
      <w:pPr>
        <w:pStyle w:val="9"/>
        <w:ind w:left="887"/>
      </w:pPr>
      <w:r>
        <w:rPr>
          <w:spacing w:val="-5"/>
        </w:rPr>
        <w:t>各自承担相应的责任。</w:t>
      </w:r>
    </w:p>
    <w:p>
      <w:pPr>
        <w:pStyle w:val="8"/>
        <w:numPr>
          <w:ilvl w:val="1"/>
          <w:numId w:val="46"/>
        </w:numPr>
        <w:tabs>
          <w:tab w:val="left" w:pos="1890"/>
        </w:tabs>
        <w:spacing w:before="154" w:after="0" w:line="240" w:lineRule="auto"/>
        <w:ind w:left="1890" w:right="0" w:hanging="566"/>
        <w:jc w:val="both"/>
      </w:pPr>
      <w:r>
        <w:rPr>
          <w:spacing w:val="-10"/>
        </w:rPr>
        <w:t>合同转让和分包</w:t>
      </w:r>
    </w:p>
    <w:p>
      <w:pPr>
        <w:pStyle w:val="9"/>
        <w:spacing w:before="175" w:line="350" w:lineRule="auto"/>
        <w:ind w:left="887" w:right="1060" w:firstLine="432"/>
        <w:jc w:val="both"/>
      </w:pPr>
      <w:r>
        <w:rPr>
          <w:spacing w:val="-2"/>
        </w:rPr>
        <w:t>合同的权利义务依法不得转让，但经甲方同意，乙方可以依法采取分包方式</w:t>
      </w:r>
      <w:r>
        <w:rPr>
          <w:spacing w:val="-4"/>
        </w:rPr>
        <w:t>履行合同，即：依法可以将合同项下的部分非主体、非关键性工作分包给他人完成，接受分包的人应当具备相应的资格条件，并不得再次分包，且乙方应就分包</w:t>
      </w:r>
      <w:r>
        <w:rPr>
          <w:spacing w:val="-2"/>
        </w:rPr>
        <w:t>项目向甲方负责，并与分包供应商就分包项目向甲方承担连带责任。</w:t>
      </w:r>
    </w:p>
    <w:p>
      <w:pPr>
        <w:pStyle w:val="8"/>
        <w:numPr>
          <w:ilvl w:val="1"/>
          <w:numId w:val="46"/>
        </w:numPr>
        <w:tabs>
          <w:tab w:val="left" w:pos="1908"/>
        </w:tabs>
        <w:spacing w:before="19" w:after="0" w:line="240" w:lineRule="auto"/>
        <w:ind w:left="1908" w:right="0" w:hanging="584"/>
        <w:jc w:val="both"/>
      </w:pPr>
      <w:r>
        <w:rPr>
          <w:spacing w:val="-12"/>
        </w:rPr>
        <w:t>不可抗力</w:t>
      </w:r>
    </w:p>
    <w:p>
      <w:pPr>
        <w:pStyle w:val="15"/>
        <w:numPr>
          <w:ilvl w:val="2"/>
          <w:numId w:val="46"/>
        </w:numPr>
        <w:tabs>
          <w:tab w:val="left" w:pos="2063"/>
        </w:tabs>
        <w:spacing w:before="170" w:after="0" w:line="288" w:lineRule="auto"/>
        <w:ind w:left="908" w:right="1060" w:firstLine="412"/>
        <w:jc w:val="both"/>
        <w:rPr>
          <w:sz w:val="24"/>
        </w:rPr>
      </w:pPr>
      <w:r>
        <w:rPr>
          <w:spacing w:val="-10"/>
          <w:sz w:val="24"/>
        </w:rPr>
        <w:t>如果任何一方遭遇法律规定的不可抗力，致使合同履行受阻时，履行合</w:t>
      </w:r>
      <w:r>
        <w:rPr>
          <w:spacing w:val="-2"/>
          <w:sz w:val="24"/>
        </w:rPr>
        <w:t>同的期限应予延长，延长的期限应相当于不可抗力所影响的时间；</w:t>
      </w:r>
    </w:p>
    <w:p>
      <w:pPr>
        <w:pStyle w:val="15"/>
        <w:numPr>
          <w:ilvl w:val="2"/>
          <w:numId w:val="46"/>
        </w:numPr>
        <w:tabs>
          <w:tab w:val="left" w:pos="2115"/>
        </w:tabs>
        <w:spacing w:before="168" w:after="0" w:line="240" w:lineRule="auto"/>
        <w:ind w:left="2115" w:right="0" w:hanging="794"/>
        <w:jc w:val="both"/>
        <w:rPr>
          <w:sz w:val="24"/>
        </w:rPr>
      </w:pPr>
      <w:r>
        <w:rPr>
          <w:spacing w:val="-5"/>
          <w:sz w:val="24"/>
        </w:rPr>
        <w:t>因不可抗力致使不能实现合同目的的，当事人可以解除合同；</w:t>
      </w:r>
    </w:p>
    <w:p>
      <w:pPr>
        <w:pStyle w:val="15"/>
        <w:numPr>
          <w:ilvl w:val="2"/>
          <w:numId w:val="46"/>
        </w:numPr>
        <w:tabs>
          <w:tab w:val="left" w:pos="2063"/>
        </w:tabs>
        <w:spacing w:before="166" w:after="0" w:line="288" w:lineRule="auto"/>
        <w:ind w:left="896" w:right="1073" w:firstLine="424"/>
        <w:jc w:val="both"/>
        <w:rPr>
          <w:sz w:val="24"/>
        </w:rPr>
      </w:pPr>
      <w:r>
        <w:rPr>
          <w:spacing w:val="-12"/>
          <w:sz w:val="24"/>
        </w:rPr>
        <w:t>因不可抗力致使合同有变更必要的，双方当事人应在</w:t>
      </w:r>
      <w:r>
        <w:rPr>
          <w:b/>
          <w:spacing w:val="-12"/>
          <w:sz w:val="24"/>
          <w:u w:val="single"/>
        </w:rPr>
        <w:t>合同专用条款</w:t>
      </w:r>
      <w:r>
        <w:rPr>
          <w:spacing w:val="-12"/>
          <w:sz w:val="24"/>
        </w:rPr>
        <w:t>约定</w:t>
      </w:r>
      <w:r>
        <w:rPr>
          <w:spacing w:val="-2"/>
          <w:sz w:val="24"/>
        </w:rPr>
        <w:t>时间内以书面形式变更合同；</w:t>
      </w:r>
    </w:p>
    <w:p>
      <w:pPr>
        <w:pStyle w:val="15"/>
        <w:numPr>
          <w:ilvl w:val="2"/>
          <w:numId w:val="46"/>
        </w:numPr>
        <w:tabs>
          <w:tab w:val="left" w:pos="2052"/>
        </w:tabs>
        <w:spacing w:before="182" w:after="0" w:line="312" w:lineRule="auto"/>
        <w:ind w:left="904" w:right="1067" w:firstLine="417"/>
        <w:jc w:val="both"/>
        <w:rPr>
          <w:sz w:val="24"/>
        </w:rPr>
      </w:pPr>
      <w:r>
        <w:rPr>
          <w:spacing w:val="-10"/>
          <w:sz w:val="24"/>
        </w:rPr>
        <w:t>受不可抗力影响的一方在不可抗力发生后，应在</w:t>
      </w:r>
      <w:r>
        <w:rPr>
          <w:b/>
          <w:spacing w:val="-10"/>
          <w:sz w:val="24"/>
          <w:u w:val="single"/>
        </w:rPr>
        <w:t>合同专用条款</w:t>
      </w:r>
      <w:r>
        <w:rPr>
          <w:spacing w:val="-10"/>
          <w:sz w:val="24"/>
        </w:rPr>
        <w:t>约定时间</w:t>
      </w:r>
      <w:r>
        <w:rPr>
          <w:spacing w:val="-4"/>
          <w:sz w:val="24"/>
        </w:rPr>
        <w:t>内以书面形式通知对方当事人，并在</w:t>
      </w:r>
      <w:r>
        <w:rPr>
          <w:b/>
          <w:spacing w:val="-4"/>
          <w:sz w:val="24"/>
          <w:u w:val="single"/>
        </w:rPr>
        <w:t>合同专用条款</w:t>
      </w:r>
      <w:r>
        <w:rPr>
          <w:spacing w:val="-4"/>
          <w:sz w:val="24"/>
        </w:rPr>
        <w:t>约定时间内，将有关部门出具</w:t>
      </w:r>
      <w:r>
        <w:rPr>
          <w:spacing w:val="-2"/>
          <w:sz w:val="24"/>
        </w:rPr>
        <w:t>的证明文件送达对方当事人。</w:t>
      </w:r>
    </w:p>
    <w:p>
      <w:pPr>
        <w:pStyle w:val="8"/>
        <w:numPr>
          <w:ilvl w:val="1"/>
          <w:numId w:val="46"/>
        </w:numPr>
        <w:tabs>
          <w:tab w:val="left" w:pos="1909"/>
        </w:tabs>
        <w:spacing w:before="163" w:after="0" w:line="240" w:lineRule="auto"/>
        <w:ind w:left="1909" w:right="0" w:hanging="585"/>
        <w:jc w:val="both"/>
      </w:pPr>
      <w:r>
        <w:rPr>
          <w:spacing w:val="-11"/>
        </w:rPr>
        <w:t>税费</w:t>
      </w:r>
    </w:p>
    <w:p>
      <w:pPr>
        <w:pStyle w:val="9"/>
        <w:spacing w:before="149"/>
        <w:ind w:left="1324"/>
      </w:pPr>
      <w:r>
        <w:rPr>
          <w:spacing w:val="-5"/>
        </w:rPr>
        <w:t>与合同有关的一切税费，均按照中华人民共和国法律的相关规定缴纳。</w:t>
      </w:r>
    </w:p>
    <w:p>
      <w:pPr>
        <w:pStyle w:val="8"/>
        <w:numPr>
          <w:ilvl w:val="1"/>
          <w:numId w:val="46"/>
        </w:numPr>
        <w:tabs>
          <w:tab w:val="left" w:pos="1921"/>
        </w:tabs>
        <w:spacing w:before="151" w:after="0" w:line="240" w:lineRule="auto"/>
        <w:ind w:left="1921" w:right="0" w:hanging="597"/>
        <w:jc w:val="left"/>
      </w:pPr>
      <w:r>
        <w:rPr>
          <w:spacing w:val="-14"/>
        </w:rPr>
        <w:t>乙方破产</w:t>
      </w:r>
    </w:p>
    <w:p>
      <w:pPr>
        <w:pStyle w:val="9"/>
        <w:spacing w:before="175" w:line="350" w:lineRule="auto"/>
        <w:ind w:left="889" w:right="1050" w:firstLine="432"/>
        <w:jc w:val="both"/>
      </w:pPr>
      <w:r>
        <w:rPr>
          <w:spacing w:val="-2"/>
        </w:rPr>
        <w:t>如果乙方破产导致合同无法履行时，甲方可以书面形式通知乙方终止合同且</w:t>
      </w:r>
      <w:r>
        <w:rPr>
          <w:spacing w:val="-16"/>
        </w:rPr>
        <w:t>不给予乙方任何补偿和赔偿，但合同的终止不损害或不影响甲方已经采取或将要采取</w:t>
      </w:r>
      <w:r>
        <w:rPr>
          <w:spacing w:val="-2"/>
        </w:rPr>
        <w:t>的任何要求乙方支付违约金、赔偿损失等的行动或补救措施的权利。</w:t>
      </w:r>
    </w:p>
    <w:p>
      <w:pPr>
        <w:pStyle w:val="8"/>
        <w:numPr>
          <w:ilvl w:val="1"/>
          <w:numId w:val="46"/>
        </w:numPr>
        <w:tabs>
          <w:tab w:val="left" w:pos="1890"/>
        </w:tabs>
        <w:spacing w:before="14" w:after="0" w:line="240" w:lineRule="auto"/>
        <w:ind w:left="1890" w:right="0" w:hanging="566"/>
        <w:jc w:val="both"/>
      </w:pPr>
      <w:r>
        <w:rPr>
          <w:spacing w:val="-10"/>
        </w:rPr>
        <w:t>合同中止、终止</w:t>
      </w:r>
    </w:p>
    <w:p>
      <w:pPr>
        <w:pStyle w:val="15"/>
        <w:numPr>
          <w:ilvl w:val="2"/>
          <w:numId w:val="46"/>
        </w:numPr>
        <w:tabs>
          <w:tab w:val="left" w:pos="2074"/>
        </w:tabs>
        <w:spacing w:before="146" w:after="0" w:line="240" w:lineRule="auto"/>
        <w:ind w:left="2074" w:right="0" w:hanging="753"/>
        <w:jc w:val="both"/>
        <w:rPr>
          <w:sz w:val="24"/>
        </w:rPr>
      </w:pPr>
      <w:r>
        <w:rPr>
          <w:spacing w:val="-5"/>
          <w:sz w:val="24"/>
        </w:rPr>
        <w:t>双方当事人不得擅自中止或者终止合同；</w:t>
      </w:r>
    </w:p>
    <w:p>
      <w:pPr>
        <w:pStyle w:val="15"/>
        <w:numPr>
          <w:ilvl w:val="2"/>
          <w:numId w:val="46"/>
        </w:numPr>
        <w:tabs>
          <w:tab w:val="left" w:pos="2024"/>
        </w:tabs>
        <w:spacing w:before="175" w:after="0" w:line="309" w:lineRule="auto"/>
        <w:ind w:left="884" w:right="1072" w:firstLine="434"/>
        <w:jc w:val="both"/>
        <w:rPr>
          <w:sz w:val="24"/>
        </w:rPr>
      </w:pPr>
      <w:r>
        <w:rPr>
          <w:spacing w:val="-10"/>
          <w:sz w:val="24"/>
        </w:rPr>
        <w:t>合同继续履行将损害国家利益和社会公共利益的，双方当事人应当中止</w:t>
      </w:r>
      <w:r>
        <w:rPr>
          <w:spacing w:val="-4"/>
          <w:sz w:val="24"/>
        </w:rPr>
        <w:t>或者终止合同。有过错的一方应当承担赔偿责任，双方当事人都有过错的，各自</w:t>
      </w:r>
      <w:r>
        <w:rPr>
          <w:spacing w:val="-2"/>
          <w:sz w:val="24"/>
        </w:rPr>
        <w:t>承担相应的责任。</w:t>
      </w:r>
    </w:p>
    <w:p>
      <w:pPr>
        <w:pStyle w:val="8"/>
        <w:numPr>
          <w:ilvl w:val="1"/>
          <w:numId w:val="46"/>
        </w:numPr>
        <w:tabs>
          <w:tab w:val="left" w:pos="1895"/>
        </w:tabs>
        <w:spacing w:before="163" w:after="0" w:line="240" w:lineRule="auto"/>
        <w:ind w:left="1895" w:right="0" w:hanging="571"/>
        <w:jc w:val="both"/>
      </w:pPr>
      <w:r>
        <w:rPr>
          <w:spacing w:val="-9"/>
        </w:rPr>
        <w:t>检验和验收</w:t>
      </w:r>
    </w:p>
    <w:p>
      <w:pPr>
        <w:pStyle w:val="15"/>
        <w:numPr>
          <w:ilvl w:val="2"/>
          <w:numId w:val="46"/>
        </w:numPr>
        <w:tabs>
          <w:tab w:val="left" w:pos="2102"/>
        </w:tabs>
        <w:spacing w:before="173" w:after="0" w:line="288" w:lineRule="auto"/>
        <w:ind w:left="887" w:right="1084" w:firstLine="432"/>
        <w:jc w:val="both"/>
        <w:rPr>
          <w:sz w:val="24"/>
        </w:rPr>
      </w:pPr>
      <w:r>
        <w:rPr>
          <w:spacing w:val="-6"/>
          <w:sz w:val="24"/>
        </w:rPr>
        <w:t>乙方按照</w:t>
      </w:r>
      <w:r>
        <w:rPr>
          <w:b/>
          <w:spacing w:val="-6"/>
          <w:sz w:val="24"/>
          <w:u w:val="single"/>
        </w:rPr>
        <w:t>合同专用条款</w:t>
      </w:r>
      <w:r>
        <w:rPr>
          <w:spacing w:val="-6"/>
          <w:sz w:val="24"/>
        </w:rPr>
        <w:t>的约定，定期提交服务报告，甲方按照</w:t>
      </w:r>
      <w:r>
        <w:rPr>
          <w:b/>
          <w:spacing w:val="-6"/>
          <w:sz w:val="24"/>
          <w:u w:val="single"/>
        </w:rPr>
        <w:t>合同专</w:t>
      </w:r>
      <w:r>
        <w:rPr>
          <w:b/>
          <w:spacing w:val="40"/>
          <w:sz w:val="24"/>
          <w:u w:val="single"/>
        </w:rPr>
        <w:t xml:space="preserve"> </w:t>
      </w:r>
      <w:r>
        <w:rPr>
          <w:b/>
          <w:spacing w:val="-2"/>
          <w:sz w:val="24"/>
          <w:u w:val="single"/>
        </w:rPr>
        <w:t>用条款</w:t>
      </w:r>
      <w:r>
        <w:rPr>
          <w:spacing w:val="-2"/>
          <w:sz w:val="24"/>
        </w:rPr>
        <w:t>的约定进行定期验收；</w:t>
      </w:r>
    </w:p>
    <w:p>
      <w:pPr>
        <w:pStyle w:val="15"/>
        <w:numPr>
          <w:ilvl w:val="2"/>
          <w:numId w:val="46"/>
        </w:numPr>
        <w:tabs>
          <w:tab w:val="left" w:pos="2031"/>
        </w:tabs>
        <w:spacing w:before="163" w:after="0" w:line="240" w:lineRule="auto"/>
        <w:ind w:left="2031" w:right="0" w:hanging="710"/>
        <w:jc w:val="both"/>
        <w:rPr>
          <w:sz w:val="24"/>
        </w:rPr>
      </w:pPr>
      <w:r>
        <w:rPr>
          <w:spacing w:val="-10"/>
          <w:sz w:val="24"/>
        </w:rPr>
        <w:t>合同期满或者履行完毕后，甲方有权组织（包括依法邀请国家认可的</w:t>
      </w:r>
    </w:p>
    <w:p>
      <w:pPr>
        <w:spacing w:after="0" w:line="240" w:lineRule="auto"/>
        <w:jc w:val="both"/>
        <w:rPr>
          <w:sz w:val="24"/>
        </w:rPr>
        <w:sectPr>
          <w:pgSz w:w="11910" w:h="16840"/>
          <w:pgMar w:top="1100" w:right="720" w:bottom="1020" w:left="920" w:header="918" w:footer="836" w:gutter="0"/>
          <w:pgNumType w:fmt="numberInDash"/>
          <w:cols w:space="720" w:num="1"/>
        </w:sectPr>
      </w:pPr>
    </w:p>
    <w:p>
      <w:pPr>
        <w:pStyle w:val="9"/>
        <w:spacing w:before="32"/>
      </w:pPr>
    </w:p>
    <w:p>
      <w:pPr>
        <w:pStyle w:val="9"/>
        <w:spacing w:line="350" w:lineRule="auto"/>
        <w:ind w:left="882" w:right="1060" w:firstLine="2"/>
        <w:jc w:val="both"/>
      </w:pPr>
      <w:r>
        <w:rPr>
          <w:spacing w:val="-4"/>
        </w:rPr>
        <w:t>质量检测机构参加）对乙方履约的验收，即：按照合同约定的标准，组织对乙方履约情况的验收，并出具验收书；向社会公众提供的公共服务项目，验收时应当</w:t>
      </w:r>
      <w:r>
        <w:rPr>
          <w:spacing w:val="-2"/>
        </w:rPr>
        <w:t>邀请服务对象参与并出具意见，验收结果应当向社会公告；</w:t>
      </w:r>
    </w:p>
    <w:p>
      <w:pPr>
        <w:pStyle w:val="15"/>
        <w:numPr>
          <w:ilvl w:val="2"/>
          <w:numId w:val="46"/>
        </w:numPr>
        <w:tabs>
          <w:tab w:val="left" w:pos="1992"/>
        </w:tabs>
        <w:spacing w:before="30" w:after="0" w:line="343" w:lineRule="auto"/>
        <w:ind w:left="884" w:right="1208" w:firstLine="434"/>
        <w:jc w:val="left"/>
        <w:rPr>
          <w:sz w:val="24"/>
        </w:rPr>
      </w:pPr>
      <w:r>
        <w:rPr>
          <w:spacing w:val="-20"/>
          <w:sz w:val="24"/>
        </w:rPr>
        <w:t>检验和验收标准、程序等具体内容以及前述验收书的效力详见</w:t>
      </w:r>
      <w:r>
        <w:rPr>
          <w:b/>
          <w:spacing w:val="-20"/>
          <w:sz w:val="24"/>
          <w:u w:val="single"/>
        </w:rPr>
        <w:t>合同专用条</w:t>
      </w:r>
      <w:r>
        <w:rPr>
          <w:b/>
          <w:spacing w:val="80"/>
          <w:w w:val="150"/>
          <w:sz w:val="24"/>
          <w:u w:val="single"/>
        </w:rPr>
        <w:t xml:space="preserve">                     </w:t>
      </w:r>
      <w:r>
        <w:rPr>
          <w:b/>
          <w:spacing w:val="-6"/>
          <w:sz w:val="24"/>
          <w:u w:val="single"/>
        </w:rPr>
        <w:t>款</w:t>
      </w:r>
      <w:r>
        <w:rPr>
          <w:spacing w:val="-6"/>
          <w:sz w:val="24"/>
        </w:rPr>
        <w:t>。</w:t>
      </w:r>
    </w:p>
    <w:p>
      <w:pPr>
        <w:pStyle w:val="8"/>
        <w:numPr>
          <w:ilvl w:val="1"/>
          <w:numId w:val="46"/>
        </w:numPr>
        <w:tabs>
          <w:tab w:val="left" w:pos="1890"/>
        </w:tabs>
        <w:spacing w:before="15" w:after="0" w:line="240" w:lineRule="auto"/>
        <w:ind w:left="1890" w:right="0" w:hanging="566"/>
        <w:jc w:val="left"/>
      </w:pPr>
      <w:r>
        <w:rPr>
          <w:spacing w:val="-10"/>
        </w:rPr>
        <w:t>合同使用的文字和适用的法律</w:t>
      </w:r>
    </w:p>
    <w:p>
      <w:pPr>
        <w:pStyle w:val="15"/>
        <w:numPr>
          <w:ilvl w:val="2"/>
          <w:numId w:val="46"/>
        </w:numPr>
        <w:tabs>
          <w:tab w:val="left" w:pos="2074"/>
        </w:tabs>
        <w:spacing w:before="149" w:after="0" w:line="240" w:lineRule="auto"/>
        <w:ind w:left="2074" w:right="0" w:hanging="753"/>
        <w:jc w:val="left"/>
        <w:rPr>
          <w:sz w:val="24"/>
        </w:rPr>
      </w:pPr>
      <w:r>
        <w:rPr>
          <w:spacing w:val="-5"/>
          <w:sz w:val="24"/>
        </w:rPr>
        <w:t>合同使用汉语书就、变更和解释；</w:t>
      </w:r>
    </w:p>
    <w:p>
      <w:pPr>
        <w:pStyle w:val="15"/>
        <w:numPr>
          <w:ilvl w:val="2"/>
          <w:numId w:val="46"/>
        </w:numPr>
        <w:tabs>
          <w:tab w:val="left" w:pos="2074"/>
        </w:tabs>
        <w:spacing w:before="156" w:after="0" w:line="240" w:lineRule="auto"/>
        <w:ind w:left="2074" w:right="0" w:hanging="753"/>
        <w:jc w:val="left"/>
        <w:rPr>
          <w:sz w:val="24"/>
        </w:rPr>
      </w:pPr>
      <w:r>
        <w:rPr>
          <w:spacing w:val="-5"/>
          <w:sz w:val="24"/>
        </w:rPr>
        <w:t>合同适用中华人民共和国法律。</w:t>
      </w:r>
    </w:p>
    <w:p>
      <w:pPr>
        <w:pStyle w:val="8"/>
        <w:numPr>
          <w:ilvl w:val="1"/>
          <w:numId w:val="46"/>
        </w:numPr>
        <w:tabs>
          <w:tab w:val="left" w:pos="1908"/>
        </w:tabs>
        <w:spacing w:before="156" w:after="0" w:line="240" w:lineRule="auto"/>
        <w:ind w:left="1908" w:right="0" w:hanging="584"/>
        <w:jc w:val="both"/>
      </w:pPr>
      <w:r>
        <w:rPr>
          <w:spacing w:val="-12"/>
        </w:rPr>
        <w:t>履约保证金</w:t>
      </w:r>
    </w:p>
    <w:p>
      <w:pPr>
        <w:pStyle w:val="15"/>
        <w:numPr>
          <w:ilvl w:val="2"/>
          <w:numId w:val="46"/>
        </w:numPr>
        <w:tabs>
          <w:tab w:val="left" w:pos="2024"/>
        </w:tabs>
        <w:spacing w:before="171" w:after="0" w:line="288" w:lineRule="auto"/>
        <w:ind w:left="889" w:right="887" w:firstLine="432"/>
        <w:jc w:val="both"/>
        <w:rPr>
          <w:sz w:val="24"/>
        </w:rPr>
      </w:pPr>
      <w:r>
        <w:rPr>
          <w:spacing w:val="-4"/>
          <w:sz w:val="24"/>
        </w:rPr>
        <w:t>采购文件要求乙方提交履约保证金的，乙方应按</w:t>
      </w:r>
      <w:r>
        <w:rPr>
          <w:b/>
          <w:spacing w:val="-4"/>
          <w:sz w:val="24"/>
          <w:u w:val="single"/>
        </w:rPr>
        <w:t>合同专用条款</w:t>
      </w:r>
      <w:r>
        <w:rPr>
          <w:spacing w:val="-4"/>
          <w:sz w:val="24"/>
        </w:rPr>
        <w:t>约定的方</w:t>
      </w:r>
      <w:r>
        <w:rPr>
          <w:spacing w:val="-6"/>
          <w:sz w:val="24"/>
        </w:rPr>
        <w:t>式，以支票、汇票、本票或者金融机构、担保机构出具的保函等非现金形式提交；</w:t>
      </w:r>
    </w:p>
    <w:p>
      <w:pPr>
        <w:pStyle w:val="15"/>
        <w:numPr>
          <w:ilvl w:val="2"/>
          <w:numId w:val="46"/>
        </w:numPr>
        <w:tabs>
          <w:tab w:val="left" w:pos="2049"/>
        </w:tabs>
        <w:spacing w:before="182" w:after="0" w:line="312" w:lineRule="auto"/>
        <w:ind w:left="884" w:right="1074" w:firstLine="434"/>
        <w:jc w:val="both"/>
        <w:rPr>
          <w:sz w:val="24"/>
        </w:rPr>
      </w:pPr>
      <w:r>
        <w:rPr>
          <w:spacing w:val="-10"/>
          <w:sz w:val="24"/>
        </w:rPr>
        <w:t>履约保证金在</w:t>
      </w:r>
      <w:r>
        <w:rPr>
          <w:b/>
          <w:spacing w:val="-10"/>
          <w:sz w:val="24"/>
          <w:u w:val="single"/>
        </w:rPr>
        <w:t>合同专用条款</w:t>
      </w:r>
      <w:r>
        <w:rPr>
          <w:spacing w:val="-10"/>
          <w:sz w:val="24"/>
        </w:rPr>
        <w:t>约定期间内不予退还或者应完全有效，前述</w:t>
      </w:r>
      <w:r>
        <w:rPr>
          <w:sz w:val="24"/>
        </w:rPr>
        <w:t>约定期间届满之日起</w:t>
      </w:r>
      <w:r>
        <w:rPr>
          <w:rFonts w:ascii="Times New Roman" w:eastAsia="Times New Roman"/>
          <w:spacing w:val="80"/>
          <w:w w:val="150"/>
          <w:sz w:val="24"/>
          <w:u w:val="single"/>
        </w:rPr>
        <w:t xml:space="preserve"> </w:t>
      </w:r>
      <w:r>
        <w:rPr>
          <w:sz w:val="24"/>
        </w:rPr>
        <w:t>个工作日内，甲方应将履约保证金退还乙方，甲方逾期</w:t>
      </w:r>
      <w:r>
        <w:rPr>
          <w:spacing w:val="-2"/>
          <w:sz w:val="24"/>
        </w:rPr>
        <w:t>退还履约保证金应承担违约责任。</w:t>
      </w:r>
    </w:p>
    <w:p>
      <w:pPr>
        <w:pStyle w:val="15"/>
        <w:numPr>
          <w:ilvl w:val="2"/>
          <w:numId w:val="46"/>
        </w:numPr>
        <w:tabs>
          <w:tab w:val="left" w:pos="2029"/>
        </w:tabs>
        <w:spacing w:before="180" w:after="0" w:line="312" w:lineRule="auto"/>
        <w:ind w:left="884" w:right="1053" w:firstLine="434"/>
        <w:jc w:val="both"/>
        <w:rPr>
          <w:sz w:val="24"/>
        </w:rPr>
      </w:pPr>
      <w:r>
        <w:rPr>
          <w:spacing w:val="-16"/>
          <w:sz w:val="24"/>
        </w:rPr>
        <w:t>如果乙方不履行合同，履约保证金不予退还；如果乙方未能按合同约定全</w:t>
      </w:r>
      <w:r>
        <w:rPr>
          <w:spacing w:val="-4"/>
          <w:sz w:val="24"/>
        </w:rPr>
        <w:t>面履行义务，那么甲方有权从履约保证金中取得补偿或赔偿，同时不影响甲方要</w:t>
      </w:r>
      <w:r>
        <w:rPr>
          <w:spacing w:val="-2"/>
          <w:sz w:val="24"/>
        </w:rPr>
        <w:t>求乙方承担合同约定的超过履约保证金的违约责任的权利。</w:t>
      </w:r>
    </w:p>
    <w:p>
      <w:pPr>
        <w:pStyle w:val="8"/>
        <w:numPr>
          <w:ilvl w:val="1"/>
          <w:numId w:val="46"/>
        </w:numPr>
        <w:tabs>
          <w:tab w:val="left" w:pos="1908"/>
        </w:tabs>
        <w:spacing w:before="166" w:after="0" w:line="240" w:lineRule="auto"/>
        <w:ind w:left="1908" w:right="0" w:hanging="584"/>
        <w:jc w:val="both"/>
      </w:pPr>
      <w:r>
        <w:rPr>
          <w:spacing w:val="-12"/>
        </w:rPr>
        <w:t>合同份数</w:t>
      </w:r>
    </w:p>
    <w:p>
      <w:pPr>
        <w:spacing w:before="141"/>
        <w:ind w:left="1319" w:right="0" w:firstLine="0"/>
        <w:jc w:val="left"/>
        <w:rPr>
          <w:sz w:val="24"/>
        </w:rPr>
      </w:pPr>
      <w:r>
        <w:rPr>
          <w:spacing w:val="-8"/>
          <w:sz w:val="24"/>
        </w:rPr>
        <w:t>合同份数按</w:t>
      </w:r>
      <w:r>
        <w:rPr>
          <w:b/>
          <w:spacing w:val="-8"/>
          <w:sz w:val="24"/>
          <w:u w:val="single"/>
        </w:rPr>
        <w:t>合同专用条款</w:t>
      </w:r>
      <w:r>
        <w:rPr>
          <w:spacing w:val="-9"/>
          <w:sz w:val="24"/>
        </w:rPr>
        <w:t>规定，每份均具有同等法律效力。</w:t>
      </w:r>
    </w:p>
    <w:p>
      <w:pPr>
        <w:spacing w:after="0"/>
        <w:jc w:val="left"/>
        <w:rPr>
          <w:sz w:val="24"/>
        </w:rPr>
        <w:sectPr>
          <w:pgSz w:w="11910" w:h="16840"/>
          <w:pgMar w:top="1100" w:right="720" w:bottom="1020" w:left="920" w:header="918" w:footer="836" w:gutter="0"/>
          <w:pgNumType w:fmt="numberInDash"/>
          <w:cols w:space="720" w:num="1"/>
        </w:sectPr>
      </w:pPr>
    </w:p>
    <w:p>
      <w:pPr>
        <w:spacing w:before="330"/>
        <w:ind w:left="204" w:right="384" w:firstLine="0"/>
        <w:jc w:val="center"/>
        <w:rPr>
          <w:b/>
          <w:sz w:val="36"/>
        </w:rPr>
      </w:pPr>
      <w:r>
        <w:rPr>
          <w:b/>
          <w:spacing w:val="-17"/>
          <w:sz w:val="36"/>
        </w:rPr>
        <w:t>第三部分 合同专用条款</w:t>
      </w:r>
    </w:p>
    <w:p>
      <w:pPr>
        <w:pStyle w:val="9"/>
        <w:spacing w:before="249" w:after="6" w:line="348" w:lineRule="auto"/>
        <w:ind w:left="884" w:right="1026" w:firstLine="434"/>
        <w:jc w:val="both"/>
      </w:pPr>
      <w:r>
        <w:rPr>
          <w:spacing w:val="-2"/>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2"/>
        <w:tblW w:w="0" w:type="auto"/>
        <w:tblInd w:w="8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7"/>
        <w:gridCol w:w="75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797" w:type="dxa"/>
            <w:tcBorders>
              <w:left w:val="single" w:color="000000" w:sz="4" w:space="0"/>
            </w:tcBorders>
          </w:tcPr>
          <w:p>
            <w:pPr>
              <w:pStyle w:val="16"/>
              <w:spacing w:before="48"/>
              <w:ind w:left="53"/>
              <w:rPr>
                <w:b/>
                <w:sz w:val="24"/>
              </w:rPr>
            </w:pPr>
            <w:r>
              <w:rPr>
                <w:b/>
                <w:spacing w:val="-14"/>
                <w:sz w:val="24"/>
              </w:rPr>
              <w:t>条款号</w:t>
            </w:r>
          </w:p>
        </w:tc>
        <w:tc>
          <w:tcPr>
            <w:tcW w:w="7564" w:type="dxa"/>
          </w:tcPr>
          <w:p>
            <w:pPr>
              <w:pStyle w:val="16"/>
              <w:spacing w:before="48"/>
              <w:ind w:left="57"/>
              <w:jc w:val="center"/>
              <w:rPr>
                <w:b/>
                <w:sz w:val="24"/>
              </w:rPr>
            </w:pPr>
            <w:r>
              <w:rPr>
                <w:b/>
                <w:spacing w:val="-12"/>
                <w:sz w:val="24"/>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797" w:type="dxa"/>
            <w:tcBorders>
              <w:left w:val="single" w:color="000000" w:sz="4" w:space="0"/>
            </w:tcBorders>
          </w:tcPr>
          <w:p>
            <w:pPr>
              <w:pStyle w:val="16"/>
              <w:rPr>
                <w:rFonts w:ascii="Times New Roman"/>
                <w:sz w:val="24"/>
              </w:rPr>
            </w:pPr>
          </w:p>
        </w:tc>
        <w:tc>
          <w:tcPr>
            <w:tcW w:w="756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797" w:type="dxa"/>
            <w:tcBorders>
              <w:left w:val="single" w:color="000000" w:sz="4" w:space="0"/>
            </w:tcBorders>
          </w:tcPr>
          <w:p>
            <w:pPr>
              <w:pStyle w:val="16"/>
              <w:rPr>
                <w:rFonts w:ascii="Times New Roman"/>
                <w:sz w:val="24"/>
              </w:rPr>
            </w:pPr>
          </w:p>
        </w:tc>
        <w:tc>
          <w:tcPr>
            <w:tcW w:w="756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7" w:type="dxa"/>
            <w:tcBorders>
              <w:left w:val="single" w:color="000000" w:sz="4" w:space="0"/>
            </w:tcBorders>
          </w:tcPr>
          <w:p>
            <w:pPr>
              <w:pStyle w:val="16"/>
              <w:rPr>
                <w:rFonts w:ascii="Times New Roman"/>
                <w:sz w:val="24"/>
              </w:rPr>
            </w:pPr>
          </w:p>
        </w:tc>
        <w:tc>
          <w:tcPr>
            <w:tcW w:w="756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797" w:type="dxa"/>
            <w:tcBorders>
              <w:left w:val="single" w:color="000000" w:sz="4" w:space="0"/>
            </w:tcBorders>
          </w:tcPr>
          <w:p>
            <w:pPr>
              <w:pStyle w:val="16"/>
              <w:rPr>
                <w:rFonts w:ascii="Times New Roman"/>
                <w:sz w:val="24"/>
              </w:rPr>
            </w:pPr>
          </w:p>
        </w:tc>
        <w:tc>
          <w:tcPr>
            <w:tcW w:w="756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7" w:type="dxa"/>
            <w:tcBorders>
              <w:left w:val="single" w:color="000000" w:sz="4" w:space="0"/>
            </w:tcBorders>
          </w:tcPr>
          <w:p>
            <w:pPr>
              <w:pStyle w:val="16"/>
              <w:rPr>
                <w:rFonts w:ascii="Times New Roman"/>
                <w:sz w:val="24"/>
              </w:rPr>
            </w:pPr>
          </w:p>
        </w:tc>
        <w:tc>
          <w:tcPr>
            <w:tcW w:w="756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7" w:type="dxa"/>
            <w:tcBorders>
              <w:left w:val="single" w:color="000000" w:sz="4" w:space="0"/>
            </w:tcBorders>
          </w:tcPr>
          <w:p>
            <w:pPr>
              <w:pStyle w:val="16"/>
              <w:rPr>
                <w:rFonts w:ascii="Times New Roman"/>
                <w:sz w:val="24"/>
              </w:rPr>
            </w:pPr>
          </w:p>
        </w:tc>
        <w:tc>
          <w:tcPr>
            <w:tcW w:w="756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7" w:type="dxa"/>
            <w:tcBorders>
              <w:left w:val="single" w:color="000000" w:sz="4" w:space="0"/>
            </w:tcBorders>
          </w:tcPr>
          <w:p>
            <w:pPr>
              <w:pStyle w:val="16"/>
              <w:rPr>
                <w:rFonts w:ascii="Times New Roman"/>
                <w:sz w:val="24"/>
              </w:rPr>
            </w:pPr>
          </w:p>
        </w:tc>
        <w:tc>
          <w:tcPr>
            <w:tcW w:w="756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7" w:type="dxa"/>
            <w:tcBorders>
              <w:left w:val="single" w:color="000000" w:sz="4" w:space="0"/>
            </w:tcBorders>
          </w:tcPr>
          <w:p>
            <w:pPr>
              <w:pStyle w:val="16"/>
              <w:rPr>
                <w:rFonts w:ascii="Times New Roman"/>
                <w:sz w:val="24"/>
              </w:rPr>
            </w:pPr>
          </w:p>
        </w:tc>
        <w:tc>
          <w:tcPr>
            <w:tcW w:w="756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7" w:type="dxa"/>
            <w:tcBorders>
              <w:left w:val="single" w:color="000000" w:sz="4" w:space="0"/>
            </w:tcBorders>
          </w:tcPr>
          <w:p>
            <w:pPr>
              <w:pStyle w:val="16"/>
              <w:rPr>
                <w:rFonts w:ascii="Times New Roman"/>
                <w:sz w:val="24"/>
              </w:rPr>
            </w:pPr>
          </w:p>
        </w:tc>
        <w:tc>
          <w:tcPr>
            <w:tcW w:w="756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797" w:type="dxa"/>
            <w:tcBorders>
              <w:left w:val="single" w:color="000000" w:sz="4" w:space="0"/>
            </w:tcBorders>
          </w:tcPr>
          <w:p>
            <w:pPr>
              <w:pStyle w:val="16"/>
              <w:rPr>
                <w:rFonts w:ascii="Times New Roman"/>
                <w:sz w:val="24"/>
              </w:rPr>
            </w:pPr>
          </w:p>
        </w:tc>
        <w:tc>
          <w:tcPr>
            <w:tcW w:w="756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7" w:type="dxa"/>
            <w:tcBorders>
              <w:left w:val="single" w:color="000000" w:sz="4" w:space="0"/>
            </w:tcBorders>
          </w:tcPr>
          <w:p>
            <w:pPr>
              <w:pStyle w:val="16"/>
              <w:rPr>
                <w:rFonts w:ascii="Times New Roman"/>
                <w:sz w:val="24"/>
              </w:rPr>
            </w:pPr>
          </w:p>
        </w:tc>
        <w:tc>
          <w:tcPr>
            <w:tcW w:w="7564" w:type="dxa"/>
          </w:tcPr>
          <w:p>
            <w:pPr>
              <w:pStyle w:val="16"/>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97" w:type="dxa"/>
            <w:tcBorders>
              <w:left w:val="single" w:color="000000" w:sz="4" w:space="0"/>
            </w:tcBorders>
          </w:tcPr>
          <w:p>
            <w:pPr>
              <w:pStyle w:val="16"/>
              <w:rPr>
                <w:rFonts w:ascii="Times New Roman"/>
                <w:sz w:val="24"/>
              </w:rPr>
            </w:pPr>
          </w:p>
        </w:tc>
        <w:tc>
          <w:tcPr>
            <w:tcW w:w="7564" w:type="dxa"/>
          </w:tcPr>
          <w:p>
            <w:pPr>
              <w:pStyle w:val="16"/>
              <w:rPr>
                <w:rFonts w:ascii="Times New Roman"/>
                <w:sz w:val="24"/>
              </w:rPr>
            </w:pPr>
          </w:p>
        </w:tc>
      </w:tr>
    </w:tbl>
    <w:p>
      <w:pPr>
        <w:spacing w:after="0"/>
        <w:rPr>
          <w:rFonts w:ascii="Times New Roman"/>
          <w:sz w:val="24"/>
        </w:rPr>
        <w:sectPr>
          <w:pgSz w:w="11910" w:h="16840"/>
          <w:pgMar w:top="1100" w:right="720" w:bottom="1020" w:left="920" w:header="918" w:footer="836" w:gutter="0"/>
          <w:pgNumType w:fmt="numberInDash"/>
          <w:cols w:space="720" w:num="1"/>
        </w:sectPr>
      </w:pPr>
    </w:p>
    <w:p>
      <w:pPr>
        <w:pStyle w:val="9"/>
        <w:rPr>
          <w:sz w:val="36"/>
        </w:rPr>
      </w:pPr>
    </w:p>
    <w:p>
      <w:pPr>
        <w:pStyle w:val="9"/>
        <w:rPr>
          <w:sz w:val="36"/>
        </w:rPr>
      </w:pPr>
    </w:p>
    <w:p>
      <w:pPr>
        <w:pStyle w:val="9"/>
        <w:rPr>
          <w:sz w:val="36"/>
        </w:rPr>
      </w:pPr>
    </w:p>
    <w:p>
      <w:pPr>
        <w:pStyle w:val="9"/>
        <w:rPr>
          <w:sz w:val="36"/>
        </w:rPr>
      </w:pPr>
    </w:p>
    <w:p>
      <w:pPr>
        <w:pStyle w:val="9"/>
        <w:spacing w:before="15"/>
        <w:rPr>
          <w:sz w:val="36"/>
        </w:rPr>
      </w:pPr>
    </w:p>
    <w:p>
      <w:pPr>
        <w:pStyle w:val="2"/>
        <w:spacing w:before="1"/>
        <w:ind w:right="386"/>
      </w:pPr>
      <w:bookmarkStart w:id="12" w:name="第七章 投标文件格式"/>
      <w:bookmarkEnd w:id="12"/>
      <w:bookmarkStart w:id="13" w:name="_bookmark6"/>
      <w:bookmarkEnd w:id="13"/>
      <w:r>
        <w:rPr>
          <w:spacing w:val="-16"/>
        </w:rPr>
        <w:t>第七章 投标文件格式</w:t>
      </w:r>
    </w:p>
    <w:p>
      <w:pPr>
        <w:spacing w:after="0"/>
        <w:sectPr>
          <w:pgSz w:w="11910" w:h="16840"/>
          <w:pgMar w:top="1100" w:right="720" w:bottom="1020" w:left="920" w:header="918" w:footer="836" w:gutter="0"/>
          <w:pgNumType w:fmt="numberInDash"/>
          <w:cols w:space="720" w:num="1"/>
        </w:sectPr>
      </w:pPr>
    </w:p>
    <w:p>
      <w:pPr>
        <w:pStyle w:val="9"/>
        <w:rPr>
          <w:b/>
        </w:rPr>
      </w:pPr>
    </w:p>
    <w:p>
      <w:pPr>
        <w:pStyle w:val="9"/>
        <w:spacing w:before="169"/>
        <w:rPr>
          <w:b/>
        </w:rPr>
      </w:pPr>
    </w:p>
    <w:p>
      <w:pPr>
        <w:pStyle w:val="9"/>
        <w:ind w:left="1364"/>
      </w:pPr>
      <w:r>
        <w:rPr>
          <w:spacing w:val="-10"/>
        </w:rPr>
        <w:t>封面：</w:t>
      </w:r>
    </w:p>
    <w:p>
      <w:pPr>
        <w:pStyle w:val="9"/>
        <w:spacing w:before="569"/>
        <w:rPr>
          <w:sz w:val="84"/>
        </w:rPr>
      </w:pPr>
    </w:p>
    <w:p>
      <w:pPr>
        <w:spacing w:before="1"/>
        <w:ind w:left="204" w:right="304" w:firstLine="0"/>
        <w:jc w:val="center"/>
        <w:rPr>
          <w:b/>
          <w:sz w:val="84"/>
        </w:rPr>
      </w:pPr>
      <w:r>
        <w:rPr>
          <w:b/>
          <w:spacing w:val="-18"/>
          <w:sz w:val="84"/>
        </w:rPr>
        <w:t>投 标 文 件</w:t>
      </w:r>
    </w:p>
    <w:p>
      <w:pPr>
        <w:spacing w:before="1034"/>
        <w:ind w:left="204" w:right="353" w:firstLine="0"/>
        <w:jc w:val="center"/>
        <w:rPr>
          <w:b/>
          <w:sz w:val="56"/>
        </w:rPr>
      </w:pPr>
      <w:r>
        <w:rPr>
          <w:b/>
          <w:spacing w:val="-22"/>
          <w:sz w:val="56"/>
        </w:rPr>
        <w:t>资格证明文件</w:t>
      </w:r>
    </w:p>
    <w:p>
      <w:pPr>
        <w:pStyle w:val="3"/>
        <w:spacing w:before="416"/>
      </w:pPr>
      <w:r>
        <w:rPr>
          <w:spacing w:val="-8"/>
        </w:rPr>
        <w:t>（第X标段</w:t>
      </w:r>
      <w:r>
        <w:rPr>
          <w:spacing w:val="-10"/>
        </w:rPr>
        <w:t>）</w:t>
      </w:r>
    </w:p>
    <w:p>
      <w:pPr>
        <w:pStyle w:val="9"/>
        <w:rPr>
          <w:sz w:val="36"/>
        </w:rPr>
      </w:pPr>
    </w:p>
    <w:p>
      <w:pPr>
        <w:pStyle w:val="9"/>
        <w:rPr>
          <w:sz w:val="36"/>
        </w:rPr>
      </w:pPr>
    </w:p>
    <w:p>
      <w:pPr>
        <w:pStyle w:val="9"/>
        <w:rPr>
          <w:sz w:val="36"/>
        </w:rPr>
      </w:pPr>
    </w:p>
    <w:p>
      <w:pPr>
        <w:pStyle w:val="9"/>
        <w:rPr>
          <w:sz w:val="36"/>
        </w:rPr>
      </w:pPr>
    </w:p>
    <w:p>
      <w:pPr>
        <w:pStyle w:val="9"/>
        <w:rPr>
          <w:sz w:val="36"/>
        </w:rPr>
      </w:pPr>
    </w:p>
    <w:p>
      <w:pPr>
        <w:pStyle w:val="9"/>
        <w:spacing w:before="168"/>
        <w:rPr>
          <w:sz w:val="36"/>
        </w:rPr>
      </w:pPr>
    </w:p>
    <w:p>
      <w:pPr>
        <w:pStyle w:val="3"/>
        <w:tabs>
          <w:tab w:val="left" w:pos="9033"/>
        </w:tabs>
        <w:spacing w:line="350" w:lineRule="auto"/>
        <w:ind w:left="1314" w:right="1232"/>
        <w:jc w:val="both"/>
        <w:rPr>
          <w:rFonts w:ascii="Times New Roman" w:eastAsia="Times New Roman"/>
        </w:rPr>
      </w:pPr>
      <w:r>
        <w:rPr>
          <w:spacing w:val="-2"/>
        </w:rPr>
        <w:t>项目编号/包号：</w:t>
      </w:r>
      <w:r>
        <w:rPr>
          <w:rFonts w:ascii="Times New Roman" w:eastAsia="Times New Roman"/>
          <w:u w:val="single"/>
        </w:rPr>
        <w:tab/>
      </w:r>
      <w:r>
        <w:rPr>
          <w:rFonts w:ascii="Times New Roman" w:eastAsia="Times New Roman"/>
        </w:rPr>
        <w:t xml:space="preserve"> </w:t>
      </w:r>
      <w:r>
        <w:rPr>
          <w:spacing w:val="-2"/>
        </w:rPr>
        <w:t>项目名称：</w:t>
      </w:r>
      <w:r>
        <w:rPr>
          <w:rFonts w:ascii="Times New Roman" w:eastAsia="Times New Roman"/>
          <w:u w:val="single"/>
        </w:rPr>
        <w:tab/>
      </w:r>
      <w:r>
        <w:rPr>
          <w:rFonts w:ascii="Times New Roman" w:eastAsia="Times New Roman"/>
        </w:rPr>
        <w:t xml:space="preserve"> </w:t>
      </w:r>
      <w:r>
        <w:t>投</w:t>
      </w:r>
      <w:r>
        <w:rPr>
          <w:spacing w:val="-13"/>
        </w:rPr>
        <w:t xml:space="preserve"> </w:t>
      </w:r>
      <w:r>
        <w:t>标</w:t>
      </w:r>
      <w:r>
        <w:rPr>
          <w:spacing w:val="-13"/>
        </w:rPr>
        <w:t xml:space="preserve"> </w:t>
      </w:r>
      <w:r>
        <w:t>人</w:t>
      </w:r>
      <w:r>
        <w:rPr>
          <w:spacing w:val="-10"/>
        </w:rPr>
        <w:t>：</w:t>
      </w:r>
      <w:r>
        <w:rPr>
          <w:rFonts w:ascii="Times New Roman" w:eastAsia="Times New Roman"/>
          <w:u w:val="single"/>
        </w:rPr>
        <w:tab/>
      </w:r>
    </w:p>
    <w:p>
      <w:pPr>
        <w:pStyle w:val="9"/>
        <w:rPr>
          <w:rFonts w:ascii="Times New Roman"/>
          <w:sz w:val="32"/>
        </w:rPr>
      </w:pPr>
    </w:p>
    <w:p>
      <w:pPr>
        <w:pStyle w:val="9"/>
        <w:rPr>
          <w:rFonts w:ascii="Times New Roman"/>
          <w:sz w:val="32"/>
        </w:rPr>
      </w:pPr>
    </w:p>
    <w:p>
      <w:pPr>
        <w:pStyle w:val="9"/>
        <w:rPr>
          <w:rFonts w:ascii="Times New Roman"/>
          <w:sz w:val="32"/>
        </w:rPr>
      </w:pPr>
    </w:p>
    <w:p>
      <w:pPr>
        <w:pStyle w:val="5"/>
        <w:tabs>
          <w:tab w:val="left" w:pos="806"/>
          <w:tab w:val="left" w:pos="1821"/>
        </w:tabs>
      </w:pPr>
      <w:r>
        <w:rPr>
          <w:spacing w:val="-10"/>
        </w:rPr>
        <w:t>年</w:t>
      </w:r>
      <w:r>
        <w:tab/>
      </w:r>
      <w:r>
        <w:rPr>
          <w:spacing w:val="-10"/>
        </w:rPr>
        <w:t>月</w:t>
      </w:r>
      <w:r>
        <w:tab/>
      </w:r>
      <w:r>
        <w:rPr>
          <w:spacing w:val="-10"/>
        </w:rPr>
        <w:t>日</w:t>
      </w:r>
    </w:p>
    <w:p>
      <w:pPr>
        <w:spacing w:after="0"/>
        <w:sectPr>
          <w:pgSz w:w="11910" w:h="16840"/>
          <w:pgMar w:top="1100" w:right="720" w:bottom="1020" w:left="920" w:header="918" w:footer="836" w:gutter="0"/>
          <w:pgNumType w:fmt="numberInDash"/>
          <w:cols w:space="720" w:num="1"/>
        </w:sectPr>
      </w:pPr>
    </w:p>
    <w:p>
      <w:pPr>
        <w:pStyle w:val="9"/>
        <w:rPr>
          <w:sz w:val="28"/>
        </w:rPr>
      </w:pPr>
    </w:p>
    <w:p>
      <w:pPr>
        <w:pStyle w:val="9"/>
        <w:spacing w:before="324"/>
        <w:rPr>
          <w:sz w:val="28"/>
        </w:rPr>
      </w:pPr>
    </w:p>
    <w:p>
      <w:pPr>
        <w:pStyle w:val="6"/>
        <w:ind w:left="891"/>
      </w:pPr>
      <w:r>
        <w:rPr>
          <w:spacing w:val="-16"/>
        </w:rPr>
        <w:t>一、满足《中华人民共和国政府采购法》第二十二条规定</w:t>
      </w:r>
    </w:p>
    <w:p>
      <w:pPr>
        <w:pStyle w:val="9"/>
        <w:spacing w:before="158"/>
        <w:rPr>
          <w:b/>
          <w:sz w:val="28"/>
        </w:rPr>
      </w:pPr>
    </w:p>
    <w:p>
      <w:pPr>
        <w:pStyle w:val="8"/>
        <w:ind w:left="891"/>
      </w:pPr>
      <w:r>
        <w:rPr>
          <w:spacing w:val="-12"/>
        </w:rPr>
        <w:t>（一）法人、其他组织或者自然人的证明文件</w:t>
      </w:r>
    </w:p>
    <w:p>
      <w:pPr>
        <w:pStyle w:val="9"/>
        <w:spacing w:before="151"/>
        <w:ind w:left="1384"/>
      </w:pPr>
      <w:r>
        <w:rPr>
          <w:spacing w:val="-2"/>
        </w:rPr>
        <w:t>1、投标人为企业（包括合伙企业）</w:t>
      </w:r>
      <w:r>
        <w:rPr>
          <w:spacing w:val="-4"/>
        </w:rPr>
        <w:t>的，应提供有效的“营业执照”；</w:t>
      </w:r>
    </w:p>
    <w:p>
      <w:pPr>
        <w:pStyle w:val="9"/>
        <w:spacing w:before="154"/>
        <w:ind w:left="1367"/>
      </w:pPr>
      <w:r>
        <w:rPr>
          <w:spacing w:val="-2"/>
        </w:rPr>
        <w:t>2</w:t>
      </w:r>
      <w:r>
        <w:rPr>
          <w:spacing w:val="-4"/>
        </w:rPr>
        <w:t>、投标人为事业单位的，应提供有效的“事业单位法人证书”；</w:t>
      </w:r>
    </w:p>
    <w:p>
      <w:pPr>
        <w:pStyle w:val="9"/>
        <w:spacing w:before="175" w:line="288" w:lineRule="auto"/>
        <w:ind w:left="887" w:right="1133" w:firstLine="482"/>
      </w:pPr>
      <w:r>
        <w:rPr>
          <w:spacing w:val="-2"/>
        </w:rPr>
        <w:t>3、投标人为非企业机构的，应提供有效的“执业许可证”、“登记证书”等证明文件；</w:t>
      </w:r>
    </w:p>
    <w:p>
      <w:pPr>
        <w:pStyle w:val="9"/>
        <w:spacing w:before="165"/>
        <w:ind w:left="1364"/>
      </w:pPr>
      <w:r>
        <w:rPr>
          <w:spacing w:val="-2"/>
        </w:rPr>
        <w:t>4</w:t>
      </w:r>
      <w:r>
        <w:rPr>
          <w:spacing w:val="-4"/>
        </w:rPr>
        <w:t>、投标人是个体工商户的，应提供有效的“个体工商户营业执照”；</w:t>
      </w:r>
    </w:p>
    <w:p>
      <w:pPr>
        <w:pStyle w:val="9"/>
        <w:spacing w:before="149"/>
        <w:ind w:left="1369"/>
      </w:pPr>
      <w:r>
        <w:rPr>
          <w:spacing w:val="-4"/>
        </w:rPr>
        <w:t>5</w:t>
      </w:r>
      <w:r>
        <w:rPr>
          <w:spacing w:val="-5"/>
        </w:rPr>
        <w:t>、投标人是自然人的，应提供有效的自然人身份证明。</w:t>
      </w:r>
    </w:p>
    <w:p>
      <w:pPr>
        <w:spacing w:after="0"/>
        <w:sectPr>
          <w:pgSz w:w="11910" w:h="16840"/>
          <w:pgMar w:top="1100" w:right="720" w:bottom="1020" w:left="920" w:header="918" w:footer="836" w:gutter="0"/>
          <w:pgNumType w:fmt="numberInDash"/>
          <w:cols w:space="720" w:num="1"/>
        </w:sectPr>
      </w:pPr>
    </w:p>
    <w:p>
      <w:pPr>
        <w:pStyle w:val="9"/>
        <w:spacing w:before="13"/>
      </w:pPr>
    </w:p>
    <w:p>
      <w:pPr>
        <w:pStyle w:val="8"/>
        <w:ind w:left="891"/>
      </w:pPr>
      <w:r>
        <w:rPr>
          <w:spacing w:val="-12"/>
        </w:rPr>
        <w:t>（二）政府采购供应商信用承诺函</w:t>
      </w:r>
    </w:p>
    <w:p>
      <w:pPr>
        <w:pStyle w:val="9"/>
        <w:spacing w:before="146"/>
        <w:rPr>
          <w:b/>
        </w:rPr>
      </w:pPr>
    </w:p>
    <w:p>
      <w:pPr>
        <w:pStyle w:val="9"/>
        <w:ind w:left="887"/>
      </w:pPr>
      <w:r>
        <w:t>单位名称（自然人姓名</w:t>
      </w:r>
      <w:r>
        <w:rPr>
          <w:spacing w:val="-5"/>
        </w:rPr>
        <w:t>）：</w:t>
      </w:r>
    </w:p>
    <w:p>
      <w:pPr>
        <w:pStyle w:val="9"/>
        <w:spacing w:before="267" w:line="415" w:lineRule="auto"/>
        <w:ind w:left="884" w:right="5639" w:firstLine="4"/>
      </w:pPr>
      <w:r>
        <w:rPr>
          <w:spacing w:val="-8"/>
        </w:rPr>
        <w:t>统一社会信用代码（身份证号码）：</w:t>
      </w:r>
      <w:r>
        <w:rPr>
          <w:spacing w:val="-2"/>
        </w:rPr>
        <w:t>法定代表人（负责人）：</w:t>
      </w:r>
    </w:p>
    <w:p>
      <w:pPr>
        <w:pStyle w:val="9"/>
        <w:spacing w:before="283"/>
      </w:pPr>
    </w:p>
    <w:p>
      <w:pPr>
        <w:pStyle w:val="9"/>
        <w:spacing w:line="417" w:lineRule="auto"/>
        <w:ind w:left="884" w:right="1060" w:firstLine="480"/>
        <w:jc w:val="both"/>
      </w:pPr>
      <w:r>
        <w:rPr>
          <w:spacing w:val="-4"/>
        </w:rPr>
        <w:t>我单位（本人）自愿参加本次政府采购活动，严格遵守《中华人民共和国政府采购法》及相关法律法规，坚守公开、公平、公正和诚实信用等原则，依法诚</w:t>
      </w:r>
      <w:r>
        <w:rPr>
          <w:spacing w:val="-2"/>
        </w:rPr>
        <w:t>信经营，并郑重承诺：</w:t>
      </w:r>
    </w:p>
    <w:p>
      <w:pPr>
        <w:pStyle w:val="9"/>
        <w:spacing w:before="18"/>
        <w:ind w:left="1369"/>
      </w:pPr>
      <w:r>
        <w:rPr>
          <w:spacing w:val="-4"/>
        </w:rPr>
        <w:t>一、我单位（本人）</w:t>
      </w:r>
      <w:r>
        <w:rPr>
          <w:spacing w:val="-5"/>
        </w:rPr>
        <w:t>符合《中华人民共和国政府采购法》第二十二条规定：</w:t>
      </w:r>
    </w:p>
    <w:p>
      <w:pPr>
        <w:pStyle w:val="9"/>
        <w:spacing w:before="247"/>
        <w:ind w:left="1372"/>
      </w:pPr>
      <w:r>
        <w:t>（一）</w:t>
      </w:r>
      <w:r>
        <w:rPr>
          <w:spacing w:val="-1"/>
        </w:rPr>
        <w:t>具有独立承担民事责任的能力;</w:t>
      </w:r>
    </w:p>
    <w:p>
      <w:pPr>
        <w:pStyle w:val="9"/>
        <w:spacing w:before="245"/>
        <w:ind w:left="1372"/>
      </w:pPr>
      <w:r>
        <w:rPr>
          <w:spacing w:val="-2"/>
        </w:rPr>
        <w:t>（二）</w:t>
      </w:r>
      <w:r>
        <w:rPr>
          <w:spacing w:val="-3"/>
        </w:rPr>
        <w:t>具有良好的商业信誉和健全的财务会计制度;</w:t>
      </w:r>
    </w:p>
    <w:p>
      <w:pPr>
        <w:pStyle w:val="9"/>
        <w:spacing w:before="247"/>
        <w:ind w:left="1372"/>
      </w:pPr>
      <w:r>
        <w:rPr>
          <w:spacing w:val="-2"/>
        </w:rPr>
        <w:t>（三）</w:t>
      </w:r>
      <w:r>
        <w:rPr>
          <w:spacing w:val="-3"/>
        </w:rPr>
        <w:t>具有履行合同所必需的设备和专业技术能力;</w:t>
      </w:r>
    </w:p>
    <w:p>
      <w:pPr>
        <w:pStyle w:val="9"/>
        <w:spacing w:before="248"/>
        <w:ind w:left="1372"/>
      </w:pPr>
      <w:r>
        <w:rPr>
          <w:spacing w:val="-2"/>
        </w:rPr>
        <w:t>（四）</w:t>
      </w:r>
      <w:r>
        <w:rPr>
          <w:spacing w:val="-3"/>
        </w:rPr>
        <w:t>有依法缴纳税收和社会保障资金的良好记录;</w:t>
      </w:r>
    </w:p>
    <w:p>
      <w:pPr>
        <w:pStyle w:val="9"/>
        <w:spacing w:before="244"/>
        <w:ind w:left="1372"/>
      </w:pPr>
      <w:r>
        <w:rPr>
          <w:spacing w:val="-2"/>
        </w:rPr>
        <w:t>（五）</w:t>
      </w:r>
      <w:r>
        <w:rPr>
          <w:spacing w:val="-3"/>
        </w:rPr>
        <w:t>参加政府采购活动前三年内，在经营活动中没有重大违法记录;</w:t>
      </w:r>
    </w:p>
    <w:p>
      <w:pPr>
        <w:pStyle w:val="9"/>
        <w:spacing w:before="248"/>
        <w:ind w:left="1372"/>
      </w:pPr>
      <w:r>
        <w:rPr>
          <w:spacing w:val="-4"/>
        </w:rPr>
        <w:t>（六）</w:t>
      </w:r>
      <w:r>
        <w:rPr>
          <w:spacing w:val="-5"/>
        </w:rPr>
        <w:t>符合法律、行政法规规定的其他条件。</w:t>
      </w:r>
    </w:p>
    <w:p>
      <w:pPr>
        <w:pStyle w:val="9"/>
        <w:spacing w:before="268" w:line="412" w:lineRule="auto"/>
        <w:ind w:left="884" w:right="1242" w:firstLine="482"/>
      </w:pPr>
      <w:r>
        <w:rPr>
          <w:spacing w:val="-10"/>
        </w:rPr>
        <w:t>二、我单位（本人）未被列入严重违法失信名单、失信被执行人名单、重大</w:t>
      </w:r>
      <w:r>
        <w:rPr>
          <w:spacing w:val="-2"/>
        </w:rPr>
        <w:t>税收违法失信主体、政府采购严重违法失信行为记录名单。</w:t>
      </w:r>
    </w:p>
    <w:p>
      <w:pPr>
        <w:pStyle w:val="9"/>
        <w:spacing w:before="41" w:line="412" w:lineRule="auto"/>
        <w:ind w:left="884" w:right="1242" w:firstLine="480"/>
      </w:pPr>
      <w:r>
        <w:rPr>
          <w:spacing w:val="-10"/>
        </w:rPr>
        <w:t>三、如果本公司（本人）有幸中标（成交），在合同签订之前，采购单位有</w:t>
      </w:r>
      <w:r>
        <w:rPr>
          <w:spacing w:val="-2"/>
        </w:rPr>
        <w:t>权要求本公司（本人）提供资格证明材料原件进行核验。</w:t>
      </w:r>
    </w:p>
    <w:p>
      <w:pPr>
        <w:pStyle w:val="9"/>
        <w:spacing w:before="16" w:line="446" w:lineRule="auto"/>
        <w:ind w:left="884" w:right="896" w:firstLine="504"/>
      </w:pPr>
      <w:r>
        <w:rPr>
          <w:spacing w:val="-2"/>
        </w:rPr>
        <w:t xml:space="preserve">四、我单位（本人）保证上述承诺事项的真实性。如有弄虚作假或其他违法 </w:t>
      </w:r>
      <w:r>
        <w:rPr>
          <w:spacing w:val="-24"/>
        </w:rPr>
        <w:t>违规行为，自愿按照规定将违背承诺行为作为失信行为记录到社会信用信息平台，并视同</w:t>
      </w:r>
    </w:p>
    <w:p>
      <w:pPr>
        <w:pStyle w:val="9"/>
        <w:spacing w:line="279" w:lineRule="exact"/>
        <w:ind w:left="884"/>
      </w:pPr>
      <w:r>
        <w:rPr>
          <w:spacing w:val="-5"/>
        </w:rPr>
        <w:t>为“提供虚假材料谋取中标、成交”按照《中华人民共和国政府采购法》第七十七、</w:t>
      </w:r>
    </w:p>
    <w:p>
      <w:pPr>
        <w:pStyle w:val="9"/>
        <w:spacing w:before="235" w:line="432" w:lineRule="auto"/>
        <w:ind w:left="884" w:right="1024"/>
      </w:pPr>
      <w:r>
        <w:rPr>
          <w:spacing w:val="-10"/>
        </w:rPr>
        <w:t>七十九条规定，处以采购金额千分之五以上千分之十以下的罚款，列入不良行为记</w:t>
      </w:r>
      <w:r>
        <w:rPr>
          <w:spacing w:val="-2"/>
        </w:rPr>
        <w:t>录名单，在一至三年内禁止参加政府采购活动，有违法所得的，并</w:t>
      </w:r>
    </w:p>
    <w:p>
      <w:pPr>
        <w:spacing w:after="0" w:line="432" w:lineRule="auto"/>
        <w:sectPr>
          <w:pgSz w:w="11910" w:h="16840"/>
          <w:pgMar w:top="1100" w:right="720" w:bottom="1020" w:left="920" w:header="918" w:footer="836" w:gutter="0"/>
          <w:pgNumType w:fmt="numberInDash"/>
          <w:cols w:space="720" w:num="1"/>
        </w:sectPr>
      </w:pPr>
    </w:p>
    <w:p>
      <w:pPr>
        <w:pStyle w:val="9"/>
        <w:spacing w:before="243"/>
      </w:pPr>
    </w:p>
    <w:p>
      <w:pPr>
        <w:pStyle w:val="9"/>
        <w:spacing w:line="412" w:lineRule="auto"/>
        <w:ind w:left="884" w:right="1124" w:firstLine="4"/>
      </w:pPr>
      <w:r>
        <w:rPr>
          <w:spacing w:val="-6"/>
        </w:rPr>
        <w:t>处没收违法所得，情节严重的，由市场监管部门吊销营业执照；构成犯罪的，依</w:t>
      </w:r>
      <w:r>
        <w:rPr>
          <w:spacing w:val="-30"/>
        </w:rPr>
        <w:t>法追究刑事责任；给他人造成损失的，并应依照有关民事法律规定承担民事责任。</w:t>
      </w:r>
    </w:p>
    <w:p>
      <w:pPr>
        <w:pStyle w:val="9"/>
      </w:pPr>
    </w:p>
    <w:p>
      <w:pPr>
        <w:pStyle w:val="9"/>
      </w:pPr>
    </w:p>
    <w:p>
      <w:pPr>
        <w:pStyle w:val="9"/>
        <w:spacing w:before="199"/>
      </w:pPr>
    </w:p>
    <w:p>
      <w:pPr>
        <w:pStyle w:val="9"/>
        <w:ind w:left="884"/>
      </w:pPr>
      <w:r>
        <w:t>供应商名称（公章</w:t>
      </w:r>
      <w:r>
        <w:rPr>
          <w:spacing w:val="-5"/>
        </w:rPr>
        <w:t>）：</w:t>
      </w:r>
    </w:p>
    <w:p>
      <w:pPr>
        <w:pStyle w:val="9"/>
        <w:spacing w:before="267" w:line="415" w:lineRule="auto"/>
        <w:ind w:left="925" w:right="3287" w:hanging="41"/>
      </w:pPr>
      <w:r>
        <w:rPr>
          <w:spacing w:val="-6"/>
        </w:rPr>
        <w:t>法定代表人、负责人、本人、或授权代表（签字或盖章）：</w:t>
      </w:r>
      <w:r>
        <w:t>日期： 年 月 日</w:t>
      </w:r>
    </w:p>
    <w:p>
      <w:pPr>
        <w:spacing w:after="0" w:line="415" w:lineRule="auto"/>
        <w:sectPr>
          <w:pgSz w:w="11910" w:h="16840"/>
          <w:pgMar w:top="1100" w:right="720" w:bottom="1020" w:left="920" w:header="918" w:footer="836" w:gutter="0"/>
          <w:pgNumType w:fmt="numberInDash"/>
          <w:cols w:space="720" w:num="1"/>
        </w:sectPr>
      </w:pPr>
    </w:p>
    <w:p>
      <w:pPr>
        <w:pStyle w:val="6"/>
        <w:spacing w:before="327"/>
        <w:ind w:left="891"/>
      </w:pPr>
      <w:r>
        <w:rPr>
          <w:spacing w:val="-16"/>
        </w:rPr>
        <w:t>二、落实政府采购政策相关证明文件</w:t>
      </w:r>
    </w:p>
    <w:p>
      <w:pPr>
        <w:pStyle w:val="8"/>
        <w:spacing w:before="47"/>
        <w:ind w:left="891"/>
      </w:pPr>
      <w:r>
        <w:rPr>
          <w:spacing w:val="-12"/>
        </w:rPr>
        <w:t>（一）中小企业声明函</w:t>
      </w:r>
    </w:p>
    <w:p>
      <w:pPr>
        <w:pStyle w:val="9"/>
        <w:spacing w:before="144"/>
        <w:rPr>
          <w:b/>
        </w:rPr>
      </w:pPr>
    </w:p>
    <w:p>
      <w:pPr>
        <w:pStyle w:val="4"/>
        <w:ind w:right="353"/>
      </w:pPr>
      <w:r>
        <w:rPr>
          <w:spacing w:val="-18"/>
        </w:rPr>
        <w:t>中小企业声明函</w:t>
      </w:r>
    </w:p>
    <w:p>
      <w:pPr>
        <w:pStyle w:val="9"/>
        <w:spacing w:before="222" w:line="352" w:lineRule="auto"/>
        <w:ind w:left="884" w:right="1100" w:firstLine="504"/>
        <w:jc w:val="both"/>
      </w:pPr>
      <w:r>
        <w:rPr>
          <w:spacing w:val="14"/>
        </w:rPr>
        <w:t>本公司（</w:t>
      </w:r>
      <w:r>
        <w:rPr>
          <w:spacing w:val="-1"/>
        </w:rPr>
        <w:t xml:space="preserve">联合体 </w:t>
      </w:r>
      <w:r>
        <w:rPr>
          <w:spacing w:val="14"/>
        </w:rPr>
        <w:t>）</w:t>
      </w:r>
      <w:r>
        <w:rPr>
          <w:spacing w:val="5"/>
        </w:rPr>
        <w:t>郑重声明， 根据《政府采购促进中小企业发展管理</w:t>
      </w:r>
      <w:r>
        <w:rPr>
          <w:spacing w:val="10"/>
        </w:rPr>
        <w:t>办法》</w:t>
      </w:r>
      <w:r>
        <w:t>（财库﹝2020﹞46</w:t>
      </w:r>
      <w:r>
        <w:rPr>
          <w:spacing w:val="20"/>
        </w:rPr>
        <w:t xml:space="preserve"> 号</w:t>
      </w:r>
      <w:r>
        <w:t>）</w:t>
      </w:r>
      <w:r>
        <w:rPr>
          <w:spacing w:val="-5"/>
        </w:rPr>
        <w:t xml:space="preserve"> 的规定 ，本公司</w:t>
      </w:r>
      <w:r>
        <w:t>（</w:t>
      </w:r>
      <w:r>
        <w:rPr>
          <w:spacing w:val="-6"/>
        </w:rPr>
        <w:t xml:space="preserve">联合体 </w:t>
      </w:r>
      <w:r>
        <w:t>）</w:t>
      </w:r>
      <w:r>
        <w:rPr>
          <w:spacing w:val="16"/>
        </w:rPr>
        <w:t>参加</w:t>
      </w:r>
      <w:r>
        <w:rPr>
          <w:rFonts w:ascii="Times New Roman" w:eastAsia="Times New Roman"/>
          <w:spacing w:val="80"/>
          <w:u w:val="single"/>
        </w:rPr>
        <w:t xml:space="preserve"> </w:t>
      </w:r>
      <w:r>
        <w:rPr>
          <w:u w:val="single"/>
        </w:rPr>
        <w:t>（单位名</w:t>
      </w:r>
      <w:r>
        <w:rPr>
          <w:spacing w:val="40"/>
          <w:u w:val="single"/>
        </w:rPr>
        <w:t xml:space="preserve"> </w:t>
      </w:r>
      <w:r>
        <w:rPr>
          <w:spacing w:val="-15"/>
          <w:u w:val="single"/>
        </w:rPr>
        <w:t xml:space="preserve">称 </w:t>
      </w:r>
      <w:r>
        <w:rPr>
          <w:u w:val="single"/>
        </w:rPr>
        <w:t>）</w:t>
      </w:r>
      <w:r>
        <w:rPr>
          <w:spacing w:val="38"/>
        </w:rPr>
        <w:t>的</w:t>
      </w:r>
      <w:r>
        <w:rPr>
          <w:rFonts w:ascii="Times New Roman" w:eastAsia="Times New Roman"/>
          <w:spacing w:val="80"/>
          <w:u w:val="single"/>
        </w:rPr>
        <w:t xml:space="preserve"> </w:t>
      </w:r>
      <w:r>
        <w:rPr>
          <w:spacing w:val="12"/>
          <w:u w:val="single"/>
        </w:rPr>
        <w:t>（</w:t>
      </w:r>
      <w:r>
        <w:rPr>
          <w:spacing w:val="-5"/>
          <w:u w:val="single"/>
        </w:rPr>
        <w:t xml:space="preserve">项 目名称 </w:t>
      </w:r>
      <w:r>
        <w:rPr>
          <w:u w:val="single"/>
        </w:rPr>
        <w:t xml:space="preserve">） </w:t>
      </w:r>
      <w:r>
        <w:t>采购活动，服务全部由符合政策要求的中小企业承</w:t>
      </w:r>
      <w:r>
        <w:rPr>
          <w:spacing w:val="16"/>
        </w:rPr>
        <w:t>接。相关企业</w:t>
      </w:r>
      <w:r>
        <w:rPr>
          <w:spacing w:val="17"/>
        </w:rPr>
        <w:t>（</w:t>
      </w:r>
      <w:r>
        <w:rPr>
          <w:spacing w:val="16"/>
        </w:rPr>
        <w:t>含联合体中的中小企业、签订分包意向协议的中小企业</w:t>
      </w:r>
      <w:r>
        <w:t>）</w:t>
      </w:r>
      <w:r>
        <w:rPr>
          <w:spacing w:val="-2"/>
        </w:rPr>
        <w:t>的具体情况如下：</w:t>
      </w:r>
    </w:p>
    <w:p>
      <w:pPr>
        <w:pStyle w:val="15"/>
        <w:numPr>
          <w:ilvl w:val="0"/>
          <w:numId w:val="47"/>
        </w:numPr>
        <w:tabs>
          <w:tab w:val="left" w:pos="1798"/>
          <w:tab w:val="left" w:pos="5874"/>
          <w:tab w:val="left" w:pos="7597"/>
        </w:tabs>
        <w:spacing w:before="37" w:after="0" w:line="350" w:lineRule="auto"/>
        <w:ind w:left="875" w:right="1098" w:firstLine="530"/>
        <w:jc w:val="both"/>
        <w:rPr>
          <w:sz w:val="24"/>
        </w:rPr>
      </w:pPr>
      <w:r>
        <w:rPr>
          <w:spacing w:val="12"/>
          <w:sz w:val="24"/>
          <w:u w:val="single"/>
        </w:rPr>
        <w:t>（</w:t>
      </w:r>
      <w:r>
        <w:rPr>
          <w:sz w:val="24"/>
          <w:u w:val="single"/>
        </w:rPr>
        <w:t>标</w:t>
      </w:r>
      <w:r>
        <w:rPr>
          <w:spacing w:val="-30"/>
          <w:sz w:val="24"/>
          <w:u w:val="single"/>
        </w:rPr>
        <w:t xml:space="preserve"> </w:t>
      </w:r>
      <w:r>
        <w:rPr>
          <w:spacing w:val="12"/>
          <w:sz w:val="24"/>
          <w:u w:val="single"/>
        </w:rPr>
        <w:t>的名</w:t>
      </w:r>
      <w:r>
        <w:rPr>
          <w:sz w:val="24"/>
          <w:u w:val="single"/>
        </w:rPr>
        <w:t>称</w:t>
      </w:r>
      <w:r>
        <w:rPr>
          <w:spacing w:val="-30"/>
          <w:sz w:val="24"/>
          <w:u w:val="single"/>
        </w:rPr>
        <w:t xml:space="preserve"> </w:t>
      </w:r>
      <w:r>
        <w:rPr>
          <w:sz w:val="24"/>
          <w:u w:val="single"/>
        </w:rPr>
        <w:t>）</w:t>
      </w:r>
      <w:r>
        <w:rPr>
          <w:spacing w:val="-30"/>
          <w:sz w:val="24"/>
        </w:rPr>
        <w:t xml:space="preserve"> </w:t>
      </w:r>
      <w:r>
        <w:rPr>
          <w:sz w:val="24"/>
        </w:rPr>
        <w:t>，</w:t>
      </w:r>
      <w:r>
        <w:rPr>
          <w:spacing w:val="12"/>
          <w:sz w:val="24"/>
        </w:rPr>
        <w:t>属</w:t>
      </w:r>
      <w:r>
        <w:rPr>
          <w:spacing w:val="40"/>
          <w:sz w:val="24"/>
        </w:rPr>
        <w:t>于</w:t>
      </w:r>
      <w:r>
        <w:rPr>
          <w:rFonts w:ascii="Times New Roman" w:eastAsia="Times New Roman"/>
          <w:spacing w:val="77"/>
          <w:sz w:val="24"/>
          <w:u w:val="single"/>
        </w:rPr>
        <w:t xml:space="preserve"> </w:t>
      </w:r>
      <w:r>
        <w:rPr>
          <w:spacing w:val="12"/>
          <w:sz w:val="24"/>
          <w:u w:val="single"/>
        </w:rPr>
        <w:t>（采</w:t>
      </w:r>
      <w:r>
        <w:rPr>
          <w:sz w:val="24"/>
          <w:u w:val="single"/>
        </w:rPr>
        <w:t>购</w:t>
      </w:r>
      <w:r>
        <w:rPr>
          <w:spacing w:val="12"/>
          <w:sz w:val="24"/>
          <w:u w:val="single"/>
        </w:rPr>
        <w:t>文</w:t>
      </w:r>
      <w:r>
        <w:rPr>
          <w:sz w:val="24"/>
          <w:u w:val="single"/>
        </w:rPr>
        <w:t>件</w:t>
      </w:r>
      <w:r>
        <w:rPr>
          <w:spacing w:val="-30"/>
          <w:sz w:val="24"/>
          <w:u w:val="single"/>
        </w:rPr>
        <w:t xml:space="preserve"> </w:t>
      </w:r>
      <w:r>
        <w:rPr>
          <w:sz w:val="24"/>
          <w:u w:val="single"/>
        </w:rPr>
        <w:t>中</w:t>
      </w:r>
      <w:r>
        <w:rPr>
          <w:spacing w:val="-30"/>
          <w:sz w:val="24"/>
          <w:u w:val="single"/>
        </w:rPr>
        <w:t xml:space="preserve"> </w:t>
      </w:r>
      <w:r>
        <w:rPr>
          <w:spacing w:val="12"/>
          <w:sz w:val="24"/>
          <w:u w:val="single"/>
        </w:rPr>
        <w:t>明</w:t>
      </w:r>
      <w:r>
        <w:rPr>
          <w:sz w:val="24"/>
          <w:u w:val="single"/>
        </w:rPr>
        <w:t>确</w:t>
      </w:r>
      <w:r>
        <w:rPr>
          <w:spacing w:val="-30"/>
          <w:sz w:val="24"/>
          <w:u w:val="single"/>
        </w:rPr>
        <w:t xml:space="preserve"> </w:t>
      </w:r>
      <w:r>
        <w:rPr>
          <w:spacing w:val="12"/>
          <w:sz w:val="24"/>
          <w:u w:val="single"/>
        </w:rPr>
        <w:t>的所</w:t>
      </w:r>
      <w:r>
        <w:rPr>
          <w:sz w:val="24"/>
          <w:u w:val="single"/>
        </w:rPr>
        <w:t>属</w:t>
      </w:r>
      <w:r>
        <w:rPr>
          <w:spacing w:val="12"/>
          <w:sz w:val="24"/>
          <w:u w:val="single"/>
        </w:rPr>
        <w:t>行</w:t>
      </w:r>
      <w:r>
        <w:rPr>
          <w:sz w:val="24"/>
          <w:u w:val="single"/>
        </w:rPr>
        <w:t>业</w:t>
      </w:r>
      <w:r>
        <w:rPr>
          <w:spacing w:val="-30"/>
          <w:sz w:val="24"/>
          <w:u w:val="single"/>
        </w:rPr>
        <w:t xml:space="preserve"> </w:t>
      </w:r>
      <w:r>
        <w:rPr>
          <w:sz w:val="24"/>
          <w:u w:val="single"/>
        </w:rPr>
        <w:t>）</w:t>
      </w:r>
      <w:r>
        <w:rPr>
          <w:spacing w:val="22"/>
          <w:sz w:val="24"/>
        </w:rPr>
        <w:t xml:space="preserve"> </w:t>
      </w:r>
      <w:r>
        <w:rPr>
          <w:sz w:val="24"/>
        </w:rPr>
        <w:t>；</w:t>
      </w:r>
      <w:r>
        <w:rPr>
          <w:spacing w:val="12"/>
          <w:sz w:val="24"/>
        </w:rPr>
        <w:t>承</w:t>
      </w:r>
      <w:r>
        <w:rPr>
          <w:sz w:val="24"/>
        </w:rPr>
        <w:t>接企业</w:t>
      </w:r>
      <w:r>
        <w:rPr>
          <w:spacing w:val="31"/>
          <w:sz w:val="24"/>
        </w:rPr>
        <w:t>为</w:t>
      </w:r>
      <w:r>
        <w:rPr>
          <w:rFonts w:ascii="Times New Roman" w:eastAsia="Times New Roman"/>
          <w:spacing w:val="80"/>
          <w:sz w:val="24"/>
          <w:u w:val="single"/>
        </w:rPr>
        <w:t xml:space="preserve"> </w:t>
      </w:r>
      <w:r>
        <w:rPr>
          <w:sz w:val="24"/>
          <w:u w:val="single"/>
        </w:rPr>
        <w:t>（企业名称 ）</w:t>
      </w:r>
      <w:r>
        <w:rPr>
          <w:spacing w:val="80"/>
          <w:sz w:val="24"/>
          <w:u w:val="single"/>
        </w:rPr>
        <w:t xml:space="preserve"> </w:t>
      </w:r>
      <w:r>
        <w:rPr>
          <w:sz w:val="24"/>
        </w:rPr>
        <w:t>，从业人</w:t>
      </w:r>
      <w:r>
        <w:rPr>
          <w:spacing w:val="30"/>
          <w:sz w:val="24"/>
        </w:rPr>
        <w:t>员</w:t>
      </w:r>
      <w:r>
        <w:rPr>
          <w:rFonts w:ascii="Times New Roman" w:eastAsia="Times New Roman"/>
          <w:sz w:val="24"/>
          <w:u w:val="single"/>
        </w:rPr>
        <w:tab/>
      </w:r>
      <w:r>
        <w:rPr>
          <w:sz w:val="24"/>
        </w:rPr>
        <w:t>人</w:t>
      </w:r>
      <w:r>
        <w:rPr>
          <w:spacing w:val="-30"/>
          <w:sz w:val="24"/>
        </w:rPr>
        <w:t xml:space="preserve"> </w:t>
      </w:r>
      <w:r>
        <w:rPr>
          <w:sz w:val="24"/>
        </w:rPr>
        <w:t>，营业收入</w:t>
      </w:r>
      <w:r>
        <w:rPr>
          <w:spacing w:val="28"/>
          <w:sz w:val="24"/>
        </w:rPr>
        <w:t>为</w:t>
      </w:r>
      <w:r>
        <w:rPr>
          <w:spacing w:val="28"/>
          <w:position w:val="-2"/>
          <w:sz w:val="24"/>
        </w:rPr>
        <w:drawing>
          <wp:inline distT="0" distB="0" distL="0" distR="0">
            <wp:extent cx="144145" cy="3175"/>
            <wp:effectExtent l="0" t="0" r="0" b="0"/>
            <wp:docPr id="39" name="Image 39"/>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39" cstate="print"/>
                    <a:stretch>
                      <a:fillRect/>
                    </a:stretch>
                  </pic:blipFill>
                  <pic:spPr>
                    <a:xfrm>
                      <a:off x="0" y="0"/>
                      <a:ext cx="144779" cy="3809"/>
                    </a:xfrm>
                    <a:prstGeom prst="rect">
                      <a:avLst/>
                    </a:prstGeom>
                  </pic:spPr>
                </pic:pic>
              </a:graphicData>
            </a:graphic>
          </wp:inline>
        </w:drawing>
      </w:r>
      <w:r>
        <w:rPr>
          <w:sz w:val="24"/>
        </w:rPr>
        <w:t>万</w:t>
      </w:r>
      <w:r>
        <w:rPr>
          <w:spacing w:val="-30"/>
          <w:sz w:val="24"/>
        </w:rPr>
        <w:t xml:space="preserve"> </w:t>
      </w:r>
      <w:r>
        <w:rPr>
          <w:sz w:val="24"/>
        </w:rPr>
        <w:t>元</w:t>
      </w:r>
      <w:r>
        <w:rPr>
          <w:spacing w:val="-30"/>
          <w:sz w:val="24"/>
        </w:rPr>
        <w:t xml:space="preserve"> </w:t>
      </w:r>
      <w:r>
        <w:rPr>
          <w:sz w:val="24"/>
        </w:rPr>
        <w:t>，</w:t>
      </w:r>
      <w:r>
        <w:rPr>
          <w:spacing w:val="-29"/>
          <w:sz w:val="24"/>
        </w:rPr>
        <w:t xml:space="preserve"> </w:t>
      </w:r>
      <w:r>
        <w:rPr>
          <w:sz w:val="24"/>
        </w:rPr>
        <w:t>资</w:t>
      </w:r>
      <w:r>
        <w:rPr>
          <w:spacing w:val="-7"/>
          <w:sz w:val="24"/>
        </w:rPr>
        <w:t>产总额为</w:t>
      </w:r>
      <w:r>
        <w:rPr>
          <w:spacing w:val="19"/>
          <w:position w:val="-2"/>
          <w:sz w:val="24"/>
        </w:rPr>
        <w:drawing>
          <wp:inline distT="0" distB="0" distL="0" distR="0">
            <wp:extent cx="426085" cy="3810"/>
            <wp:effectExtent l="0" t="0" r="0" b="0"/>
            <wp:docPr id="40" name="Image 40"/>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0" cstate="print"/>
                    <a:stretch>
                      <a:fillRect/>
                    </a:stretch>
                  </pic:blipFill>
                  <pic:spPr>
                    <a:xfrm>
                      <a:off x="0" y="0"/>
                      <a:ext cx="426590" cy="3810"/>
                    </a:xfrm>
                    <a:prstGeom prst="rect">
                      <a:avLst/>
                    </a:prstGeom>
                  </pic:spPr>
                </pic:pic>
              </a:graphicData>
            </a:graphic>
          </wp:inline>
        </w:drawing>
      </w:r>
      <w:r>
        <w:rPr>
          <w:rFonts w:ascii="Times New Roman" w:eastAsia="Times New Roman"/>
          <w:sz w:val="24"/>
        </w:rPr>
        <w:tab/>
      </w:r>
      <w:r>
        <w:rPr>
          <w:rFonts w:ascii="Times New Roman" w:eastAsia="Times New Roman"/>
          <w:sz w:val="24"/>
        </w:rPr>
        <w:tab/>
      </w:r>
      <w:r>
        <w:rPr>
          <w:sz w:val="24"/>
        </w:rPr>
        <w:t>万</w:t>
      </w:r>
      <w:r>
        <w:rPr>
          <w:spacing w:val="-29"/>
          <w:sz w:val="24"/>
        </w:rPr>
        <w:t xml:space="preserve"> </w:t>
      </w:r>
      <w:r>
        <w:rPr>
          <w:sz w:val="24"/>
        </w:rPr>
        <w:t>元</w:t>
      </w:r>
      <w:r>
        <w:rPr>
          <w:spacing w:val="-12"/>
          <w:sz w:val="24"/>
        </w:rPr>
        <w:t xml:space="preserve"> </w:t>
      </w:r>
      <w:r>
        <w:rPr>
          <w:sz w:val="24"/>
        </w:rPr>
        <w:t>，</w:t>
      </w:r>
      <w:r>
        <w:rPr>
          <w:spacing w:val="-34"/>
          <w:sz w:val="24"/>
        </w:rPr>
        <w:t xml:space="preserve"> </w:t>
      </w:r>
      <w:r>
        <w:rPr>
          <w:sz w:val="24"/>
        </w:rPr>
        <w:t>属</w:t>
      </w:r>
      <w:r>
        <w:rPr>
          <w:spacing w:val="-34"/>
          <w:sz w:val="24"/>
        </w:rPr>
        <w:t xml:space="preserve"> </w:t>
      </w:r>
      <w:r>
        <w:rPr>
          <w:spacing w:val="-10"/>
          <w:sz w:val="24"/>
        </w:rPr>
        <w:t>于</w:t>
      </w:r>
    </w:p>
    <w:p>
      <w:pPr>
        <w:pStyle w:val="9"/>
        <w:spacing w:before="2"/>
        <w:ind w:left="875"/>
      </w:pPr>
      <w:r>
        <w:rPr>
          <w:rFonts w:ascii="Times New Roman" w:eastAsia="Times New Roman"/>
          <w:spacing w:val="70"/>
          <w:u w:val="single"/>
        </w:rPr>
        <w:t xml:space="preserve">  </w:t>
      </w:r>
      <w:r>
        <w:rPr>
          <w:u w:val="single"/>
        </w:rPr>
        <w:t>（中型企业、小型企业、微型企业</w:t>
      </w:r>
      <w:r>
        <w:rPr>
          <w:spacing w:val="-5"/>
          <w:u w:val="single"/>
        </w:rPr>
        <w:t>）</w:t>
      </w:r>
      <w:r>
        <w:rPr>
          <w:spacing w:val="-5"/>
        </w:rPr>
        <w:t>；</w:t>
      </w:r>
    </w:p>
    <w:p>
      <w:pPr>
        <w:pStyle w:val="15"/>
        <w:numPr>
          <w:ilvl w:val="0"/>
          <w:numId w:val="47"/>
        </w:numPr>
        <w:tabs>
          <w:tab w:val="left" w:pos="1673"/>
          <w:tab w:val="left" w:pos="5874"/>
          <w:tab w:val="left" w:pos="7597"/>
        </w:tabs>
        <w:spacing w:before="185" w:after="0" w:line="350" w:lineRule="auto"/>
        <w:ind w:left="875" w:right="1098" w:firstLine="516"/>
        <w:jc w:val="both"/>
        <w:rPr>
          <w:sz w:val="24"/>
        </w:rPr>
      </w:pPr>
      <w:r>
        <w:rPr>
          <w:rFonts w:ascii="Times New Roman" w:eastAsia="Times New Roman"/>
          <w:spacing w:val="59"/>
          <w:sz w:val="24"/>
          <w:u w:val="single"/>
        </w:rPr>
        <w:t xml:space="preserve"> </w:t>
      </w:r>
      <w:r>
        <w:rPr>
          <w:sz w:val="24"/>
          <w:u w:val="single"/>
        </w:rPr>
        <w:t>（标</w:t>
      </w:r>
      <w:r>
        <w:rPr>
          <w:spacing w:val="-30"/>
          <w:sz w:val="24"/>
          <w:u w:val="single"/>
        </w:rPr>
        <w:t xml:space="preserve"> </w:t>
      </w:r>
      <w:r>
        <w:rPr>
          <w:sz w:val="24"/>
          <w:u w:val="single"/>
        </w:rPr>
        <w:t>的</w:t>
      </w:r>
      <w:r>
        <w:rPr>
          <w:spacing w:val="12"/>
          <w:sz w:val="24"/>
          <w:u w:val="single"/>
        </w:rPr>
        <w:t>名</w:t>
      </w:r>
      <w:r>
        <w:rPr>
          <w:sz w:val="24"/>
          <w:u w:val="single"/>
        </w:rPr>
        <w:t>称</w:t>
      </w:r>
      <w:r>
        <w:rPr>
          <w:spacing w:val="-30"/>
          <w:sz w:val="24"/>
          <w:u w:val="single"/>
        </w:rPr>
        <w:t xml:space="preserve"> </w:t>
      </w:r>
      <w:r>
        <w:rPr>
          <w:sz w:val="24"/>
          <w:u w:val="single"/>
        </w:rPr>
        <w:t>）</w:t>
      </w:r>
      <w:r>
        <w:rPr>
          <w:sz w:val="24"/>
        </w:rPr>
        <w:t xml:space="preserve"> ，属</w:t>
      </w:r>
      <w:r>
        <w:rPr>
          <w:spacing w:val="37"/>
          <w:sz w:val="24"/>
        </w:rPr>
        <w:t>于</w:t>
      </w:r>
      <w:r>
        <w:rPr>
          <w:rFonts w:ascii="Times New Roman" w:eastAsia="Times New Roman"/>
          <w:spacing w:val="80"/>
          <w:w w:val="150"/>
          <w:sz w:val="24"/>
          <w:u w:val="single"/>
        </w:rPr>
        <w:t xml:space="preserve"> </w:t>
      </w:r>
      <w:r>
        <w:rPr>
          <w:sz w:val="24"/>
          <w:u w:val="single"/>
        </w:rPr>
        <w:t>（</w:t>
      </w:r>
      <w:r>
        <w:rPr>
          <w:spacing w:val="12"/>
          <w:sz w:val="24"/>
          <w:u w:val="single"/>
        </w:rPr>
        <w:t>采</w:t>
      </w:r>
      <w:r>
        <w:rPr>
          <w:sz w:val="24"/>
          <w:u w:val="single"/>
        </w:rPr>
        <w:t>购文件</w:t>
      </w:r>
      <w:r>
        <w:rPr>
          <w:spacing w:val="-30"/>
          <w:sz w:val="24"/>
          <w:u w:val="single"/>
        </w:rPr>
        <w:t xml:space="preserve"> </w:t>
      </w:r>
      <w:r>
        <w:rPr>
          <w:sz w:val="24"/>
          <w:u w:val="single"/>
        </w:rPr>
        <w:t>中</w:t>
      </w:r>
      <w:r>
        <w:rPr>
          <w:spacing w:val="-30"/>
          <w:sz w:val="24"/>
          <w:u w:val="single"/>
        </w:rPr>
        <w:t xml:space="preserve"> </w:t>
      </w:r>
      <w:r>
        <w:rPr>
          <w:sz w:val="24"/>
          <w:u w:val="single"/>
        </w:rPr>
        <w:t>明确</w:t>
      </w:r>
      <w:r>
        <w:rPr>
          <w:spacing w:val="-30"/>
          <w:sz w:val="24"/>
          <w:u w:val="single"/>
        </w:rPr>
        <w:t xml:space="preserve"> </w:t>
      </w:r>
      <w:r>
        <w:rPr>
          <w:sz w:val="24"/>
          <w:u w:val="single"/>
        </w:rPr>
        <w:t>的</w:t>
      </w:r>
      <w:r>
        <w:rPr>
          <w:spacing w:val="12"/>
          <w:sz w:val="24"/>
          <w:u w:val="single"/>
        </w:rPr>
        <w:t>所</w:t>
      </w:r>
      <w:r>
        <w:rPr>
          <w:sz w:val="24"/>
          <w:u w:val="single"/>
        </w:rPr>
        <w:t>属行业</w:t>
      </w:r>
      <w:r>
        <w:rPr>
          <w:spacing w:val="-30"/>
          <w:sz w:val="24"/>
          <w:u w:val="single"/>
        </w:rPr>
        <w:t xml:space="preserve"> </w:t>
      </w:r>
      <w:r>
        <w:rPr>
          <w:sz w:val="24"/>
          <w:u w:val="single"/>
        </w:rPr>
        <w:t>）</w:t>
      </w:r>
      <w:r>
        <w:rPr>
          <w:spacing w:val="26"/>
          <w:sz w:val="24"/>
        </w:rPr>
        <w:t xml:space="preserve"> </w:t>
      </w:r>
      <w:r>
        <w:rPr>
          <w:sz w:val="24"/>
        </w:rPr>
        <w:t>；承接企业</w:t>
      </w:r>
      <w:r>
        <w:rPr>
          <w:spacing w:val="31"/>
          <w:sz w:val="24"/>
        </w:rPr>
        <w:t>为</w:t>
      </w:r>
      <w:r>
        <w:rPr>
          <w:rFonts w:ascii="Times New Roman" w:eastAsia="Times New Roman"/>
          <w:spacing w:val="80"/>
          <w:sz w:val="24"/>
          <w:u w:val="single"/>
        </w:rPr>
        <w:t xml:space="preserve"> </w:t>
      </w:r>
      <w:r>
        <w:rPr>
          <w:sz w:val="24"/>
          <w:u w:val="single"/>
        </w:rPr>
        <w:t>（企业名称 ）</w:t>
      </w:r>
      <w:r>
        <w:rPr>
          <w:spacing w:val="80"/>
          <w:sz w:val="24"/>
          <w:u w:val="single"/>
        </w:rPr>
        <w:t xml:space="preserve"> </w:t>
      </w:r>
      <w:r>
        <w:rPr>
          <w:sz w:val="24"/>
        </w:rPr>
        <w:t>，从业人</w:t>
      </w:r>
      <w:r>
        <w:rPr>
          <w:spacing w:val="30"/>
          <w:sz w:val="24"/>
        </w:rPr>
        <w:t>员</w:t>
      </w:r>
      <w:r>
        <w:rPr>
          <w:rFonts w:ascii="Times New Roman" w:eastAsia="Times New Roman"/>
          <w:sz w:val="24"/>
          <w:u w:val="single"/>
        </w:rPr>
        <w:tab/>
      </w:r>
      <w:r>
        <w:rPr>
          <w:sz w:val="24"/>
        </w:rPr>
        <w:t>人</w:t>
      </w:r>
      <w:r>
        <w:rPr>
          <w:spacing w:val="-30"/>
          <w:sz w:val="24"/>
        </w:rPr>
        <w:t xml:space="preserve"> </w:t>
      </w:r>
      <w:r>
        <w:rPr>
          <w:sz w:val="24"/>
        </w:rPr>
        <w:t>，营业收入</w:t>
      </w:r>
      <w:r>
        <w:rPr>
          <w:spacing w:val="28"/>
          <w:sz w:val="24"/>
        </w:rPr>
        <w:t>为</w:t>
      </w:r>
      <w:r>
        <w:rPr>
          <w:rFonts w:ascii="Times New Roman" w:eastAsia="Times New Roman"/>
          <w:spacing w:val="28"/>
          <w:sz w:val="24"/>
          <w:u w:val="single"/>
        </w:rPr>
        <w:t xml:space="preserve">  </w:t>
      </w:r>
      <w:r>
        <w:rPr>
          <w:sz w:val="24"/>
        </w:rPr>
        <w:t>万</w:t>
      </w:r>
      <w:r>
        <w:rPr>
          <w:spacing w:val="-30"/>
          <w:sz w:val="24"/>
        </w:rPr>
        <w:t xml:space="preserve"> </w:t>
      </w:r>
      <w:r>
        <w:rPr>
          <w:sz w:val="24"/>
        </w:rPr>
        <w:t>元</w:t>
      </w:r>
      <w:r>
        <w:rPr>
          <w:spacing w:val="-19"/>
          <w:sz w:val="24"/>
        </w:rPr>
        <w:t xml:space="preserve"> </w:t>
      </w:r>
      <w:r>
        <w:rPr>
          <w:sz w:val="24"/>
        </w:rPr>
        <w:t>，</w:t>
      </w:r>
      <w:r>
        <w:rPr>
          <w:spacing w:val="-30"/>
          <w:sz w:val="24"/>
        </w:rPr>
        <w:t xml:space="preserve"> </w:t>
      </w:r>
      <w:r>
        <w:rPr>
          <w:sz w:val="24"/>
        </w:rPr>
        <w:t>资</w:t>
      </w:r>
      <w:r>
        <w:rPr>
          <w:spacing w:val="-7"/>
          <w:sz w:val="24"/>
        </w:rPr>
        <w:t>产总额为</w:t>
      </w:r>
      <w:r>
        <w:rPr>
          <w:spacing w:val="19"/>
          <w:position w:val="-1"/>
          <w:sz w:val="24"/>
        </w:rPr>
        <w:drawing>
          <wp:inline distT="0" distB="0" distL="0" distR="0">
            <wp:extent cx="426085" cy="3810"/>
            <wp:effectExtent l="0" t="0" r="0" b="0"/>
            <wp:docPr id="41" name="Image 4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40" cstate="print"/>
                    <a:stretch>
                      <a:fillRect/>
                    </a:stretch>
                  </pic:blipFill>
                  <pic:spPr>
                    <a:xfrm>
                      <a:off x="0" y="0"/>
                      <a:ext cx="426590" cy="3810"/>
                    </a:xfrm>
                    <a:prstGeom prst="rect">
                      <a:avLst/>
                    </a:prstGeom>
                  </pic:spPr>
                </pic:pic>
              </a:graphicData>
            </a:graphic>
          </wp:inline>
        </w:drawing>
      </w:r>
      <w:r>
        <w:rPr>
          <w:rFonts w:ascii="Times New Roman" w:eastAsia="Times New Roman"/>
          <w:sz w:val="24"/>
        </w:rPr>
        <w:tab/>
      </w:r>
      <w:r>
        <w:rPr>
          <w:rFonts w:ascii="Times New Roman" w:eastAsia="Times New Roman"/>
          <w:sz w:val="24"/>
        </w:rPr>
        <w:tab/>
      </w:r>
      <w:r>
        <w:rPr>
          <w:sz w:val="24"/>
        </w:rPr>
        <w:t>万</w:t>
      </w:r>
      <w:r>
        <w:rPr>
          <w:spacing w:val="-29"/>
          <w:sz w:val="24"/>
        </w:rPr>
        <w:t xml:space="preserve"> </w:t>
      </w:r>
      <w:r>
        <w:rPr>
          <w:sz w:val="24"/>
        </w:rPr>
        <w:t>元</w:t>
      </w:r>
      <w:r>
        <w:rPr>
          <w:spacing w:val="-12"/>
          <w:sz w:val="24"/>
        </w:rPr>
        <w:t xml:space="preserve"> </w:t>
      </w:r>
      <w:r>
        <w:rPr>
          <w:sz w:val="24"/>
        </w:rPr>
        <w:t>，</w:t>
      </w:r>
      <w:r>
        <w:rPr>
          <w:spacing w:val="-34"/>
          <w:sz w:val="24"/>
        </w:rPr>
        <w:t xml:space="preserve"> </w:t>
      </w:r>
      <w:r>
        <w:rPr>
          <w:sz w:val="24"/>
        </w:rPr>
        <w:t>属</w:t>
      </w:r>
      <w:r>
        <w:rPr>
          <w:spacing w:val="-34"/>
          <w:sz w:val="24"/>
        </w:rPr>
        <w:t xml:space="preserve"> </w:t>
      </w:r>
      <w:r>
        <w:rPr>
          <w:spacing w:val="-10"/>
          <w:sz w:val="24"/>
        </w:rPr>
        <w:t>于</w:t>
      </w:r>
    </w:p>
    <w:p>
      <w:pPr>
        <w:pStyle w:val="9"/>
        <w:spacing w:line="309" w:lineRule="exact"/>
        <w:ind w:left="875"/>
      </w:pPr>
      <w:r>
        <w:rPr>
          <w:rFonts w:ascii="Times New Roman" w:eastAsia="Times New Roman"/>
          <w:spacing w:val="70"/>
          <w:u w:val="single"/>
        </w:rPr>
        <w:t xml:space="preserve">  </w:t>
      </w:r>
      <w:r>
        <w:rPr>
          <w:u w:val="single"/>
        </w:rPr>
        <w:t>（中型企业、小型企业、微型企业</w:t>
      </w:r>
      <w:r>
        <w:rPr>
          <w:spacing w:val="-5"/>
          <w:u w:val="single"/>
        </w:rPr>
        <w:t>）</w:t>
      </w:r>
      <w:r>
        <w:rPr>
          <w:spacing w:val="-5"/>
        </w:rPr>
        <w:t>；</w:t>
      </w:r>
    </w:p>
    <w:p>
      <w:pPr>
        <w:spacing w:before="216"/>
        <w:ind w:left="1403" w:right="0" w:firstLine="0"/>
        <w:jc w:val="left"/>
        <w:rPr>
          <w:sz w:val="24"/>
        </w:rPr>
      </w:pPr>
      <w:r>
        <w:rPr>
          <w:spacing w:val="-5"/>
          <w:sz w:val="24"/>
        </w:rPr>
        <w:t>……</w:t>
      </w:r>
    </w:p>
    <w:p>
      <w:pPr>
        <w:pStyle w:val="9"/>
        <w:spacing w:before="108" w:line="340" w:lineRule="auto"/>
        <w:ind w:left="889" w:right="1156" w:firstLine="525"/>
      </w:pPr>
      <w:r>
        <w:rPr>
          <w:spacing w:val="-8"/>
        </w:rPr>
        <w:t>以上企业，不属于大企业的分支机构，不存在控股股东为大企业的情形，也</w:t>
      </w:r>
      <w:r>
        <w:rPr>
          <w:spacing w:val="11"/>
        </w:rPr>
        <w:t>不存在与大企业的负责人为同一人的情形。</w:t>
      </w:r>
    </w:p>
    <w:p>
      <w:pPr>
        <w:pStyle w:val="9"/>
        <w:spacing w:before="21"/>
        <w:ind w:left="1405"/>
      </w:pPr>
      <w:r>
        <w:rPr>
          <w:spacing w:val="-1"/>
        </w:rPr>
        <w:t>本企业对上述声明内容的真实性负责。如有虚假，将依法承担相应责任。</w:t>
      </w:r>
    </w:p>
    <w:p>
      <w:pPr>
        <w:pStyle w:val="9"/>
      </w:pPr>
    </w:p>
    <w:p>
      <w:pPr>
        <w:pStyle w:val="9"/>
      </w:pPr>
    </w:p>
    <w:p>
      <w:pPr>
        <w:pStyle w:val="9"/>
        <w:spacing w:before="172"/>
      </w:pPr>
    </w:p>
    <w:p>
      <w:pPr>
        <w:pStyle w:val="9"/>
        <w:tabs>
          <w:tab w:val="left" w:pos="6337"/>
          <w:tab w:val="left" w:pos="6891"/>
        </w:tabs>
        <w:spacing w:before="1" w:line="348" w:lineRule="auto"/>
        <w:ind w:left="5209" w:right="2789" w:hanging="39"/>
      </w:pPr>
      <w:r>
        <w:rPr>
          <w:spacing w:val="-2"/>
        </w:rPr>
        <w:t>投标人名称（公章)：</w:t>
      </w:r>
      <w:r>
        <w:t>日</w:t>
      </w:r>
      <w:r>
        <w:rPr>
          <w:spacing w:val="33"/>
        </w:rPr>
        <w:t>期</w:t>
      </w:r>
      <w:r>
        <w:t>：</w:t>
      </w:r>
      <w:r>
        <w:tab/>
      </w:r>
      <w:r>
        <w:rPr>
          <w:spacing w:val="-10"/>
        </w:rPr>
        <w:t>年</w:t>
      </w:r>
      <w:r>
        <w:tab/>
      </w:r>
      <w:r>
        <w:rPr>
          <w:spacing w:val="-10"/>
        </w:rPr>
        <w:t>月</w:t>
      </w:r>
      <w:r>
        <w:rPr>
          <w:spacing w:val="80"/>
        </w:rPr>
        <w:t xml:space="preserve"> </w:t>
      </w:r>
      <w:r>
        <w:rPr>
          <w:spacing w:val="-10"/>
        </w:rPr>
        <w:t>日</w:t>
      </w:r>
    </w:p>
    <w:p>
      <w:pPr>
        <w:pStyle w:val="9"/>
        <w:spacing w:before="180"/>
      </w:pPr>
    </w:p>
    <w:p>
      <w:pPr>
        <w:spacing w:before="0" w:line="343" w:lineRule="auto"/>
        <w:ind w:left="884" w:right="1237" w:firstLine="0"/>
        <w:jc w:val="left"/>
        <w:rPr>
          <w:b/>
          <w:sz w:val="21"/>
        </w:rPr>
      </w:pPr>
      <w:r>
        <w:rPr>
          <w:b/>
          <w:spacing w:val="-8"/>
          <w:sz w:val="21"/>
        </w:rPr>
        <w:t xml:space="preserve">说明： </w:t>
      </w:r>
      <w:r>
        <w:rPr>
          <w:b/>
          <w:sz w:val="21"/>
        </w:rPr>
        <w:t>1</w:t>
      </w:r>
      <w:r>
        <w:rPr>
          <w:b/>
          <w:spacing w:val="2"/>
          <w:sz w:val="21"/>
        </w:rPr>
        <w:t xml:space="preserve">.重要提示：供应商应仔细阅读本函附件 </w:t>
      </w:r>
      <w:r>
        <w:rPr>
          <w:b/>
          <w:sz w:val="21"/>
        </w:rPr>
        <w:t>1 关于“中小企业声明函”的填写要</w:t>
      </w:r>
      <w:r>
        <w:rPr>
          <w:b/>
          <w:spacing w:val="-4"/>
          <w:sz w:val="21"/>
        </w:rPr>
        <w:t>求及提交要求 ，否则 ， 因填写或提交等产生 的一切不利后果 ，须 自行承担。</w:t>
      </w:r>
    </w:p>
    <w:p>
      <w:pPr>
        <w:spacing w:before="33" w:line="340" w:lineRule="auto"/>
        <w:ind w:left="884" w:right="1259" w:firstLine="664"/>
        <w:jc w:val="left"/>
        <w:rPr>
          <w:sz w:val="21"/>
        </w:rPr>
      </w:pPr>
      <w:r>
        <w:rPr>
          <w:b/>
          <w:sz w:val="21"/>
        </w:rPr>
        <w:t>2</w:t>
      </w:r>
      <w:r>
        <w:rPr>
          <w:b/>
          <w:spacing w:val="-43"/>
          <w:sz w:val="21"/>
        </w:rPr>
        <w:t xml:space="preserve">. </w:t>
      </w:r>
      <w:r>
        <w:rPr>
          <w:spacing w:val="9"/>
          <w:sz w:val="21"/>
        </w:rPr>
        <w:t>从业人员、营业收入、资产总额填报上一年度数据， 无上一年度数据的新</w:t>
      </w:r>
      <w:r>
        <w:rPr>
          <w:spacing w:val="8"/>
          <w:sz w:val="21"/>
        </w:rPr>
        <w:t>成立企业可不填报。</w:t>
      </w:r>
    </w:p>
    <w:p>
      <w:pPr>
        <w:spacing w:after="0" w:line="340" w:lineRule="auto"/>
        <w:jc w:val="left"/>
        <w:rPr>
          <w:sz w:val="21"/>
        </w:rPr>
        <w:sectPr>
          <w:pgSz w:w="11910" w:h="16840"/>
          <w:pgMar w:top="1100" w:right="720" w:bottom="1020" w:left="920" w:header="918" w:footer="836" w:gutter="0"/>
          <w:pgNumType w:fmt="numberInDash"/>
          <w:cols w:space="720" w:num="1"/>
        </w:sectPr>
      </w:pPr>
    </w:p>
    <w:p>
      <w:pPr>
        <w:pStyle w:val="9"/>
      </w:pPr>
    </w:p>
    <w:p>
      <w:pPr>
        <w:pStyle w:val="9"/>
        <w:spacing w:before="109"/>
      </w:pPr>
    </w:p>
    <w:p>
      <w:pPr>
        <w:pStyle w:val="8"/>
        <w:ind w:left="904"/>
      </w:pPr>
      <w:r>
        <w:t>附件</w:t>
      </w:r>
      <w:r>
        <w:rPr>
          <w:spacing w:val="-10"/>
        </w:rPr>
        <w:t>1</w:t>
      </w:r>
    </w:p>
    <w:p>
      <w:pPr>
        <w:pStyle w:val="9"/>
        <w:spacing w:before="230"/>
        <w:rPr>
          <w:b/>
        </w:rPr>
      </w:pPr>
    </w:p>
    <w:p>
      <w:pPr>
        <w:spacing w:before="0" w:line="360" w:lineRule="auto"/>
        <w:ind w:left="1348" w:right="4427" w:firstLine="24"/>
        <w:jc w:val="left"/>
        <w:rPr>
          <w:sz w:val="24"/>
        </w:rPr>
      </w:pPr>
      <w:r>
        <w:rPr>
          <w:b/>
          <w:spacing w:val="-8"/>
          <w:sz w:val="24"/>
        </w:rPr>
        <w:t xml:space="preserve">（一）关于“中小企业声明函”的填写要求 </w:t>
      </w:r>
      <w:r>
        <w:rPr>
          <w:spacing w:val="-2"/>
          <w:sz w:val="24"/>
        </w:rPr>
        <w:t>“中小企业声明函”具体填写要求如下： 1.“单位名称”应填写采购人名称。</w:t>
      </w:r>
    </w:p>
    <w:p>
      <w:pPr>
        <w:pStyle w:val="15"/>
        <w:numPr>
          <w:ilvl w:val="0"/>
          <w:numId w:val="48"/>
        </w:numPr>
        <w:tabs>
          <w:tab w:val="left" w:pos="1612"/>
        </w:tabs>
        <w:spacing w:before="15" w:after="0" w:line="348" w:lineRule="auto"/>
        <w:ind w:left="908" w:right="1060" w:firstLine="458"/>
        <w:jc w:val="both"/>
        <w:rPr>
          <w:sz w:val="24"/>
        </w:rPr>
      </w:pPr>
      <w:r>
        <w:rPr>
          <w:spacing w:val="-4"/>
          <w:sz w:val="24"/>
        </w:rPr>
        <w:t>“项目名称”应按照采购文件中确定的项目名称填写。对于分包方式面向中小企业采购的项目，应标明中小企业的具体分包内容；对于以联合体方式面向</w:t>
      </w:r>
      <w:r>
        <w:rPr>
          <w:spacing w:val="-2"/>
          <w:sz w:val="24"/>
        </w:rPr>
        <w:t>中小企业采购的项目，应标明联合体中中小企业所承担的具体内容。</w:t>
      </w:r>
    </w:p>
    <w:p>
      <w:pPr>
        <w:pStyle w:val="15"/>
        <w:numPr>
          <w:ilvl w:val="0"/>
          <w:numId w:val="48"/>
        </w:numPr>
        <w:tabs>
          <w:tab w:val="left" w:pos="1605"/>
        </w:tabs>
        <w:spacing w:before="39" w:after="0" w:line="350" w:lineRule="auto"/>
        <w:ind w:left="884" w:right="1000" w:firstLine="482"/>
        <w:jc w:val="both"/>
        <w:rPr>
          <w:sz w:val="24"/>
        </w:rPr>
      </w:pPr>
      <w:r>
        <w:rPr>
          <w:spacing w:val="-2"/>
          <w:sz w:val="24"/>
        </w:rPr>
        <w:t>“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pStyle w:val="15"/>
        <w:numPr>
          <w:ilvl w:val="0"/>
          <w:numId w:val="48"/>
        </w:numPr>
        <w:tabs>
          <w:tab w:val="left" w:pos="1574"/>
        </w:tabs>
        <w:spacing w:before="41" w:after="0" w:line="348" w:lineRule="auto"/>
        <w:ind w:left="884" w:right="1060" w:firstLine="477"/>
        <w:jc w:val="both"/>
        <w:rPr>
          <w:sz w:val="24"/>
        </w:rPr>
      </w:pPr>
      <w:r>
        <w:rPr>
          <w:spacing w:val="-3"/>
          <w:sz w:val="24"/>
        </w:rPr>
        <w:t>“采购文件中明确的所属行业”应填写采购文件中明确的采购标的所属行</w:t>
      </w:r>
      <w:r>
        <w:rPr>
          <w:spacing w:val="-4"/>
          <w:sz w:val="24"/>
        </w:rPr>
        <w:t>业，并应确保与采购标的涉及的货物制造商/服务承接商/工程承建商（根据项目</w:t>
      </w:r>
      <w:r>
        <w:rPr>
          <w:spacing w:val="-2"/>
          <w:sz w:val="24"/>
        </w:rPr>
        <w:t>属性确定）本身的所属行业保持一致。</w:t>
      </w:r>
    </w:p>
    <w:p>
      <w:pPr>
        <w:pStyle w:val="9"/>
        <w:spacing w:before="39" w:line="350" w:lineRule="auto"/>
        <w:ind w:left="884" w:right="1057" w:firstLine="480"/>
        <w:jc w:val="both"/>
      </w:pPr>
      <w:r>
        <w:rPr>
          <w:spacing w:val="-4"/>
        </w:rPr>
        <w:t>对于分包方式面向中小企业采购的项目，“采购文件中明确的所属行业”应</w:t>
      </w:r>
      <w:r>
        <w:rPr>
          <w:spacing w:val="-10"/>
        </w:rPr>
        <w:t>按照采购文件中注明的分包给中小企业的采购标的所属行业填写，并应确保与该分包部分采购标的涉及的货物制造商/服务承接商/工程承建商（根据项目属性确定）</w:t>
      </w:r>
      <w:r>
        <w:rPr>
          <w:spacing w:val="-2"/>
        </w:rPr>
        <w:t>本身的所属行业保持一致。</w:t>
      </w:r>
    </w:p>
    <w:p>
      <w:pPr>
        <w:pStyle w:val="9"/>
        <w:spacing w:before="43" w:line="350" w:lineRule="auto"/>
        <w:ind w:left="884" w:right="1049" w:firstLine="480"/>
        <w:jc w:val="both"/>
      </w:pPr>
      <w:r>
        <w:rPr>
          <w:spacing w:val="-16"/>
        </w:rPr>
        <w:t>对于以联合体方式面向中小企业采购的项目，“采购文件中明确的所属行业”应</w:t>
      </w:r>
      <w:r>
        <w:rPr>
          <w:spacing w:val="-10"/>
        </w:rPr>
        <w:t>按照采购文件中注明的联合体中中小企业承担的采购标的所属行业填写，并应确保与该承担部分采购标的涉及的货物制造商/服务承接商/工程承建商（根据项目属性</w:t>
      </w:r>
      <w:r>
        <w:rPr>
          <w:spacing w:val="-2"/>
        </w:rPr>
        <w:t>确定）本身的所属行业保持一致。</w:t>
      </w:r>
    </w:p>
    <w:p>
      <w:pPr>
        <w:pStyle w:val="15"/>
        <w:numPr>
          <w:ilvl w:val="0"/>
          <w:numId w:val="48"/>
        </w:numPr>
        <w:tabs>
          <w:tab w:val="left" w:pos="1596"/>
        </w:tabs>
        <w:spacing w:before="40" w:after="0" w:line="240" w:lineRule="auto"/>
        <w:ind w:left="1596" w:right="0" w:hanging="227"/>
        <w:jc w:val="left"/>
        <w:rPr>
          <w:sz w:val="24"/>
        </w:rPr>
      </w:pPr>
      <w:r>
        <w:rPr>
          <w:spacing w:val="-10"/>
          <w:sz w:val="24"/>
        </w:rPr>
        <w:t>“企业名称”应填写投标（响应）的货物制造商/服务承接商/工程承建商</w:t>
      </w:r>
    </w:p>
    <w:p>
      <w:pPr>
        <w:pStyle w:val="9"/>
        <w:spacing w:before="113"/>
        <w:ind w:left="891"/>
      </w:pPr>
      <w:r>
        <w:rPr>
          <w:spacing w:val="-6"/>
        </w:rPr>
        <w:t>（根据项目属性确定）</w:t>
      </w:r>
      <w:r>
        <w:rPr>
          <w:spacing w:val="-12"/>
        </w:rPr>
        <w:t>。</w:t>
      </w:r>
    </w:p>
    <w:p>
      <w:pPr>
        <w:pStyle w:val="9"/>
        <w:spacing w:before="171" w:line="343" w:lineRule="auto"/>
        <w:ind w:left="884" w:right="1240" w:firstLine="480"/>
      </w:pPr>
      <w:r>
        <w:rPr>
          <w:spacing w:val="-10"/>
        </w:rPr>
        <w:t>对于分包方式面向中小企业采购的项目，“企业名称”应填写分包部分采购</w:t>
      </w:r>
      <w:r>
        <w:rPr>
          <w:spacing w:val="-2"/>
        </w:rPr>
        <w:t>标的对应的货物制造商/服务承接商/工程承建商（根据项目属性确定）。</w:t>
      </w:r>
    </w:p>
    <w:p>
      <w:pPr>
        <w:spacing w:after="0" w:line="343" w:lineRule="auto"/>
        <w:sectPr>
          <w:pgSz w:w="11910" w:h="16840"/>
          <w:pgMar w:top="1100" w:right="720" w:bottom="1020" w:left="920" w:header="918" w:footer="836" w:gutter="0"/>
          <w:pgNumType w:fmt="numberInDash"/>
          <w:cols w:space="720" w:num="1"/>
        </w:sectPr>
      </w:pPr>
    </w:p>
    <w:p>
      <w:pPr>
        <w:pStyle w:val="9"/>
        <w:spacing w:before="34"/>
      </w:pPr>
    </w:p>
    <w:p>
      <w:pPr>
        <w:pStyle w:val="9"/>
        <w:spacing w:before="1" w:line="350" w:lineRule="auto"/>
        <w:ind w:left="887" w:right="1060" w:firstLine="477"/>
        <w:jc w:val="both"/>
      </w:pPr>
      <w:r>
        <w:rPr>
          <w:spacing w:val="-4"/>
        </w:rPr>
        <w:t>对于以联合体方式面向中小企业采购的项目，“企业名称”应填写联合体中中小企业承担采购标的对应的货物制造商/服务承接商/工程承建商（根据项目属</w:t>
      </w:r>
      <w:r>
        <w:rPr>
          <w:spacing w:val="-2"/>
        </w:rPr>
        <w:t>性确定）。</w:t>
      </w:r>
    </w:p>
    <w:p>
      <w:pPr>
        <w:pStyle w:val="15"/>
        <w:numPr>
          <w:ilvl w:val="0"/>
          <w:numId w:val="48"/>
        </w:numPr>
        <w:tabs>
          <w:tab w:val="left" w:pos="1632"/>
        </w:tabs>
        <w:spacing w:before="30" w:after="0" w:line="340" w:lineRule="auto"/>
        <w:ind w:left="894" w:right="1233" w:firstLine="470"/>
        <w:jc w:val="both"/>
        <w:rPr>
          <w:sz w:val="24"/>
        </w:rPr>
      </w:pPr>
      <w:r>
        <w:rPr>
          <w:spacing w:val="-10"/>
          <w:sz w:val="24"/>
        </w:rPr>
        <w:t>从业人员、资产总额指标以上年度末数据为依据，营业收入指标以上年度</w:t>
      </w:r>
      <w:r>
        <w:rPr>
          <w:spacing w:val="-2"/>
          <w:sz w:val="24"/>
        </w:rPr>
        <w:t>累计数据为依据。无上年度数据的新成立企业可不填报。</w:t>
      </w:r>
    </w:p>
    <w:p>
      <w:pPr>
        <w:pStyle w:val="15"/>
        <w:numPr>
          <w:ilvl w:val="0"/>
          <w:numId w:val="48"/>
        </w:numPr>
        <w:tabs>
          <w:tab w:val="left" w:pos="1597"/>
        </w:tabs>
        <w:spacing w:before="35" w:after="0" w:line="352" w:lineRule="auto"/>
        <w:ind w:left="884" w:right="1062" w:firstLine="484"/>
        <w:jc w:val="both"/>
        <w:rPr>
          <w:sz w:val="24"/>
        </w:rPr>
      </w:pPr>
      <w:r>
        <w:rPr>
          <w:spacing w:val="-11"/>
          <w:sz w:val="24"/>
        </w:rPr>
        <w:t>“ 中型企业/小型企业/微型企业”部分，供应商应依据企业上年度从业人</w:t>
      </w:r>
      <w:r>
        <w:rPr>
          <w:spacing w:val="-4"/>
          <w:sz w:val="24"/>
        </w:rPr>
        <w:t>员、营业收入、资产总额等指标，按照《中小企业划型标准规定》（工信部联企</w:t>
      </w:r>
      <w:r>
        <w:rPr>
          <w:spacing w:val="-2"/>
          <w:sz w:val="24"/>
        </w:rPr>
        <w:t>业〔2011〕300</w:t>
      </w:r>
      <w:r>
        <w:rPr>
          <w:spacing w:val="-11"/>
          <w:sz w:val="24"/>
        </w:rPr>
        <w:t xml:space="preserve"> 号</w:t>
      </w:r>
      <w:r>
        <w:rPr>
          <w:spacing w:val="-2"/>
          <w:sz w:val="24"/>
        </w:rPr>
        <w:t>）、《金融业企业划型标准规定》（银发〔2015〕309</w:t>
      </w:r>
      <w:r>
        <w:rPr>
          <w:spacing w:val="-9"/>
          <w:sz w:val="24"/>
        </w:rPr>
        <w:t xml:space="preserve"> 号</w:t>
      </w:r>
      <w:r>
        <w:rPr>
          <w:spacing w:val="-2"/>
          <w:sz w:val="24"/>
        </w:rPr>
        <w:t>），</w:t>
      </w:r>
      <w:r>
        <w:rPr>
          <w:spacing w:val="-10"/>
          <w:sz w:val="24"/>
        </w:rPr>
        <w:t>判断“ 中小企业声明函”载明的货物制造商/服务承接商/工程承建商</w:t>
      </w:r>
      <w:r>
        <w:rPr>
          <w:spacing w:val="-6"/>
          <w:sz w:val="24"/>
        </w:rPr>
        <w:t>（根据项目</w:t>
      </w:r>
      <w:r>
        <w:rPr>
          <w:spacing w:val="-2"/>
          <w:sz w:val="24"/>
        </w:rPr>
        <w:t>属性确定）是否属于采购文件所属行业的中型企业/小型企业/微型企业。</w:t>
      </w:r>
    </w:p>
    <w:p>
      <w:pPr>
        <w:pStyle w:val="15"/>
        <w:numPr>
          <w:ilvl w:val="0"/>
          <w:numId w:val="48"/>
        </w:numPr>
        <w:tabs>
          <w:tab w:val="left" w:pos="1632"/>
        </w:tabs>
        <w:spacing w:before="35" w:after="0" w:line="355" w:lineRule="auto"/>
        <w:ind w:left="884" w:right="1124" w:firstLine="480"/>
        <w:jc w:val="both"/>
        <w:rPr>
          <w:sz w:val="24"/>
        </w:rPr>
      </w:pPr>
      <w:r>
        <w:rPr>
          <w:spacing w:val="-6"/>
          <w:sz w:val="24"/>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w:t>
      </w:r>
      <w:r>
        <w:rPr>
          <w:spacing w:val="-2"/>
          <w:sz w:val="24"/>
        </w:rPr>
        <w:t>据的来源依据。</w:t>
      </w:r>
    </w:p>
    <w:p>
      <w:pPr>
        <w:pStyle w:val="8"/>
        <w:spacing w:before="9"/>
        <w:ind w:left="1372"/>
      </w:pPr>
      <w:r>
        <w:rPr>
          <w:spacing w:val="-12"/>
        </w:rPr>
        <w:t>（二）关于“中小企业声明函”的提交要求</w:t>
      </w:r>
    </w:p>
    <w:p>
      <w:pPr>
        <w:pStyle w:val="15"/>
        <w:numPr>
          <w:ilvl w:val="0"/>
          <w:numId w:val="49"/>
        </w:numPr>
        <w:tabs>
          <w:tab w:val="left" w:pos="1590"/>
        </w:tabs>
        <w:spacing w:before="137" w:after="0" w:line="357" w:lineRule="auto"/>
        <w:ind w:left="884" w:right="1120" w:firstLine="496"/>
        <w:jc w:val="left"/>
        <w:rPr>
          <w:sz w:val="24"/>
        </w:rPr>
      </w:pPr>
      <w:r>
        <w:rPr>
          <w:spacing w:val="-6"/>
          <w:sz w:val="24"/>
        </w:rPr>
        <w:t>投标（响应）供应商对“中小企业声明函”的真实性负责。投标（响应）供应商应当核实投标（响应）的货物制造商/服务承接商/工程承建商（根据项目</w:t>
      </w:r>
    </w:p>
    <w:p>
      <w:pPr>
        <w:pStyle w:val="9"/>
        <w:spacing w:before="23" w:line="345" w:lineRule="auto"/>
        <w:ind w:left="887" w:right="755"/>
      </w:pPr>
      <w:r>
        <w:rPr>
          <w:spacing w:val="-26"/>
        </w:rPr>
        <w:t>属性确定）的相关信息，如对相关信息了解不充分，或者不能确定相关信息真实、准确的，</w:t>
      </w:r>
      <w:r>
        <w:rPr>
          <w:spacing w:val="-2"/>
        </w:rPr>
        <w:t>不建议出具“中小企业声明函”。</w:t>
      </w:r>
    </w:p>
    <w:p>
      <w:pPr>
        <w:pStyle w:val="15"/>
        <w:numPr>
          <w:ilvl w:val="0"/>
          <w:numId w:val="49"/>
        </w:numPr>
        <w:tabs>
          <w:tab w:val="left" w:pos="1570"/>
        </w:tabs>
        <w:spacing w:before="35" w:after="0" w:line="343" w:lineRule="auto"/>
        <w:ind w:left="884" w:right="1235" w:firstLine="480"/>
        <w:jc w:val="left"/>
        <w:rPr>
          <w:sz w:val="24"/>
        </w:rPr>
      </w:pPr>
      <w:r>
        <w:rPr>
          <w:spacing w:val="-8"/>
          <w:sz w:val="24"/>
        </w:rPr>
        <w:t>鼓励供应商在投标（响应）时一并提供对货物制造商、服务承接商、工程</w:t>
      </w:r>
      <w:r>
        <w:rPr>
          <w:spacing w:val="-2"/>
          <w:sz w:val="24"/>
        </w:rPr>
        <w:t>承建商相关信息的核实核验情况以及其他佐证材料。</w:t>
      </w:r>
    </w:p>
    <w:p>
      <w:pPr>
        <w:pStyle w:val="15"/>
        <w:numPr>
          <w:ilvl w:val="0"/>
          <w:numId w:val="49"/>
        </w:numPr>
        <w:tabs>
          <w:tab w:val="left" w:pos="1528"/>
        </w:tabs>
        <w:spacing w:before="39" w:after="0" w:line="355" w:lineRule="auto"/>
        <w:ind w:left="884" w:right="774" w:firstLine="482"/>
        <w:jc w:val="left"/>
        <w:rPr>
          <w:sz w:val="24"/>
        </w:rPr>
      </w:pPr>
      <w:r>
        <w:rPr>
          <w:spacing w:val="-28"/>
          <w:sz w:val="24"/>
        </w:rPr>
        <w:t xml:space="preserve">如供应商提供的“中小企业声明函”存在按采购文件所属行业划型不实的，属于提供 </w:t>
      </w:r>
      <w:r>
        <w:rPr>
          <w:spacing w:val="-2"/>
          <w:sz w:val="24"/>
        </w:rPr>
        <w:t>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after="0" w:line="355" w:lineRule="auto"/>
        <w:jc w:val="left"/>
        <w:rPr>
          <w:sz w:val="24"/>
        </w:rPr>
        <w:sectPr>
          <w:pgSz w:w="11910" w:h="16840"/>
          <w:pgMar w:top="1100" w:right="720" w:bottom="1020" w:left="920" w:header="918" w:footer="836" w:gutter="0"/>
          <w:pgNumType w:fmt="numberInDash"/>
          <w:cols w:space="720" w:num="1"/>
        </w:sectPr>
      </w:pPr>
    </w:p>
    <w:p>
      <w:pPr>
        <w:pStyle w:val="9"/>
      </w:pPr>
    </w:p>
    <w:p>
      <w:pPr>
        <w:pStyle w:val="9"/>
        <w:spacing w:before="154"/>
      </w:pPr>
    </w:p>
    <w:p>
      <w:pPr>
        <w:pStyle w:val="8"/>
        <w:spacing w:before="1"/>
        <w:ind w:left="904"/>
      </w:pPr>
      <w:r>
        <w:rPr>
          <w:spacing w:val="-16"/>
        </w:rPr>
        <w:t>附件2：</w:t>
      </w:r>
    </w:p>
    <w:p>
      <w:pPr>
        <w:pStyle w:val="4"/>
        <w:spacing w:before="4"/>
        <w:ind w:right="410"/>
      </w:pPr>
      <w:r>
        <w:rPr>
          <w:spacing w:val="-10"/>
        </w:rPr>
        <w:t>关于印发中小企业划型标准规定的通知</w:t>
      </w:r>
    </w:p>
    <w:p>
      <w:pPr>
        <w:pStyle w:val="9"/>
        <w:spacing w:before="43"/>
        <w:ind w:left="204" w:right="307"/>
        <w:jc w:val="center"/>
      </w:pPr>
      <w:r>
        <w:rPr>
          <w:spacing w:val="-2"/>
        </w:rPr>
        <w:t>工信部联企业〔2011〕300</w:t>
      </w:r>
      <w:r>
        <w:rPr>
          <w:spacing w:val="-26"/>
        </w:rPr>
        <w:t xml:space="preserve"> 号</w:t>
      </w:r>
    </w:p>
    <w:p>
      <w:pPr>
        <w:pStyle w:val="9"/>
        <w:spacing w:before="91"/>
      </w:pPr>
    </w:p>
    <w:p>
      <w:pPr>
        <w:pStyle w:val="9"/>
        <w:spacing w:line="292" w:lineRule="auto"/>
        <w:ind w:left="1367" w:right="1196" w:hanging="480"/>
      </w:pPr>
      <w:r>
        <w:rPr>
          <w:spacing w:val="-2"/>
        </w:rPr>
        <w:t>各省、自治区、直辖市人民政府，国务院各部委、各直属机构及有关单位：</w:t>
      </w:r>
      <w:r>
        <w:rPr>
          <w:spacing w:val="40"/>
        </w:rPr>
        <w:t xml:space="preserve"> </w:t>
      </w:r>
      <w:r>
        <w:rPr>
          <w:spacing w:val="-9"/>
        </w:rPr>
        <w:t>为贯彻落实《中华人民共和国中小企业促进法》和《国务院关于进一步促进</w:t>
      </w:r>
    </w:p>
    <w:p>
      <w:pPr>
        <w:pStyle w:val="9"/>
        <w:spacing w:line="278" w:lineRule="exact"/>
        <w:ind w:left="884"/>
      </w:pPr>
      <w:r>
        <w:rPr>
          <w:spacing w:val="-4"/>
        </w:rPr>
        <w:t>中小企业发展的若干意见》（国发〔2009〕36</w:t>
      </w:r>
      <w:r>
        <w:rPr>
          <w:spacing w:val="12"/>
        </w:rPr>
        <w:t xml:space="preserve"> 号</w:t>
      </w:r>
      <w:r>
        <w:rPr>
          <w:spacing w:val="-4"/>
        </w:rPr>
        <w:t>），</w:t>
      </w:r>
      <w:r>
        <w:rPr>
          <w:spacing w:val="-5"/>
        </w:rPr>
        <w:t>工业和信息化部、国家统</w:t>
      </w:r>
    </w:p>
    <w:p>
      <w:pPr>
        <w:pStyle w:val="9"/>
        <w:spacing w:before="38" w:line="268" w:lineRule="auto"/>
        <w:ind w:left="884" w:right="1196"/>
      </w:pPr>
      <w:r>
        <w:rPr>
          <w:spacing w:val="-8"/>
        </w:rPr>
        <w:t>计局、发展改革委、财政部研究制定了《中小企业划型标准规定》。经国务院同</w:t>
      </w:r>
      <w:r>
        <w:rPr>
          <w:spacing w:val="-2"/>
        </w:rPr>
        <w:t>意，现印发给你们，请遵照执行。</w:t>
      </w:r>
    </w:p>
    <w:p>
      <w:pPr>
        <w:pStyle w:val="9"/>
        <w:spacing w:before="38" w:line="264" w:lineRule="auto"/>
        <w:ind w:left="5896" w:right="1055" w:firstLine="235"/>
        <w:jc w:val="right"/>
      </w:pPr>
      <w:r>
        <w:rPr>
          <w:spacing w:val="3"/>
        </w:rPr>
        <w:t>工业和信息化部 国家统计局</w:t>
      </w:r>
      <w:r>
        <w:rPr>
          <w:spacing w:val="2"/>
        </w:rPr>
        <w:t>国家发展和改革委员会 财政部</w:t>
      </w:r>
      <w:r>
        <w:rPr>
          <w:spacing w:val="-2"/>
        </w:rPr>
        <w:t>二○一一年六月十八日</w:t>
      </w:r>
    </w:p>
    <w:p>
      <w:pPr>
        <w:pStyle w:val="9"/>
        <w:spacing w:before="63"/>
      </w:pPr>
    </w:p>
    <w:p>
      <w:pPr>
        <w:pStyle w:val="6"/>
        <w:ind w:left="3664"/>
      </w:pPr>
      <w:r>
        <w:rPr>
          <w:spacing w:val="-18"/>
        </w:rPr>
        <w:t>中小企业划型标准规定</w:t>
      </w:r>
    </w:p>
    <w:p>
      <w:pPr>
        <w:pStyle w:val="9"/>
        <w:spacing w:before="94" w:line="261" w:lineRule="auto"/>
        <w:ind w:left="891" w:right="1242" w:firstLine="477"/>
      </w:pPr>
      <w:r>
        <w:rPr>
          <w:spacing w:val="-10"/>
        </w:rPr>
        <w:t>一、根据《中华人民共和国中小企业促进法》和《国务院关于进一步促进中</w:t>
      </w:r>
      <w:r>
        <w:t>小企业发展的若干意见》(国发〔2009〕36 号)，制定本规定。</w:t>
      </w:r>
    </w:p>
    <w:p>
      <w:pPr>
        <w:pStyle w:val="9"/>
        <w:spacing w:before="117" w:line="261" w:lineRule="auto"/>
        <w:ind w:left="894" w:right="1242" w:firstLine="475"/>
      </w:pPr>
      <w:r>
        <w:rPr>
          <w:spacing w:val="-10"/>
        </w:rPr>
        <w:t>二、中小企业划分为中型、小型、微型三种类型，具体标准根据企业从业人</w:t>
      </w:r>
      <w:r>
        <w:rPr>
          <w:spacing w:val="-2"/>
        </w:rPr>
        <w:t>员、营业收入、资产总额等指标，结合行业特点制定。</w:t>
      </w:r>
    </w:p>
    <w:p>
      <w:pPr>
        <w:pStyle w:val="9"/>
        <w:spacing w:before="114" w:line="292" w:lineRule="auto"/>
        <w:ind w:left="884" w:right="1077" w:firstLine="480"/>
        <w:jc w:val="both"/>
      </w:pPr>
      <w:r>
        <w:rPr>
          <w:spacing w:val="-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w:t>
      </w:r>
      <w:r>
        <w:rPr>
          <w:spacing w:val="-22"/>
        </w:rPr>
        <w:t>管理，租赁和商务服务业，其他未列明行业（包括科学研究和技术服务业，水利、环境</w:t>
      </w:r>
      <w:r>
        <w:rPr>
          <w:spacing w:val="-4"/>
        </w:rPr>
        <w:t>和公共设施管理业，居民服务、修理和其他服务业，社会工作，文化、体育和娱</w:t>
      </w:r>
      <w:r>
        <w:rPr>
          <w:spacing w:val="-2"/>
        </w:rPr>
        <w:t>乐业等）。</w:t>
      </w:r>
    </w:p>
    <w:p>
      <w:pPr>
        <w:pStyle w:val="9"/>
        <w:spacing w:before="100"/>
        <w:ind w:left="1388"/>
      </w:pPr>
      <w:r>
        <w:rPr>
          <w:spacing w:val="-7"/>
        </w:rPr>
        <w:t>四、各行业划型标准为：</w:t>
      </w:r>
    </w:p>
    <w:p>
      <w:pPr>
        <w:pStyle w:val="9"/>
        <w:spacing w:before="108"/>
        <w:ind w:left="1360"/>
      </w:pPr>
      <w:r>
        <w:rPr>
          <w:spacing w:val="-16"/>
        </w:rPr>
        <w:t>（一）农、林、牧、渔业。营业收入 20000 万元以下的为中小微型企业。其</w:t>
      </w:r>
    </w:p>
    <w:p>
      <w:pPr>
        <w:pStyle w:val="9"/>
        <w:spacing w:before="48"/>
        <w:ind w:left="889"/>
      </w:pPr>
      <w:r>
        <w:rPr>
          <w:spacing w:val="-19"/>
        </w:rPr>
        <w:t xml:space="preserve">中，营业收入 </w:t>
      </w:r>
      <w:r>
        <w:rPr>
          <w:spacing w:val="-16"/>
        </w:rPr>
        <w:t>500</w:t>
      </w:r>
      <w:r>
        <w:rPr>
          <w:spacing w:val="-22"/>
        </w:rPr>
        <w:t xml:space="preserve"> 万元及以上的为中型企业，营业收入 </w:t>
      </w:r>
      <w:r>
        <w:rPr>
          <w:spacing w:val="-16"/>
        </w:rPr>
        <w:t>50</w:t>
      </w:r>
      <w:r>
        <w:rPr>
          <w:spacing w:val="-20"/>
        </w:rPr>
        <w:t xml:space="preserve"> 万元及以上的为小型</w:t>
      </w:r>
    </w:p>
    <w:p>
      <w:pPr>
        <w:pStyle w:val="9"/>
        <w:spacing w:before="48"/>
        <w:ind w:left="889"/>
      </w:pPr>
      <w:r>
        <w:rPr>
          <w:spacing w:val="-16"/>
        </w:rPr>
        <w:t xml:space="preserve">企业，营业收入 </w:t>
      </w:r>
      <w:r>
        <w:rPr>
          <w:spacing w:val="-14"/>
        </w:rPr>
        <w:t>50</w:t>
      </w:r>
      <w:r>
        <w:rPr>
          <w:spacing w:val="-18"/>
        </w:rPr>
        <w:t xml:space="preserve"> 万元以下的为微型企业。</w:t>
      </w:r>
    </w:p>
    <w:p>
      <w:pPr>
        <w:pStyle w:val="9"/>
        <w:spacing w:before="161"/>
        <w:ind w:right="1074"/>
        <w:jc w:val="right"/>
      </w:pPr>
      <w:r>
        <w:rPr>
          <w:spacing w:val="-14"/>
        </w:rPr>
        <w:t>（二）</w:t>
      </w:r>
      <w:r>
        <w:rPr>
          <w:spacing w:val="-15"/>
        </w:rPr>
        <w:t xml:space="preserve">工业。从业人员 </w:t>
      </w:r>
      <w:r>
        <w:rPr>
          <w:spacing w:val="-14"/>
        </w:rPr>
        <w:t>1000</w:t>
      </w:r>
      <w:r>
        <w:rPr>
          <w:spacing w:val="-20"/>
        </w:rPr>
        <w:t xml:space="preserve"> 人以下或营业收入 </w:t>
      </w:r>
      <w:r>
        <w:rPr>
          <w:spacing w:val="-14"/>
        </w:rPr>
        <w:t>40000</w:t>
      </w:r>
      <w:r>
        <w:rPr>
          <w:spacing w:val="-16"/>
        </w:rPr>
        <w:t xml:space="preserve"> 万元以下的为中小微</w:t>
      </w:r>
    </w:p>
    <w:p>
      <w:pPr>
        <w:pStyle w:val="9"/>
        <w:spacing w:before="48"/>
        <w:ind w:right="1072"/>
        <w:jc w:val="right"/>
      </w:pPr>
      <w:r>
        <w:rPr>
          <w:spacing w:val="-15"/>
        </w:rPr>
        <w:t xml:space="preserve">型企业。其中，从业人员 </w:t>
      </w:r>
      <w:r>
        <w:rPr>
          <w:spacing w:val="-14"/>
        </w:rPr>
        <w:t>300</w:t>
      </w:r>
      <w:r>
        <w:rPr>
          <w:spacing w:val="-20"/>
        </w:rPr>
        <w:t xml:space="preserve"> 人及以上，且营业收入 </w:t>
      </w:r>
      <w:r>
        <w:rPr>
          <w:spacing w:val="-14"/>
        </w:rPr>
        <w:t>2000</w:t>
      </w:r>
      <w:r>
        <w:rPr>
          <w:spacing w:val="-17"/>
        </w:rPr>
        <w:t xml:space="preserve"> 万元及以上的为中型</w:t>
      </w:r>
    </w:p>
    <w:p>
      <w:pPr>
        <w:pStyle w:val="9"/>
        <w:spacing w:before="48"/>
        <w:ind w:right="1072"/>
        <w:jc w:val="right"/>
      </w:pPr>
      <w:r>
        <w:rPr>
          <w:spacing w:val="-16"/>
        </w:rPr>
        <w:t xml:space="preserve">企业；从业人员 </w:t>
      </w:r>
      <w:r>
        <w:rPr>
          <w:spacing w:val="-14"/>
        </w:rPr>
        <w:t>20</w:t>
      </w:r>
      <w:r>
        <w:rPr>
          <w:spacing w:val="-20"/>
        </w:rPr>
        <w:t xml:space="preserve"> 人及以上，且营业收入 </w:t>
      </w:r>
      <w:r>
        <w:rPr>
          <w:spacing w:val="-14"/>
        </w:rPr>
        <w:t>300</w:t>
      </w:r>
      <w:r>
        <w:rPr>
          <w:spacing w:val="-18"/>
        </w:rPr>
        <w:t xml:space="preserve"> 万元及以上的为小型企业；从业</w:t>
      </w:r>
    </w:p>
    <w:p>
      <w:pPr>
        <w:pStyle w:val="9"/>
        <w:spacing w:before="144"/>
        <w:ind w:left="887"/>
      </w:pPr>
      <w:r>
        <w:rPr>
          <w:spacing w:val="-15"/>
        </w:rPr>
        <w:t>人员20</w:t>
      </w:r>
      <w:r>
        <w:rPr>
          <w:spacing w:val="-21"/>
        </w:rPr>
        <w:t xml:space="preserve"> 人以下或营业收入 </w:t>
      </w:r>
      <w:r>
        <w:rPr>
          <w:spacing w:val="-15"/>
        </w:rPr>
        <w:t>300</w:t>
      </w:r>
      <w:r>
        <w:rPr>
          <w:spacing w:val="-17"/>
        </w:rPr>
        <w:t xml:space="preserve"> 万元以下的为微型企业。</w:t>
      </w:r>
    </w:p>
    <w:p>
      <w:pPr>
        <w:pStyle w:val="9"/>
        <w:spacing w:before="108"/>
        <w:ind w:right="1036"/>
        <w:jc w:val="right"/>
      </w:pPr>
      <w:r>
        <w:rPr>
          <w:spacing w:val="-16"/>
        </w:rPr>
        <w:t>（三）建筑业。营业收入 80000</w:t>
      </w:r>
      <w:r>
        <w:rPr>
          <w:spacing w:val="-21"/>
        </w:rPr>
        <w:t xml:space="preserve"> 万元以下或资产总额 </w:t>
      </w:r>
      <w:r>
        <w:rPr>
          <w:spacing w:val="-16"/>
        </w:rPr>
        <w:t>80000</w:t>
      </w:r>
      <w:r>
        <w:rPr>
          <w:spacing w:val="-18"/>
        </w:rPr>
        <w:t xml:space="preserve"> 万元以下的为中</w:t>
      </w:r>
    </w:p>
    <w:p>
      <w:pPr>
        <w:pStyle w:val="9"/>
        <w:spacing w:before="67"/>
        <w:ind w:right="1033"/>
        <w:jc w:val="right"/>
      </w:pPr>
      <w:r>
        <w:rPr>
          <w:spacing w:val="-19"/>
        </w:rPr>
        <w:t xml:space="preserve">小微型企业。其中，营业收入 </w:t>
      </w:r>
      <w:r>
        <w:rPr>
          <w:spacing w:val="-18"/>
        </w:rPr>
        <w:t>6000</w:t>
      </w:r>
      <w:r>
        <w:rPr>
          <w:spacing w:val="-23"/>
        </w:rPr>
        <w:t xml:space="preserve"> 万元及以上，且资产总额 </w:t>
      </w:r>
      <w:r>
        <w:rPr>
          <w:spacing w:val="-18"/>
        </w:rPr>
        <w:t>5000</w:t>
      </w:r>
      <w:r>
        <w:rPr>
          <w:spacing w:val="-21"/>
        </w:rPr>
        <w:t xml:space="preserve"> 万元及以上的</w:t>
      </w:r>
    </w:p>
    <w:p>
      <w:pPr>
        <w:spacing w:after="0"/>
        <w:jc w:val="right"/>
        <w:sectPr>
          <w:pgSz w:w="11910" w:h="16840"/>
          <w:pgMar w:top="1100" w:right="720" w:bottom="1020" w:left="920" w:header="918" w:footer="836" w:gutter="0"/>
          <w:pgNumType w:fmt="numberInDash"/>
          <w:cols w:space="720" w:num="1"/>
        </w:sectPr>
      </w:pPr>
    </w:p>
    <w:p>
      <w:pPr>
        <w:pStyle w:val="9"/>
        <w:spacing w:before="114"/>
      </w:pPr>
    </w:p>
    <w:p>
      <w:pPr>
        <w:pStyle w:val="9"/>
        <w:ind w:left="887"/>
      </w:pPr>
      <w:r>
        <w:rPr>
          <w:spacing w:val="-20"/>
        </w:rPr>
        <w:t xml:space="preserve">为中型企业；营业收入 </w:t>
      </w:r>
      <w:r>
        <w:rPr>
          <w:spacing w:val="-18"/>
        </w:rPr>
        <w:t>300</w:t>
      </w:r>
      <w:r>
        <w:rPr>
          <w:spacing w:val="-26"/>
        </w:rPr>
        <w:t xml:space="preserve"> 万元及以上，且资产总额 </w:t>
      </w:r>
      <w:r>
        <w:rPr>
          <w:spacing w:val="-18"/>
        </w:rPr>
        <w:t>300</w:t>
      </w:r>
      <w:r>
        <w:rPr>
          <w:spacing w:val="-23"/>
        </w:rPr>
        <w:t xml:space="preserve"> 万元及以上的为小型企</w:t>
      </w:r>
    </w:p>
    <w:p>
      <w:pPr>
        <w:pStyle w:val="9"/>
        <w:spacing w:before="69"/>
        <w:ind w:left="884"/>
      </w:pPr>
      <w:r>
        <w:rPr>
          <w:spacing w:val="-17"/>
        </w:rPr>
        <w:t xml:space="preserve">业；营业收入 </w:t>
      </w:r>
      <w:r>
        <w:rPr>
          <w:spacing w:val="-16"/>
        </w:rPr>
        <w:t>300</w:t>
      </w:r>
      <w:r>
        <w:rPr>
          <w:spacing w:val="-21"/>
        </w:rPr>
        <w:t xml:space="preserve"> 万元以下或资产总额 </w:t>
      </w:r>
      <w:r>
        <w:rPr>
          <w:spacing w:val="-16"/>
        </w:rPr>
        <w:t>300</w:t>
      </w:r>
      <w:r>
        <w:rPr>
          <w:spacing w:val="-17"/>
        </w:rPr>
        <w:t xml:space="preserve"> 万元以下的为微型企业。</w:t>
      </w:r>
    </w:p>
    <w:p>
      <w:pPr>
        <w:pStyle w:val="9"/>
        <w:spacing w:before="104"/>
        <w:ind w:right="1038"/>
        <w:jc w:val="right"/>
      </w:pPr>
      <w:r>
        <w:rPr>
          <w:spacing w:val="-16"/>
        </w:rPr>
        <w:t>（四）</w:t>
      </w:r>
      <w:r>
        <w:rPr>
          <w:spacing w:val="-17"/>
        </w:rPr>
        <w:t xml:space="preserve">批发业。从业人员 </w:t>
      </w:r>
      <w:r>
        <w:rPr>
          <w:spacing w:val="-16"/>
        </w:rPr>
        <w:t>200</w:t>
      </w:r>
      <w:r>
        <w:rPr>
          <w:spacing w:val="-24"/>
        </w:rPr>
        <w:t xml:space="preserve"> 人以下或营业收入 </w:t>
      </w:r>
      <w:r>
        <w:rPr>
          <w:spacing w:val="-16"/>
        </w:rPr>
        <w:t>40000</w:t>
      </w:r>
      <w:r>
        <w:rPr>
          <w:spacing w:val="-18"/>
        </w:rPr>
        <w:t xml:space="preserve"> 万元以下的为中小微</w:t>
      </w:r>
    </w:p>
    <w:p>
      <w:pPr>
        <w:pStyle w:val="9"/>
        <w:spacing w:before="67"/>
        <w:ind w:right="1037"/>
        <w:jc w:val="right"/>
      </w:pPr>
      <w:r>
        <w:rPr>
          <w:spacing w:val="-20"/>
        </w:rPr>
        <w:t xml:space="preserve">型企业。其中，从业人员 </w:t>
      </w:r>
      <w:r>
        <w:rPr>
          <w:spacing w:val="-18"/>
        </w:rPr>
        <w:t>20</w:t>
      </w:r>
      <w:r>
        <w:rPr>
          <w:spacing w:val="-24"/>
        </w:rPr>
        <w:t xml:space="preserve"> 人及以上，且营业收入 </w:t>
      </w:r>
      <w:r>
        <w:rPr>
          <w:spacing w:val="-18"/>
        </w:rPr>
        <w:t>5000</w:t>
      </w:r>
      <w:r>
        <w:rPr>
          <w:spacing w:val="-22"/>
        </w:rPr>
        <w:t xml:space="preserve"> 万元及以上的为中型企</w:t>
      </w:r>
    </w:p>
    <w:p>
      <w:pPr>
        <w:pStyle w:val="9"/>
        <w:spacing w:before="103" w:line="292" w:lineRule="auto"/>
        <w:ind w:left="894" w:right="1072" w:firstLine="482"/>
      </w:pPr>
      <w:r>
        <w:rPr>
          <w:spacing w:val="-19"/>
        </w:rPr>
        <w:t xml:space="preserve">业；从业人员 </w:t>
      </w:r>
      <w:r>
        <w:rPr>
          <w:spacing w:val="-16"/>
        </w:rPr>
        <w:t>5</w:t>
      </w:r>
      <w:r>
        <w:rPr>
          <w:spacing w:val="-23"/>
        </w:rPr>
        <w:t xml:space="preserve"> 人及以上，且营业收入 </w:t>
      </w:r>
      <w:r>
        <w:rPr>
          <w:spacing w:val="-16"/>
        </w:rPr>
        <w:t>1000</w:t>
      </w:r>
      <w:r>
        <w:rPr>
          <w:spacing w:val="-21"/>
        </w:rPr>
        <w:t xml:space="preserve"> 万元及以上的为小型企业；从业人</w:t>
      </w:r>
      <w:r>
        <w:rPr>
          <w:spacing w:val="-8"/>
        </w:rPr>
        <w:t>员5</w:t>
      </w:r>
      <w:r>
        <w:rPr>
          <w:spacing w:val="-16"/>
        </w:rPr>
        <w:t xml:space="preserve"> 人以下或营业收入 </w:t>
      </w:r>
      <w:r>
        <w:rPr>
          <w:spacing w:val="-8"/>
        </w:rPr>
        <w:t>1000</w:t>
      </w:r>
      <w:r>
        <w:rPr>
          <w:spacing w:val="-14"/>
        </w:rPr>
        <w:t xml:space="preserve"> 万元以下的为微型企业。</w:t>
      </w:r>
    </w:p>
    <w:p>
      <w:pPr>
        <w:pStyle w:val="9"/>
        <w:spacing w:before="36"/>
        <w:ind w:right="1038"/>
        <w:jc w:val="right"/>
      </w:pPr>
      <w:r>
        <w:rPr>
          <w:spacing w:val="-16"/>
        </w:rPr>
        <w:t>（五）</w:t>
      </w:r>
      <w:r>
        <w:rPr>
          <w:spacing w:val="-17"/>
        </w:rPr>
        <w:t xml:space="preserve">零售业。从业人员 </w:t>
      </w:r>
      <w:r>
        <w:rPr>
          <w:spacing w:val="-16"/>
        </w:rPr>
        <w:t>300</w:t>
      </w:r>
      <w:r>
        <w:rPr>
          <w:spacing w:val="-23"/>
        </w:rPr>
        <w:t xml:space="preserve"> 人以下或营业收入 </w:t>
      </w:r>
      <w:r>
        <w:rPr>
          <w:spacing w:val="-16"/>
        </w:rPr>
        <w:t>20000</w:t>
      </w:r>
      <w:r>
        <w:rPr>
          <w:spacing w:val="-19"/>
        </w:rPr>
        <w:t xml:space="preserve"> 万元以下的为中小微</w:t>
      </w:r>
    </w:p>
    <w:p>
      <w:pPr>
        <w:pStyle w:val="9"/>
        <w:spacing w:before="69"/>
        <w:ind w:right="1052"/>
        <w:jc w:val="right"/>
      </w:pPr>
      <w:r>
        <w:rPr>
          <w:spacing w:val="-16"/>
        </w:rPr>
        <w:t xml:space="preserve">型企业。其中，从业人员 </w:t>
      </w:r>
      <w:r>
        <w:rPr>
          <w:spacing w:val="-14"/>
        </w:rPr>
        <w:t>50</w:t>
      </w:r>
      <w:r>
        <w:rPr>
          <w:spacing w:val="-20"/>
        </w:rPr>
        <w:t xml:space="preserve"> 人及以上，且营业收入 </w:t>
      </w:r>
      <w:r>
        <w:rPr>
          <w:spacing w:val="-14"/>
        </w:rPr>
        <w:t>500</w:t>
      </w:r>
      <w:r>
        <w:rPr>
          <w:spacing w:val="-18"/>
        </w:rPr>
        <w:t xml:space="preserve"> 万元及以上的为中型企</w:t>
      </w:r>
    </w:p>
    <w:p>
      <w:pPr>
        <w:pStyle w:val="9"/>
        <w:spacing w:before="103" w:line="292" w:lineRule="auto"/>
        <w:ind w:left="894" w:right="1072" w:firstLine="482"/>
      </w:pPr>
      <w:r>
        <w:rPr>
          <w:spacing w:val="-19"/>
        </w:rPr>
        <w:t xml:space="preserve">业；从业人员 </w:t>
      </w:r>
      <w:r>
        <w:rPr>
          <w:spacing w:val="-16"/>
        </w:rPr>
        <w:t>10</w:t>
      </w:r>
      <w:r>
        <w:rPr>
          <w:spacing w:val="-23"/>
        </w:rPr>
        <w:t xml:space="preserve"> 人及以上，且营业收入 </w:t>
      </w:r>
      <w:r>
        <w:rPr>
          <w:spacing w:val="-16"/>
        </w:rPr>
        <w:t>100</w:t>
      </w:r>
      <w:r>
        <w:rPr>
          <w:spacing w:val="-21"/>
        </w:rPr>
        <w:t xml:space="preserve"> 万元及以上的为小型企业；从业人</w:t>
      </w:r>
      <w:r>
        <w:rPr>
          <w:spacing w:val="-8"/>
        </w:rPr>
        <w:t>员10</w:t>
      </w:r>
      <w:r>
        <w:rPr>
          <w:spacing w:val="-17"/>
        </w:rPr>
        <w:t xml:space="preserve"> 人以下或营业收入 </w:t>
      </w:r>
      <w:r>
        <w:rPr>
          <w:spacing w:val="-8"/>
        </w:rPr>
        <w:t>100</w:t>
      </w:r>
      <w:r>
        <w:rPr>
          <w:spacing w:val="-14"/>
        </w:rPr>
        <w:t xml:space="preserve"> 万元以下的为微型企业。</w:t>
      </w:r>
    </w:p>
    <w:p>
      <w:pPr>
        <w:pStyle w:val="9"/>
        <w:spacing w:before="33"/>
        <w:ind w:right="1072"/>
        <w:jc w:val="right"/>
      </w:pPr>
      <w:r>
        <w:rPr>
          <w:spacing w:val="-12"/>
        </w:rPr>
        <w:t>（六）</w:t>
      </w:r>
      <w:r>
        <w:rPr>
          <w:spacing w:val="-13"/>
        </w:rPr>
        <w:t xml:space="preserve">交通运输业。从业人员 </w:t>
      </w:r>
      <w:r>
        <w:rPr>
          <w:spacing w:val="-12"/>
        </w:rPr>
        <w:t>1000</w:t>
      </w:r>
      <w:r>
        <w:rPr>
          <w:spacing w:val="-20"/>
        </w:rPr>
        <w:t xml:space="preserve"> 人以下或营业收入 </w:t>
      </w:r>
      <w:r>
        <w:rPr>
          <w:spacing w:val="-12"/>
        </w:rPr>
        <w:t>30000</w:t>
      </w:r>
      <w:r>
        <w:rPr>
          <w:spacing w:val="-15"/>
        </w:rPr>
        <w:t xml:space="preserve"> 万元以下的为</w:t>
      </w:r>
    </w:p>
    <w:p>
      <w:pPr>
        <w:pStyle w:val="9"/>
        <w:spacing w:before="70"/>
        <w:ind w:right="1069"/>
        <w:jc w:val="right"/>
      </w:pPr>
      <w:r>
        <w:rPr>
          <w:spacing w:val="-15"/>
        </w:rPr>
        <w:t xml:space="preserve">中小微型企业。其中，从业人员 </w:t>
      </w:r>
      <w:r>
        <w:rPr>
          <w:spacing w:val="-14"/>
        </w:rPr>
        <w:t>300</w:t>
      </w:r>
      <w:r>
        <w:rPr>
          <w:spacing w:val="-18"/>
        </w:rPr>
        <w:t xml:space="preserve"> 人及以上，且营业收入 </w:t>
      </w:r>
      <w:r>
        <w:rPr>
          <w:spacing w:val="-14"/>
        </w:rPr>
        <w:t>3000</w:t>
      </w:r>
      <w:r>
        <w:rPr>
          <w:spacing w:val="-16"/>
        </w:rPr>
        <w:t xml:space="preserve"> 万元及以上的</w:t>
      </w:r>
    </w:p>
    <w:p>
      <w:pPr>
        <w:pStyle w:val="9"/>
        <w:spacing w:before="103"/>
        <w:ind w:left="887"/>
      </w:pPr>
      <w:r>
        <w:rPr>
          <w:spacing w:val="-22"/>
        </w:rPr>
        <w:t xml:space="preserve">为中型企业；从业人员 </w:t>
      </w:r>
      <w:r>
        <w:rPr>
          <w:spacing w:val="-20"/>
        </w:rPr>
        <w:t>20</w:t>
      </w:r>
      <w:r>
        <w:rPr>
          <w:spacing w:val="-27"/>
        </w:rPr>
        <w:t xml:space="preserve"> 人及以上，且营业收入 </w:t>
      </w:r>
      <w:r>
        <w:rPr>
          <w:spacing w:val="-20"/>
        </w:rPr>
        <w:t>200</w:t>
      </w:r>
      <w:r>
        <w:rPr>
          <w:spacing w:val="-24"/>
        </w:rPr>
        <w:t xml:space="preserve"> 万元及以上的为小型企业；</w:t>
      </w:r>
    </w:p>
    <w:p>
      <w:pPr>
        <w:pStyle w:val="9"/>
        <w:spacing w:before="70"/>
        <w:ind w:left="887"/>
      </w:pPr>
      <w:r>
        <w:rPr>
          <w:spacing w:val="-22"/>
        </w:rPr>
        <w:t xml:space="preserve">从业人员 </w:t>
      </w:r>
      <w:r>
        <w:rPr>
          <w:spacing w:val="-16"/>
        </w:rPr>
        <w:t>20</w:t>
      </w:r>
      <w:r>
        <w:rPr>
          <w:spacing w:val="-23"/>
        </w:rPr>
        <w:t xml:space="preserve"> 人以下或营业收入 </w:t>
      </w:r>
      <w:r>
        <w:rPr>
          <w:spacing w:val="-16"/>
        </w:rPr>
        <w:t>200</w:t>
      </w:r>
      <w:r>
        <w:rPr>
          <w:spacing w:val="-20"/>
        </w:rPr>
        <w:t xml:space="preserve"> 万元以下的为微型企业。</w:t>
      </w:r>
    </w:p>
    <w:p>
      <w:pPr>
        <w:pStyle w:val="9"/>
        <w:spacing w:before="105"/>
        <w:ind w:right="1038"/>
        <w:jc w:val="right"/>
      </w:pPr>
      <w:r>
        <w:rPr>
          <w:spacing w:val="-16"/>
        </w:rPr>
        <w:t>（七）</w:t>
      </w:r>
      <w:r>
        <w:rPr>
          <w:spacing w:val="-17"/>
        </w:rPr>
        <w:t xml:space="preserve">仓储业。从业人员 </w:t>
      </w:r>
      <w:r>
        <w:rPr>
          <w:spacing w:val="-16"/>
        </w:rPr>
        <w:t>200</w:t>
      </w:r>
      <w:r>
        <w:rPr>
          <w:spacing w:val="-23"/>
        </w:rPr>
        <w:t xml:space="preserve"> 人以下或营业收入 </w:t>
      </w:r>
      <w:r>
        <w:rPr>
          <w:spacing w:val="-16"/>
        </w:rPr>
        <w:t>30000</w:t>
      </w:r>
      <w:r>
        <w:rPr>
          <w:spacing w:val="-19"/>
        </w:rPr>
        <w:t xml:space="preserve"> 万元以下的为中小微</w:t>
      </w:r>
    </w:p>
    <w:p>
      <w:pPr>
        <w:pStyle w:val="9"/>
        <w:spacing w:before="70"/>
        <w:ind w:right="1055"/>
        <w:jc w:val="right"/>
      </w:pPr>
      <w:r>
        <w:rPr>
          <w:spacing w:val="-15"/>
        </w:rPr>
        <w:t xml:space="preserve">型企业。其中，从业人员 </w:t>
      </w:r>
      <w:r>
        <w:rPr>
          <w:spacing w:val="-14"/>
        </w:rPr>
        <w:t>100</w:t>
      </w:r>
      <w:r>
        <w:rPr>
          <w:spacing w:val="-18"/>
        </w:rPr>
        <w:t xml:space="preserve"> 人及以上，且营业收入 </w:t>
      </w:r>
      <w:r>
        <w:rPr>
          <w:spacing w:val="-14"/>
        </w:rPr>
        <w:t>1000</w:t>
      </w:r>
      <w:r>
        <w:rPr>
          <w:spacing w:val="-17"/>
        </w:rPr>
        <w:t xml:space="preserve"> 万元及以上的为中型</w:t>
      </w:r>
    </w:p>
    <w:p>
      <w:pPr>
        <w:pStyle w:val="9"/>
        <w:spacing w:before="103"/>
        <w:ind w:right="1086"/>
        <w:jc w:val="right"/>
      </w:pPr>
      <w:r>
        <w:rPr>
          <w:spacing w:val="-19"/>
        </w:rPr>
        <w:t xml:space="preserve">企业；从业人员 </w:t>
      </w:r>
      <w:r>
        <w:rPr>
          <w:spacing w:val="-18"/>
        </w:rPr>
        <w:t>20</w:t>
      </w:r>
      <w:r>
        <w:rPr>
          <w:spacing w:val="-21"/>
        </w:rPr>
        <w:t xml:space="preserve"> 人及以上，且营业收入 </w:t>
      </w:r>
      <w:r>
        <w:rPr>
          <w:spacing w:val="-18"/>
        </w:rPr>
        <w:t>100</w:t>
      </w:r>
      <w:r>
        <w:rPr>
          <w:spacing w:val="-20"/>
        </w:rPr>
        <w:t xml:space="preserve"> 万元及以上的为小型企业；从业</w:t>
      </w:r>
    </w:p>
    <w:p>
      <w:pPr>
        <w:pStyle w:val="9"/>
        <w:spacing w:before="70"/>
        <w:ind w:left="887"/>
      </w:pPr>
      <w:r>
        <w:rPr>
          <w:spacing w:val="-36"/>
        </w:rPr>
        <w:t xml:space="preserve">人员 </w:t>
      </w:r>
      <w:r>
        <w:rPr>
          <w:spacing w:val="-16"/>
        </w:rPr>
        <w:t>20</w:t>
      </w:r>
      <w:r>
        <w:rPr>
          <w:spacing w:val="-24"/>
        </w:rPr>
        <w:t xml:space="preserve"> 人以下或营业收入 </w:t>
      </w:r>
      <w:r>
        <w:rPr>
          <w:spacing w:val="-16"/>
        </w:rPr>
        <w:t>100</w:t>
      </w:r>
      <w:r>
        <w:rPr>
          <w:spacing w:val="-20"/>
        </w:rPr>
        <w:t xml:space="preserve"> 万元以下的为微型企业。</w:t>
      </w:r>
    </w:p>
    <w:p>
      <w:pPr>
        <w:pStyle w:val="9"/>
        <w:spacing w:before="103"/>
        <w:ind w:right="1074"/>
        <w:jc w:val="right"/>
      </w:pPr>
      <w:r>
        <w:rPr>
          <w:spacing w:val="-14"/>
        </w:rPr>
        <w:t>（八）邮政业。从业人员 1000</w:t>
      </w:r>
      <w:r>
        <w:rPr>
          <w:spacing w:val="-18"/>
        </w:rPr>
        <w:t xml:space="preserve"> 人以下或营业收入 </w:t>
      </w:r>
      <w:r>
        <w:rPr>
          <w:spacing w:val="-14"/>
        </w:rPr>
        <w:t>30000 万元以下的为中小</w:t>
      </w:r>
    </w:p>
    <w:p>
      <w:pPr>
        <w:pStyle w:val="9"/>
        <w:spacing w:before="67"/>
        <w:ind w:right="1074"/>
        <w:jc w:val="right"/>
      </w:pPr>
      <w:r>
        <w:rPr>
          <w:spacing w:val="-15"/>
        </w:rPr>
        <w:t xml:space="preserve">微型企业。其中，从业人员 </w:t>
      </w:r>
      <w:r>
        <w:rPr>
          <w:spacing w:val="-14"/>
        </w:rPr>
        <w:t>300</w:t>
      </w:r>
      <w:r>
        <w:rPr>
          <w:spacing w:val="-19"/>
        </w:rPr>
        <w:t xml:space="preserve"> 人及以上，且营业收入 </w:t>
      </w:r>
      <w:r>
        <w:rPr>
          <w:spacing w:val="-14"/>
        </w:rPr>
        <w:t>2000</w:t>
      </w:r>
      <w:r>
        <w:rPr>
          <w:spacing w:val="-16"/>
        </w:rPr>
        <w:t xml:space="preserve"> 万元及以上的为中</w:t>
      </w:r>
    </w:p>
    <w:p>
      <w:pPr>
        <w:pStyle w:val="9"/>
        <w:spacing w:before="106"/>
        <w:ind w:right="1072"/>
        <w:jc w:val="right"/>
      </w:pPr>
      <w:r>
        <w:rPr>
          <w:spacing w:val="-18"/>
        </w:rPr>
        <w:t xml:space="preserve">型企业；从业人员 </w:t>
      </w:r>
      <w:r>
        <w:rPr>
          <w:spacing w:val="-16"/>
        </w:rPr>
        <w:t>20</w:t>
      </w:r>
      <w:r>
        <w:rPr>
          <w:spacing w:val="-21"/>
        </w:rPr>
        <w:t xml:space="preserve"> 人及以上，且营业收入 </w:t>
      </w:r>
      <w:r>
        <w:rPr>
          <w:spacing w:val="-16"/>
        </w:rPr>
        <w:t>100</w:t>
      </w:r>
      <w:r>
        <w:rPr>
          <w:spacing w:val="-20"/>
        </w:rPr>
        <w:t xml:space="preserve"> 万元及以上的为小型企业；从</w:t>
      </w:r>
    </w:p>
    <w:p>
      <w:pPr>
        <w:pStyle w:val="9"/>
        <w:spacing w:before="67"/>
        <w:ind w:left="884"/>
      </w:pPr>
      <w:r>
        <w:rPr>
          <w:spacing w:val="-26"/>
        </w:rPr>
        <w:t xml:space="preserve">业人员 </w:t>
      </w:r>
      <w:r>
        <w:rPr>
          <w:spacing w:val="-16"/>
        </w:rPr>
        <w:t>20</w:t>
      </w:r>
      <w:r>
        <w:rPr>
          <w:spacing w:val="-24"/>
        </w:rPr>
        <w:t xml:space="preserve"> 人以下或营业收入 </w:t>
      </w:r>
      <w:r>
        <w:rPr>
          <w:spacing w:val="-16"/>
        </w:rPr>
        <w:t>100</w:t>
      </w:r>
      <w:r>
        <w:rPr>
          <w:spacing w:val="-21"/>
        </w:rPr>
        <w:t xml:space="preserve"> 万元以下的为微型企业。</w:t>
      </w:r>
    </w:p>
    <w:p>
      <w:pPr>
        <w:pStyle w:val="9"/>
        <w:spacing w:before="103"/>
        <w:ind w:right="1038"/>
        <w:jc w:val="right"/>
      </w:pPr>
      <w:r>
        <w:rPr>
          <w:spacing w:val="-16"/>
        </w:rPr>
        <w:t>（九）</w:t>
      </w:r>
      <w:r>
        <w:rPr>
          <w:spacing w:val="-18"/>
        </w:rPr>
        <w:t xml:space="preserve">住宿业。从业人员 </w:t>
      </w:r>
      <w:r>
        <w:rPr>
          <w:spacing w:val="-16"/>
        </w:rPr>
        <w:t>300</w:t>
      </w:r>
      <w:r>
        <w:rPr>
          <w:spacing w:val="-22"/>
        </w:rPr>
        <w:t xml:space="preserve"> 人以下或营业收入 </w:t>
      </w:r>
      <w:r>
        <w:rPr>
          <w:spacing w:val="-16"/>
        </w:rPr>
        <w:t>10000</w:t>
      </w:r>
      <w:r>
        <w:rPr>
          <w:spacing w:val="-20"/>
        </w:rPr>
        <w:t xml:space="preserve"> 万元以下的为中小微</w:t>
      </w:r>
    </w:p>
    <w:p>
      <w:pPr>
        <w:pStyle w:val="9"/>
        <w:spacing w:before="72"/>
        <w:ind w:right="1055"/>
        <w:jc w:val="right"/>
      </w:pPr>
      <w:r>
        <w:rPr>
          <w:spacing w:val="-15"/>
        </w:rPr>
        <w:t xml:space="preserve">型企业。其中，从业人员 </w:t>
      </w:r>
      <w:r>
        <w:rPr>
          <w:spacing w:val="-14"/>
        </w:rPr>
        <w:t>100</w:t>
      </w:r>
      <w:r>
        <w:rPr>
          <w:spacing w:val="-19"/>
        </w:rPr>
        <w:t xml:space="preserve"> 人及以上，且营业收入 </w:t>
      </w:r>
      <w:r>
        <w:rPr>
          <w:spacing w:val="-14"/>
        </w:rPr>
        <w:t>2000</w:t>
      </w:r>
      <w:r>
        <w:rPr>
          <w:spacing w:val="-16"/>
        </w:rPr>
        <w:t xml:space="preserve"> 万元及以上的为中型</w:t>
      </w:r>
    </w:p>
    <w:p>
      <w:pPr>
        <w:pStyle w:val="9"/>
        <w:spacing w:before="101"/>
        <w:ind w:right="1086"/>
        <w:jc w:val="right"/>
      </w:pPr>
      <w:r>
        <w:rPr>
          <w:spacing w:val="-19"/>
        </w:rPr>
        <w:t xml:space="preserve">企业；从业人员 </w:t>
      </w:r>
      <w:r>
        <w:rPr>
          <w:spacing w:val="-18"/>
        </w:rPr>
        <w:t>10</w:t>
      </w:r>
      <w:r>
        <w:rPr>
          <w:spacing w:val="-21"/>
        </w:rPr>
        <w:t xml:space="preserve"> 人及以上，且营业收入 </w:t>
      </w:r>
      <w:r>
        <w:rPr>
          <w:spacing w:val="-18"/>
        </w:rPr>
        <w:t>100</w:t>
      </w:r>
      <w:r>
        <w:rPr>
          <w:spacing w:val="-20"/>
        </w:rPr>
        <w:t xml:space="preserve"> 万元及以上的为小型企业；从业</w:t>
      </w:r>
    </w:p>
    <w:p>
      <w:pPr>
        <w:pStyle w:val="9"/>
        <w:spacing w:before="70"/>
        <w:ind w:left="887"/>
      </w:pPr>
      <w:r>
        <w:rPr>
          <w:spacing w:val="-34"/>
        </w:rPr>
        <w:t xml:space="preserve">人员 </w:t>
      </w:r>
      <w:r>
        <w:rPr>
          <w:spacing w:val="-16"/>
        </w:rPr>
        <w:t>10</w:t>
      </w:r>
      <w:r>
        <w:rPr>
          <w:spacing w:val="-24"/>
        </w:rPr>
        <w:t xml:space="preserve"> 人以下或营业收入 </w:t>
      </w:r>
      <w:r>
        <w:rPr>
          <w:spacing w:val="-16"/>
        </w:rPr>
        <w:t>100</w:t>
      </w:r>
      <w:r>
        <w:rPr>
          <w:spacing w:val="-21"/>
        </w:rPr>
        <w:t xml:space="preserve"> 万元以下的为微型企业。</w:t>
      </w:r>
    </w:p>
    <w:p>
      <w:pPr>
        <w:pStyle w:val="9"/>
        <w:spacing w:before="105"/>
        <w:ind w:right="1038"/>
        <w:jc w:val="right"/>
      </w:pPr>
      <w:r>
        <w:rPr>
          <w:spacing w:val="-16"/>
        </w:rPr>
        <w:t>（十）</w:t>
      </w:r>
      <w:r>
        <w:rPr>
          <w:spacing w:val="-18"/>
        </w:rPr>
        <w:t xml:space="preserve">餐饮业。从业人员 </w:t>
      </w:r>
      <w:r>
        <w:rPr>
          <w:spacing w:val="-16"/>
        </w:rPr>
        <w:t>300</w:t>
      </w:r>
      <w:r>
        <w:rPr>
          <w:spacing w:val="-22"/>
        </w:rPr>
        <w:t xml:space="preserve"> 人以下或营业收入 </w:t>
      </w:r>
      <w:r>
        <w:rPr>
          <w:spacing w:val="-16"/>
        </w:rPr>
        <w:t>10000</w:t>
      </w:r>
      <w:r>
        <w:rPr>
          <w:spacing w:val="-20"/>
        </w:rPr>
        <w:t xml:space="preserve"> 万元以下的为中小微</w:t>
      </w:r>
    </w:p>
    <w:p>
      <w:pPr>
        <w:pStyle w:val="9"/>
        <w:spacing w:before="67"/>
        <w:ind w:right="1055"/>
        <w:jc w:val="right"/>
      </w:pPr>
      <w:r>
        <w:rPr>
          <w:spacing w:val="-15"/>
        </w:rPr>
        <w:t xml:space="preserve">型企业。其中，从业人员 </w:t>
      </w:r>
      <w:r>
        <w:rPr>
          <w:spacing w:val="-14"/>
        </w:rPr>
        <w:t>100</w:t>
      </w:r>
      <w:r>
        <w:rPr>
          <w:spacing w:val="-19"/>
        </w:rPr>
        <w:t xml:space="preserve"> 人及以上，且营业收入 </w:t>
      </w:r>
      <w:r>
        <w:rPr>
          <w:spacing w:val="-14"/>
        </w:rPr>
        <w:t>2000</w:t>
      </w:r>
      <w:r>
        <w:rPr>
          <w:spacing w:val="-16"/>
        </w:rPr>
        <w:t xml:space="preserve"> 万元及以上的为中型</w:t>
      </w:r>
    </w:p>
    <w:p>
      <w:pPr>
        <w:pStyle w:val="9"/>
        <w:spacing w:before="104"/>
        <w:ind w:right="1086"/>
        <w:jc w:val="right"/>
      </w:pPr>
      <w:r>
        <w:rPr>
          <w:spacing w:val="-19"/>
        </w:rPr>
        <w:t xml:space="preserve">企业；从业人员 </w:t>
      </w:r>
      <w:r>
        <w:rPr>
          <w:spacing w:val="-18"/>
        </w:rPr>
        <w:t>10</w:t>
      </w:r>
      <w:r>
        <w:rPr>
          <w:spacing w:val="-21"/>
        </w:rPr>
        <w:t xml:space="preserve"> 人及以上，且营业收入 </w:t>
      </w:r>
      <w:r>
        <w:rPr>
          <w:spacing w:val="-18"/>
        </w:rPr>
        <w:t>100</w:t>
      </w:r>
      <w:r>
        <w:rPr>
          <w:spacing w:val="-20"/>
        </w:rPr>
        <w:t xml:space="preserve"> 万元及以上的为小型企业；从业</w:t>
      </w:r>
    </w:p>
    <w:p>
      <w:pPr>
        <w:pStyle w:val="9"/>
        <w:spacing w:before="69"/>
        <w:ind w:left="887"/>
      </w:pPr>
      <w:r>
        <w:rPr>
          <w:spacing w:val="-34"/>
        </w:rPr>
        <w:t xml:space="preserve">人员 </w:t>
      </w:r>
      <w:r>
        <w:rPr>
          <w:spacing w:val="-16"/>
        </w:rPr>
        <w:t>10</w:t>
      </w:r>
      <w:r>
        <w:rPr>
          <w:spacing w:val="-24"/>
        </w:rPr>
        <w:t xml:space="preserve"> 人以下或营业收入 </w:t>
      </w:r>
      <w:r>
        <w:rPr>
          <w:spacing w:val="-16"/>
        </w:rPr>
        <w:t>100</w:t>
      </w:r>
      <w:r>
        <w:rPr>
          <w:spacing w:val="-21"/>
        </w:rPr>
        <w:t xml:space="preserve"> 万元以下的为微型企业。</w:t>
      </w:r>
    </w:p>
    <w:p>
      <w:pPr>
        <w:pStyle w:val="9"/>
        <w:spacing w:before="103"/>
        <w:ind w:right="1031"/>
        <w:jc w:val="right"/>
      </w:pPr>
      <w:r>
        <w:rPr>
          <w:spacing w:val="-16"/>
        </w:rPr>
        <w:t>（十一）</w:t>
      </w:r>
      <w:r>
        <w:rPr>
          <w:spacing w:val="-17"/>
        </w:rPr>
        <w:t xml:space="preserve">信息传输业。从业人员 </w:t>
      </w:r>
      <w:r>
        <w:rPr>
          <w:spacing w:val="-16"/>
        </w:rPr>
        <w:t>2000</w:t>
      </w:r>
      <w:r>
        <w:rPr>
          <w:spacing w:val="-20"/>
        </w:rPr>
        <w:t xml:space="preserve"> 人以下或营业收入 </w:t>
      </w:r>
      <w:r>
        <w:rPr>
          <w:spacing w:val="-16"/>
        </w:rPr>
        <w:t>100000</w:t>
      </w:r>
      <w:r>
        <w:rPr>
          <w:spacing w:val="-18"/>
        </w:rPr>
        <w:t xml:space="preserve"> 万元以下的</w:t>
      </w:r>
    </w:p>
    <w:p>
      <w:pPr>
        <w:pStyle w:val="9"/>
        <w:spacing w:before="70"/>
        <w:ind w:right="1043"/>
        <w:jc w:val="right"/>
      </w:pPr>
      <w:r>
        <w:rPr>
          <w:spacing w:val="-13"/>
        </w:rPr>
        <w:t xml:space="preserve">为中小微型企业。其中，从业人员 </w:t>
      </w:r>
      <w:r>
        <w:rPr>
          <w:spacing w:val="-12"/>
        </w:rPr>
        <w:t>100</w:t>
      </w:r>
      <w:r>
        <w:rPr>
          <w:spacing w:val="-18"/>
        </w:rPr>
        <w:t xml:space="preserve"> 人及以上，且营业收入 </w:t>
      </w:r>
      <w:r>
        <w:rPr>
          <w:spacing w:val="-12"/>
        </w:rPr>
        <w:t>1000</w:t>
      </w:r>
      <w:r>
        <w:rPr>
          <w:spacing w:val="-17"/>
        </w:rPr>
        <w:t xml:space="preserve"> 万元及以上</w:t>
      </w:r>
    </w:p>
    <w:p>
      <w:pPr>
        <w:pStyle w:val="9"/>
        <w:spacing w:before="106"/>
        <w:ind w:right="1072"/>
        <w:jc w:val="right"/>
      </w:pPr>
      <w:r>
        <w:rPr>
          <w:spacing w:val="-17"/>
        </w:rPr>
        <w:t xml:space="preserve">的为中型企业；从业人员 </w:t>
      </w:r>
      <w:r>
        <w:rPr>
          <w:spacing w:val="-16"/>
        </w:rPr>
        <w:t>10</w:t>
      </w:r>
      <w:r>
        <w:rPr>
          <w:spacing w:val="-19"/>
        </w:rPr>
        <w:t xml:space="preserve"> 人及以上，且营业收入 </w:t>
      </w:r>
      <w:r>
        <w:rPr>
          <w:spacing w:val="-16"/>
        </w:rPr>
        <w:t>100</w:t>
      </w:r>
      <w:r>
        <w:rPr>
          <w:spacing w:val="-18"/>
        </w:rPr>
        <w:t xml:space="preserve"> 万元及以上的为小型企</w:t>
      </w:r>
    </w:p>
    <w:p>
      <w:pPr>
        <w:pStyle w:val="9"/>
        <w:spacing w:before="67"/>
        <w:ind w:left="884"/>
      </w:pPr>
      <w:r>
        <w:rPr>
          <w:spacing w:val="-18"/>
        </w:rPr>
        <w:t xml:space="preserve">业；从业人员 </w:t>
      </w:r>
      <w:r>
        <w:rPr>
          <w:spacing w:val="-16"/>
        </w:rPr>
        <w:t>10</w:t>
      </w:r>
      <w:r>
        <w:rPr>
          <w:spacing w:val="-22"/>
        </w:rPr>
        <w:t xml:space="preserve"> 人以下或营业收入 </w:t>
      </w:r>
      <w:r>
        <w:rPr>
          <w:spacing w:val="-16"/>
        </w:rPr>
        <w:t>100</w:t>
      </w:r>
      <w:r>
        <w:rPr>
          <w:spacing w:val="-19"/>
        </w:rPr>
        <w:t xml:space="preserve"> 万元以下的为微型企业。</w:t>
      </w:r>
    </w:p>
    <w:p>
      <w:pPr>
        <w:spacing w:after="0"/>
        <w:sectPr>
          <w:pgSz w:w="11910" w:h="16840"/>
          <w:pgMar w:top="1100" w:right="720" w:bottom="1020" w:left="920" w:header="918" w:footer="836" w:gutter="0"/>
          <w:pgNumType w:fmt="numberInDash"/>
          <w:cols w:space="720" w:num="1"/>
        </w:sectPr>
      </w:pPr>
    </w:p>
    <w:p>
      <w:pPr>
        <w:pStyle w:val="9"/>
        <w:spacing w:before="114"/>
      </w:pPr>
    </w:p>
    <w:p>
      <w:pPr>
        <w:pStyle w:val="9"/>
        <w:ind w:right="995"/>
        <w:jc w:val="right"/>
      </w:pPr>
      <w:r>
        <w:rPr>
          <w:spacing w:val="-14"/>
        </w:rPr>
        <w:t>（十二）</w:t>
      </w:r>
      <w:r>
        <w:rPr>
          <w:spacing w:val="-15"/>
        </w:rPr>
        <w:t xml:space="preserve">软件和信息技术服务业。从业人员 </w:t>
      </w:r>
      <w:r>
        <w:rPr>
          <w:spacing w:val="-14"/>
        </w:rPr>
        <w:t>300</w:t>
      </w:r>
      <w:r>
        <w:rPr>
          <w:spacing w:val="-17"/>
        </w:rPr>
        <w:t xml:space="preserve"> 人以下或营业收入 </w:t>
      </w:r>
      <w:r>
        <w:rPr>
          <w:spacing w:val="-14"/>
        </w:rPr>
        <w:t>10000</w:t>
      </w:r>
      <w:r>
        <w:rPr>
          <w:spacing w:val="-41"/>
        </w:rPr>
        <w:t xml:space="preserve"> 万</w:t>
      </w:r>
    </w:p>
    <w:p>
      <w:pPr>
        <w:pStyle w:val="9"/>
        <w:spacing w:before="69"/>
        <w:ind w:right="1009"/>
        <w:jc w:val="right"/>
      </w:pPr>
      <w:r>
        <w:rPr>
          <w:spacing w:val="-11"/>
        </w:rPr>
        <w:t xml:space="preserve">元以下的为中小微型企业。其中，从业人员 </w:t>
      </w:r>
      <w:r>
        <w:rPr>
          <w:spacing w:val="-10"/>
        </w:rPr>
        <w:t>100</w:t>
      </w:r>
      <w:r>
        <w:rPr>
          <w:spacing w:val="-15"/>
        </w:rPr>
        <w:t xml:space="preserve"> 人及以上，且营业收入 </w:t>
      </w:r>
      <w:r>
        <w:rPr>
          <w:spacing w:val="-10"/>
        </w:rPr>
        <w:t>1000</w:t>
      </w:r>
      <w:r>
        <w:rPr>
          <w:spacing w:val="-40"/>
        </w:rPr>
        <w:t xml:space="preserve"> 万</w:t>
      </w:r>
    </w:p>
    <w:p>
      <w:pPr>
        <w:pStyle w:val="9"/>
        <w:spacing w:before="104"/>
        <w:ind w:right="1033"/>
        <w:jc w:val="right"/>
      </w:pPr>
      <w:r>
        <w:rPr>
          <w:spacing w:val="-20"/>
        </w:rPr>
        <w:t xml:space="preserve">元及以上的为中型企业；从业人员 </w:t>
      </w:r>
      <w:r>
        <w:rPr>
          <w:spacing w:val="-18"/>
        </w:rPr>
        <w:t>10</w:t>
      </w:r>
      <w:r>
        <w:rPr>
          <w:spacing w:val="-25"/>
        </w:rPr>
        <w:t xml:space="preserve"> 人及以上，且营业收入 </w:t>
      </w:r>
      <w:r>
        <w:rPr>
          <w:spacing w:val="-18"/>
        </w:rPr>
        <w:t>50</w:t>
      </w:r>
      <w:r>
        <w:rPr>
          <w:spacing w:val="-22"/>
        </w:rPr>
        <w:t xml:space="preserve"> 万元及以上的为</w:t>
      </w:r>
    </w:p>
    <w:p>
      <w:pPr>
        <w:pStyle w:val="9"/>
        <w:spacing w:before="67"/>
        <w:ind w:left="891"/>
      </w:pPr>
      <w:r>
        <w:rPr>
          <w:spacing w:val="-17"/>
        </w:rPr>
        <w:t xml:space="preserve">小型企业；从业人员 </w:t>
      </w:r>
      <w:r>
        <w:rPr>
          <w:spacing w:val="-16"/>
        </w:rPr>
        <w:t>10</w:t>
      </w:r>
      <w:r>
        <w:rPr>
          <w:spacing w:val="-20"/>
        </w:rPr>
        <w:t xml:space="preserve"> 人以下或营业收入 </w:t>
      </w:r>
      <w:r>
        <w:rPr>
          <w:spacing w:val="-16"/>
        </w:rPr>
        <w:t>50</w:t>
      </w:r>
      <w:r>
        <w:rPr>
          <w:spacing w:val="-17"/>
        </w:rPr>
        <w:t xml:space="preserve"> 万元以下的为微型企业。</w:t>
      </w:r>
    </w:p>
    <w:p>
      <w:pPr>
        <w:pStyle w:val="9"/>
        <w:spacing w:before="103"/>
        <w:ind w:right="1025"/>
        <w:jc w:val="right"/>
      </w:pPr>
      <w:r>
        <w:rPr>
          <w:spacing w:val="-10"/>
        </w:rPr>
        <w:t>（十三）</w:t>
      </w:r>
      <w:r>
        <w:rPr>
          <w:spacing w:val="-12"/>
        </w:rPr>
        <w:t xml:space="preserve">房地产开发经营。营业收入 </w:t>
      </w:r>
      <w:r>
        <w:rPr>
          <w:spacing w:val="-10"/>
        </w:rPr>
        <w:t>200000</w:t>
      </w:r>
      <w:r>
        <w:rPr>
          <w:spacing w:val="-15"/>
        </w:rPr>
        <w:t xml:space="preserve"> 万元以下或资产总额 </w:t>
      </w:r>
      <w:r>
        <w:rPr>
          <w:spacing w:val="-10"/>
        </w:rPr>
        <w:t>10000</w:t>
      </w:r>
      <w:r>
        <w:rPr>
          <w:spacing w:val="-40"/>
        </w:rPr>
        <w:t xml:space="preserve"> 万</w:t>
      </w:r>
    </w:p>
    <w:p>
      <w:pPr>
        <w:pStyle w:val="9"/>
        <w:spacing w:before="70"/>
        <w:ind w:right="1050"/>
        <w:jc w:val="right"/>
      </w:pPr>
      <w:r>
        <w:rPr>
          <w:spacing w:val="-14"/>
        </w:rPr>
        <w:t>元以下的为中小微型企业。其中，营业收入 1000 万元及以上，且资产总额 5000</w:t>
      </w:r>
    </w:p>
    <w:p>
      <w:pPr>
        <w:pStyle w:val="9"/>
        <w:spacing w:before="103"/>
        <w:ind w:right="1057"/>
        <w:jc w:val="right"/>
      </w:pPr>
      <w:r>
        <w:rPr>
          <w:spacing w:val="-13"/>
        </w:rPr>
        <w:t xml:space="preserve">万元及以上的为中型企业；营业收入 </w:t>
      </w:r>
      <w:r>
        <w:rPr>
          <w:spacing w:val="-12"/>
        </w:rPr>
        <w:t>100</w:t>
      </w:r>
      <w:r>
        <w:rPr>
          <w:spacing w:val="-20"/>
        </w:rPr>
        <w:t xml:space="preserve"> 万元及以上，且资产总额 </w:t>
      </w:r>
      <w:r>
        <w:rPr>
          <w:spacing w:val="-12"/>
        </w:rPr>
        <w:t>2000</w:t>
      </w:r>
      <w:r>
        <w:rPr>
          <w:spacing w:val="-18"/>
        </w:rPr>
        <w:t xml:space="preserve"> 万元及</w:t>
      </w:r>
    </w:p>
    <w:p>
      <w:pPr>
        <w:pStyle w:val="9"/>
        <w:spacing w:before="79" w:line="302" w:lineRule="auto"/>
        <w:ind w:left="884" w:right="1249"/>
      </w:pPr>
      <w:r>
        <w:rPr>
          <w:spacing w:val="-16"/>
        </w:rPr>
        <w:t xml:space="preserve">以上的为小型企业；营业收入 </w:t>
      </w:r>
      <w:r>
        <w:rPr>
          <w:spacing w:val="-14"/>
        </w:rPr>
        <w:t>100</w:t>
      </w:r>
      <w:r>
        <w:rPr>
          <w:spacing w:val="-20"/>
        </w:rPr>
        <w:t xml:space="preserve"> 万元以下或资产总额 </w:t>
      </w:r>
      <w:r>
        <w:rPr>
          <w:spacing w:val="-14"/>
        </w:rPr>
        <w:t>2000</w:t>
      </w:r>
      <w:r>
        <w:rPr>
          <w:spacing w:val="-18"/>
        </w:rPr>
        <w:t xml:space="preserve"> 万元以下的为微型企</w:t>
      </w:r>
      <w:r>
        <w:rPr>
          <w:spacing w:val="-6"/>
        </w:rPr>
        <w:t>业。</w:t>
      </w:r>
    </w:p>
    <w:p>
      <w:pPr>
        <w:pStyle w:val="9"/>
        <w:spacing w:before="15"/>
        <w:ind w:right="1004"/>
        <w:jc w:val="right"/>
      </w:pPr>
      <w:r>
        <w:rPr>
          <w:spacing w:val="-14"/>
        </w:rPr>
        <w:t>（十四）</w:t>
      </w:r>
      <w:r>
        <w:rPr>
          <w:spacing w:val="-16"/>
        </w:rPr>
        <w:t xml:space="preserve">物业管理。从业人员 </w:t>
      </w:r>
      <w:r>
        <w:rPr>
          <w:spacing w:val="-14"/>
        </w:rPr>
        <w:t>1000</w:t>
      </w:r>
      <w:r>
        <w:rPr>
          <w:spacing w:val="-22"/>
        </w:rPr>
        <w:t xml:space="preserve"> 人以下或营业收入 </w:t>
      </w:r>
      <w:r>
        <w:rPr>
          <w:spacing w:val="-14"/>
        </w:rPr>
        <w:t>5000</w:t>
      </w:r>
      <w:r>
        <w:rPr>
          <w:spacing w:val="-18"/>
        </w:rPr>
        <w:t xml:space="preserve"> 万元以下的为中</w:t>
      </w:r>
    </w:p>
    <w:p>
      <w:pPr>
        <w:pStyle w:val="9"/>
        <w:spacing w:before="77"/>
        <w:ind w:right="1004"/>
        <w:jc w:val="right"/>
      </w:pPr>
      <w:r>
        <w:rPr>
          <w:spacing w:val="-13"/>
        </w:rPr>
        <w:t xml:space="preserve">小微型企业。其中，从业人员 </w:t>
      </w:r>
      <w:r>
        <w:rPr>
          <w:spacing w:val="-12"/>
        </w:rPr>
        <w:t>300</w:t>
      </w:r>
      <w:r>
        <w:rPr>
          <w:spacing w:val="-17"/>
        </w:rPr>
        <w:t xml:space="preserve"> 人及以上，且营业收入 </w:t>
      </w:r>
      <w:r>
        <w:rPr>
          <w:spacing w:val="-12"/>
        </w:rPr>
        <w:t>1000</w:t>
      </w:r>
      <w:r>
        <w:rPr>
          <w:spacing w:val="-16"/>
        </w:rPr>
        <w:t xml:space="preserve"> 万元及以上的为</w:t>
      </w:r>
    </w:p>
    <w:p>
      <w:pPr>
        <w:pStyle w:val="9"/>
        <w:spacing w:before="77"/>
        <w:ind w:right="1007"/>
        <w:jc w:val="right"/>
      </w:pPr>
      <w:r>
        <w:rPr>
          <w:spacing w:val="-16"/>
        </w:rPr>
        <w:t>中型企业；从业人员 100</w:t>
      </w:r>
      <w:r>
        <w:rPr>
          <w:spacing w:val="-19"/>
        </w:rPr>
        <w:t xml:space="preserve"> 人及以上，且营业收入 </w:t>
      </w:r>
      <w:r>
        <w:rPr>
          <w:spacing w:val="-16"/>
        </w:rPr>
        <w:t>500</w:t>
      </w:r>
      <w:r>
        <w:rPr>
          <w:spacing w:val="-18"/>
        </w:rPr>
        <w:t xml:space="preserve"> 万元及以上的为小型企业；</w:t>
      </w:r>
    </w:p>
    <w:p>
      <w:pPr>
        <w:pStyle w:val="9"/>
        <w:spacing w:before="86"/>
        <w:ind w:left="887"/>
      </w:pPr>
      <w:r>
        <w:rPr>
          <w:spacing w:val="-19"/>
        </w:rPr>
        <w:t xml:space="preserve">从业人员 </w:t>
      </w:r>
      <w:r>
        <w:rPr>
          <w:spacing w:val="-16"/>
        </w:rPr>
        <w:t>100</w:t>
      </w:r>
      <w:r>
        <w:rPr>
          <w:spacing w:val="-23"/>
        </w:rPr>
        <w:t xml:space="preserve"> 人以下或营业收入 </w:t>
      </w:r>
      <w:r>
        <w:rPr>
          <w:spacing w:val="-16"/>
        </w:rPr>
        <w:t>500</w:t>
      </w:r>
      <w:r>
        <w:rPr>
          <w:spacing w:val="-19"/>
        </w:rPr>
        <w:t xml:space="preserve"> 万元以下的为微型企业。</w:t>
      </w:r>
    </w:p>
    <w:p>
      <w:pPr>
        <w:pStyle w:val="9"/>
        <w:spacing w:before="106"/>
        <w:ind w:right="1043"/>
        <w:jc w:val="right"/>
      </w:pPr>
      <w:r>
        <w:rPr>
          <w:spacing w:val="-12"/>
        </w:rPr>
        <w:t>（十五）</w:t>
      </w:r>
      <w:r>
        <w:rPr>
          <w:spacing w:val="-13"/>
        </w:rPr>
        <w:t xml:space="preserve">租赁和商务服务业。从业人员 </w:t>
      </w:r>
      <w:r>
        <w:rPr>
          <w:spacing w:val="-12"/>
        </w:rPr>
        <w:t>300</w:t>
      </w:r>
      <w:r>
        <w:rPr>
          <w:spacing w:val="-16"/>
        </w:rPr>
        <w:t xml:space="preserve"> 人以下或资产总额 </w:t>
      </w:r>
      <w:r>
        <w:rPr>
          <w:spacing w:val="-12"/>
        </w:rPr>
        <w:t>120000</w:t>
      </w:r>
      <w:r>
        <w:rPr>
          <w:spacing w:val="-22"/>
        </w:rPr>
        <w:t xml:space="preserve"> 万元</w:t>
      </w:r>
    </w:p>
    <w:p>
      <w:pPr>
        <w:pStyle w:val="9"/>
        <w:spacing w:before="70"/>
        <w:ind w:right="1045"/>
        <w:jc w:val="right"/>
      </w:pPr>
      <w:r>
        <w:rPr>
          <w:spacing w:val="-14"/>
        </w:rPr>
        <w:t>以下的为中小微型企业。其中，从业人员 100</w:t>
      </w:r>
      <w:r>
        <w:rPr>
          <w:spacing w:val="-16"/>
        </w:rPr>
        <w:t xml:space="preserve"> 人及以上，且资产总额 </w:t>
      </w:r>
      <w:r>
        <w:rPr>
          <w:spacing w:val="-14"/>
        </w:rPr>
        <w:t>8000</w:t>
      </w:r>
      <w:r>
        <w:rPr>
          <w:spacing w:val="-22"/>
        </w:rPr>
        <w:t xml:space="preserve"> 万元</w:t>
      </w:r>
    </w:p>
    <w:p>
      <w:pPr>
        <w:pStyle w:val="9"/>
        <w:spacing w:before="103"/>
        <w:ind w:right="1091"/>
        <w:jc w:val="right"/>
      </w:pPr>
      <w:r>
        <w:rPr>
          <w:spacing w:val="-16"/>
        </w:rPr>
        <w:t xml:space="preserve">及以上的为中型企业；从业人员 </w:t>
      </w:r>
      <w:r>
        <w:rPr>
          <w:spacing w:val="-14"/>
        </w:rPr>
        <w:t>10</w:t>
      </w:r>
      <w:r>
        <w:rPr>
          <w:spacing w:val="-19"/>
        </w:rPr>
        <w:t xml:space="preserve"> 人及以上，且资产总额 </w:t>
      </w:r>
      <w:r>
        <w:rPr>
          <w:spacing w:val="-14"/>
        </w:rPr>
        <w:t>100</w:t>
      </w:r>
      <w:r>
        <w:rPr>
          <w:spacing w:val="-18"/>
        </w:rPr>
        <w:t xml:space="preserve"> 万元及以上的为</w:t>
      </w:r>
    </w:p>
    <w:p>
      <w:pPr>
        <w:pStyle w:val="9"/>
        <w:spacing w:before="69"/>
        <w:ind w:left="891"/>
      </w:pPr>
      <w:r>
        <w:rPr>
          <w:spacing w:val="-17"/>
        </w:rPr>
        <w:t xml:space="preserve">小型企业；从业人员 </w:t>
      </w:r>
      <w:r>
        <w:rPr>
          <w:spacing w:val="-16"/>
        </w:rPr>
        <w:t>10</w:t>
      </w:r>
      <w:r>
        <w:rPr>
          <w:spacing w:val="-19"/>
        </w:rPr>
        <w:t xml:space="preserve"> 人以下或资产总额 </w:t>
      </w:r>
      <w:r>
        <w:rPr>
          <w:spacing w:val="-16"/>
        </w:rPr>
        <w:t>100</w:t>
      </w:r>
      <w:r>
        <w:rPr>
          <w:spacing w:val="-17"/>
        </w:rPr>
        <w:t xml:space="preserve"> 万元以下的为微型企业。</w:t>
      </w:r>
    </w:p>
    <w:p>
      <w:pPr>
        <w:pStyle w:val="9"/>
        <w:spacing w:before="106"/>
        <w:ind w:left="891"/>
      </w:pPr>
      <w:r>
        <w:rPr>
          <w:spacing w:val="-16"/>
        </w:rPr>
        <w:t>（十六）其他未列明行业。从业人员 300 人以下的为中小微型企业。其中，从业</w:t>
      </w:r>
    </w:p>
    <w:p>
      <w:pPr>
        <w:pStyle w:val="9"/>
        <w:spacing w:before="74" w:line="297" w:lineRule="auto"/>
        <w:ind w:left="887" w:right="1636"/>
      </w:pPr>
      <w:r>
        <w:rPr>
          <w:spacing w:val="-35"/>
        </w:rPr>
        <w:t xml:space="preserve">人员 </w:t>
      </w:r>
      <w:r>
        <w:rPr>
          <w:spacing w:val="-18"/>
        </w:rPr>
        <w:t>100</w:t>
      </w:r>
      <w:r>
        <w:rPr>
          <w:spacing w:val="-23"/>
        </w:rPr>
        <w:t xml:space="preserve"> 人及以上的为中型企业；从业人员 </w:t>
      </w:r>
      <w:r>
        <w:rPr>
          <w:spacing w:val="-18"/>
        </w:rPr>
        <w:t>10</w:t>
      </w:r>
      <w:r>
        <w:rPr>
          <w:spacing w:val="-22"/>
        </w:rPr>
        <w:t xml:space="preserve"> 人及以上的为小型企业；从业人</w:t>
      </w:r>
      <w:r>
        <w:t>员10</w:t>
      </w:r>
      <w:r>
        <w:rPr>
          <w:spacing w:val="-4"/>
        </w:rPr>
        <w:t xml:space="preserve"> 人以下的为微型企业。</w:t>
      </w:r>
    </w:p>
    <w:p>
      <w:pPr>
        <w:pStyle w:val="9"/>
        <w:spacing w:before="14"/>
        <w:ind w:left="889"/>
      </w:pPr>
      <w:r>
        <w:rPr>
          <w:spacing w:val="-5"/>
        </w:rPr>
        <w:t>五、企业类型的划分以统计部门的统计数据为依据。</w:t>
      </w:r>
    </w:p>
    <w:p>
      <w:pPr>
        <w:pStyle w:val="9"/>
        <w:spacing w:before="105" w:line="261" w:lineRule="auto"/>
        <w:ind w:left="889" w:right="1064" w:firstLine="477"/>
      </w:pPr>
      <w:r>
        <w:rPr>
          <w:spacing w:val="-24"/>
        </w:rPr>
        <w:t>六、本规定适用于在中华人民共和国境内依法设立的各类所有制和各种组织形式的</w:t>
      </w:r>
      <w:r>
        <w:rPr>
          <w:spacing w:val="-2"/>
        </w:rPr>
        <w:t>企业。个体工商户和本规定以外的行业，参照本规定进行划型。</w:t>
      </w:r>
    </w:p>
    <w:p>
      <w:pPr>
        <w:pStyle w:val="9"/>
        <w:spacing w:before="119" w:line="276" w:lineRule="auto"/>
        <w:ind w:left="884" w:right="1064" w:firstLine="480"/>
        <w:jc w:val="both"/>
      </w:pPr>
      <w:r>
        <w:rPr>
          <w:spacing w:val="-4"/>
        </w:rPr>
        <w:t>七、本规定的中型企业标准上限即为大型企业标准的下限，国家统计部门据此制定大中小微型企业的统计分类。国务院有关部门据此进行相关数据分析，不</w:t>
      </w:r>
      <w:r>
        <w:rPr>
          <w:spacing w:val="-2"/>
        </w:rPr>
        <w:t>得制定与本规定不一致的企业划型标准。</w:t>
      </w:r>
    </w:p>
    <w:p>
      <w:pPr>
        <w:pStyle w:val="9"/>
        <w:spacing w:before="117" w:line="261" w:lineRule="auto"/>
        <w:ind w:left="884" w:right="1242" w:firstLine="482"/>
      </w:pPr>
      <w:r>
        <w:rPr>
          <w:spacing w:val="-10"/>
        </w:rPr>
        <w:t>八、本规定由工业和信息化部、国家统计局会同有关部门根据《国民经济行</w:t>
      </w:r>
      <w:r>
        <w:rPr>
          <w:spacing w:val="-2"/>
        </w:rPr>
        <w:t>业分类》修订情况和企业发展变化情况适时修订。</w:t>
      </w:r>
    </w:p>
    <w:p>
      <w:pPr>
        <w:pStyle w:val="9"/>
        <w:spacing w:before="92"/>
        <w:ind w:left="1372"/>
      </w:pPr>
      <w:r>
        <w:rPr>
          <w:spacing w:val="-5"/>
        </w:rPr>
        <w:t>九、本规定由工业和信息化部、国家统计局会同有关部门负责解释。</w:t>
      </w:r>
    </w:p>
    <w:p>
      <w:pPr>
        <w:pStyle w:val="9"/>
        <w:spacing w:before="108" w:line="261" w:lineRule="auto"/>
        <w:ind w:left="887" w:right="1256" w:hanging="3"/>
      </w:pPr>
      <w:r>
        <w:rPr>
          <w:spacing w:val="-10"/>
        </w:rPr>
        <w:t>十、本规定自发布之日起执行，原国家经贸委、原国家计委、财政部和国家统计</w:t>
      </w:r>
      <w:r>
        <w:rPr>
          <w:spacing w:val="-15"/>
        </w:rPr>
        <w:t xml:space="preserve">局 </w:t>
      </w:r>
      <w:r>
        <w:rPr>
          <w:spacing w:val="-2"/>
        </w:rPr>
        <w:t>2003</w:t>
      </w:r>
      <w:r>
        <w:rPr>
          <w:spacing w:val="-7"/>
        </w:rPr>
        <w:t xml:space="preserve"> 年颁布的《中小企业标准暂行规定》同时废止。</w:t>
      </w:r>
    </w:p>
    <w:p>
      <w:pPr>
        <w:spacing w:after="0" w:line="261" w:lineRule="auto"/>
        <w:sectPr>
          <w:pgSz w:w="11910" w:h="16840"/>
          <w:pgMar w:top="1100" w:right="720" w:bottom="1020" w:left="920" w:header="918" w:footer="836" w:gutter="0"/>
          <w:pgNumType w:fmt="numberInDash"/>
          <w:cols w:space="720" w:num="1"/>
        </w:sectPr>
      </w:pPr>
    </w:p>
    <w:p>
      <w:pPr>
        <w:pStyle w:val="9"/>
        <w:spacing w:before="274"/>
      </w:pPr>
    </w:p>
    <w:p>
      <w:pPr>
        <w:spacing w:before="1"/>
        <w:ind w:left="891" w:right="0" w:firstLine="0"/>
        <w:jc w:val="left"/>
        <w:rPr>
          <w:sz w:val="24"/>
        </w:rPr>
      </w:pPr>
      <w:r>
        <w:rPr>
          <w:b/>
          <w:spacing w:val="-10"/>
          <w:sz w:val="24"/>
        </w:rPr>
        <w:t>（二）监狱企业证明文件</w:t>
      </w:r>
      <w:r>
        <w:rPr>
          <w:spacing w:val="-10"/>
          <w:sz w:val="24"/>
        </w:rPr>
        <w:t>【如适用】</w:t>
      </w:r>
    </w:p>
    <w:p>
      <w:pPr>
        <w:pStyle w:val="9"/>
        <w:spacing w:before="251"/>
      </w:pPr>
    </w:p>
    <w:p>
      <w:pPr>
        <w:pStyle w:val="9"/>
        <w:spacing w:before="1" w:line="340" w:lineRule="auto"/>
        <w:ind w:left="889" w:right="1252" w:firstLine="463"/>
      </w:pPr>
      <w:r>
        <w:rPr>
          <w:spacing w:val="-10"/>
        </w:rPr>
        <w:t>【监狱企业应当提供由省级及以上监狱管理局、戒毒管理局（含新疆生产建</w:t>
      </w:r>
      <w:r>
        <w:rPr>
          <w:spacing w:val="-2"/>
        </w:rPr>
        <w:t>设兵团）出具的监狱企业的证明文件，格式如下】。</w:t>
      </w:r>
    </w:p>
    <w:p>
      <w:pPr>
        <w:pStyle w:val="9"/>
      </w:pPr>
    </w:p>
    <w:p>
      <w:pPr>
        <w:pStyle w:val="9"/>
        <w:spacing w:before="21"/>
      </w:pPr>
    </w:p>
    <w:p>
      <w:pPr>
        <w:pStyle w:val="4"/>
        <w:ind w:right="386"/>
      </w:pPr>
      <w:r>
        <w:rPr>
          <w:spacing w:val="-14"/>
        </w:rPr>
        <w:t>监狱企业证明函</w:t>
      </w:r>
    </w:p>
    <w:p>
      <w:pPr>
        <w:pStyle w:val="9"/>
        <w:rPr>
          <w:b/>
          <w:sz w:val="32"/>
        </w:rPr>
      </w:pPr>
    </w:p>
    <w:p>
      <w:pPr>
        <w:pStyle w:val="9"/>
        <w:spacing w:before="9"/>
        <w:rPr>
          <w:b/>
          <w:sz w:val="32"/>
        </w:rPr>
      </w:pPr>
    </w:p>
    <w:p>
      <w:pPr>
        <w:pStyle w:val="9"/>
        <w:spacing w:line="369" w:lineRule="auto"/>
        <w:ind w:left="884" w:right="1256" w:firstLine="504"/>
        <w:jc w:val="both"/>
      </w:pPr>
      <w:r>
        <w:rPr>
          <w:spacing w:val="11"/>
        </w:rPr>
        <w:t>本公司郑重声明，根据财政部、司法部《关于政府采购支持监狱企业</w:t>
      </w:r>
      <w:r>
        <w:rPr>
          <w:spacing w:val="-5"/>
        </w:rPr>
        <w:t>发展有关 问题 的通知》</w:t>
      </w:r>
      <w:r>
        <w:t>（财库</w:t>
      </w:r>
      <w:r>
        <w:rPr>
          <w:rFonts w:ascii="微软雅黑" w:eastAsia="微软雅黑"/>
          <w:spacing w:val="-9"/>
        </w:rPr>
        <w:t xml:space="preserve">〔 </w:t>
      </w:r>
      <w:r>
        <w:t>2014</w:t>
      </w:r>
      <w:r>
        <w:rPr>
          <w:rFonts w:ascii="微软雅黑" w:eastAsia="微软雅黑"/>
          <w:spacing w:val="-9"/>
        </w:rPr>
        <w:t xml:space="preserve">〕 </w:t>
      </w:r>
      <w:r>
        <w:t>68</w:t>
      </w:r>
      <w:r>
        <w:rPr>
          <w:spacing w:val="15"/>
        </w:rPr>
        <w:t xml:space="preserve"> 号</w:t>
      </w:r>
      <w:r>
        <w:t>）</w:t>
      </w:r>
      <w:r>
        <w:rPr>
          <w:spacing w:val="-8"/>
        </w:rPr>
        <w:t xml:space="preserve"> 的规定， 本公司为监狱企</w:t>
      </w:r>
      <w:r>
        <w:rPr>
          <w:spacing w:val="-6"/>
        </w:rPr>
        <w:t>业。</w:t>
      </w:r>
    </w:p>
    <w:p>
      <w:pPr>
        <w:pStyle w:val="9"/>
      </w:pPr>
    </w:p>
    <w:p>
      <w:pPr>
        <w:pStyle w:val="9"/>
      </w:pPr>
    </w:p>
    <w:p>
      <w:pPr>
        <w:pStyle w:val="9"/>
      </w:pPr>
    </w:p>
    <w:p>
      <w:pPr>
        <w:pStyle w:val="9"/>
        <w:spacing w:before="116"/>
      </w:pPr>
    </w:p>
    <w:p>
      <w:pPr>
        <w:pStyle w:val="9"/>
        <w:tabs>
          <w:tab w:val="left" w:pos="6337"/>
          <w:tab w:val="left" w:pos="6891"/>
        </w:tabs>
        <w:spacing w:line="352" w:lineRule="auto"/>
        <w:ind w:left="5209" w:right="2789" w:hanging="39"/>
      </w:pPr>
      <w:r>
        <w:rPr>
          <w:spacing w:val="-2"/>
        </w:rPr>
        <w:t>投标人名称（公章)：</w:t>
      </w:r>
      <w:r>
        <w:t>日</w:t>
      </w:r>
      <w:r>
        <w:rPr>
          <w:spacing w:val="33"/>
        </w:rPr>
        <w:t>期</w:t>
      </w:r>
      <w:r>
        <w:t>：</w:t>
      </w:r>
      <w:r>
        <w:tab/>
      </w:r>
      <w:r>
        <w:rPr>
          <w:spacing w:val="-10"/>
        </w:rPr>
        <w:t>年</w:t>
      </w:r>
      <w:r>
        <w:tab/>
      </w:r>
      <w:r>
        <w:rPr>
          <w:spacing w:val="-10"/>
        </w:rPr>
        <w:t>月</w:t>
      </w:r>
      <w:r>
        <w:rPr>
          <w:spacing w:val="80"/>
        </w:rPr>
        <w:t xml:space="preserve"> </w:t>
      </w:r>
      <w:r>
        <w:rPr>
          <w:spacing w:val="-10"/>
        </w:rPr>
        <w:t>日</w:t>
      </w:r>
    </w:p>
    <w:p>
      <w:pPr>
        <w:pStyle w:val="9"/>
      </w:pPr>
    </w:p>
    <w:p>
      <w:pPr>
        <w:pStyle w:val="9"/>
      </w:pPr>
    </w:p>
    <w:p>
      <w:pPr>
        <w:pStyle w:val="9"/>
        <w:spacing w:before="16"/>
      </w:pPr>
    </w:p>
    <w:p>
      <w:pPr>
        <w:pStyle w:val="9"/>
        <w:ind w:left="4249"/>
      </w:pPr>
      <w:r>
        <w:rPr>
          <w:spacing w:val="-5"/>
        </w:rPr>
        <w:t>省级以上监狱管理局、戒毒管理局</w:t>
      </w:r>
    </w:p>
    <w:p>
      <w:pPr>
        <w:pStyle w:val="9"/>
        <w:tabs>
          <w:tab w:val="left" w:pos="6342"/>
          <w:tab w:val="left" w:pos="7415"/>
        </w:tabs>
        <w:spacing w:before="137" w:line="352" w:lineRule="auto"/>
        <w:ind w:left="5248" w:right="2285" w:hanging="996"/>
      </w:pPr>
      <w:r>
        <w:rPr>
          <w:spacing w:val="-8"/>
        </w:rPr>
        <w:t>（含新疆生产建设兵团）（盖章）：</w:t>
      </w:r>
      <w:r>
        <w:rPr>
          <w:spacing w:val="-4"/>
        </w:rPr>
        <w:t>日期：</w:t>
      </w:r>
      <w:r>
        <w:tab/>
      </w:r>
      <w:r>
        <w:t>年</w:t>
      </w:r>
      <w:r>
        <w:rPr>
          <w:spacing w:val="80"/>
        </w:rPr>
        <w:t xml:space="preserve"> </w:t>
      </w:r>
      <w:r>
        <w:t>月</w:t>
      </w:r>
      <w:r>
        <w:tab/>
      </w:r>
      <w:r>
        <w:rPr>
          <w:spacing w:val="-10"/>
        </w:rPr>
        <w:t>日</w:t>
      </w:r>
    </w:p>
    <w:p>
      <w:pPr>
        <w:spacing w:after="0" w:line="352" w:lineRule="auto"/>
        <w:sectPr>
          <w:pgSz w:w="11910" w:h="16840"/>
          <w:pgMar w:top="1100" w:right="720" w:bottom="1020" w:left="920" w:header="918" w:footer="836" w:gutter="0"/>
          <w:pgNumType w:fmt="numberInDash"/>
          <w:cols w:space="720" w:num="1"/>
        </w:sectPr>
      </w:pPr>
    </w:p>
    <w:p>
      <w:pPr>
        <w:pStyle w:val="9"/>
      </w:pPr>
    </w:p>
    <w:p>
      <w:pPr>
        <w:pStyle w:val="9"/>
        <w:spacing w:before="92"/>
      </w:pPr>
    </w:p>
    <w:p>
      <w:pPr>
        <w:spacing w:before="0"/>
        <w:ind w:left="891" w:right="0" w:firstLine="0"/>
        <w:jc w:val="left"/>
        <w:rPr>
          <w:sz w:val="24"/>
        </w:rPr>
      </w:pPr>
      <w:r>
        <w:rPr>
          <w:b/>
          <w:spacing w:val="-10"/>
          <w:sz w:val="24"/>
        </w:rPr>
        <w:t>（三）残疾人福利性单位声明函</w:t>
      </w:r>
      <w:r>
        <w:rPr>
          <w:spacing w:val="-10"/>
          <w:sz w:val="24"/>
        </w:rPr>
        <w:t>【如适用】</w:t>
      </w:r>
    </w:p>
    <w:p>
      <w:pPr>
        <w:pStyle w:val="9"/>
      </w:pPr>
    </w:p>
    <w:p>
      <w:pPr>
        <w:pStyle w:val="9"/>
        <w:spacing w:before="79"/>
      </w:pPr>
    </w:p>
    <w:p>
      <w:pPr>
        <w:pStyle w:val="4"/>
        <w:ind w:right="403"/>
      </w:pPr>
      <w:r>
        <w:rPr>
          <w:spacing w:val="-12"/>
        </w:rPr>
        <w:t>残疾人福利性单位声明函</w:t>
      </w:r>
    </w:p>
    <w:p>
      <w:pPr>
        <w:pStyle w:val="9"/>
        <w:spacing w:before="272"/>
        <w:rPr>
          <w:b/>
          <w:sz w:val="32"/>
        </w:rPr>
      </w:pPr>
    </w:p>
    <w:p>
      <w:pPr>
        <w:pStyle w:val="9"/>
        <w:spacing w:line="340" w:lineRule="auto"/>
        <w:ind w:left="882" w:right="1062" w:firstLine="482"/>
        <w:jc w:val="both"/>
      </w:pPr>
      <w:r>
        <w:rPr>
          <w:spacing w:val="-10"/>
        </w:rPr>
        <w:t>本公司（联合体）</w:t>
      </w:r>
      <w:r>
        <w:rPr>
          <w:spacing w:val="-12"/>
        </w:rPr>
        <w:t>郑重声明，根据《财政部 民政部 中国残疾人联合会关于促</w:t>
      </w:r>
      <w:r>
        <w:t>进残疾人就业政府采购政策的通知》（财库〔2017〕141</w:t>
      </w:r>
      <w:r>
        <w:rPr>
          <w:spacing w:val="-15"/>
        </w:rPr>
        <w:t xml:space="preserve"> 号</w:t>
      </w:r>
      <w:r>
        <w:t>）的规定，本公司</w:t>
      </w:r>
    </w:p>
    <w:p>
      <w:pPr>
        <w:pStyle w:val="9"/>
        <w:spacing w:before="41" w:line="345" w:lineRule="auto"/>
        <w:ind w:left="884" w:right="964" w:firstLine="7"/>
        <w:jc w:val="both"/>
      </w:pPr>
      <w:r>
        <w:t>（联合体）参加</w:t>
      </w:r>
      <w:r>
        <w:rPr>
          <w:rFonts w:ascii="Times New Roman" w:eastAsia="Times New Roman"/>
          <w:spacing w:val="80"/>
          <w:w w:val="150"/>
          <w:u w:val="single"/>
        </w:rPr>
        <w:t xml:space="preserve"> </w:t>
      </w:r>
      <w:r>
        <w:rPr>
          <w:u w:val="single"/>
        </w:rPr>
        <w:t>（单位名称）</w:t>
      </w:r>
      <w:r>
        <w:t xml:space="preserve"> 的</w:t>
      </w:r>
      <w:r>
        <w:rPr>
          <w:rFonts w:ascii="Times New Roman" w:eastAsia="Times New Roman"/>
          <w:spacing w:val="80"/>
          <w:w w:val="150"/>
          <w:u w:val="single"/>
        </w:rPr>
        <w:t xml:space="preserve"> </w:t>
      </w:r>
      <w:r>
        <w:rPr>
          <w:u w:val="single"/>
        </w:rPr>
        <w:t>（项目名称）</w:t>
      </w:r>
      <w:r>
        <w:t xml:space="preserve"> 采购活动，提供的服务及货</w:t>
      </w:r>
      <w:r>
        <w:rPr>
          <w:spacing w:val="-8"/>
        </w:rPr>
        <w:t>物</w:t>
      </w:r>
      <w:r>
        <w:rPr>
          <w:b/>
          <w:spacing w:val="-8"/>
        </w:rPr>
        <w:t>全部由</w:t>
      </w:r>
      <w:r>
        <w:rPr>
          <w:spacing w:val="-8"/>
        </w:rPr>
        <w:t>符合政策要求的</w:t>
      </w:r>
      <w:r>
        <w:rPr>
          <w:b/>
          <w:spacing w:val="-8"/>
        </w:rPr>
        <w:t>残疾人福利性单位提供和制造</w:t>
      </w:r>
      <w:r>
        <w:rPr>
          <w:spacing w:val="-8"/>
        </w:rPr>
        <w:t>。相关企业（含联合体中的</w:t>
      </w:r>
      <w:r>
        <w:rPr>
          <w:spacing w:val="-18"/>
        </w:rPr>
        <w:t>残疾人福利性单位、签订分包意向协议书的残疾人福利性单位）的具体情况如下：</w:t>
      </w:r>
    </w:p>
    <w:p>
      <w:pPr>
        <w:pStyle w:val="15"/>
        <w:numPr>
          <w:ilvl w:val="0"/>
          <w:numId w:val="50"/>
        </w:numPr>
        <w:tabs>
          <w:tab w:val="left" w:pos="1641"/>
        </w:tabs>
        <w:spacing w:before="20" w:after="0" w:line="240" w:lineRule="auto"/>
        <w:ind w:left="1641" w:right="0" w:hanging="217"/>
        <w:jc w:val="both"/>
        <w:rPr>
          <w:sz w:val="24"/>
        </w:rPr>
      </w:pPr>
      <w:r>
        <w:rPr>
          <w:rFonts w:ascii="Times New Roman" w:eastAsia="Times New Roman"/>
          <w:spacing w:val="9"/>
          <w:sz w:val="24"/>
          <w:u w:val="single"/>
        </w:rPr>
        <w:t xml:space="preserve"> </w:t>
      </w:r>
      <w:r>
        <w:rPr>
          <w:spacing w:val="-4"/>
          <w:sz w:val="24"/>
          <w:u w:val="single"/>
        </w:rPr>
        <w:t>（标的名称）</w:t>
      </w:r>
      <w:r>
        <w:rPr>
          <w:spacing w:val="-13"/>
          <w:sz w:val="24"/>
        </w:rPr>
        <w:t xml:space="preserve"> ，承接单位为 </w:t>
      </w:r>
      <w:r>
        <w:rPr>
          <w:rFonts w:ascii="Times New Roman" w:eastAsia="Times New Roman"/>
          <w:spacing w:val="68"/>
          <w:sz w:val="24"/>
          <w:u w:val="single"/>
        </w:rPr>
        <w:t xml:space="preserve">  </w:t>
      </w:r>
      <w:r>
        <w:rPr>
          <w:spacing w:val="-4"/>
          <w:sz w:val="24"/>
          <w:u w:val="single"/>
        </w:rPr>
        <w:t>（企业名称）</w:t>
      </w:r>
      <w:r>
        <w:rPr>
          <w:spacing w:val="-10"/>
          <w:sz w:val="24"/>
        </w:rPr>
        <w:t xml:space="preserve"> ，属于残疾人福利性单位；</w:t>
      </w:r>
    </w:p>
    <w:p>
      <w:pPr>
        <w:pStyle w:val="15"/>
        <w:numPr>
          <w:ilvl w:val="0"/>
          <w:numId w:val="50"/>
        </w:numPr>
        <w:tabs>
          <w:tab w:val="left" w:pos="1671"/>
          <w:tab w:val="left" w:pos="4940"/>
        </w:tabs>
        <w:spacing w:before="156" w:after="0" w:line="240" w:lineRule="auto"/>
        <w:ind w:left="1671" w:right="0" w:hanging="304"/>
        <w:jc w:val="left"/>
        <w:rPr>
          <w:sz w:val="24"/>
        </w:rPr>
      </w:pPr>
      <w:r>
        <w:rPr>
          <w:spacing w:val="-8"/>
          <w:sz w:val="24"/>
          <w:u w:val="single"/>
        </w:rPr>
        <w:t>（标的名称）</w:t>
      </w:r>
      <w:r>
        <w:rPr>
          <w:spacing w:val="-8"/>
          <w:sz w:val="24"/>
        </w:rPr>
        <w:t xml:space="preserve"> ，承接单位为</w:t>
      </w:r>
      <w:r>
        <w:rPr>
          <w:spacing w:val="-28"/>
          <w:sz w:val="24"/>
        </w:rPr>
        <w:t xml:space="preserve"> </w:t>
      </w:r>
      <w:r>
        <w:rPr>
          <w:rFonts w:ascii="Times New Roman" w:eastAsia="Times New Roman"/>
          <w:sz w:val="24"/>
          <w:u w:val="single"/>
        </w:rPr>
        <w:tab/>
      </w:r>
      <w:r>
        <w:rPr>
          <w:spacing w:val="-8"/>
          <w:sz w:val="24"/>
          <w:u w:val="single"/>
        </w:rPr>
        <w:t>（企业名称）</w:t>
      </w:r>
      <w:r>
        <w:rPr>
          <w:spacing w:val="-2"/>
          <w:sz w:val="24"/>
        </w:rPr>
        <w:t xml:space="preserve"> </w:t>
      </w:r>
      <w:r>
        <w:rPr>
          <w:spacing w:val="-8"/>
          <w:sz w:val="24"/>
        </w:rPr>
        <w:t>，属于残疾人福利性单位</w:t>
      </w:r>
      <w:r>
        <w:rPr>
          <w:spacing w:val="-10"/>
          <w:sz w:val="24"/>
        </w:rPr>
        <w:t>；</w:t>
      </w:r>
    </w:p>
    <w:p>
      <w:pPr>
        <w:spacing w:before="201"/>
        <w:ind w:left="1379" w:right="0" w:firstLine="0"/>
        <w:jc w:val="left"/>
        <w:rPr>
          <w:sz w:val="24"/>
        </w:rPr>
      </w:pPr>
      <w:r>
        <w:rPr>
          <w:spacing w:val="-5"/>
          <w:sz w:val="24"/>
        </w:rPr>
        <w:t>……</w:t>
      </w:r>
    </w:p>
    <w:p>
      <w:pPr>
        <w:pStyle w:val="9"/>
        <w:spacing w:before="125" w:line="343" w:lineRule="auto"/>
        <w:ind w:left="889" w:right="1245" w:firstLine="501"/>
      </w:pPr>
      <w:r>
        <w:rPr>
          <w:spacing w:val="-10"/>
        </w:rPr>
        <w:t>以上企业，不属于大企业的分支机构，不存在控股股东为大企业的情形，也</w:t>
      </w:r>
      <w:r>
        <w:rPr>
          <w:spacing w:val="-2"/>
        </w:rPr>
        <w:t>不存在与大企业的负责人为同一人的情形。</w:t>
      </w:r>
    </w:p>
    <w:p>
      <w:pPr>
        <w:pStyle w:val="9"/>
        <w:spacing w:before="15"/>
        <w:ind w:left="1364"/>
      </w:pPr>
      <w:r>
        <w:rPr>
          <w:spacing w:val="-5"/>
        </w:rPr>
        <w:t>本企业对上述声明内容的真实性负责。如有虚假，将依法承担相应责任。</w:t>
      </w:r>
    </w:p>
    <w:p>
      <w:pPr>
        <w:pStyle w:val="9"/>
        <w:spacing w:before="307"/>
      </w:pPr>
    </w:p>
    <w:p>
      <w:pPr>
        <w:pStyle w:val="9"/>
        <w:spacing w:line="355" w:lineRule="auto"/>
        <w:ind w:left="1972" w:right="937" w:hanging="1085"/>
      </w:pPr>
      <w:r>
        <w:rPr>
          <w:b/>
          <w:spacing w:val="-2"/>
        </w:rPr>
        <w:t>说明：</w:t>
      </w:r>
      <w:r>
        <w:rPr>
          <w:spacing w:val="-2"/>
        </w:rPr>
        <w:t xml:space="preserve">1、服务及货物应当全部由符合政策要求的残疾人福利性单位提供及生产 </w:t>
      </w:r>
      <w:r>
        <w:rPr>
          <w:spacing w:val="-16"/>
        </w:rPr>
        <w:t>且使用该残疾人福利性单位商号或注册商标（与代理商或投标人无关</w:t>
      </w:r>
      <w:r>
        <w:rPr>
          <w:spacing w:val="-51"/>
        </w:rPr>
        <w:t>）；</w:t>
      </w:r>
      <w:r>
        <w:rPr>
          <w:spacing w:val="-16"/>
        </w:rPr>
        <w:t>应</w:t>
      </w:r>
      <w:r>
        <w:rPr>
          <w:spacing w:val="-4"/>
        </w:rPr>
        <w:t>当严格按上述格式及内容进行填写（应当明确每个标的的生产企业类型</w:t>
      </w:r>
      <w:r>
        <w:rPr>
          <w:spacing w:val="-2"/>
        </w:rPr>
        <w:t>及相关数据），否则导致的后果由投标人自行承担；</w:t>
      </w:r>
    </w:p>
    <w:p>
      <w:pPr>
        <w:pStyle w:val="9"/>
        <w:spacing w:before="11"/>
        <w:ind w:left="1607"/>
      </w:pPr>
      <w:r>
        <w:rPr>
          <w:spacing w:val="-4"/>
        </w:rPr>
        <w:t>2</w:t>
      </w:r>
      <w:r>
        <w:rPr>
          <w:spacing w:val="-5"/>
        </w:rPr>
        <w:t>、以联合体形式参加的，应当由联合体各方盖章。</w:t>
      </w:r>
    </w:p>
    <w:p>
      <w:pPr>
        <w:pStyle w:val="9"/>
        <w:spacing w:before="139"/>
      </w:pPr>
    </w:p>
    <w:p>
      <w:pPr>
        <w:pStyle w:val="9"/>
        <w:tabs>
          <w:tab w:val="left" w:pos="8263"/>
        </w:tabs>
        <w:ind w:left="4204"/>
        <w:rPr>
          <w:rFonts w:ascii="Times New Roman" w:eastAsia="Times New Roman"/>
        </w:rPr>
      </w:pPr>
      <w:r>
        <w:rPr>
          <w:spacing w:val="-4"/>
        </w:rPr>
        <w:t>投标人名称（公章</w:t>
      </w:r>
      <w:r>
        <w:rPr>
          <w:spacing w:val="-5"/>
        </w:rPr>
        <w:t>)：</w:t>
      </w:r>
      <w:r>
        <w:rPr>
          <w:rFonts w:ascii="Times New Roman" w:eastAsia="Times New Roman"/>
          <w:u w:val="single"/>
        </w:rPr>
        <w:tab/>
      </w:r>
    </w:p>
    <w:p>
      <w:pPr>
        <w:pStyle w:val="9"/>
        <w:spacing w:before="142"/>
        <w:rPr>
          <w:rFonts w:ascii="Times New Roman"/>
        </w:rPr>
      </w:pPr>
    </w:p>
    <w:p>
      <w:pPr>
        <w:pStyle w:val="9"/>
        <w:tabs>
          <w:tab w:val="left" w:pos="8273"/>
        </w:tabs>
        <w:ind w:left="4242"/>
        <w:rPr>
          <w:rFonts w:ascii="Times New Roman" w:eastAsia="Times New Roman"/>
        </w:rPr>
      </w:pPr>
      <w:r>
        <w:t>日</w:t>
      </w:r>
      <w:r>
        <w:rPr>
          <w:spacing w:val="76"/>
        </w:rPr>
        <w:t xml:space="preserve"> </w:t>
      </w:r>
      <w:r>
        <w:t>期</w:t>
      </w:r>
      <w:r>
        <w:rPr>
          <w:spacing w:val="-10"/>
        </w:rPr>
        <w:t>：</w:t>
      </w:r>
      <w:r>
        <w:rPr>
          <w:rFonts w:ascii="Times New Roman" w:eastAsia="Times New Roman"/>
          <w:u w:val="single"/>
        </w:rPr>
        <w:tab/>
      </w:r>
    </w:p>
    <w:p>
      <w:pPr>
        <w:spacing w:after="0"/>
        <w:rPr>
          <w:rFonts w:ascii="Times New Roman" w:eastAsia="Times New Roman"/>
        </w:rPr>
        <w:sectPr>
          <w:pgSz w:w="11910" w:h="16840"/>
          <w:pgMar w:top="1100" w:right="720" w:bottom="1020" w:left="920" w:header="918" w:footer="836" w:gutter="0"/>
          <w:pgNumType w:fmt="numberInDash"/>
          <w:cols w:space="720" w:num="1"/>
        </w:sectPr>
      </w:pPr>
    </w:p>
    <w:p>
      <w:pPr>
        <w:pStyle w:val="9"/>
        <w:rPr>
          <w:rFonts w:ascii="Times New Roman"/>
          <w:sz w:val="28"/>
        </w:rPr>
      </w:pPr>
    </w:p>
    <w:p>
      <w:pPr>
        <w:pStyle w:val="9"/>
        <w:rPr>
          <w:rFonts w:ascii="Times New Roman"/>
          <w:sz w:val="28"/>
        </w:rPr>
      </w:pPr>
    </w:p>
    <w:p>
      <w:pPr>
        <w:pStyle w:val="9"/>
        <w:spacing w:before="24"/>
        <w:rPr>
          <w:rFonts w:ascii="Times New Roman"/>
          <w:sz w:val="28"/>
        </w:rPr>
      </w:pPr>
    </w:p>
    <w:p>
      <w:pPr>
        <w:pStyle w:val="6"/>
        <w:ind w:left="887"/>
      </w:pPr>
      <w:r>
        <w:rPr>
          <w:spacing w:val="-16"/>
        </w:rPr>
        <w:t>三、不参与围标串标承诺书</w:t>
      </w:r>
    </w:p>
    <w:p>
      <w:pPr>
        <w:pStyle w:val="9"/>
        <w:rPr>
          <w:b/>
          <w:sz w:val="28"/>
        </w:rPr>
      </w:pPr>
    </w:p>
    <w:p>
      <w:pPr>
        <w:pStyle w:val="9"/>
        <w:spacing w:before="218"/>
        <w:rPr>
          <w:b/>
          <w:sz w:val="28"/>
        </w:rPr>
      </w:pPr>
    </w:p>
    <w:p>
      <w:pPr>
        <w:pStyle w:val="4"/>
        <w:ind w:right="389"/>
      </w:pPr>
      <w:r>
        <w:rPr>
          <w:spacing w:val="-10"/>
        </w:rPr>
        <w:t>不参与围标串标承诺书</w:t>
      </w:r>
    </w:p>
    <w:p>
      <w:pPr>
        <w:pStyle w:val="9"/>
        <w:spacing w:before="219"/>
        <w:rPr>
          <w:b/>
          <w:sz w:val="32"/>
        </w:rPr>
      </w:pPr>
    </w:p>
    <w:p>
      <w:pPr>
        <w:pStyle w:val="9"/>
        <w:spacing w:line="343" w:lineRule="auto"/>
        <w:ind w:left="889" w:right="1352" w:firstLine="475"/>
      </w:pPr>
      <w:r>
        <w:rPr>
          <w:spacing w:val="-6"/>
        </w:rPr>
        <w:t>本人作为经授权的投标人代表,清楚知晓我单位本项目投标活动,对以下事</w:t>
      </w:r>
      <w:r>
        <w:rPr>
          <w:spacing w:val="-2"/>
        </w:rPr>
        <w:t>项作出承诺：</w:t>
      </w:r>
    </w:p>
    <w:p>
      <w:pPr>
        <w:pStyle w:val="9"/>
        <w:spacing w:before="188"/>
      </w:pPr>
    </w:p>
    <w:p>
      <w:pPr>
        <w:pStyle w:val="9"/>
        <w:spacing w:line="288" w:lineRule="auto"/>
        <w:ind w:left="884" w:right="1235" w:firstLine="482"/>
      </w:pPr>
      <w:r>
        <w:rPr>
          <w:spacing w:val="-6"/>
        </w:rPr>
        <w:t>一、我单位和我本人遵循公开透明、公平竞争、公正和诚实信用的原则,依</w:t>
      </w:r>
      <w:r>
        <w:rPr>
          <w:spacing w:val="-2"/>
        </w:rPr>
        <w:t>法依规参与本项目竞标。</w:t>
      </w:r>
    </w:p>
    <w:p>
      <w:pPr>
        <w:pStyle w:val="9"/>
        <w:spacing w:before="166"/>
        <w:ind w:left="1369"/>
      </w:pPr>
      <w:r>
        <w:rPr>
          <w:spacing w:val="-5"/>
        </w:rPr>
        <w:t>二、我单位和我本人在本项目政府采购投标活动中,未参与围标串标。</w:t>
      </w:r>
    </w:p>
    <w:p>
      <w:pPr>
        <w:pStyle w:val="9"/>
        <w:spacing w:before="170" w:line="288" w:lineRule="auto"/>
        <w:ind w:left="884" w:right="1073" w:firstLine="480"/>
      </w:pPr>
      <w:r>
        <w:rPr>
          <w:spacing w:val="-4"/>
        </w:rPr>
        <w:t>三、我单位如被查实在本项目政府采购投标活动中存在围标串标的，递交投</w:t>
      </w:r>
      <w:r>
        <w:rPr>
          <w:spacing w:val="-1"/>
        </w:rPr>
        <w:t>标文件行为作为实施串通投标违法行为的关键环节,由我单位及法定代表人承担</w:t>
      </w:r>
    </w:p>
    <w:p>
      <w:pPr>
        <w:pStyle w:val="9"/>
        <w:spacing w:before="161"/>
        <w:ind w:left="884"/>
      </w:pPr>
      <w:r>
        <w:rPr>
          <w:spacing w:val="-7"/>
        </w:rPr>
        <w:t>相应的法律责任，接受相应行政处罚和失信惩戒。</w:t>
      </w:r>
    </w:p>
    <w:p>
      <w:pPr>
        <w:pStyle w:val="9"/>
      </w:pPr>
    </w:p>
    <w:p>
      <w:pPr>
        <w:pStyle w:val="9"/>
      </w:pPr>
    </w:p>
    <w:p>
      <w:pPr>
        <w:pStyle w:val="9"/>
      </w:pPr>
    </w:p>
    <w:p>
      <w:pPr>
        <w:pStyle w:val="9"/>
        <w:spacing w:before="60"/>
      </w:pPr>
    </w:p>
    <w:p>
      <w:pPr>
        <w:pStyle w:val="9"/>
        <w:ind w:left="887"/>
      </w:pPr>
      <w:r>
        <w:rPr>
          <w:spacing w:val="-4"/>
        </w:rPr>
        <w:t>投标人名称（</w:t>
      </w:r>
      <w:r>
        <w:rPr>
          <w:spacing w:val="-5"/>
        </w:rPr>
        <w:t>公章)：</w:t>
      </w:r>
    </w:p>
    <w:p>
      <w:pPr>
        <w:pStyle w:val="9"/>
        <w:spacing w:before="266" w:line="415" w:lineRule="auto"/>
        <w:ind w:left="925" w:right="3287" w:hanging="41"/>
      </w:pPr>
      <w:r>
        <w:rPr>
          <w:spacing w:val="-6"/>
        </w:rPr>
        <w:t>法定代表人、负责人、本人、或授权代表（签字或盖章）：</w:t>
      </w:r>
      <w:r>
        <w:t>日期： 年 月 日</w:t>
      </w:r>
    </w:p>
    <w:p>
      <w:pPr>
        <w:spacing w:after="0" w:line="415" w:lineRule="auto"/>
        <w:sectPr>
          <w:pgSz w:w="11910" w:h="16840"/>
          <w:pgMar w:top="1100" w:right="720" w:bottom="1020" w:left="920" w:header="918" w:footer="836" w:gutter="0"/>
          <w:pgNumType w:fmt="numberInDash"/>
          <w:cols w:space="720" w:num="1"/>
        </w:sectPr>
      </w:pPr>
    </w:p>
    <w:p>
      <w:pPr>
        <w:pStyle w:val="9"/>
        <w:spacing w:before="357"/>
        <w:rPr>
          <w:sz w:val="28"/>
        </w:rPr>
      </w:pPr>
    </w:p>
    <w:p>
      <w:pPr>
        <w:pStyle w:val="6"/>
        <w:ind w:left="913"/>
      </w:pPr>
      <w:r>
        <w:rPr>
          <w:spacing w:val="-18"/>
        </w:rPr>
        <w:t>四、其他资格证明文件</w:t>
      </w:r>
    </w:p>
    <w:p>
      <w:pPr>
        <w:pStyle w:val="9"/>
        <w:spacing w:before="272"/>
        <w:ind w:left="1367"/>
      </w:pPr>
      <w:r>
        <w:rPr>
          <w:spacing w:val="-5"/>
        </w:rPr>
        <w:t>投标人认为需提供的其它相关资格证明材料</w:t>
      </w:r>
    </w:p>
    <w:p>
      <w:pPr>
        <w:spacing w:after="0"/>
        <w:sectPr>
          <w:pgSz w:w="11910" w:h="16840"/>
          <w:pgMar w:top="1100" w:right="720" w:bottom="1020" w:left="920" w:header="918" w:footer="836" w:gutter="0"/>
          <w:pgNumType w:fmt="numberInDash"/>
          <w:cols w:space="720" w:num="1"/>
        </w:sectPr>
      </w:pPr>
    </w:p>
    <w:p>
      <w:pPr>
        <w:pStyle w:val="9"/>
      </w:pPr>
    </w:p>
    <w:p>
      <w:pPr>
        <w:pStyle w:val="9"/>
        <w:spacing w:before="61"/>
      </w:pPr>
    </w:p>
    <w:p>
      <w:pPr>
        <w:pStyle w:val="9"/>
        <w:ind w:left="1364"/>
      </w:pPr>
      <w:r>
        <w:rPr>
          <w:spacing w:val="-10"/>
        </w:rPr>
        <w:t>封面：</w:t>
      </w:r>
    </w:p>
    <w:p>
      <w:pPr>
        <w:pStyle w:val="9"/>
        <w:spacing w:before="572"/>
        <w:rPr>
          <w:sz w:val="84"/>
        </w:rPr>
      </w:pPr>
    </w:p>
    <w:p>
      <w:pPr>
        <w:spacing w:before="0"/>
        <w:ind w:left="204" w:right="304" w:firstLine="0"/>
        <w:jc w:val="center"/>
        <w:rPr>
          <w:b/>
          <w:sz w:val="84"/>
        </w:rPr>
      </w:pPr>
      <w:r>
        <w:rPr>
          <w:b/>
          <w:spacing w:val="-18"/>
          <w:sz w:val="84"/>
        </w:rPr>
        <w:t>投 标 文 件</w:t>
      </w:r>
    </w:p>
    <w:p>
      <w:pPr>
        <w:pStyle w:val="3"/>
        <w:spacing w:before="443"/>
      </w:pPr>
      <w:r>
        <w:rPr>
          <w:spacing w:val="-8"/>
        </w:rPr>
        <w:t>（第XX标段</w:t>
      </w:r>
      <w:r>
        <w:rPr>
          <w:spacing w:val="-10"/>
        </w:rPr>
        <w:t>）</w:t>
      </w:r>
    </w:p>
    <w:p>
      <w:pPr>
        <w:pStyle w:val="9"/>
        <w:rPr>
          <w:sz w:val="36"/>
        </w:rPr>
      </w:pPr>
    </w:p>
    <w:p>
      <w:pPr>
        <w:pStyle w:val="9"/>
        <w:rPr>
          <w:sz w:val="36"/>
        </w:rPr>
      </w:pPr>
    </w:p>
    <w:p>
      <w:pPr>
        <w:pStyle w:val="9"/>
        <w:rPr>
          <w:sz w:val="36"/>
        </w:rPr>
      </w:pPr>
    </w:p>
    <w:p>
      <w:pPr>
        <w:pStyle w:val="9"/>
        <w:rPr>
          <w:sz w:val="36"/>
        </w:rPr>
      </w:pPr>
    </w:p>
    <w:p>
      <w:pPr>
        <w:pStyle w:val="9"/>
        <w:rPr>
          <w:sz w:val="36"/>
        </w:rPr>
      </w:pPr>
    </w:p>
    <w:p>
      <w:pPr>
        <w:pStyle w:val="9"/>
        <w:spacing w:before="291"/>
        <w:rPr>
          <w:sz w:val="36"/>
        </w:rPr>
      </w:pPr>
    </w:p>
    <w:p>
      <w:pPr>
        <w:pStyle w:val="3"/>
        <w:tabs>
          <w:tab w:val="left" w:pos="9213"/>
        </w:tabs>
        <w:spacing w:line="348" w:lineRule="auto"/>
        <w:ind w:left="1314" w:right="1052"/>
        <w:jc w:val="both"/>
        <w:rPr>
          <w:rFonts w:ascii="Times New Roman" w:eastAsia="Times New Roman"/>
        </w:rPr>
      </w:pPr>
      <w:r>
        <w:rPr>
          <w:spacing w:val="-2"/>
        </w:rPr>
        <w:t>项目编号/包号：</w:t>
      </w:r>
      <w:r>
        <w:rPr>
          <w:rFonts w:ascii="Times New Roman" w:eastAsia="Times New Roman"/>
          <w:u w:val="single"/>
        </w:rPr>
        <w:tab/>
      </w:r>
      <w:r>
        <w:rPr>
          <w:rFonts w:ascii="Times New Roman" w:eastAsia="Times New Roman"/>
        </w:rPr>
        <w:t xml:space="preserve"> </w:t>
      </w:r>
      <w:r>
        <w:rPr>
          <w:spacing w:val="-2"/>
        </w:rPr>
        <w:t>项目名称：</w:t>
      </w:r>
      <w:r>
        <w:rPr>
          <w:rFonts w:ascii="Times New Roman" w:eastAsia="Times New Roman"/>
          <w:u w:val="single"/>
        </w:rPr>
        <w:tab/>
      </w:r>
      <w:r>
        <w:rPr>
          <w:rFonts w:ascii="Times New Roman" w:eastAsia="Times New Roman"/>
        </w:rPr>
        <w:t xml:space="preserve"> </w:t>
      </w:r>
      <w:r>
        <w:t>投</w:t>
      </w:r>
      <w:r>
        <w:rPr>
          <w:spacing w:val="-13"/>
        </w:rPr>
        <w:t xml:space="preserve"> </w:t>
      </w:r>
      <w:r>
        <w:t>标</w:t>
      </w:r>
      <w:r>
        <w:rPr>
          <w:spacing w:val="-13"/>
        </w:rPr>
        <w:t xml:space="preserve"> </w:t>
      </w:r>
      <w:r>
        <w:t>人</w:t>
      </w:r>
      <w:r>
        <w:rPr>
          <w:spacing w:val="-10"/>
        </w:rPr>
        <w:t>：</w:t>
      </w:r>
      <w:r>
        <w:rPr>
          <w:rFonts w:ascii="Times New Roman" w:eastAsia="Times New Roman"/>
          <w:u w:val="single"/>
        </w:rPr>
        <w:tab/>
      </w:r>
    </w:p>
    <w:p>
      <w:pPr>
        <w:pStyle w:val="9"/>
        <w:rPr>
          <w:rFonts w:ascii="Times New Roman"/>
          <w:sz w:val="32"/>
        </w:rPr>
      </w:pPr>
    </w:p>
    <w:p>
      <w:pPr>
        <w:pStyle w:val="9"/>
        <w:rPr>
          <w:rFonts w:ascii="Times New Roman"/>
          <w:sz w:val="32"/>
        </w:rPr>
      </w:pPr>
    </w:p>
    <w:p>
      <w:pPr>
        <w:pStyle w:val="9"/>
        <w:spacing w:before="6"/>
        <w:rPr>
          <w:rFonts w:ascii="Times New Roman"/>
          <w:sz w:val="32"/>
        </w:rPr>
      </w:pPr>
    </w:p>
    <w:p>
      <w:pPr>
        <w:pStyle w:val="5"/>
        <w:tabs>
          <w:tab w:val="left" w:pos="806"/>
          <w:tab w:val="left" w:pos="1821"/>
        </w:tabs>
      </w:pPr>
      <w:r>
        <w:rPr>
          <w:spacing w:val="-10"/>
        </w:rPr>
        <w:t>年</w:t>
      </w:r>
      <w:r>
        <w:tab/>
      </w:r>
      <w:r>
        <w:rPr>
          <w:spacing w:val="-10"/>
        </w:rPr>
        <w:t>月</w:t>
      </w:r>
      <w:r>
        <w:tab/>
      </w:r>
      <w:r>
        <w:rPr>
          <w:spacing w:val="-10"/>
        </w:rPr>
        <w:t>日</w:t>
      </w:r>
    </w:p>
    <w:p>
      <w:pPr>
        <w:spacing w:after="0"/>
        <w:sectPr>
          <w:pgSz w:w="11910" w:h="16840"/>
          <w:pgMar w:top="1100" w:right="720" w:bottom="1020" w:left="920" w:header="918" w:footer="836" w:gutter="0"/>
          <w:pgNumType w:fmt="numberInDash"/>
          <w:cols w:space="720" w:num="1"/>
        </w:sectPr>
      </w:pPr>
    </w:p>
    <w:p>
      <w:pPr>
        <w:pStyle w:val="9"/>
        <w:rPr>
          <w:sz w:val="32"/>
        </w:rPr>
      </w:pPr>
    </w:p>
    <w:p>
      <w:pPr>
        <w:pStyle w:val="9"/>
        <w:rPr>
          <w:sz w:val="32"/>
        </w:rPr>
      </w:pPr>
    </w:p>
    <w:p>
      <w:pPr>
        <w:pStyle w:val="9"/>
        <w:spacing w:before="30"/>
        <w:rPr>
          <w:sz w:val="32"/>
        </w:rPr>
      </w:pPr>
    </w:p>
    <w:p>
      <w:pPr>
        <w:pStyle w:val="4"/>
        <w:ind w:right="381"/>
      </w:pPr>
      <w:r>
        <w:rPr>
          <w:spacing w:val="-14"/>
        </w:rPr>
        <w:t>一、开标一览表</w:t>
      </w:r>
    </w:p>
    <w:p>
      <w:pPr>
        <w:pStyle w:val="9"/>
        <w:spacing w:before="291"/>
        <w:rPr>
          <w:b/>
          <w:sz w:val="32"/>
        </w:rPr>
      </w:pPr>
    </w:p>
    <w:p>
      <w:pPr>
        <w:pStyle w:val="9"/>
        <w:tabs>
          <w:tab w:val="left" w:pos="4707"/>
        </w:tabs>
        <w:spacing w:after="11" w:line="340" w:lineRule="auto"/>
        <w:ind w:left="889" w:right="5556"/>
        <w:rPr>
          <w:rFonts w:ascii="Times New Roman" w:eastAsia="Times New Roman"/>
        </w:rPr>
      </w:pPr>
      <w:r>
        <w:rPr>
          <w:spacing w:val="-2"/>
        </w:rPr>
        <w:t>项目名称：</w:t>
      </w:r>
      <w:r>
        <w:rPr>
          <w:rFonts w:ascii="Times New Roman" w:eastAsia="Times New Roman"/>
          <w:u w:val="single"/>
        </w:rPr>
        <w:tab/>
      </w:r>
      <w:r>
        <w:rPr>
          <w:rFonts w:ascii="Times New Roman" w:eastAsia="Times New Roman"/>
        </w:rPr>
        <w:t xml:space="preserve"> </w:t>
      </w:r>
      <w:r>
        <w:rPr>
          <w:spacing w:val="-4"/>
        </w:rPr>
        <w:t>项目编号/包号</w:t>
      </w:r>
      <w:r>
        <w:rPr>
          <w:spacing w:val="-10"/>
        </w:rPr>
        <w:t>：</w:t>
      </w:r>
      <w:r>
        <w:rPr>
          <w:rFonts w:ascii="Times New Roman" w:eastAsia="Times New Roman"/>
          <w:u w:val="single"/>
        </w:rPr>
        <w:tab/>
      </w:r>
    </w:p>
    <w:tbl>
      <w:tblPr>
        <w:tblStyle w:val="12"/>
        <w:tblW w:w="0" w:type="auto"/>
        <w:tblInd w:w="7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6"/>
        <w:gridCol w:w="2766"/>
        <w:gridCol w:w="2121"/>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406" w:type="dxa"/>
          </w:tcPr>
          <w:p>
            <w:pPr>
              <w:pStyle w:val="16"/>
              <w:spacing w:before="190"/>
              <w:ind w:left="474"/>
              <w:rPr>
                <w:sz w:val="24"/>
              </w:rPr>
            </w:pPr>
            <w:r>
              <w:rPr>
                <w:spacing w:val="-8"/>
                <w:sz w:val="24"/>
              </w:rPr>
              <w:t>序号</w:t>
            </w:r>
          </w:p>
        </w:tc>
        <w:tc>
          <w:tcPr>
            <w:tcW w:w="2766" w:type="dxa"/>
          </w:tcPr>
          <w:p>
            <w:pPr>
              <w:pStyle w:val="16"/>
              <w:spacing w:before="188"/>
              <w:ind w:left="13"/>
              <w:rPr>
                <w:sz w:val="24"/>
              </w:rPr>
            </w:pPr>
            <w:r>
              <w:rPr>
                <w:spacing w:val="-9"/>
                <w:sz w:val="24"/>
              </w:rPr>
              <w:t>餐饮服务费支付比例：</w:t>
            </w:r>
          </w:p>
          <w:p>
            <w:pPr>
              <w:pStyle w:val="16"/>
              <w:spacing w:before="158" w:line="296" w:lineRule="exact"/>
              <w:ind w:left="709"/>
              <w:rPr>
                <w:sz w:val="24"/>
              </w:rPr>
            </w:pPr>
            <w:r>
              <w:rPr>
                <w:spacing w:val="-5"/>
                <w:sz w:val="24"/>
              </w:rPr>
              <w:t>（%）</w:t>
            </w:r>
          </w:p>
        </w:tc>
        <w:tc>
          <w:tcPr>
            <w:tcW w:w="2121" w:type="dxa"/>
          </w:tcPr>
          <w:p>
            <w:pPr>
              <w:pStyle w:val="16"/>
              <w:spacing w:before="188"/>
              <w:ind w:left="612"/>
              <w:rPr>
                <w:sz w:val="24"/>
              </w:rPr>
            </w:pPr>
            <w:r>
              <w:rPr>
                <w:spacing w:val="-9"/>
                <w:sz w:val="24"/>
              </w:rPr>
              <w:t>服务期限</w:t>
            </w:r>
          </w:p>
        </w:tc>
        <w:tc>
          <w:tcPr>
            <w:tcW w:w="2233" w:type="dxa"/>
          </w:tcPr>
          <w:p>
            <w:pPr>
              <w:pStyle w:val="16"/>
              <w:spacing w:before="190"/>
              <w:ind w:left="603"/>
              <w:rPr>
                <w:sz w:val="24"/>
              </w:rPr>
            </w:pPr>
            <w:r>
              <w:rPr>
                <w:spacing w:val="-6"/>
                <w:sz w:val="24"/>
              </w:rPr>
              <w:t>备注（如有</w:t>
            </w:r>
            <w:r>
              <w:rPr>
                <w:spacing w:val="-1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1406" w:type="dxa"/>
          </w:tcPr>
          <w:p>
            <w:pPr>
              <w:pStyle w:val="16"/>
              <w:rPr>
                <w:rFonts w:ascii="Times New Roman"/>
                <w:sz w:val="22"/>
              </w:rPr>
            </w:pPr>
          </w:p>
        </w:tc>
        <w:tc>
          <w:tcPr>
            <w:tcW w:w="2766" w:type="dxa"/>
          </w:tcPr>
          <w:p>
            <w:pPr>
              <w:pStyle w:val="16"/>
              <w:spacing w:before="63" w:line="450" w:lineRule="atLeast"/>
              <w:ind w:left="119" w:right="1969" w:firstLine="2"/>
              <w:rPr>
                <w:sz w:val="24"/>
              </w:rPr>
            </w:pPr>
            <w:r>
              <w:rPr>
                <w:spacing w:val="-22"/>
                <w:sz w:val="24"/>
              </w:rPr>
              <w:t>小写：</w:t>
            </w:r>
            <w:r>
              <w:rPr>
                <w:spacing w:val="-28"/>
                <w:sz w:val="24"/>
              </w:rPr>
              <w:t>大写：</w:t>
            </w:r>
          </w:p>
        </w:tc>
        <w:tc>
          <w:tcPr>
            <w:tcW w:w="2121" w:type="dxa"/>
          </w:tcPr>
          <w:p>
            <w:pPr>
              <w:pStyle w:val="16"/>
              <w:rPr>
                <w:rFonts w:ascii="Times New Roman"/>
                <w:sz w:val="22"/>
              </w:rPr>
            </w:pPr>
          </w:p>
        </w:tc>
        <w:tc>
          <w:tcPr>
            <w:tcW w:w="2233" w:type="dxa"/>
          </w:tcPr>
          <w:p>
            <w:pPr>
              <w:pStyle w:val="16"/>
              <w:rPr>
                <w:rFonts w:ascii="Times New Roman"/>
                <w:sz w:val="22"/>
              </w:rPr>
            </w:pPr>
          </w:p>
        </w:tc>
      </w:tr>
    </w:tbl>
    <w:p>
      <w:pPr>
        <w:pStyle w:val="9"/>
        <w:spacing w:before="99"/>
        <w:rPr>
          <w:rFonts w:ascii="Times New Roman"/>
        </w:rPr>
      </w:pPr>
    </w:p>
    <w:p>
      <w:pPr>
        <w:pStyle w:val="9"/>
        <w:spacing w:line="283" w:lineRule="auto"/>
        <w:ind w:left="925" w:right="7199" w:hanging="39"/>
      </w:pPr>
      <w:r>
        <w:rPr>
          <w:spacing w:val="-12"/>
        </w:rPr>
        <w:t>投标人名称（公章)：</w:t>
      </w:r>
      <w:r>
        <w:rPr>
          <w:spacing w:val="-4"/>
        </w:rPr>
        <w:t>日期：</w:t>
      </w:r>
    </w:p>
    <w:p>
      <w:pPr>
        <w:pStyle w:val="9"/>
        <w:rPr>
          <w:sz w:val="21"/>
        </w:rPr>
      </w:pPr>
    </w:p>
    <w:p>
      <w:pPr>
        <w:pStyle w:val="9"/>
        <w:rPr>
          <w:sz w:val="21"/>
        </w:rPr>
      </w:pPr>
    </w:p>
    <w:p>
      <w:pPr>
        <w:pStyle w:val="9"/>
        <w:rPr>
          <w:sz w:val="21"/>
        </w:rPr>
      </w:pPr>
    </w:p>
    <w:p>
      <w:pPr>
        <w:pStyle w:val="9"/>
        <w:rPr>
          <w:sz w:val="21"/>
        </w:rPr>
      </w:pPr>
    </w:p>
    <w:p>
      <w:pPr>
        <w:pStyle w:val="9"/>
        <w:rPr>
          <w:sz w:val="21"/>
        </w:rPr>
      </w:pPr>
    </w:p>
    <w:p>
      <w:pPr>
        <w:pStyle w:val="9"/>
        <w:rPr>
          <w:sz w:val="21"/>
        </w:rPr>
      </w:pPr>
    </w:p>
    <w:p>
      <w:pPr>
        <w:pStyle w:val="9"/>
        <w:spacing w:before="138"/>
        <w:rPr>
          <w:sz w:val="21"/>
        </w:rPr>
      </w:pPr>
    </w:p>
    <w:p>
      <w:pPr>
        <w:spacing w:before="0"/>
        <w:ind w:left="884" w:right="0" w:firstLine="0"/>
        <w:jc w:val="left"/>
        <w:rPr>
          <w:b/>
          <w:sz w:val="21"/>
        </w:rPr>
      </w:pPr>
      <w:r>
        <w:rPr>
          <w:b/>
          <w:spacing w:val="-10"/>
          <w:sz w:val="21"/>
        </w:rPr>
        <w:t>注：</w:t>
      </w:r>
    </w:p>
    <w:p>
      <w:pPr>
        <w:pStyle w:val="15"/>
        <w:numPr>
          <w:ilvl w:val="0"/>
          <w:numId w:val="51"/>
        </w:numPr>
        <w:tabs>
          <w:tab w:val="left" w:pos="1510"/>
        </w:tabs>
        <w:spacing w:before="128" w:after="0" w:line="240" w:lineRule="auto"/>
        <w:ind w:left="1510" w:right="0" w:hanging="179"/>
        <w:jc w:val="left"/>
        <w:rPr>
          <w:sz w:val="17"/>
        </w:rPr>
      </w:pPr>
      <w:r>
        <w:rPr>
          <w:spacing w:val="-9"/>
          <w:sz w:val="21"/>
        </w:rPr>
        <w:t>此表用于开标唱标之用。</w:t>
      </w:r>
    </w:p>
    <w:p>
      <w:pPr>
        <w:pStyle w:val="15"/>
        <w:numPr>
          <w:ilvl w:val="0"/>
          <w:numId w:val="51"/>
        </w:numPr>
        <w:tabs>
          <w:tab w:val="left" w:pos="1475"/>
        </w:tabs>
        <w:spacing w:before="154" w:after="0" w:line="288" w:lineRule="auto"/>
        <w:ind w:left="882" w:right="1614" w:firstLine="436"/>
        <w:jc w:val="left"/>
        <w:rPr>
          <w:sz w:val="17"/>
        </w:rPr>
      </w:pPr>
      <w:r>
        <w:rPr>
          <w:spacing w:val="-18"/>
          <w:sz w:val="21"/>
        </w:rPr>
        <w:t>表中投标报价即为优惠后报价，并作为评审及定标依据。任何有选择或有条件的投标</w:t>
      </w:r>
      <w:r>
        <w:rPr>
          <w:spacing w:val="-2"/>
          <w:sz w:val="21"/>
        </w:rPr>
        <w:t>报价，或者表中某一包填写多个报价，均为无效报价。</w:t>
      </w:r>
    </w:p>
    <w:p>
      <w:pPr>
        <w:pStyle w:val="15"/>
        <w:numPr>
          <w:ilvl w:val="0"/>
          <w:numId w:val="51"/>
        </w:numPr>
        <w:tabs>
          <w:tab w:val="left" w:pos="1507"/>
        </w:tabs>
        <w:spacing w:before="140" w:after="0" w:line="240" w:lineRule="auto"/>
        <w:ind w:left="1507" w:right="0" w:hanging="200"/>
        <w:jc w:val="left"/>
        <w:rPr>
          <w:sz w:val="19"/>
        </w:rPr>
      </w:pPr>
      <w:r>
        <w:rPr>
          <w:spacing w:val="-9"/>
          <w:sz w:val="21"/>
        </w:rPr>
        <w:t>表中大写与小写不一致的，以大写为准。</w:t>
      </w:r>
    </w:p>
    <w:p>
      <w:pPr>
        <w:spacing w:after="0" w:line="240" w:lineRule="auto"/>
        <w:jc w:val="left"/>
        <w:rPr>
          <w:sz w:val="19"/>
        </w:rPr>
        <w:sectPr>
          <w:pgSz w:w="11910" w:h="16840"/>
          <w:pgMar w:top="1100" w:right="720" w:bottom="1020" w:left="920" w:header="918" w:footer="836" w:gutter="0"/>
          <w:pgNumType w:fmt="numberInDash"/>
          <w:cols w:space="720" w:num="1"/>
        </w:sectPr>
      </w:pPr>
    </w:p>
    <w:p>
      <w:pPr>
        <w:pStyle w:val="9"/>
        <w:spacing w:before="24"/>
        <w:rPr>
          <w:sz w:val="32"/>
        </w:rPr>
      </w:pPr>
    </w:p>
    <w:p>
      <w:pPr>
        <w:pStyle w:val="4"/>
        <w:ind w:right="374"/>
      </w:pPr>
      <w:r>
        <w:rPr>
          <w:spacing w:val="-14"/>
        </w:rPr>
        <w:t>一、投标函</w:t>
      </w:r>
    </w:p>
    <w:p>
      <w:pPr>
        <w:pStyle w:val="9"/>
        <w:spacing w:before="273"/>
        <w:ind w:left="887"/>
      </w:pPr>
      <w:r>
        <w:rPr>
          <w:spacing w:val="-4"/>
        </w:rPr>
        <w:t>致：（采购人</w:t>
      </w:r>
      <w:r>
        <w:rPr>
          <w:spacing w:val="-10"/>
        </w:rPr>
        <w:t>）</w:t>
      </w:r>
    </w:p>
    <w:p>
      <w:pPr>
        <w:pStyle w:val="9"/>
        <w:spacing w:before="175" w:line="345" w:lineRule="auto"/>
        <w:ind w:left="891" w:right="1218" w:firstLine="475"/>
        <w:rPr>
          <w:b/>
        </w:rPr>
      </w:pPr>
      <w:r>
        <w:rPr>
          <w:spacing w:val="-4"/>
        </w:rPr>
        <w:t>根据贵方</w:t>
      </w:r>
      <w:r>
        <w:rPr>
          <w:spacing w:val="-4"/>
          <w:u w:val="single"/>
        </w:rPr>
        <w:t>（项目名称）（项目编号/包号）</w:t>
      </w:r>
      <w:r>
        <w:rPr>
          <w:spacing w:val="-4"/>
        </w:rPr>
        <w:t>项目的招标公告，签字代表</w:t>
      </w:r>
      <w:r>
        <w:rPr>
          <w:spacing w:val="-4"/>
          <w:u w:val="single"/>
        </w:rPr>
        <w:t>（姓</w:t>
      </w:r>
      <w:r>
        <w:rPr>
          <w:spacing w:val="80"/>
          <w:w w:val="150"/>
          <w:u w:val="single"/>
        </w:rPr>
        <w:t xml:space="preserve">                     </w:t>
      </w:r>
      <w:r>
        <w:rPr>
          <w:spacing w:val="-2"/>
          <w:u w:val="single"/>
        </w:rPr>
        <w:t>名、职务）</w:t>
      </w:r>
      <w:r>
        <w:rPr>
          <w:spacing w:val="-2"/>
        </w:rPr>
        <w:t>经正式授权并代表投标人</w:t>
      </w:r>
      <w:r>
        <w:rPr>
          <w:spacing w:val="-2"/>
          <w:u w:val="single"/>
        </w:rPr>
        <w:t>（投标人名称、地址）</w:t>
      </w:r>
      <w:r>
        <w:rPr>
          <w:spacing w:val="-2"/>
        </w:rPr>
        <w:t>提交下述文件</w:t>
      </w:r>
      <w:r>
        <w:rPr>
          <w:b/>
          <w:spacing w:val="-2"/>
        </w:rPr>
        <w:t>：</w:t>
      </w:r>
    </w:p>
    <w:p>
      <w:pPr>
        <w:pStyle w:val="15"/>
        <w:numPr>
          <w:ilvl w:val="0"/>
          <w:numId w:val="52"/>
        </w:numPr>
        <w:tabs>
          <w:tab w:val="left" w:pos="1597"/>
        </w:tabs>
        <w:spacing w:before="2" w:after="0" w:line="240" w:lineRule="auto"/>
        <w:ind w:left="1597" w:right="0" w:hanging="213"/>
        <w:jc w:val="left"/>
        <w:rPr>
          <w:sz w:val="24"/>
        </w:rPr>
      </w:pPr>
      <w:r>
        <w:rPr>
          <w:spacing w:val="-5"/>
          <w:sz w:val="24"/>
        </w:rPr>
        <w:t>资格证明文件；</w:t>
      </w:r>
    </w:p>
    <w:p>
      <w:pPr>
        <w:pStyle w:val="15"/>
        <w:numPr>
          <w:ilvl w:val="0"/>
          <w:numId w:val="52"/>
        </w:numPr>
        <w:tabs>
          <w:tab w:val="left" w:pos="1584"/>
        </w:tabs>
        <w:spacing w:before="93" w:after="0" w:line="240" w:lineRule="auto"/>
        <w:ind w:left="1584" w:right="0" w:hanging="215"/>
        <w:jc w:val="left"/>
        <w:rPr>
          <w:sz w:val="24"/>
        </w:rPr>
      </w:pPr>
      <w:r>
        <w:rPr>
          <w:spacing w:val="-5"/>
          <w:sz w:val="24"/>
        </w:rPr>
        <w:t>投标报价文件；</w:t>
      </w:r>
    </w:p>
    <w:p>
      <w:pPr>
        <w:pStyle w:val="15"/>
        <w:numPr>
          <w:ilvl w:val="0"/>
          <w:numId w:val="52"/>
        </w:numPr>
        <w:tabs>
          <w:tab w:val="left" w:pos="1587"/>
        </w:tabs>
        <w:spacing w:before="111" w:after="0" w:line="240" w:lineRule="auto"/>
        <w:ind w:left="1587" w:right="0" w:hanging="215"/>
        <w:jc w:val="left"/>
        <w:rPr>
          <w:sz w:val="24"/>
        </w:rPr>
      </w:pPr>
      <w:r>
        <w:rPr>
          <w:spacing w:val="-5"/>
          <w:sz w:val="24"/>
        </w:rPr>
        <w:t>商务技术文件。</w:t>
      </w:r>
    </w:p>
    <w:p>
      <w:pPr>
        <w:pStyle w:val="9"/>
        <w:spacing w:before="108"/>
        <w:ind w:left="1367"/>
      </w:pPr>
      <w:r>
        <w:rPr>
          <w:spacing w:val="-5"/>
        </w:rPr>
        <w:t>根据此函，签字代表宣布同意如下：</w:t>
      </w:r>
    </w:p>
    <w:p>
      <w:pPr>
        <w:pStyle w:val="15"/>
        <w:numPr>
          <w:ilvl w:val="0"/>
          <w:numId w:val="53"/>
        </w:numPr>
        <w:tabs>
          <w:tab w:val="left" w:pos="1586"/>
          <w:tab w:val="left" w:pos="8189"/>
        </w:tabs>
        <w:spacing w:before="127" w:after="0" w:line="271" w:lineRule="auto"/>
        <w:ind w:left="889" w:right="1151" w:firstLine="494"/>
        <w:jc w:val="left"/>
        <w:rPr>
          <w:sz w:val="24"/>
        </w:rPr>
      </w:pPr>
      <w:r>
        <w:rPr>
          <w:spacing w:val="-2"/>
          <w:sz w:val="24"/>
        </w:rPr>
        <w:t>所附投标价格表中规定的应提交和交付的服务费支付比例</w:t>
      </w:r>
      <w:r>
        <w:rPr>
          <w:spacing w:val="-2"/>
          <w:sz w:val="24"/>
          <w:u w:val="single"/>
        </w:rPr>
        <w:t>：</w:t>
      </w:r>
      <w:r>
        <w:rPr>
          <w:sz w:val="24"/>
          <w:u w:val="single"/>
        </w:rPr>
        <w:tab/>
      </w:r>
      <w:r>
        <w:rPr>
          <w:spacing w:val="-32"/>
          <w:sz w:val="24"/>
        </w:rPr>
        <w:t xml:space="preserve"> </w:t>
      </w:r>
      <w:r>
        <w:rPr>
          <w:spacing w:val="-4"/>
          <w:sz w:val="24"/>
        </w:rPr>
        <w:t>%，来承</w:t>
      </w:r>
      <w:r>
        <w:rPr>
          <w:spacing w:val="-2"/>
          <w:sz w:val="24"/>
        </w:rPr>
        <w:t>担本项目采购范围内的服务工作。</w:t>
      </w:r>
    </w:p>
    <w:p>
      <w:pPr>
        <w:pStyle w:val="15"/>
        <w:numPr>
          <w:ilvl w:val="0"/>
          <w:numId w:val="53"/>
        </w:numPr>
        <w:tabs>
          <w:tab w:val="left" w:pos="1575"/>
          <w:tab w:val="left" w:pos="6155"/>
        </w:tabs>
        <w:spacing w:before="248" w:after="0" w:line="295" w:lineRule="auto"/>
        <w:ind w:left="887" w:right="1064" w:firstLine="482"/>
        <w:jc w:val="left"/>
        <w:rPr>
          <w:sz w:val="24"/>
        </w:rPr>
      </w:pPr>
      <w:r>
        <w:rPr>
          <w:spacing w:val="-2"/>
          <w:sz w:val="24"/>
        </w:rPr>
        <w:t>我方将按招标文件的规定履行合同责任和义务。收到贵方发出成交通知书后开展工作，非采购人原因，我方保证在</w:t>
      </w:r>
      <w:r>
        <w:rPr>
          <w:rFonts w:ascii="Times New Roman" w:eastAsia="Times New Roman"/>
          <w:sz w:val="24"/>
          <w:u w:val="single"/>
        </w:rPr>
        <w:tab/>
      </w:r>
      <w:r>
        <w:rPr>
          <w:spacing w:val="-8"/>
          <w:sz w:val="24"/>
        </w:rPr>
        <w:t>天（日历日）内完成服务质量</w:t>
      </w:r>
      <w:r>
        <w:rPr>
          <w:spacing w:val="-4"/>
          <w:sz w:val="24"/>
        </w:rPr>
        <w:t>升级方案，并办理完所有经营手续，达到可开业服务的要求，否则按违约承担责</w:t>
      </w:r>
      <w:r>
        <w:rPr>
          <w:spacing w:val="-6"/>
          <w:sz w:val="24"/>
        </w:rPr>
        <w:t>任。</w:t>
      </w:r>
    </w:p>
    <w:p>
      <w:pPr>
        <w:pStyle w:val="15"/>
        <w:numPr>
          <w:ilvl w:val="0"/>
          <w:numId w:val="53"/>
        </w:numPr>
        <w:tabs>
          <w:tab w:val="left" w:pos="1565"/>
        </w:tabs>
        <w:spacing w:before="248" w:after="0" w:line="268" w:lineRule="auto"/>
        <w:ind w:left="889" w:right="965" w:firstLine="482"/>
        <w:jc w:val="left"/>
        <w:rPr>
          <w:sz w:val="24"/>
        </w:rPr>
      </w:pPr>
      <w:r>
        <w:rPr>
          <w:spacing w:val="-14"/>
          <w:sz w:val="24"/>
        </w:rPr>
        <w:t>我方已详细审查全部招标文件，包括第</w:t>
      </w:r>
      <w:r>
        <w:rPr>
          <w:spacing w:val="-14"/>
          <w:sz w:val="24"/>
          <w:u w:val="single"/>
        </w:rPr>
        <w:t>（编号、补遗书）（如果有的话</w:t>
      </w:r>
      <w:r>
        <w:rPr>
          <w:spacing w:val="-14"/>
          <w:sz w:val="24"/>
        </w:rPr>
        <w:t>）。我</w:t>
      </w:r>
      <w:r>
        <w:rPr>
          <w:spacing w:val="-2"/>
          <w:sz w:val="24"/>
        </w:rPr>
        <w:t>方完全理解并同意放弃对这方面有不明及误解的权力。</w:t>
      </w:r>
    </w:p>
    <w:p>
      <w:pPr>
        <w:pStyle w:val="15"/>
        <w:numPr>
          <w:ilvl w:val="0"/>
          <w:numId w:val="53"/>
        </w:numPr>
        <w:tabs>
          <w:tab w:val="left" w:pos="1580"/>
        </w:tabs>
        <w:spacing w:before="117" w:after="0" w:line="240" w:lineRule="auto"/>
        <w:ind w:left="1580" w:right="0" w:hanging="213"/>
        <w:jc w:val="left"/>
        <w:rPr>
          <w:sz w:val="24"/>
        </w:rPr>
      </w:pPr>
      <w:r>
        <w:rPr>
          <w:spacing w:val="-4"/>
          <w:sz w:val="24"/>
        </w:rPr>
        <w:t>投标有效期为自提交投标文件的截止之日起</w:t>
      </w:r>
      <w:r>
        <w:rPr>
          <w:rFonts w:ascii="Times New Roman" w:eastAsia="Times New Roman"/>
          <w:spacing w:val="78"/>
          <w:w w:val="150"/>
          <w:sz w:val="24"/>
          <w:u w:val="single"/>
        </w:rPr>
        <w:t xml:space="preserve"> </w:t>
      </w:r>
      <w:r>
        <w:rPr>
          <w:spacing w:val="-4"/>
          <w:sz w:val="24"/>
          <w:u w:val="single"/>
        </w:rPr>
        <w:t>（由投标人填写）</w:t>
      </w:r>
      <w:r>
        <w:rPr>
          <w:spacing w:val="-6"/>
          <w:sz w:val="24"/>
        </w:rPr>
        <w:t>个日历天。</w:t>
      </w:r>
    </w:p>
    <w:p>
      <w:pPr>
        <w:pStyle w:val="15"/>
        <w:numPr>
          <w:ilvl w:val="0"/>
          <w:numId w:val="53"/>
        </w:numPr>
        <w:tabs>
          <w:tab w:val="left" w:pos="1571"/>
        </w:tabs>
        <w:spacing w:before="129" w:after="0" w:line="268" w:lineRule="auto"/>
        <w:ind w:left="889" w:right="1293" w:firstLine="482"/>
        <w:jc w:val="left"/>
        <w:rPr>
          <w:sz w:val="24"/>
        </w:rPr>
      </w:pPr>
      <w:r>
        <w:rPr>
          <w:spacing w:val="-10"/>
          <w:sz w:val="24"/>
        </w:rPr>
        <w:t>我方同意提供按照贵方招标文件要求的与投标有关的一切数据或资料，采</w:t>
      </w:r>
      <w:r>
        <w:rPr>
          <w:spacing w:val="-2"/>
          <w:sz w:val="24"/>
        </w:rPr>
        <w:t>用综合评分法时，我方完全理解贵方不一定接受最低价的投标。</w:t>
      </w:r>
    </w:p>
    <w:p>
      <w:pPr>
        <w:pStyle w:val="15"/>
        <w:numPr>
          <w:ilvl w:val="0"/>
          <w:numId w:val="53"/>
        </w:numPr>
        <w:tabs>
          <w:tab w:val="left" w:pos="1560"/>
        </w:tabs>
        <w:spacing w:before="142" w:after="0" w:line="268" w:lineRule="auto"/>
        <w:ind w:left="894" w:right="1247" w:firstLine="475"/>
        <w:jc w:val="left"/>
        <w:rPr>
          <w:sz w:val="24"/>
        </w:rPr>
      </w:pPr>
      <w:r>
        <w:rPr>
          <w:spacing w:val="-16"/>
          <w:sz w:val="24"/>
        </w:rPr>
        <w:t>本项目如由中标人支付采购代理服务费，我方同意按投标人须知前附表中规</w:t>
      </w:r>
      <w:r>
        <w:rPr>
          <w:spacing w:val="-2"/>
          <w:sz w:val="24"/>
        </w:rPr>
        <w:t>定向采购代理机构支付采购代理服务费。</w:t>
      </w:r>
    </w:p>
    <w:p>
      <w:pPr>
        <w:pStyle w:val="15"/>
        <w:numPr>
          <w:ilvl w:val="0"/>
          <w:numId w:val="53"/>
        </w:numPr>
        <w:tabs>
          <w:tab w:val="left" w:pos="1589"/>
        </w:tabs>
        <w:spacing w:before="81" w:after="0" w:line="240" w:lineRule="auto"/>
        <w:ind w:left="1589" w:right="0" w:hanging="217"/>
        <w:jc w:val="left"/>
        <w:rPr>
          <w:sz w:val="24"/>
        </w:rPr>
      </w:pPr>
      <w:r>
        <w:rPr>
          <w:spacing w:val="-4"/>
          <w:sz w:val="24"/>
        </w:rPr>
        <w:t>重要声明：</w:t>
      </w:r>
    </w:p>
    <w:p>
      <w:pPr>
        <w:pStyle w:val="15"/>
        <w:numPr>
          <w:ilvl w:val="0"/>
          <w:numId w:val="54"/>
        </w:numPr>
        <w:tabs>
          <w:tab w:val="left" w:pos="1760"/>
        </w:tabs>
        <w:spacing w:before="91" w:after="0" w:line="240" w:lineRule="auto"/>
        <w:ind w:left="1760" w:right="0" w:hanging="376"/>
        <w:jc w:val="left"/>
        <w:rPr>
          <w:sz w:val="24"/>
        </w:rPr>
      </w:pPr>
      <w:r>
        <w:rPr>
          <w:spacing w:val="-7"/>
          <w:sz w:val="24"/>
        </w:rPr>
        <w:t>与我方单位负责人为同一人的其他单位名称：</w:t>
      </w:r>
    </w:p>
    <w:p>
      <w:pPr>
        <w:pStyle w:val="9"/>
        <w:spacing w:before="105" w:line="324" w:lineRule="auto"/>
        <w:ind w:left="1372" w:right="2663" w:firstLine="352"/>
      </w:pPr>
      <w:r>
        <w:rPr>
          <w:spacing w:val="-18"/>
        </w:rPr>
        <w:t>□无； □有，具体单位名称为：</w:t>
      </w:r>
      <w:r>
        <w:rPr>
          <w:spacing w:val="-8"/>
          <w:u w:val="single"/>
        </w:rPr>
        <w:t>（由投标人如实填写）</w:t>
      </w:r>
      <w:r>
        <w:rPr>
          <w:spacing w:val="-8"/>
        </w:rPr>
        <w:t xml:space="preserve">。 </w:t>
      </w:r>
      <w:r>
        <w:rPr>
          <w:spacing w:val="-2"/>
        </w:rPr>
        <w:t>2）与我方存在控股、管理关系的其他单位的名称：</w:t>
      </w:r>
    </w:p>
    <w:p>
      <w:pPr>
        <w:pStyle w:val="9"/>
        <w:spacing w:before="3"/>
        <w:ind w:left="1724"/>
      </w:pPr>
      <w:r>
        <w:rPr>
          <w:spacing w:val="-2"/>
        </w:rPr>
        <w:t xml:space="preserve">□无；□有，具体单位名称为： </w:t>
      </w:r>
      <w:r>
        <w:rPr>
          <w:spacing w:val="-2"/>
          <w:u w:val="single"/>
        </w:rPr>
        <w:t>（由投标人如实填写）</w:t>
      </w:r>
      <w:r>
        <w:rPr>
          <w:spacing w:val="-10"/>
        </w:rPr>
        <w:t>。</w:t>
      </w:r>
    </w:p>
    <w:p>
      <w:pPr>
        <w:pStyle w:val="15"/>
        <w:numPr>
          <w:ilvl w:val="0"/>
          <w:numId w:val="55"/>
        </w:numPr>
        <w:tabs>
          <w:tab w:val="left" w:pos="1694"/>
        </w:tabs>
        <w:spacing w:before="120" w:after="0" w:line="271" w:lineRule="auto"/>
        <w:ind w:left="889" w:right="1228" w:firstLine="482"/>
        <w:jc w:val="left"/>
        <w:rPr>
          <w:sz w:val="24"/>
        </w:rPr>
      </w:pPr>
      <w:r>
        <w:rPr>
          <w:spacing w:val="-4"/>
          <w:sz w:val="24"/>
        </w:rPr>
        <w:t>参与本项目采购活动前，是否为本项目前期准备提供过整体设计、规范</w:t>
      </w:r>
      <w:r>
        <w:rPr>
          <w:spacing w:val="-2"/>
          <w:sz w:val="24"/>
        </w:rPr>
        <w:t>编制或者项目管理、监理、检测等服务：</w:t>
      </w:r>
    </w:p>
    <w:p>
      <w:pPr>
        <w:pStyle w:val="9"/>
        <w:spacing w:before="113"/>
        <w:ind w:left="1724"/>
      </w:pPr>
      <w:r>
        <w:rPr>
          <w:spacing w:val="-2"/>
        </w:rPr>
        <w:t xml:space="preserve">□无；□有，已提供的具体服务内容为： </w:t>
      </w:r>
      <w:r>
        <w:rPr>
          <w:spacing w:val="-2"/>
          <w:u w:val="single"/>
        </w:rPr>
        <w:t>（由投标人如实填写）</w:t>
      </w:r>
      <w:r>
        <w:rPr>
          <w:spacing w:val="-10"/>
        </w:rPr>
        <w:t>。</w:t>
      </w:r>
    </w:p>
    <w:p>
      <w:pPr>
        <w:pStyle w:val="9"/>
        <w:spacing w:before="149"/>
        <w:ind w:left="1391"/>
      </w:pPr>
      <w:r>
        <w:rPr>
          <w:spacing w:val="-14"/>
        </w:rPr>
        <w:t>（</w:t>
      </w:r>
      <w:r>
        <w:rPr>
          <w:spacing w:val="-13"/>
        </w:rPr>
        <w:t xml:space="preserve">备注：以上 </w:t>
      </w:r>
      <w:r>
        <w:rPr>
          <w:spacing w:val="-14"/>
        </w:rPr>
        <w:t>3 项声明，必须如实选择，选中项用</w:t>
      </w:r>
      <w:r>
        <w:rPr>
          <w:rFonts w:ascii="Segoe UI Symbol" w:hAnsi="Segoe UI Symbol" w:eastAsia="Segoe UI Symbol"/>
          <w:spacing w:val="-14"/>
        </w:rPr>
        <w:t>☑</w:t>
      </w:r>
      <w:r>
        <w:rPr>
          <w:spacing w:val="-14"/>
        </w:rPr>
        <w:t>表示，未选中项用□表示。</w:t>
      </w:r>
    </w:p>
    <w:p>
      <w:pPr>
        <w:pStyle w:val="9"/>
        <w:spacing w:before="105"/>
        <w:ind w:left="887"/>
      </w:pPr>
      <w:r>
        <w:rPr>
          <w:spacing w:val="-5"/>
        </w:rPr>
        <w:t>①“单位负责人”是指单位法定代表人或者法律、行政法规规定代表单位行使职</w:t>
      </w:r>
    </w:p>
    <w:p>
      <w:pPr>
        <w:spacing w:after="0"/>
        <w:sectPr>
          <w:headerReference r:id="rId20" w:type="default"/>
          <w:footerReference r:id="rId21" w:type="default"/>
          <w:pgSz w:w="11910" w:h="16840"/>
          <w:pgMar w:top="1100" w:right="720" w:bottom="1400" w:left="920" w:header="918" w:footer="1209" w:gutter="0"/>
          <w:pgNumType w:fmt="numberInDash"/>
          <w:cols w:space="720" w:num="1"/>
        </w:sectPr>
      </w:pPr>
    </w:p>
    <w:p>
      <w:pPr>
        <w:pStyle w:val="9"/>
        <w:spacing w:before="296" w:line="312" w:lineRule="auto"/>
        <w:ind w:left="889" w:right="1062" w:hanging="3"/>
        <w:jc w:val="both"/>
      </w:pPr>
      <w:r>
        <w:rPr>
          <w:spacing w:val="-4"/>
        </w:rPr>
        <w:t>权的主要负责人。②本条所规定的控股、管理关系仅限于直接控股、直接管理关系，不包括间接的控股或管理关系。③供应商如未如实填报，视为提供虚假材料</w:t>
      </w:r>
      <w:r>
        <w:rPr>
          <w:spacing w:val="-2"/>
        </w:rPr>
        <w:t>谋取中标，应承担相应法律责任。）</w:t>
      </w:r>
    </w:p>
    <w:p>
      <w:pPr>
        <w:pStyle w:val="15"/>
        <w:numPr>
          <w:ilvl w:val="0"/>
          <w:numId w:val="55"/>
        </w:numPr>
        <w:tabs>
          <w:tab w:val="left" w:pos="1690"/>
        </w:tabs>
        <w:spacing w:before="0" w:after="0" w:line="244" w:lineRule="auto"/>
        <w:ind w:left="891" w:right="1168" w:firstLine="472"/>
        <w:jc w:val="left"/>
        <w:rPr>
          <w:sz w:val="24"/>
        </w:rPr>
      </w:pPr>
      <w:r>
        <w:rPr>
          <w:spacing w:val="-2"/>
          <w:sz w:val="24"/>
        </w:rPr>
        <w:t>我方在本投标文件中所提供的全部资料均真实有效，我方承诺对其真实性负责并承担相应后果。</w:t>
      </w:r>
    </w:p>
    <w:p>
      <w:pPr>
        <w:pStyle w:val="15"/>
        <w:numPr>
          <w:ilvl w:val="0"/>
          <w:numId w:val="55"/>
        </w:numPr>
        <w:tabs>
          <w:tab w:val="left" w:pos="1694"/>
        </w:tabs>
        <w:spacing w:before="129" w:after="0" w:line="268" w:lineRule="auto"/>
        <w:ind w:left="889" w:right="1228" w:firstLine="482"/>
        <w:jc w:val="left"/>
        <w:rPr>
          <w:sz w:val="24"/>
        </w:rPr>
      </w:pPr>
      <w:r>
        <w:rPr>
          <w:spacing w:val="-4"/>
          <w:sz w:val="24"/>
        </w:rPr>
        <w:t>我方承诺本《投标函》的签章对本投标文件全部内容具有约束力并承担</w:t>
      </w:r>
      <w:r>
        <w:rPr>
          <w:spacing w:val="-2"/>
          <w:sz w:val="24"/>
        </w:rPr>
        <w:t>法律责任。</w:t>
      </w:r>
    </w:p>
    <w:p>
      <w:pPr>
        <w:pStyle w:val="9"/>
      </w:pPr>
    </w:p>
    <w:p>
      <w:pPr>
        <w:pStyle w:val="9"/>
      </w:pPr>
    </w:p>
    <w:p>
      <w:pPr>
        <w:pStyle w:val="9"/>
      </w:pPr>
    </w:p>
    <w:p>
      <w:pPr>
        <w:pStyle w:val="9"/>
        <w:spacing w:before="69"/>
      </w:pPr>
    </w:p>
    <w:p>
      <w:pPr>
        <w:pStyle w:val="9"/>
        <w:tabs>
          <w:tab w:val="left" w:pos="2099"/>
          <w:tab w:val="left" w:pos="2814"/>
        </w:tabs>
        <w:spacing w:line="336" w:lineRule="auto"/>
        <w:ind w:left="1386" w:right="6203" w:firstLine="2"/>
      </w:pPr>
      <w:r>
        <w:rPr>
          <w:spacing w:val="-10"/>
        </w:rPr>
        <w:t>投</w:t>
      </w:r>
      <w:r>
        <w:tab/>
      </w:r>
      <w:r>
        <w:rPr>
          <w:spacing w:val="-10"/>
        </w:rPr>
        <w:t>标</w:t>
      </w:r>
      <w:r>
        <w:tab/>
      </w:r>
      <w:r>
        <w:rPr>
          <w:spacing w:val="-14"/>
        </w:rPr>
        <w:t>人（公章)：</w:t>
      </w:r>
      <w:r>
        <w:t>通</w:t>
      </w:r>
      <w:r>
        <w:rPr>
          <w:spacing w:val="40"/>
        </w:rPr>
        <w:t xml:space="preserve"> </w:t>
      </w:r>
      <w:r>
        <w:t>讯</w:t>
      </w:r>
      <w:r>
        <w:rPr>
          <w:spacing w:val="80"/>
        </w:rPr>
        <w:t xml:space="preserve"> </w:t>
      </w:r>
      <w:r>
        <w:t>地</w:t>
      </w:r>
      <w:r>
        <w:rPr>
          <w:spacing w:val="80"/>
        </w:rPr>
        <w:t xml:space="preserve"> </w:t>
      </w:r>
      <w:r>
        <w:t>址：</w:t>
      </w:r>
    </w:p>
    <w:p>
      <w:pPr>
        <w:pStyle w:val="9"/>
        <w:tabs>
          <w:tab w:val="left" w:pos="2795"/>
        </w:tabs>
        <w:spacing w:before="41"/>
        <w:ind w:left="1384"/>
      </w:pPr>
      <w:r>
        <w:rPr>
          <w:spacing w:val="-10"/>
        </w:rPr>
        <w:t>传</w:t>
      </w:r>
      <w:r>
        <w:tab/>
      </w:r>
      <w:r>
        <w:rPr>
          <w:spacing w:val="-29"/>
        </w:rPr>
        <w:t>真</w:t>
      </w:r>
      <w:r>
        <w:rPr>
          <w:spacing w:val="-10"/>
        </w:rPr>
        <w:t>：</w:t>
      </w:r>
    </w:p>
    <w:p>
      <w:pPr>
        <w:pStyle w:val="9"/>
        <w:tabs>
          <w:tab w:val="left" w:pos="2811"/>
        </w:tabs>
        <w:spacing w:before="139"/>
        <w:ind w:left="1412"/>
      </w:pPr>
      <w:r>
        <w:rPr>
          <w:spacing w:val="-10"/>
        </w:rPr>
        <w:t>电</w:t>
      </w:r>
      <w:r>
        <w:tab/>
      </w:r>
      <w:r>
        <w:rPr>
          <w:spacing w:val="-43"/>
        </w:rPr>
        <w:t>话</w:t>
      </w:r>
      <w:r>
        <w:rPr>
          <w:spacing w:val="-10"/>
        </w:rPr>
        <w:t>：</w:t>
      </w:r>
    </w:p>
    <w:p>
      <w:pPr>
        <w:pStyle w:val="9"/>
        <w:tabs>
          <w:tab w:val="left" w:pos="2941"/>
        </w:tabs>
        <w:spacing w:before="147" w:line="388" w:lineRule="auto"/>
        <w:ind w:left="1417" w:right="6858" w:hanging="44"/>
      </w:pPr>
      <w:r>
        <w:t>授</w:t>
      </w:r>
      <w:r>
        <w:rPr>
          <w:spacing w:val="80"/>
          <w:w w:val="150"/>
        </w:rPr>
        <w:t xml:space="preserve"> </w:t>
      </w:r>
      <w:r>
        <w:t>权</w:t>
      </w:r>
      <w:r>
        <w:rPr>
          <w:spacing w:val="80"/>
          <w:w w:val="150"/>
        </w:rPr>
        <w:t xml:space="preserve"> </w:t>
      </w:r>
      <w:r>
        <w:t>代</w:t>
      </w:r>
      <w:r>
        <w:rPr>
          <w:spacing w:val="80"/>
        </w:rPr>
        <w:t xml:space="preserve"> </w:t>
      </w:r>
      <w:r>
        <w:t>表：</w:t>
      </w:r>
      <w:r>
        <w:rPr>
          <w:spacing w:val="-10"/>
        </w:rPr>
        <w:t>日</w:t>
      </w:r>
      <w:r>
        <w:tab/>
      </w:r>
      <w:r>
        <w:rPr>
          <w:spacing w:val="-12"/>
        </w:rPr>
        <w:t>期</w:t>
      </w:r>
      <w:r>
        <w:rPr>
          <w:spacing w:val="-10"/>
        </w:rPr>
        <w:t>：</w:t>
      </w:r>
    </w:p>
    <w:p>
      <w:pPr>
        <w:spacing w:after="0" w:line="388" w:lineRule="auto"/>
        <w:sectPr>
          <w:pgSz w:w="11910" w:h="16840"/>
          <w:pgMar w:top="1100" w:right="720" w:bottom="1400" w:left="920" w:header="918" w:footer="1209" w:gutter="0"/>
          <w:pgNumType w:fmt="numberInDash"/>
          <w:cols w:space="720" w:num="1"/>
        </w:sectPr>
      </w:pPr>
    </w:p>
    <w:p>
      <w:pPr>
        <w:pStyle w:val="9"/>
        <w:spacing w:before="24"/>
        <w:rPr>
          <w:sz w:val="32"/>
        </w:rPr>
      </w:pPr>
    </w:p>
    <w:p>
      <w:pPr>
        <w:pStyle w:val="4"/>
        <w:ind w:right="422"/>
      </w:pPr>
      <w:r>
        <w:rPr>
          <w:spacing w:val="-10"/>
        </w:rPr>
        <w:t>二、法定代表人（单位负责人）身份证明</w:t>
      </w:r>
    </w:p>
    <w:p>
      <w:pPr>
        <w:pStyle w:val="9"/>
        <w:spacing w:before="371" w:line="465" w:lineRule="auto"/>
        <w:ind w:left="1852" w:right="5617" w:hanging="485"/>
      </w:pPr>
      <w:r>
        <w:rPr>
          <w:spacing w:val="-6"/>
        </w:rPr>
        <w:t>致：（采购人或采购代理机构）</w:t>
      </w:r>
      <w:r>
        <w:rPr>
          <w:spacing w:val="-4"/>
        </w:rPr>
        <w:t>兹证明，</w:t>
      </w:r>
    </w:p>
    <w:p>
      <w:pPr>
        <w:pStyle w:val="9"/>
        <w:tabs>
          <w:tab w:val="left" w:pos="6274"/>
        </w:tabs>
        <w:spacing w:before="11"/>
        <w:ind w:left="1367"/>
        <w:rPr>
          <w:rFonts w:ascii="Times New Roman" w:eastAsia="Times New Roman"/>
        </w:rPr>
      </w:pPr>
      <w:r>
        <w:rPr>
          <w:spacing w:val="-12"/>
        </w:rPr>
        <w:t>姓名：</w:t>
      </w:r>
      <w:r>
        <w:rPr>
          <w:spacing w:val="-10"/>
          <w:position w:val="-2"/>
        </w:rPr>
        <w:drawing>
          <wp:inline distT="0" distB="0" distL="0" distR="0">
            <wp:extent cx="316865" cy="7620"/>
            <wp:effectExtent l="0" t="0" r="0" b="0"/>
            <wp:docPr id="44" name="Image 44"/>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41" cstate="print"/>
                    <a:stretch>
                      <a:fillRect/>
                    </a:stretch>
                  </pic:blipFill>
                  <pic:spPr>
                    <a:xfrm>
                      <a:off x="0" y="0"/>
                      <a:ext cx="316992" cy="7620"/>
                    </a:xfrm>
                    <a:prstGeom prst="rect">
                      <a:avLst/>
                    </a:prstGeom>
                  </pic:spPr>
                </pic:pic>
              </a:graphicData>
            </a:graphic>
          </wp:inline>
        </w:drawing>
      </w:r>
      <w:r>
        <w:rPr>
          <w:spacing w:val="-12"/>
        </w:rPr>
        <w:t>性别：</w:t>
      </w:r>
      <w:r>
        <w:rPr>
          <w:spacing w:val="-12"/>
          <w:position w:val="-2"/>
        </w:rPr>
        <w:drawing>
          <wp:inline distT="0" distB="0" distL="0" distR="0">
            <wp:extent cx="316865" cy="7620"/>
            <wp:effectExtent l="0" t="0" r="0" b="0"/>
            <wp:docPr id="45" name="Image 45"/>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41" cstate="print"/>
                    <a:stretch>
                      <a:fillRect/>
                    </a:stretch>
                  </pic:blipFill>
                  <pic:spPr>
                    <a:xfrm>
                      <a:off x="0" y="0"/>
                      <a:ext cx="316992" cy="7620"/>
                    </a:xfrm>
                    <a:prstGeom prst="rect">
                      <a:avLst/>
                    </a:prstGeom>
                  </pic:spPr>
                </pic:pic>
              </a:graphicData>
            </a:graphic>
          </wp:inline>
        </w:drawing>
      </w:r>
      <w:r>
        <w:rPr>
          <w:spacing w:val="-12"/>
        </w:rPr>
        <w:t>年龄：</w:t>
      </w:r>
      <w:r>
        <w:rPr>
          <w:spacing w:val="-10"/>
          <w:position w:val="-2"/>
        </w:rPr>
        <w:drawing>
          <wp:inline distT="0" distB="0" distL="0" distR="0">
            <wp:extent cx="316865" cy="7620"/>
            <wp:effectExtent l="0" t="0" r="0" b="0"/>
            <wp:docPr id="46" name="Image 46"/>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41" cstate="print"/>
                    <a:stretch>
                      <a:fillRect/>
                    </a:stretch>
                  </pic:blipFill>
                  <pic:spPr>
                    <a:xfrm>
                      <a:off x="0" y="0"/>
                      <a:ext cx="316991" cy="7620"/>
                    </a:xfrm>
                    <a:prstGeom prst="rect">
                      <a:avLst/>
                    </a:prstGeom>
                  </pic:spPr>
                </pic:pic>
              </a:graphicData>
            </a:graphic>
          </wp:inline>
        </w:drawing>
      </w:r>
      <w:r>
        <w:rPr>
          <w:spacing w:val="-12"/>
        </w:rPr>
        <w:t>职务：</w:t>
      </w:r>
      <w:r>
        <w:rPr>
          <w:rFonts w:ascii="Times New Roman" w:eastAsia="Times New Roman"/>
          <w:u w:val="single"/>
        </w:rPr>
        <w:tab/>
      </w:r>
    </w:p>
    <w:p>
      <w:pPr>
        <w:pStyle w:val="9"/>
        <w:spacing w:before="34"/>
        <w:rPr>
          <w:rFonts w:ascii="Times New Roman"/>
        </w:rPr>
      </w:pPr>
    </w:p>
    <w:p>
      <w:pPr>
        <w:pStyle w:val="9"/>
        <w:tabs>
          <w:tab w:val="left" w:pos="3159"/>
        </w:tabs>
        <w:ind w:left="1372"/>
      </w:pPr>
      <w:r>
        <w:t xml:space="preserve">系 </w:t>
      </w:r>
      <w:r>
        <w:rPr>
          <w:rFonts w:ascii="Times New Roman" w:eastAsia="Times New Roman"/>
          <w:u w:val="single"/>
        </w:rPr>
        <w:tab/>
      </w:r>
      <w:r>
        <w:rPr>
          <w:spacing w:val="-4"/>
        </w:rPr>
        <w:t>（投标人名称）的法定代表人（单位负责人）</w:t>
      </w:r>
      <w:r>
        <w:rPr>
          <w:spacing w:val="-10"/>
        </w:rPr>
        <w:t>。</w:t>
      </w:r>
    </w:p>
    <w:p>
      <w:pPr>
        <w:pStyle w:val="9"/>
        <w:spacing w:before="310"/>
        <w:ind w:left="1386"/>
      </w:pPr>
      <w:r>
        <w:rPr>
          <w:spacing w:val="-4"/>
        </w:rPr>
        <w:t>附：法定代表人（单位负责人）</w:t>
      </w:r>
      <w:r>
        <w:rPr>
          <w:spacing w:val="-5"/>
        </w:rPr>
        <w:t>身份证、护照等身份证明文件电子件：</w:t>
      </w:r>
    </w:p>
    <w:p>
      <w:pPr>
        <w:pStyle w:val="9"/>
        <w:rPr>
          <w:sz w:val="20"/>
        </w:rPr>
      </w:pPr>
    </w:p>
    <w:p>
      <w:pPr>
        <w:pStyle w:val="9"/>
        <w:rPr>
          <w:sz w:val="20"/>
        </w:rPr>
      </w:pPr>
    </w:p>
    <w:p>
      <w:pPr>
        <w:pStyle w:val="9"/>
        <w:rPr>
          <w:sz w:val="20"/>
        </w:rPr>
      </w:pPr>
    </w:p>
    <w:p>
      <w:pPr>
        <w:pStyle w:val="9"/>
        <w:spacing w:before="167"/>
        <w:rPr>
          <w:sz w:val="20"/>
        </w:rPr>
      </w:pPr>
      <w:r>
        <mc:AlternateContent>
          <mc:Choice Requires="wps">
            <w:drawing>
              <wp:anchor distT="0" distB="0" distL="0" distR="0" simplePos="0" relativeHeight="251677696" behindDoc="1" locked="0" layoutInCell="1" allowOverlap="1">
                <wp:simplePos x="0" y="0"/>
                <wp:positionH relativeFrom="page">
                  <wp:posOffset>1069975</wp:posOffset>
                </wp:positionH>
                <wp:positionV relativeFrom="paragraph">
                  <wp:posOffset>288290</wp:posOffset>
                </wp:positionV>
                <wp:extent cx="5420360" cy="2506980"/>
                <wp:effectExtent l="0" t="0" r="0" b="0"/>
                <wp:wrapTopAndBottom/>
                <wp:docPr id="47" name="Graphic 47"/>
                <wp:cNvGraphicFramePr/>
                <a:graphic xmlns:a="http://schemas.openxmlformats.org/drawingml/2006/main">
                  <a:graphicData uri="http://schemas.microsoft.com/office/word/2010/wordprocessingShape">
                    <wps:wsp>
                      <wps:cNvSpPr/>
                      <wps:spPr>
                        <a:xfrm>
                          <a:off x="0" y="0"/>
                          <a:ext cx="5420360" cy="2506980"/>
                        </a:xfrm>
                        <a:custGeom>
                          <a:avLst/>
                          <a:gdLst/>
                          <a:ahLst/>
                          <a:cxnLst/>
                          <a:rect l="l" t="t" r="r" b="b"/>
                          <a:pathLst>
                            <a:path w="5420360" h="2506980">
                              <a:moveTo>
                                <a:pt x="0" y="1524"/>
                              </a:moveTo>
                              <a:lnTo>
                                <a:pt x="5420233" y="1524"/>
                              </a:lnTo>
                            </a:path>
                            <a:path w="5420360" h="2506980">
                              <a:moveTo>
                                <a:pt x="0" y="2506599"/>
                              </a:moveTo>
                              <a:lnTo>
                                <a:pt x="5420233" y="2506599"/>
                              </a:lnTo>
                            </a:path>
                            <a:path w="5420360" h="2506980">
                              <a:moveTo>
                                <a:pt x="1524" y="0"/>
                              </a:moveTo>
                              <a:lnTo>
                                <a:pt x="1524" y="2505075"/>
                              </a:lnTo>
                            </a:path>
                            <a:path w="5420360" h="2506980">
                              <a:moveTo>
                                <a:pt x="5418708" y="0"/>
                              </a:moveTo>
                              <a:lnTo>
                                <a:pt x="5418708" y="2505075"/>
                              </a:lnTo>
                            </a:path>
                          </a:pathLst>
                        </a:custGeom>
                        <a:ln w="3048">
                          <a:solidFill>
                            <a:srgbClr val="000000"/>
                          </a:solidFill>
                          <a:prstDash val="solid"/>
                        </a:ln>
                      </wps:spPr>
                      <wps:bodyPr wrap="square" lIns="0" tIns="0" rIns="0" bIns="0" rtlCol="0">
                        <a:noAutofit/>
                      </wps:bodyPr>
                    </wps:wsp>
                  </a:graphicData>
                </a:graphic>
              </wp:anchor>
            </w:drawing>
          </mc:Choice>
          <mc:Fallback>
            <w:pict>
              <v:shape id="Graphic 47" o:spid="_x0000_s1026" o:spt="100" style="position:absolute;left:0pt;margin-left:84.25pt;margin-top:22.7pt;height:197.4pt;width:426.8pt;mso-position-horizontal-relative:page;mso-wrap-distance-bottom:0pt;mso-wrap-distance-top:0pt;z-index:-251638784;mso-width-relative:page;mso-height-relative:page;" filled="f" stroked="t" coordsize="5420360,2506980" o:gfxdata="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18nCnXAAAACwEA&#10;AA8AAAAAAAAAAQAgAAAAIgAAAGRycy9kb3ducmV2LnhtbFBLAQIUABQAAAAIAIdO4kA7Mxc9VAIA&#10;ACAGAAAOAAAAAAAAAAEAIAAAACYBAABkcnMvZTJvRG9jLnhtbFBLBQYAAAAABgAGAFkBAADsBQAA&#10;AAA=&#10;" path="m0,1524l5420233,1524em0,2506599l5420233,2506599em1524,0l1524,2505075em5418708,0l5418708,2505075e">
                <v:fill on="f" focussize="0,0"/>
                <v:stroke weight="0.24pt" color="#000000" joinstyle="round"/>
                <v:imagedata o:title=""/>
                <o:lock v:ext="edit" aspectratio="f"/>
                <v:textbox inset="0mm,0mm,0mm,0mm"/>
                <w10:wrap type="topAndBottom"/>
              </v:shape>
            </w:pict>
          </mc:Fallback>
        </mc:AlternateContent>
      </w:r>
    </w:p>
    <w:p>
      <w:pPr>
        <w:pStyle w:val="9"/>
      </w:pPr>
    </w:p>
    <w:p>
      <w:pPr>
        <w:pStyle w:val="9"/>
        <w:spacing w:before="16"/>
      </w:pPr>
    </w:p>
    <w:p>
      <w:pPr>
        <w:pStyle w:val="9"/>
        <w:tabs>
          <w:tab w:val="left" w:pos="4879"/>
        </w:tabs>
        <w:ind w:left="891"/>
        <w:rPr>
          <w:rFonts w:ascii="Times New Roman" w:eastAsia="Times New Roman"/>
        </w:rPr>
      </w:pPr>
      <w:r>
        <w:rPr>
          <w:spacing w:val="-4"/>
        </w:rPr>
        <w:t>投标人名称（公章</w:t>
      </w:r>
      <w:r>
        <w:rPr>
          <w:spacing w:val="-5"/>
        </w:rPr>
        <w:t>)：</w:t>
      </w:r>
      <w:r>
        <w:rPr>
          <w:rFonts w:ascii="Times New Roman" w:eastAsia="Times New Roman"/>
          <w:u w:val="single"/>
        </w:rPr>
        <w:tab/>
      </w:r>
    </w:p>
    <w:p>
      <w:pPr>
        <w:pStyle w:val="9"/>
        <w:spacing w:before="36"/>
        <w:rPr>
          <w:rFonts w:ascii="Times New Roman"/>
        </w:rPr>
      </w:pPr>
    </w:p>
    <w:p>
      <w:pPr>
        <w:pStyle w:val="9"/>
        <w:tabs>
          <w:tab w:val="left" w:pos="6555"/>
        </w:tabs>
        <w:ind w:left="889"/>
        <w:rPr>
          <w:rFonts w:ascii="Times New Roman" w:eastAsia="Times New Roman"/>
        </w:rPr>
      </w:pPr>
      <w:r>
        <w:rPr>
          <w:spacing w:val="-2"/>
        </w:rPr>
        <w:t>法定代表人（单位负责人）（签字或盖章</w:t>
      </w:r>
      <w:r>
        <w:rPr>
          <w:spacing w:val="-5"/>
        </w:rPr>
        <w:t>）：</w:t>
      </w:r>
      <w:r>
        <w:rPr>
          <w:rFonts w:ascii="Times New Roman" w:eastAsia="Times New Roman"/>
          <w:u w:val="single"/>
        </w:rPr>
        <w:tab/>
      </w:r>
    </w:p>
    <w:p>
      <w:pPr>
        <w:pStyle w:val="9"/>
        <w:rPr>
          <w:rFonts w:ascii="Times New Roman"/>
        </w:rPr>
      </w:pPr>
    </w:p>
    <w:p>
      <w:pPr>
        <w:pStyle w:val="9"/>
        <w:spacing w:before="223"/>
        <w:rPr>
          <w:rFonts w:ascii="Times New Roman"/>
        </w:rPr>
      </w:pPr>
    </w:p>
    <w:p>
      <w:pPr>
        <w:pStyle w:val="9"/>
        <w:tabs>
          <w:tab w:val="left" w:pos="2120"/>
          <w:tab w:val="left" w:pos="2960"/>
          <w:tab w:val="left" w:pos="3843"/>
        </w:tabs>
        <w:ind w:left="928"/>
      </w:pPr>
      <w:r>
        <w:rPr>
          <w:spacing w:val="-18"/>
        </w:rPr>
        <w:t>日期：</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pPr>
        <w:spacing w:after="0"/>
        <w:sectPr>
          <w:pgSz w:w="11910" w:h="16840"/>
          <w:pgMar w:top="1100" w:right="720" w:bottom="1400" w:left="920" w:header="918" w:footer="1209" w:gutter="0"/>
          <w:pgNumType w:fmt="numberInDash"/>
          <w:cols w:space="720" w:num="1"/>
        </w:sectPr>
      </w:pPr>
    </w:p>
    <w:p>
      <w:pPr>
        <w:pStyle w:val="9"/>
        <w:spacing w:before="24"/>
        <w:rPr>
          <w:sz w:val="32"/>
        </w:rPr>
      </w:pPr>
    </w:p>
    <w:p>
      <w:pPr>
        <w:pStyle w:val="4"/>
        <w:ind w:right="386"/>
      </w:pPr>
      <w:r>
        <w:rPr>
          <w:spacing w:val="-12"/>
        </w:rPr>
        <w:t>三、授权委托书</w:t>
      </w:r>
    </w:p>
    <w:p>
      <w:pPr>
        <w:pStyle w:val="9"/>
        <w:spacing w:before="297" w:line="350" w:lineRule="auto"/>
        <w:ind w:left="887" w:right="1019" w:firstLine="480"/>
        <w:jc w:val="both"/>
      </w:pPr>
      <w:r>
        <w:t>本人</w:t>
      </w:r>
      <w:r>
        <w:rPr>
          <w:rFonts w:ascii="Times New Roman" w:eastAsia="Times New Roman"/>
          <w:spacing w:val="80"/>
          <w:u w:val="single"/>
        </w:rPr>
        <w:t xml:space="preserve">   </w:t>
      </w:r>
      <w:r>
        <w:t>（姓名）系</w:t>
      </w:r>
      <w:r>
        <w:rPr>
          <w:spacing w:val="2"/>
          <w:position w:val="-1"/>
        </w:rPr>
        <w:drawing>
          <wp:inline distT="0" distB="0" distL="0" distR="0">
            <wp:extent cx="781685" cy="3810"/>
            <wp:effectExtent l="0" t="0" r="0" b="0"/>
            <wp:docPr id="48" name="Image 48"/>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42" cstate="print"/>
                    <a:stretch>
                      <a:fillRect/>
                    </a:stretch>
                  </pic:blipFill>
                  <pic:spPr>
                    <a:xfrm>
                      <a:off x="0" y="0"/>
                      <a:ext cx="781812" cy="3810"/>
                    </a:xfrm>
                    <a:prstGeom prst="rect">
                      <a:avLst/>
                    </a:prstGeom>
                  </pic:spPr>
                </pic:pic>
              </a:graphicData>
            </a:graphic>
          </wp:inline>
        </w:drawing>
      </w:r>
      <w:r>
        <w:t>（投标人名称）的法定代表人（单位负责</w:t>
      </w:r>
      <w:r>
        <w:rPr>
          <w:spacing w:val="-6"/>
        </w:rPr>
        <w:t>人），现委托</w:t>
      </w:r>
      <w:r>
        <w:rPr>
          <w:spacing w:val="-5"/>
          <w:position w:val="-2"/>
        </w:rPr>
        <w:drawing>
          <wp:inline distT="0" distB="0" distL="0" distR="0">
            <wp:extent cx="362585" cy="7620"/>
            <wp:effectExtent l="0" t="0" r="0" b="0"/>
            <wp:docPr id="49" name="Image 49"/>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43" cstate="print"/>
                    <a:stretch>
                      <a:fillRect/>
                    </a:stretch>
                  </pic:blipFill>
                  <pic:spPr>
                    <a:xfrm>
                      <a:off x="0" y="0"/>
                      <a:ext cx="362712" cy="7620"/>
                    </a:xfrm>
                    <a:prstGeom prst="rect">
                      <a:avLst/>
                    </a:prstGeom>
                  </pic:spPr>
                </pic:pic>
              </a:graphicData>
            </a:graphic>
          </wp:inline>
        </w:drawing>
      </w:r>
      <w:r>
        <w:rPr>
          <w:spacing w:val="-6"/>
        </w:rPr>
        <w:t>（姓名）为我方代理人。代理人根据授权，以我方名义签署、澄清确认、说明、补正、递交、撤回、修改</w:t>
      </w:r>
      <w:r>
        <w:rPr>
          <w:spacing w:val="-5"/>
          <w:position w:val="-2"/>
        </w:rPr>
        <w:drawing>
          <wp:inline distT="0" distB="0" distL="0" distR="0">
            <wp:extent cx="830580" cy="7620"/>
            <wp:effectExtent l="0" t="0" r="0" b="0"/>
            <wp:docPr id="50" name="Image 50"/>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44" cstate="print"/>
                    <a:stretch>
                      <a:fillRect/>
                    </a:stretch>
                  </pic:blipFill>
                  <pic:spPr>
                    <a:xfrm>
                      <a:off x="0" y="0"/>
                      <a:ext cx="830580" cy="7620"/>
                    </a:xfrm>
                    <a:prstGeom prst="rect">
                      <a:avLst/>
                    </a:prstGeom>
                  </pic:spPr>
                </pic:pic>
              </a:graphicData>
            </a:graphic>
          </wp:inline>
        </w:drawing>
      </w:r>
      <w:r>
        <w:rPr>
          <w:spacing w:val="-6"/>
        </w:rPr>
        <w:t>（项目名称）投标文件、</w:t>
      </w:r>
      <w:r>
        <w:rPr>
          <w:spacing w:val="-2"/>
        </w:rPr>
        <w:t>签订合同和处理有关事宜，其法律后果由我方承担。</w:t>
      </w:r>
    </w:p>
    <w:p>
      <w:pPr>
        <w:pStyle w:val="9"/>
        <w:spacing w:before="40" w:line="345" w:lineRule="auto"/>
        <w:ind w:left="1367" w:right="2109"/>
      </w:pPr>
      <w:r>
        <w:rPr>
          <w:spacing w:val="-8"/>
        </w:rPr>
        <w:t>委托期限：自本授权委托书签署之日起至投标有效期届满之日止。</w:t>
      </w:r>
      <w:r>
        <w:rPr>
          <w:spacing w:val="-2"/>
        </w:rPr>
        <w:t>代理人无转委托权。</w:t>
      </w:r>
    </w:p>
    <w:p>
      <w:pPr>
        <w:pStyle w:val="9"/>
        <w:spacing w:before="23"/>
      </w:pPr>
    </w:p>
    <w:p>
      <w:pPr>
        <w:pStyle w:val="9"/>
        <w:tabs>
          <w:tab w:val="left" w:pos="4879"/>
        </w:tabs>
        <w:ind w:left="891"/>
        <w:rPr>
          <w:rFonts w:ascii="Times New Roman" w:eastAsia="Times New Roman"/>
        </w:rPr>
      </w:pPr>
      <w:r>
        <w:rPr>
          <w:spacing w:val="-4"/>
        </w:rPr>
        <w:t>投标人名称（公章</w:t>
      </w:r>
      <w:r>
        <w:rPr>
          <w:spacing w:val="-5"/>
        </w:rPr>
        <w:t>)：</w:t>
      </w:r>
      <w:r>
        <w:rPr>
          <w:rFonts w:ascii="Times New Roman" w:eastAsia="Times New Roman"/>
          <w:u w:val="single"/>
        </w:rPr>
        <w:tab/>
      </w:r>
    </w:p>
    <w:p>
      <w:pPr>
        <w:pStyle w:val="9"/>
        <w:spacing w:before="31"/>
        <w:rPr>
          <w:rFonts w:ascii="Times New Roman"/>
        </w:rPr>
      </w:pPr>
    </w:p>
    <w:p>
      <w:pPr>
        <w:pStyle w:val="9"/>
        <w:tabs>
          <w:tab w:val="left" w:pos="7515"/>
        </w:tabs>
        <w:spacing w:before="1"/>
        <w:ind w:left="889"/>
        <w:rPr>
          <w:rFonts w:ascii="Times New Roman" w:eastAsia="Times New Roman"/>
        </w:rPr>
      </w:pPr>
      <w:r>
        <w:rPr>
          <w:spacing w:val="-2"/>
        </w:rPr>
        <w:t>法定代表人（单位负责人）（签字或盖章</w:t>
      </w:r>
      <w:r>
        <w:rPr>
          <w:spacing w:val="-5"/>
        </w:rPr>
        <w:t>）：</w:t>
      </w:r>
      <w:r>
        <w:rPr>
          <w:rFonts w:ascii="Times New Roman" w:eastAsia="Times New Roman"/>
          <w:u w:val="single"/>
        </w:rPr>
        <w:tab/>
      </w:r>
    </w:p>
    <w:p>
      <w:pPr>
        <w:pStyle w:val="9"/>
        <w:spacing w:before="35"/>
        <w:rPr>
          <w:rFonts w:ascii="Times New Roman"/>
        </w:rPr>
      </w:pPr>
    </w:p>
    <w:p>
      <w:pPr>
        <w:pStyle w:val="9"/>
        <w:tabs>
          <w:tab w:val="left" w:pos="6056"/>
          <w:tab w:val="left" w:pos="9195"/>
        </w:tabs>
        <w:spacing w:before="1"/>
        <w:ind w:left="887"/>
        <w:rPr>
          <w:rFonts w:ascii="Times New Roman" w:eastAsia="Times New Roman"/>
        </w:rPr>
      </w:pPr>
      <w:r>
        <w:rPr>
          <w:spacing w:val="-4"/>
        </w:rPr>
        <w:t>委托代理人（签字或盖章</w:t>
      </w:r>
      <w:r>
        <w:rPr>
          <w:spacing w:val="-5"/>
        </w:rPr>
        <w:t>）：</w:t>
      </w:r>
      <w:r>
        <w:rPr>
          <w:spacing w:val="-20"/>
          <w:position w:val="-2"/>
        </w:rPr>
        <w:drawing>
          <wp:inline distT="0" distB="0" distL="0" distR="0">
            <wp:extent cx="1068070" cy="7620"/>
            <wp:effectExtent l="0" t="0" r="0" b="0"/>
            <wp:docPr id="51" name="Image 51"/>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45" cstate="print"/>
                    <a:stretch>
                      <a:fillRect/>
                    </a:stretch>
                  </pic:blipFill>
                  <pic:spPr>
                    <a:xfrm>
                      <a:off x="0" y="0"/>
                      <a:ext cx="1068324" cy="7620"/>
                    </a:xfrm>
                    <a:prstGeom prst="rect">
                      <a:avLst/>
                    </a:prstGeom>
                  </pic:spPr>
                </pic:pic>
              </a:graphicData>
            </a:graphic>
          </wp:inline>
        </w:drawing>
      </w:r>
      <w:r>
        <w:rPr>
          <w:rFonts w:ascii="Times New Roman" w:eastAsia="Times New Roman"/>
        </w:rPr>
        <w:tab/>
      </w:r>
      <w:r>
        <w:rPr>
          <w:spacing w:val="-4"/>
        </w:rPr>
        <w:t>联系电话</w:t>
      </w:r>
      <w:r>
        <w:rPr>
          <w:spacing w:val="-10"/>
        </w:rPr>
        <w:t>：</w:t>
      </w:r>
      <w:r>
        <w:rPr>
          <w:rFonts w:ascii="Times New Roman" w:eastAsia="Times New Roman"/>
          <w:u w:val="single"/>
        </w:rPr>
        <w:tab/>
      </w:r>
    </w:p>
    <w:p>
      <w:pPr>
        <w:pStyle w:val="9"/>
        <w:spacing w:before="35"/>
        <w:rPr>
          <w:rFonts w:ascii="Times New Roman"/>
        </w:rPr>
      </w:pPr>
    </w:p>
    <w:p>
      <w:pPr>
        <w:pStyle w:val="9"/>
        <w:tabs>
          <w:tab w:val="left" w:pos="2960"/>
        </w:tabs>
        <w:spacing w:before="1"/>
        <w:ind w:left="928"/>
      </w:pPr>
      <w:r>
        <w:rPr>
          <w:spacing w:val="-18"/>
        </w:rPr>
        <w:t>日期：</w:t>
      </w:r>
      <w:r>
        <w:rPr>
          <w:spacing w:val="-17"/>
          <w:position w:val="-2"/>
        </w:rPr>
        <w:drawing>
          <wp:inline distT="0" distB="0" distL="0" distR="0">
            <wp:extent cx="322580" cy="7620"/>
            <wp:effectExtent l="0" t="0" r="0" b="0"/>
            <wp:docPr id="52" name="Image 52"/>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46" cstate="print"/>
                    <a:stretch>
                      <a:fillRect/>
                    </a:stretch>
                  </pic:blipFill>
                  <pic:spPr>
                    <a:xfrm>
                      <a:off x="0" y="0"/>
                      <a:ext cx="323088" cy="7620"/>
                    </a:xfrm>
                    <a:prstGeom prst="rect">
                      <a:avLst/>
                    </a:prstGeom>
                  </pic:spPr>
                </pic:pic>
              </a:graphicData>
            </a:graphic>
          </wp:inline>
        </w:drawing>
      </w:r>
      <w:r>
        <w:rPr>
          <w:spacing w:val="-18"/>
        </w:rPr>
        <w:t>年</w:t>
      </w:r>
      <w:r>
        <w:rPr>
          <w:rFonts w:ascii="Times New Roman" w:eastAsia="Times New Roman"/>
          <w:u w:val="single"/>
        </w:rPr>
        <w:tab/>
      </w:r>
      <w:r>
        <w:rPr>
          <w:spacing w:val="-14"/>
        </w:rPr>
        <w:t>月</w:t>
      </w:r>
      <w:r>
        <w:rPr>
          <w:spacing w:val="-17"/>
          <w:position w:val="-2"/>
        </w:rPr>
        <w:drawing>
          <wp:inline distT="0" distB="0" distL="0" distR="0">
            <wp:extent cx="387985" cy="7620"/>
            <wp:effectExtent l="0" t="0" r="0" b="0"/>
            <wp:docPr id="53" name="Image 53"/>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47" cstate="print"/>
                    <a:stretch>
                      <a:fillRect/>
                    </a:stretch>
                  </pic:blipFill>
                  <pic:spPr>
                    <a:xfrm>
                      <a:off x="0" y="0"/>
                      <a:ext cx="388619" cy="7620"/>
                    </a:xfrm>
                    <a:prstGeom prst="rect">
                      <a:avLst/>
                    </a:prstGeom>
                  </pic:spPr>
                </pic:pic>
              </a:graphicData>
            </a:graphic>
          </wp:inline>
        </w:drawing>
      </w:r>
      <w:r>
        <w:rPr>
          <w:rFonts w:ascii="Times New Roman" w:eastAsia="Times New Roman"/>
          <w:spacing w:val="2"/>
        </w:rPr>
        <w:t xml:space="preserve"> </w:t>
      </w:r>
      <w:r>
        <w:rPr>
          <w:spacing w:val="-10"/>
        </w:rPr>
        <w:t>日</w:t>
      </w:r>
    </w:p>
    <w:p>
      <w:pPr>
        <w:pStyle w:val="9"/>
        <w:spacing w:before="153"/>
      </w:pPr>
    </w:p>
    <w:p>
      <w:pPr>
        <w:pStyle w:val="9"/>
        <w:ind w:left="906"/>
      </w:pPr>
      <w:r>
        <mc:AlternateContent>
          <mc:Choice Requires="wps">
            <w:drawing>
              <wp:anchor distT="0" distB="0" distL="0" distR="0" simplePos="0" relativeHeight="251677696" behindDoc="1" locked="0" layoutInCell="1" allowOverlap="1">
                <wp:simplePos x="0" y="0"/>
                <wp:positionH relativeFrom="page">
                  <wp:posOffset>1069975</wp:posOffset>
                </wp:positionH>
                <wp:positionV relativeFrom="paragraph">
                  <wp:posOffset>238760</wp:posOffset>
                </wp:positionV>
                <wp:extent cx="5420360" cy="1294130"/>
                <wp:effectExtent l="0" t="0" r="0" b="0"/>
                <wp:wrapTopAndBottom/>
                <wp:docPr id="54" name="Graphic 54"/>
                <wp:cNvGraphicFramePr/>
                <a:graphic xmlns:a="http://schemas.openxmlformats.org/drawingml/2006/main">
                  <a:graphicData uri="http://schemas.microsoft.com/office/word/2010/wordprocessingShape">
                    <wps:wsp>
                      <wps:cNvSpPr/>
                      <wps:spPr>
                        <a:xfrm>
                          <a:off x="0" y="0"/>
                          <a:ext cx="5420360" cy="1294130"/>
                        </a:xfrm>
                        <a:custGeom>
                          <a:avLst/>
                          <a:gdLst/>
                          <a:ahLst/>
                          <a:cxnLst/>
                          <a:rect l="l" t="t" r="r" b="b"/>
                          <a:pathLst>
                            <a:path w="5420360" h="1294130">
                              <a:moveTo>
                                <a:pt x="0" y="1524"/>
                              </a:moveTo>
                              <a:lnTo>
                                <a:pt x="5420233" y="1524"/>
                              </a:lnTo>
                            </a:path>
                            <a:path w="5420360" h="1294130">
                              <a:moveTo>
                                <a:pt x="0" y="1293748"/>
                              </a:moveTo>
                              <a:lnTo>
                                <a:pt x="5420233" y="1293748"/>
                              </a:lnTo>
                            </a:path>
                            <a:path w="5420360" h="1294130">
                              <a:moveTo>
                                <a:pt x="1524" y="0"/>
                              </a:moveTo>
                              <a:lnTo>
                                <a:pt x="1524" y="1292224"/>
                              </a:lnTo>
                            </a:path>
                            <a:path w="5420360" h="1294130">
                              <a:moveTo>
                                <a:pt x="5418708" y="0"/>
                              </a:moveTo>
                              <a:lnTo>
                                <a:pt x="5418708" y="1292224"/>
                              </a:lnTo>
                            </a:path>
                          </a:pathLst>
                        </a:custGeom>
                        <a:ln w="3048">
                          <a:solidFill>
                            <a:srgbClr val="000000"/>
                          </a:solidFill>
                          <a:prstDash val="solid"/>
                        </a:ln>
                      </wps:spPr>
                      <wps:bodyPr wrap="square" lIns="0" tIns="0" rIns="0" bIns="0" rtlCol="0">
                        <a:noAutofit/>
                      </wps:bodyPr>
                    </wps:wsp>
                  </a:graphicData>
                </a:graphic>
              </wp:anchor>
            </w:drawing>
          </mc:Choice>
          <mc:Fallback>
            <w:pict>
              <v:shape id="Graphic 54" o:spid="_x0000_s1026" o:spt="100" style="position:absolute;left:0pt;margin-left:84.25pt;margin-top:18.8pt;height:101.9pt;width:426.8pt;mso-position-horizontal-relative:page;mso-wrap-distance-bottom:0pt;mso-wrap-distance-top:0pt;z-index:-251638784;mso-width-relative:page;mso-height-relative:page;" filled="f" stroked="t" coordsize="5420360,1294130" o:gfxdata="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2PPFG2gAAAAsB&#10;AAAPAAAAAAAAAAEAIAAAACIAAABkcnMvZG93bnJldi54bWxQSwECFAAUAAAACACHTuJAthOYvFIC&#10;AAAgBgAADgAAAAAAAAABACAAAAApAQAAZHJzL2Uyb0RvYy54bWxQSwUGAAAAAAYABgBZAQAA7QUA&#10;AAAA&#10;" path="m0,1524l5420233,1524em0,1293748l5420233,1293748em1524,0l1524,1292224em5418708,0l5418708,1292224e">
                <v:fill on="f" focussize="0,0"/>
                <v:stroke weight="0.24pt" color="#000000" joinstyle="round"/>
                <v:imagedata o:title=""/>
                <o:lock v:ext="edit" aspectratio="f"/>
                <v:textbox inset="0mm,0mm,0mm,0mm"/>
                <w10:wrap type="topAndBottom"/>
              </v:shape>
            </w:pict>
          </mc:Fallback>
        </mc:AlternateContent>
      </w:r>
      <w:r>
        <w:rPr>
          <w:spacing w:val="-5"/>
        </w:rPr>
        <w:t>附：法定代表人及委托代理人身份证明文件电子件：</w:t>
      </w:r>
    </w:p>
    <w:p>
      <w:pPr>
        <w:pStyle w:val="9"/>
        <w:spacing w:before="90"/>
        <w:ind w:left="1372"/>
      </w:pPr>
      <w:r>
        <w:rPr>
          <w:spacing w:val="-9"/>
        </w:rPr>
        <w:t>说明：</w:t>
      </w:r>
    </w:p>
    <w:p>
      <w:pPr>
        <w:pStyle w:val="15"/>
        <w:numPr>
          <w:ilvl w:val="0"/>
          <w:numId w:val="56"/>
        </w:numPr>
        <w:tabs>
          <w:tab w:val="left" w:pos="1565"/>
        </w:tabs>
        <w:spacing w:before="177" w:after="0" w:line="288" w:lineRule="auto"/>
        <w:ind w:left="908" w:right="1144" w:firstLine="475"/>
        <w:jc w:val="left"/>
        <w:rPr>
          <w:sz w:val="24"/>
        </w:rPr>
      </w:pPr>
      <w:r>
        <w:rPr>
          <w:spacing w:val="-18"/>
          <w:sz w:val="24"/>
        </w:rPr>
        <w:t>若投标人为事业单位或其他组织或分支机构，则法定代表人（单位负责人）处</w:t>
      </w:r>
      <w:r>
        <w:rPr>
          <w:spacing w:val="-2"/>
          <w:sz w:val="24"/>
        </w:rPr>
        <w:t>的签署人可为单位负责人。</w:t>
      </w:r>
    </w:p>
    <w:p>
      <w:pPr>
        <w:pStyle w:val="15"/>
        <w:numPr>
          <w:ilvl w:val="0"/>
          <w:numId w:val="56"/>
        </w:numPr>
        <w:tabs>
          <w:tab w:val="left" w:pos="1575"/>
        </w:tabs>
        <w:spacing w:before="183" w:after="0" w:line="285" w:lineRule="auto"/>
        <w:ind w:left="889" w:right="1232" w:firstLine="480"/>
        <w:jc w:val="left"/>
        <w:rPr>
          <w:sz w:val="24"/>
        </w:rPr>
      </w:pPr>
      <w:r>
        <w:rPr>
          <w:spacing w:val="-8"/>
          <w:sz w:val="24"/>
        </w:rPr>
        <w:t>若投标文件中签字之处均为法定代表人（单位负责人）本人签署，则可不</w:t>
      </w:r>
      <w:r>
        <w:rPr>
          <w:spacing w:val="-6"/>
          <w:sz w:val="24"/>
        </w:rPr>
        <w:t>提供本《授权委托书》， 但须提供《法定代表人</w:t>
      </w:r>
      <w:r>
        <w:rPr>
          <w:spacing w:val="-4"/>
          <w:sz w:val="24"/>
        </w:rPr>
        <w:t>（单位负责人）身份证明》。</w:t>
      </w:r>
    </w:p>
    <w:p>
      <w:pPr>
        <w:pStyle w:val="15"/>
        <w:numPr>
          <w:ilvl w:val="0"/>
          <w:numId w:val="56"/>
        </w:numPr>
        <w:tabs>
          <w:tab w:val="left" w:pos="1585"/>
        </w:tabs>
        <w:spacing w:before="167" w:after="0" w:line="240" w:lineRule="auto"/>
        <w:ind w:left="1585" w:right="0" w:hanging="213"/>
        <w:jc w:val="left"/>
        <w:rPr>
          <w:sz w:val="24"/>
        </w:rPr>
      </w:pPr>
      <w:r>
        <w:rPr>
          <w:spacing w:val="-5"/>
          <w:sz w:val="24"/>
        </w:rPr>
        <w:t>投标人为自然人的情形，可不提供本《授权委托书》。</w:t>
      </w:r>
    </w:p>
    <w:p>
      <w:pPr>
        <w:pStyle w:val="15"/>
        <w:numPr>
          <w:ilvl w:val="0"/>
          <w:numId w:val="56"/>
        </w:numPr>
        <w:tabs>
          <w:tab w:val="left" w:pos="1579"/>
        </w:tabs>
        <w:spacing w:before="177" w:after="0" w:line="312" w:lineRule="auto"/>
        <w:ind w:left="887" w:right="1069" w:firstLine="477"/>
        <w:jc w:val="both"/>
        <w:rPr>
          <w:sz w:val="24"/>
        </w:rPr>
      </w:pPr>
      <w:r>
        <w:rPr>
          <w:spacing w:val="-4"/>
          <w:sz w:val="24"/>
        </w:rPr>
        <w:t>投标人应随本《授权委托书》同时提供法定代表人（单位负责人）及委托代理人的有效的身份证、护照等身份证明文件电子件。提供身份证的，应同时提</w:t>
      </w:r>
      <w:r>
        <w:rPr>
          <w:spacing w:val="-2"/>
          <w:sz w:val="24"/>
        </w:rPr>
        <w:t>供身份证</w:t>
      </w:r>
      <w:r>
        <w:rPr>
          <w:b/>
          <w:spacing w:val="-2"/>
          <w:sz w:val="24"/>
        </w:rPr>
        <w:t>双面</w:t>
      </w:r>
      <w:r>
        <w:rPr>
          <w:spacing w:val="-2"/>
          <w:sz w:val="24"/>
        </w:rPr>
        <w:t>电子件。</w:t>
      </w:r>
    </w:p>
    <w:p>
      <w:pPr>
        <w:spacing w:after="0" w:line="312" w:lineRule="auto"/>
        <w:jc w:val="both"/>
        <w:rPr>
          <w:sz w:val="24"/>
        </w:rPr>
        <w:sectPr>
          <w:pgSz w:w="11910" w:h="16840"/>
          <w:pgMar w:top="1100" w:right="720" w:bottom="1400" w:left="920" w:header="918" w:footer="1209" w:gutter="0"/>
          <w:pgNumType w:fmt="numberInDash"/>
          <w:cols w:space="720" w:num="1"/>
        </w:sectPr>
      </w:pPr>
    </w:p>
    <w:p>
      <w:pPr>
        <w:pStyle w:val="9"/>
        <w:spacing w:before="22"/>
        <w:rPr>
          <w:sz w:val="32"/>
        </w:rPr>
      </w:pPr>
    </w:p>
    <w:p>
      <w:pPr>
        <w:pStyle w:val="4"/>
      </w:pPr>
      <w:r>
        <w:rPr>
          <w:spacing w:val="-14"/>
        </w:rPr>
        <w:t>四、政府采购投标人廉洁自律承诺书</w:t>
      </w:r>
    </w:p>
    <w:p>
      <w:pPr>
        <w:pStyle w:val="9"/>
        <w:spacing w:before="212"/>
        <w:rPr>
          <w:b/>
          <w:sz w:val="32"/>
        </w:rPr>
      </w:pPr>
    </w:p>
    <w:p>
      <w:pPr>
        <w:pStyle w:val="9"/>
        <w:ind w:left="894"/>
      </w:pPr>
      <w:r>
        <w:t>（采购人）、（采购代理机构</w:t>
      </w:r>
      <w:r>
        <w:rPr>
          <w:spacing w:val="-5"/>
        </w:rPr>
        <w:t>）：</w:t>
      </w:r>
    </w:p>
    <w:p>
      <w:pPr>
        <w:pStyle w:val="9"/>
        <w:spacing w:before="252" w:line="345" w:lineRule="auto"/>
        <w:ind w:left="889" w:right="1237" w:firstLine="482"/>
      </w:pPr>
      <w:r>
        <w:rPr>
          <w:spacing w:val="-10"/>
        </w:rPr>
        <w:t>我单位响应你单位项目招标要求参加投标。在这次投标过程中和中标后，我</w:t>
      </w:r>
      <w:r>
        <w:rPr>
          <w:spacing w:val="-2"/>
        </w:rPr>
        <w:t>们将严格遵守国家法律法规要求，并郑重承诺：</w:t>
      </w:r>
    </w:p>
    <w:p>
      <w:pPr>
        <w:pStyle w:val="9"/>
        <w:spacing w:before="30" w:line="290" w:lineRule="auto"/>
        <w:ind w:left="889" w:right="1146" w:firstLine="482"/>
      </w:pPr>
      <w:r>
        <w:rPr>
          <w:spacing w:val="-6"/>
        </w:rPr>
        <w:t>一、不向项目有关人员及部门赠送礼金礼物、有价证券、回扣以及中介费、</w:t>
      </w:r>
      <w:r>
        <w:rPr>
          <w:spacing w:val="-2"/>
        </w:rPr>
        <w:t>介绍费、咨询费等好处费；</w:t>
      </w:r>
    </w:p>
    <w:p>
      <w:pPr>
        <w:pStyle w:val="9"/>
        <w:spacing w:before="157"/>
        <w:ind w:left="1374"/>
      </w:pPr>
      <w:r>
        <w:rPr>
          <w:spacing w:val="-5"/>
        </w:rPr>
        <w:t>二、不为项目有关人员及部门报销应由你方单位或个人支付的费用；</w:t>
      </w:r>
    </w:p>
    <w:p>
      <w:pPr>
        <w:pStyle w:val="9"/>
        <w:spacing w:before="175" w:line="288" w:lineRule="auto"/>
        <w:ind w:left="1372" w:right="906" w:hanging="3"/>
      </w:pPr>
      <w:r>
        <w:rPr>
          <w:spacing w:val="-26"/>
        </w:rPr>
        <w:t>三、不向项目有关人员及部门提供有可能影响公正的宴请和健身娱乐等活动；四、不</w:t>
      </w:r>
      <w:r>
        <w:rPr>
          <w:spacing w:val="-2"/>
        </w:rPr>
        <w:t>为项目有关人员及部门出国（境）、旅游等提供方便；</w:t>
      </w:r>
    </w:p>
    <w:p>
      <w:pPr>
        <w:pStyle w:val="9"/>
        <w:spacing w:before="185" w:line="288" w:lineRule="auto"/>
        <w:ind w:left="889" w:right="1237" w:firstLine="482"/>
      </w:pPr>
      <w:r>
        <w:rPr>
          <w:spacing w:val="-10"/>
        </w:rPr>
        <w:t>五、不为项目有关人员个人装修住房、婚丧嫁娶、配偶子女工作安排等提供</w:t>
      </w:r>
      <w:r>
        <w:rPr>
          <w:spacing w:val="-4"/>
        </w:rPr>
        <w:t>好处；</w:t>
      </w:r>
    </w:p>
    <w:p>
      <w:pPr>
        <w:pStyle w:val="9"/>
        <w:spacing w:before="182" w:line="288" w:lineRule="auto"/>
        <w:ind w:left="896" w:right="1072" w:firstLine="475"/>
      </w:pPr>
      <w:r>
        <w:rPr>
          <w:spacing w:val="-4"/>
        </w:rPr>
        <w:t>六、严格遵守《中华人民共和国政府采购法》《中华人民共和国政府采购法</w:t>
      </w:r>
      <w:r>
        <w:rPr>
          <w:spacing w:val="-5"/>
        </w:rPr>
        <w:t>实施条例》《中华人民共和国民法典》等法律法规，诚实守信，合法经营，坚决</w:t>
      </w:r>
    </w:p>
    <w:p>
      <w:pPr>
        <w:pStyle w:val="9"/>
        <w:spacing w:before="164"/>
        <w:ind w:left="889"/>
      </w:pPr>
      <w:r>
        <w:rPr>
          <w:spacing w:val="-7"/>
        </w:rPr>
        <w:t>抵制各种违法违纪行为。</w:t>
      </w:r>
    </w:p>
    <w:p>
      <w:pPr>
        <w:pStyle w:val="9"/>
        <w:spacing w:before="172" w:line="348" w:lineRule="auto"/>
        <w:ind w:left="896" w:right="1112" w:firstLine="477"/>
        <w:jc w:val="both"/>
      </w:pPr>
      <w:r>
        <w:rPr>
          <w:spacing w:val="-6"/>
        </w:rPr>
        <w:t>如违反上述承诺，你单位有权立即取消我单位投标、中标或在建项目的建设资格，有权拒绝我单位在一定时期内进入你单位进行项目建设或其他经营活动，</w:t>
      </w:r>
      <w:r>
        <w:rPr>
          <w:spacing w:val="-2"/>
        </w:rPr>
        <w:t>并通报财政主管部门。由此引起的相应损失均由我单位承担。</w:t>
      </w:r>
    </w:p>
    <w:p>
      <w:pPr>
        <w:pStyle w:val="9"/>
      </w:pPr>
    </w:p>
    <w:p>
      <w:pPr>
        <w:pStyle w:val="9"/>
      </w:pPr>
    </w:p>
    <w:p>
      <w:pPr>
        <w:pStyle w:val="9"/>
      </w:pPr>
    </w:p>
    <w:p>
      <w:pPr>
        <w:pStyle w:val="9"/>
        <w:spacing w:before="172"/>
      </w:pPr>
    </w:p>
    <w:p>
      <w:pPr>
        <w:pStyle w:val="9"/>
        <w:tabs>
          <w:tab w:val="left" w:pos="6548"/>
          <w:tab w:val="left" w:pos="7148"/>
          <w:tab w:val="left" w:pos="7782"/>
        </w:tabs>
        <w:spacing w:line="357" w:lineRule="auto"/>
        <w:ind w:left="5490" w:right="2245" w:hanging="39"/>
      </w:pPr>
      <w:r>
        <w:rPr>
          <w:spacing w:val="-2"/>
        </w:rPr>
        <w:t>投标人名称（公章)：</w:t>
      </w:r>
      <w:r>
        <w:t xml:space="preserve"> </w:t>
      </w:r>
      <w:r>
        <w:rPr>
          <w:spacing w:val="-4"/>
        </w:rPr>
        <w:t>日期：</w:t>
      </w:r>
      <w:r>
        <w:tab/>
      </w:r>
      <w:r>
        <w:rPr>
          <w:spacing w:val="-10"/>
        </w:rPr>
        <w:t>年</w:t>
      </w:r>
      <w:r>
        <w:tab/>
      </w:r>
      <w:r>
        <w:rPr>
          <w:spacing w:val="-10"/>
        </w:rPr>
        <w:t>月</w:t>
      </w:r>
      <w:r>
        <w:tab/>
      </w:r>
      <w:r>
        <w:rPr>
          <w:spacing w:val="-10"/>
        </w:rPr>
        <w:t>日</w:t>
      </w:r>
    </w:p>
    <w:p>
      <w:pPr>
        <w:spacing w:after="0" w:line="357" w:lineRule="auto"/>
        <w:sectPr>
          <w:pgSz w:w="11910" w:h="16840"/>
          <w:pgMar w:top="1100" w:right="720" w:bottom="1400" w:left="920" w:header="918" w:footer="1209" w:gutter="0"/>
          <w:pgNumType w:fmt="numberInDash"/>
          <w:cols w:space="720" w:num="1"/>
        </w:sectPr>
      </w:pPr>
    </w:p>
    <w:p>
      <w:pPr>
        <w:pStyle w:val="9"/>
        <w:spacing w:before="51"/>
        <w:rPr>
          <w:sz w:val="32"/>
        </w:rPr>
      </w:pPr>
    </w:p>
    <w:p>
      <w:pPr>
        <w:pStyle w:val="4"/>
        <w:ind w:right="429"/>
      </w:pPr>
      <w:r>
        <w:rPr>
          <w:spacing w:val="-12"/>
        </w:rPr>
        <w:t>五、实质性响应一览表【本表须与第五章的一致】</w:t>
      </w:r>
    </w:p>
    <w:p>
      <w:pPr>
        <w:pStyle w:val="9"/>
        <w:spacing w:before="380"/>
        <w:ind w:left="204" w:right="386"/>
        <w:jc w:val="center"/>
      </w:pPr>
      <w:r>
        <w:rPr>
          <w:spacing w:val="-6"/>
        </w:rPr>
        <w:t>（投标人须对本附表所有内容逐条响应且无负偏离，否则其</w:t>
      </w:r>
      <w:r>
        <w:rPr>
          <w:b/>
          <w:spacing w:val="-6"/>
        </w:rPr>
        <w:t>投标无效</w:t>
      </w:r>
      <w:r>
        <w:rPr>
          <w:spacing w:val="-10"/>
        </w:rPr>
        <w:t>）</w:t>
      </w:r>
    </w:p>
    <w:p>
      <w:pPr>
        <w:pStyle w:val="9"/>
        <w:spacing w:before="189"/>
        <w:rPr>
          <w:sz w:val="20"/>
        </w:rPr>
      </w:pPr>
    </w:p>
    <w:tbl>
      <w:tblPr>
        <w:tblStyle w:val="12"/>
        <w:tblW w:w="0" w:type="auto"/>
        <w:tblInd w:w="5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9"/>
        <w:gridCol w:w="1976"/>
        <w:gridCol w:w="4224"/>
        <w:gridCol w:w="1858"/>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09" w:type="dxa"/>
            <w:vMerge w:val="restart"/>
            <w:textDirection w:val="tbRl"/>
          </w:tcPr>
          <w:p>
            <w:pPr>
              <w:pStyle w:val="16"/>
              <w:spacing w:line="180" w:lineRule="auto"/>
              <w:ind w:left="124"/>
              <w:rPr>
                <w:sz w:val="24"/>
              </w:rPr>
            </w:pPr>
            <w:r>
              <w:rPr>
                <w:spacing w:val="-4"/>
                <w:sz w:val="24"/>
              </w:rPr>
              <w:t>序 号</w:t>
            </w:r>
          </w:p>
        </w:tc>
        <w:tc>
          <w:tcPr>
            <w:tcW w:w="6200" w:type="dxa"/>
            <w:gridSpan w:val="2"/>
          </w:tcPr>
          <w:p>
            <w:pPr>
              <w:pStyle w:val="16"/>
              <w:spacing w:before="74" w:line="305" w:lineRule="exact"/>
              <w:ind w:left="1433"/>
              <w:rPr>
                <w:sz w:val="24"/>
              </w:rPr>
            </w:pPr>
            <w:r>
              <w:rPr>
                <w:spacing w:val="-5"/>
                <w:sz w:val="24"/>
              </w:rPr>
              <w:t>招标文件要求的实质性响应内容</w:t>
            </w:r>
          </w:p>
        </w:tc>
        <w:tc>
          <w:tcPr>
            <w:tcW w:w="1858" w:type="dxa"/>
            <w:vMerge w:val="restart"/>
          </w:tcPr>
          <w:p>
            <w:pPr>
              <w:pStyle w:val="16"/>
              <w:spacing w:before="101" w:line="330" w:lineRule="atLeast"/>
              <w:ind w:left="366" w:right="207" w:hanging="137"/>
              <w:rPr>
                <w:sz w:val="24"/>
              </w:rPr>
            </w:pPr>
            <w:r>
              <w:rPr>
                <w:spacing w:val="-8"/>
                <w:sz w:val="24"/>
              </w:rPr>
              <w:t>投标文件响应</w:t>
            </w:r>
            <w:r>
              <w:rPr>
                <w:spacing w:val="-2"/>
                <w:sz w:val="24"/>
              </w:rPr>
              <w:t>的具体内容</w:t>
            </w:r>
          </w:p>
        </w:tc>
        <w:tc>
          <w:tcPr>
            <w:tcW w:w="730" w:type="dxa"/>
            <w:vMerge w:val="restart"/>
          </w:tcPr>
          <w:p>
            <w:pPr>
              <w:pStyle w:val="16"/>
              <w:spacing w:before="280"/>
              <w:ind w:left="145"/>
              <w:rPr>
                <w:sz w:val="24"/>
              </w:rPr>
            </w:pPr>
            <w:r>
              <w:rPr>
                <w:spacing w:val="-9"/>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09" w:type="dxa"/>
            <w:vMerge w:val="continue"/>
            <w:tcBorders>
              <w:top w:val="nil"/>
            </w:tcBorders>
            <w:textDirection w:val="tbRl"/>
          </w:tcPr>
          <w:p>
            <w:pPr>
              <w:rPr>
                <w:sz w:val="2"/>
                <w:szCs w:val="2"/>
              </w:rPr>
            </w:pPr>
          </w:p>
        </w:tc>
        <w:tc>
          <w:tcPr>
            <w:tcW w:w="1976" w:type="dxa"/>
          </w:tcPr>
          <w:p>
            <w:pPr>
              <w:pStyle w:val="16"/>
              <w:spacing w:before="70" w:line="303" w:lineRule="exact"/>
              <w:ind w:left="403"/>
              <w:rPr>
                <w:sz w:val="24"/>
              </w:rPr>
            </w:pPr>
            <w:r>
              <w:rPr>
                <w:spacing w:val="-9"/>
                <w:sz w:val="24"/>
              </w:rPr>
              <w:t>实质性要求</w:t>
            </w:r>
          </w:p>
        </w:tc>
        <w:tc>
          <w:tcPr>
            <w:tcW w:w="4224" w:type="dxa"/>
          </w:tcPr>
          <w:p>
            <w:pPr>
              <w:pStyle w:val="16"/>
              <w:spacing w:before="70" w:line="303" w:lineRule="exact"/>
              <w:ind w:left="1165"/>
              <w:rPr>
                <w:sz w:val="24"/>
              </w:rPr>
            </w:pPr>
            <w:r>
              <w:rPr>
                <w:spacing w:val="-7"/>
                <w:sz w:val="24"/>
              </w:rPr>
              <w:t>招标文件中的规定</w:t>
            </w:r>
          </w:p>
        </w:tc>
        <w:tc>
          <w:tcPr>
            <w:tcW w:w="1858" w:type="dxa"/>
            <w:vMerge w:val="continue"/>
            <w:tcBorders>
              <w:top w:val="nil"/>
            </w:tcBorders>
          </w:tcPr>
          <w:p>
            <w:pPr>
              <w:rPr>
                <w:sz w:val="2"/>
                <w:szCs w:val="2"/>
              </w:rPr>
            </w:pPr>
          </w:p>
        </w:tc>
        <w:tc>
          <w:tcPr>
            <w:tcW w:w="7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409" w:type="dxa"/>
          </w:tcPr>
          <w:p>
            <w:pPr>
              <w:pStyle w:val="16"/>
              <w:spacing w:before="132"/>
              <w:rPr>
                <w:sz w:val="24"/>
              </w:rPr>
            </w:pPr>
          </w:p>
          <w:p>
            <w:pPr>
              <w:pStyle w:val="16"/>
              <w:ind w:left="74"/>
              <w:jc w:val="center"/>
              <w:rPr>
                <w:sz w:val="24"/>
              </w:rPr>
            </w:pPr>
            <w:r>
              <w:rPr>
                <w:spacing w:val="-10"/>
                <w:sz w:val="24"/>
              </w:rPr>
              <w:t>1</w:t>
            </w:r>
          </w:p>
        </w:tc>
        <w:tc>
          <w:tcPr>
            <w:tcW w:w="1976" w:type="dxa"/>
          </w:tcPr>
          <w:p>
            <w:pPr>
              <w:pStyle w:val="16"/>
              <w:rPr>
                <w:rFonts w:ascii="Times New Roman"/>
                <w:sz w:val="24"/>
              </w:rPr>
            </w:pPr>
          </w:p>
        </w:tc>
        <w:tc>
          <w:tcPr>
            <w:tcW w:w="4224" w:type="dxa"/>
          </w:tcPr>
          <w:p>
            <w:pPr>
              <w:pStyle w:val="16"/>
              <w:rPr>
                <w:rFonts w:ascii="Times New Roman"/>
                <w:sz w:val="24"/>
              </w:rPr>
            </w:pPr>
          </w:p>
        </w:tc>
        <w:tc>
          <w:tcPr>
            <w:tcW w:w="1858" w:type="dxa"/>
          </w:tcPr>
          <w:p>
            <w:pPr>
              <w:pStyle w:val="16"/>
              <w:rPr>
                <w:rFonts w:ascii="Times New Roman"/>
                <w:sz w:val="24"/>
              </w:rPr>
            </w:pPr>
          </w:p>
        </w:tc>
        <w:tc>
          <w:tcPr>
            <w:tcW w:w="730"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409" w:type="dxa"/>
          </w:tcPr>
          <w:p>
            <w:pPr>
              <w:pStyle w:val="16"/>
              <w:spacing w:before="124"/>
              <w:rPr>
                <w:sz w:val="24"/>
              </w:rPr>
            </w:pPr>
          </w:p>
          <w:p>
            <w:pPr>
              <w:pStyle w:val="16"/>
              <w:ind w:left="74" w:right="29"/>
              <w:jc w:val="center"/>
              <w:rPr>
                <w:sz w:val="24"/>
              </w:rPr>
            </w:pPr>
            <w:r>
              <w:rPr>
                <w:spacing w:val="-10"/>
                <w:sz w:val="24"/>
              </w:rPr>
              <w:t>2</w:t>
            </w:r>
          </w:p>
        </w:tc>
        <w:tc>
          <w:tcPr>
            <w:tcW w:w="1976" w:type="dxa"/>
          </w:tcPr>
          <w:p>
            <w:pPr>
              <w:pStyle w:val="16"/>
              <w:rPr>
                <w:rFonts w:ascii="Times New Roman"/>
                <w:sz w:val="24"/>
              </w:rPr>
            </w:pPr>
          </w:p>
        </w:tc>
        <w:tc>
          <w:tcPr>
            <w:tcW w:w="4224" w:type="dxa"/>
          </w:tcPr>
          <w:p>
            <w:pPr>
              <w:pStyle w:val="16"/>
              <w:rPr>
                <w:rFonts w:ascii="Times New Roman"/>
                <w:sz w:val="24"/>
              </w:rPr>
            </w:pPr>
          </w:p>
        </w:tc>
        <w:tc>
          <w:tcPr>
            <w:tcW w:w="1858" w:type="dxa"/>
          </w:tcPr>
          <w:p>
            <w:pPr>
              <w:pStyle w:val="16"/>
              <w:rPr>
                <w:rFonts w:ascii="Times New Roman"/>
                <w:sz w:val="24"/>
              </w:rPr>
            </w:pPr>
          </w:p>
        </w:tc>
        <w:tc>
          <w:tcPr>
            <w:tcW w:w="730"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409" w:type="dxa"/>
          </w:tcPr>
          <w:p>
            <w:pPr>
              <w:pStyle w:val="16"/>
              <w:spacing w:before="134"/>
              <w:rPr>
                <w:sz w:val="24"/>
              </w:rPr>
            </w:pPr>
          </w:p>
          <w:p>
            <w:pPr>
              <w:pStyle w:val="16"/>
              <w:ind w:left="74" w:right="24"/>
              <w:jc w:val="center"/>
              <w:rPr>
                <w:sz w:val="24"/>
              </w:rPr>
            </w:pPr>
            <w:r>
              <w:rPr>
                <w:spacing w:val="-10"/>
                <w:sz w:val="24"/>
              </w:rPr>
              <w:t>3</w:t>
            </w:r>
          </w:p>
        </w:tc>
        <w:tc>
          <w:tcPr>
            <w:tcW w:w="1976" w:type="dxa"/>
          </w:tcPr>
          <w:p>
            <w:pPr>
              <w:pStyle w:val="16"/>
              <w:rPr>
                <w:rFonts w:ascii="Times New Roman"/>
                <w:sz w:val="24"/>
              </w:rPr>
            </w:pPr>
          </w:p>
        </w:tc>
        <w:tc>
          <w:tcPr>
            <w:tcW w:w="4224" w:type="dxa"/>
          </w:tcPr>
          <w:p>
            <w:pPr>
              <w:pStyle w:val="16"/>
              <w:rPr>
                <w:rFonts w:ascii="Times New Roman"/>
                <w:sz w:val="24"/>
              </w:rPr>
            </w:pPr>
          </w:p>
        </w:tc>
        <w:tc>
          <w:tcPr>
            <w:tcW w:w="1858" w:type="dxa"/>
          </w:tcPr>
          <w:p>
            <w:pPr>
              <w:pStyle w:val="16"/>
              <w:rPr>
                <w:rFonts w:ascii="Times New Roman"/>
                <w:sz w:val="24"/>
              </w:rPr>
            </w:pPr>
          </w:p>
        </w:tc>
        <w:tc>
          <w:tcPr>
            <w:tcW w:w="730"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409" w:type="dxa"/>
          </w:tcPr>
          <w:p>
            <w:pPr>
              <w:pStyle w:val="16"/>
              <w:spacing w:before="73"/>
              <w:rPr>
                <w:sz w:val="24"/>
              </w:rPr>
            </w:pPr>
          </w:p>
          <w:p>
            <w:pPr>
              <w:pStyle w:val="16"/>
              <w:ind w:left="74" w:right="39"/>
              <w:jc w:val="center"/>
              <w:rPr>
                <w:sz w:val="24"/>
              </w:rPr>
            </w:pPr>
            <w:r>
              <w:rPr>
                <w:spacing w:val="-10"/>
                <w:sz w:val="24"/>
              </w:rPr>
              <w:t>4</w:t>
            </w:r>
          </w:p>
        </w:tc>
        <w:tc>
          <w:tcPr>
            <w:tcW w:w="1976" w:type="dxa"/>
          </w:tcPr>
          <w:p>
            <w:pPr>
              <w:pStyle w:val="16"/>
              <w:rPr>
                <w:rFonts w:ascii="Times New Roman"/>
                <w:sz w:val="24"/>
              </w:rPr>
            </w:pPr>
          </w:p>
        </w:tc>
        <w:tc>
          <w:tcPr>
            <w:tcW w:w="4224" w:type="dxa"/>
          </w:tcPr>
          <w:p>
            <w:pPr>
              <w:pStyle w:val="16"/>
              <w:rPr>
                <w:rFonts w:ascii="Times New Roman"/>
                <w:sz w:val="24"/>
              </w:rPr>
            </w:pPr>
          </w:p>
        </w:tc>
        <w:tc>
          <w:tcPr>
            <w:tcW w:w="1858" w:type="dxa"/>
          </w:tcPr>
          <w:p>
            <w:pPr>
              <w:pStyle w:val="16"/>
              <w:rPr>
                <w:rFonts w:ascii="Times New Roman"/>
                <w:sz w:val="24"/>
              </w:rPr>
            </w:pPr>
          </w:p>
        </w:tc>
        <w:tc>
          <w:tcPr>
            <w:tcW w:w="730"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409" w:type="dxa"/>
          </w:tcPr>
          <w:p>
            <w:pPr>
              <w:pStyle w:val="16"/>
              <w:spacing w:before="250"/>
              <w:ind w:left="74" w:right="24"/>
              <w:jc w:val="center"/>
              <w:rPr>
                <w:sz w:val="24"/>
              </w:rPr>
            </w:pPr>
            <w:r>
              <w:rPr>
                <w:spacing w:val="-10"/>
                <w:sz w:val="24"/>
              </w:rPr>
              <w:t>5</w:t>
            </w:r>
          </w:p>
        </w:tc>
        <w:tc>
          <w:tcPr>
            <w:tcW w:w="1976" w:type="dxa"/>
          </w:tcPr>
          <w:p>
            <w:pPr>
              <w:pStyle w:val="16"/>
              <w:spacing w:before="298"/>
              <w:ind w:left="132"/>
              <w:rPr>
                <w:sz w:val="24"/>
              </w:rPr>
            </w:pPr>
            <w:r>
              <w:rPr>
                <w:spacing w:val="-5"/>
                <w:sz w:val="24"/>
              </w:rPr>
              <w:t>……</w:t>
            </w:r>
          </w:p>
        </w:tc>
        <w:tc>
          <w:tcPr>
            <w:tcW w:w="4224" w:type="dxa"/>
          </w:tcPr>
          <w:p>
            <w:pPr>
              <w:pStyle w:val="16"/>
              <w:rPr>
                <w:rFonts w:ascii="Times New Roman"/>
                <w:sz w:val="24"/>
              </w:rPr>
            </w:pPr>
          </w:p>
        </w:tc>
        <w:tc>
          <w:tcPr>
            <w:tcW w:w="1858" w:type="dxa"/>
          </w:tcPr>
          <w:p>
            <w:pPr>
              <w:pStyle w:val="16"/>
              <w:rPr>
                <w:rFonts w:ascii="Times New Roman"/>
                <w:sz w:val="24"/>
              </w:rPr>
            </w:pPr>
          </w:p>
        </w:tc>
        <w:tc>
          <w:tcPr>
            <w:tcW w:w="730"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409" w:type="dxa"/>
          </w:tcPr>
          <w:p>
            <w:pPr>
              <w:pStyle w:val="16"/>
              <w:spacing w:before="76"/>
              <w:rPr>
                <w:sz w:val="24"/>
              </w:rPr>
            </w:pPr>
          </w:p>
          <w:p>
            <w:pPr>
              <w:pStyle w:val="16"/>
              <w:ind w:left="74" w:right="34"/>
              <w:jc w:val="center"/>
              <w:rPr>
                <w:sz w:val="24"/>
              </w:rPr>
            </w:pPr>
            <w:r>
              <w:rPr>
                <w:spacing w:val="-10"/>
                <w:sz w:val="24"/>
              </w:rPr>
              <w:t>6</w:t>
            </w:r>
          </w:p>
        </w:tc>
        <w:tc>
          <w:tcPr>
            <w:tcW w:w="1976" w:type="dxa"/>
          </w:tcPr>
          <w:p>
            <w:pPr>
              <w:pStyle w:val="16"/>
              <w:spacing w:before="124"/>
              <w:rPr>
                <w:sz w:val="24"/>
              </w:rPr>
            </w:pPr>
          </w:p>
          <w:p>
            <w:pPr>
              <w:pStyle w:val="16"/>
              <w:ind w:left="132"/>
              <w:rPr>
                <w:sz w:val="24"/>
              </w:rPr>
            </w:pPr>
            <w:r>
              <w:rPr>
                <w:spacing w:val="-5"/>
                <w:sz w:val="24"/>
              </w:rPr>
              <w:t>……</w:t>
            </w:r>
          </w:p>
        </w:tc>
        <w:tc>
          <w:tcPr>
            <w:tcW w:w="4224" w:type="dxa"/>
          </w:tcPr>
          <w:p>
            <w:pPr>
              <w:pStyle w:val="16"/>
              <w:rPr>
                <w:rFonts w:ascii="Times New Roman"/>
                <w:sz w:val="24"/>
              </w:rPr>
            </w:pPr>
          </w:p>
        </w:tc>
        <w:tc>
          <w:tcPr>
            <w:tcW w:w="1858" w:type="dxa"/>
          </w:tcPr>
          <w:p>
            <w:pPr>
              <w:pStyle w:val="16"/>
              <w:rPr>
                <w:rFonts w:ascii="Times New Roman"/>
                <w:sz w:val="24"/>
              </w:rPr>
            </w:pPr>
          </w:p>
        </w:tc>
        <w:tc>
          <w:tcPr>
            <w:tcW w:w="730"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409" w:type="dxa"/>
          </w:tcPr>
          <w:p>
            <w:pPr>
              <w:pStyle w:val="16"/>
              <w:spacing w:before="77"/>
              <w:rPr>
                <w:sz w:val="24"/>
              </w:rPr>
            </w:pPr>
          </w:p>
          <w:p>
            <w:pPr>
              <w:pStyle w:val="16"/>
              <w:spacing w:before="1"/>
              <w:ind w:left="74" w:right="24"/>
              <w:jc w:val="center"/>
              <w:rPr>
                <w:sz w:val="24"/>
              </w:rPr>
            </w:pPr>
            <w:r>
              <w:rPr>
                <w:spacing w:val="-10"/>
                <w:sz w:val="24"/>
              </w:rPr>
              <w:t>7</w:t>
            </w:r>
          </w:p>
        </w:tc>
        <w:tc>
          <w:tcPr>
            <w:tcW w:w="1976" w:type="dxa"/>
          </w:tcPr>
          <w:p>
            <w:pPr>
              <w:pStyle w:val="16"/>
              <w:spacing w:before="128"/>
              <w:rPr>
                <w:sz w:val="24"/>
              </w:rPr>
            </w:pPr>
          </w:p>
          <w:p>
            <w:pPr>
              <w:pStyle w:val="16"/>
              <w:ind w:left="132"/>
              <w:rPr>
                <w:sz w:val="24"/>
              </w:rPr>
            </w:pPr>
            <w:r>
              <w:rPr>
                <w:spacing w:val="-5"/>
                <w:sz w:val="24"/>
              </w:rPr>
              <w:t>……</w:t>
            </w:r>
          </w:p>
        </w:tc>
        <w:tc>
          <w:tcPr>
            <w:tcW w:w="4224" w:type="dxa"/>
          </w:tcPr>
          <w:p>
            <w:pPr>
              <w:pStyle w:val="16"/>
              <w:rPr>
                <w:rFonts w:ascii="Times New Roman"/>
                <w:sz w:val="24"/>
              </w:rPr>
            </w:pPr>
          </w:p>
        </w:tc>
        <w:tc>
          <w:tcPr>
            <w:tcW w:w="1858" w:type="dxa"/>
          </w:tcPr>
          <w:p>
            <w:pPr>
              <w:pStyle w:val="16"/>
              <w:rPr>
                <w:rFonts w:ascii="Times New Roman"/>
                <w:sz w:val="24"/>
              </w:rPr>
            </w:pPr>
          </w:p>
        </w:tc>
        <w:tc>
          <w:tcPr>
            <w:tcW w:w="730"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409" w:type="dxa"/>
          </w:tcPr>
          <w:p>
            <w:pPr>
              <w:pStyle w:val="16"/>
              <w:rPr>
                <w:rFonts w:ascii="Times New Roman"/>
                <w:sz w:val="24"/>
              </w:rPr>
            </w:pPr>
          </w:p>
        </w:tc>
        <w:tc>
          <w:tcPr>
            <w:tcW w:w="1976" w:type="dxa"/>
          </w:tcPr>
          <w:p>
            <w:pPr>
              <w:pStyle w:val="16"/>
              <w:spacing w:before="28"/>
              <w:rPr>
                <w:sz w:val="24"/>
              </w:rPr>
            </w:pPr>
          </w:p>
          <w:p>
            <w:pPr>
              <w:pStyle w:val="16"/>
              <w:ind w:left="132"/>
              <w:rPr>
                <w:sz w:val="24"/>
              </w:rPr>
            </w:pPr>
            <w:r>
              <w:rPr>
                <w:spacing w:val="-5"/>
                <w:sz w:val="24"/>
              </w:rPr>
              <w:t>……</w:t>
            </w:r>
          </w:p>
        </w:tc>
        <w:tc>
          <w:tcPr>
            <w:tcW w:w="4224" w:type="dxa"/>
          </w:tcPr>
          <w:p>
            <w:pPr>
              <w:pStyle w:val="16"/>
              <w:rPr>
                <w:rFonts w:ascii="Times New Roman"/>
                <w:sz w:val="24"/>
              </w:rPr>
            </w:pPr>
          </w:p>
        </w:tc>
        <w:tc>
          <w:tcPr>
            <w:tcW w:w="1858" w:type="dxa"/>
          </w:tcPr>
          <w:p>
            <w:pPr>
              <w:pStyle w:val="16"/>
              <w:rPr>
                <w:rFonts w:ascii="Times New Roman"/>
                <w:sz w:val="24"/>
              </w:rPr>
            </w:pPr>
          </w:p>
        </w:tc>
        <w:tc>
          <w:tcPr>
            <w:tcW w:w="730" w:type="dxa"/>
          </w:tcPr>
          <w:p>
            <w:pPr>
              <w:pStyle w:val="16"/>
              <w:rPr>
                <w:rFonts w:ascii="Times New Roman"/>
                <w:sz w:val="24"/>
              </w:rPr>
            </w:pPr>
          </w:p>
        </w:tc>
      </w:tr>
    </w:tbl>
    <w:p>
      <w:pPr>
        <w:spacing w:after="0"/>
        <w:rPr>
          <w:rFonts w:ascii="Times New Roman"/>
          <w:sz w:val="24"/>
        </w:rPr>
        <w:sectPr>
          <w:pgSz w:w="11910" w:h="16840"/>
          <w:pgMar w:top="1100" w:right="720" w:bottom="1400" w:left="920" w:header="918" w:footer="1209" w:gutter="0"/>
          <w:pgNumType w:fmt="numberInDash"/>
          <w:cols w:space="720" w:num="1"/>
        </w:sectPr>
      </w:pPr>
    </w:p>
    <w:p>
      <w:pPr>
        <w:pStyle w:val="9"/>
        <w:spacing w:before="24"/>
        <w:rPr>
          <w:sz w:val="32"/>
        </w:rPr>
      </w:pPr>
    </w:p>
    <w:p>
      <w:pPr>
        <w:pStyle w:val="4"/>
      </w:pPr>
      <w:r>
        <w:rPr>
          <w:spacing w:val="-10"/>
        </w:rPr>
        <w:t>六、商务响应偏离表</w:t>
      </w:r>
    </w:p>
    <w:p>
      <w:pPr>
        <w:pStyle w:val="9"/>
        <w:spacing w:before="278"/>
        <w:ind w:left="891"/>
      </w:pPr>
      <w:r>
        <w:rPr>
          <w:spacing w:val="-9"/>
        </w:rPr>
        <w:t>项目名称：</w:t>
      </w:r>
    </w:p>
    <w:p>
      <w:pPr>
        <w:pStyle w:val="9"/>
        <w:spacing w:before="151"/>
        <w:ind w:left="891"/>
      </w:pPr>
      <w:r>
        <w:rPr>
          <w:spacing w:val="-7"/>
        </w:rPr>
        <w:t>项目编号/包号：</w:t>
      </w:r>
    </w:p>
    <w:p>
      <w:pPr>
        <w:pStyle w:val="9"/>
        <w:spacing w:before="1"/>
        <w:rPr>
          <w:sz w:val="5"/>
        </w:rPr>
      </w:pPr>
    </w:p>
    <w:tbl>
      <w:tblPr>
        <w:tblStyle w:val="12"/>
        <w:tblW w:w="0" w:type="auto"/>
        <w:tblInd w:w="7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2391"/>
        <w:gridCol w:w="1718"/>
        <w:gridCol w:w="1869"/>
        <w:gridCol w:w="1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725" w:type="dxa"/>
          </w:tcPr>
          <w:p>
            <w:pPr>
              <w:pStyle w:val="16"/>
              <w:spacing w:before="15"/>
              <w:rPr>
                <w:sz w:val="21"/>
              </w:rPr>
            </w:pPr>
          </w:p>
          <w:p>
            <w:pPr>
              <w:pStyle w:val="16"/>
              <w:ind w:left="67" w:right="20"/>
              <w:jc w:val="center"/>
              <w:rPr>
                <w:sz w:val="21"/>
              </w:rPr>
            </w:pPr>
            <w:r>
              <w:rPr>
                <w:spacing w:val="-9"/>
                <w:sz w:val="21"/>
              </w:rPr>
              <w:t>序号</w:t>
            </w:r>
          </w:p>
        </w:tc>
        <w:tc>
          <w:tcPr>
            <w:tcW w:w="2391" w:type="dxa"/>
          </w:tcPr>
          <w:p>
            <w:pPr>
              <w:pStyle w:val="16"/>
              <w:spacing w:before="15"/>
              <w:rPr>
                <w:sz w:val="21"/>
              </w:rPr>
            </w:pPr>
          </w:p>
          <w:p>
            <w:pPr>
              <w:pStyle w:val="16"/>
              <w:ind w:left="46" w:right="14"/>
              <w:jc w:val="center"/>
              <w:rPr>
                <w:sz w:val="21"/>
              </w:rPr>
            </w:pPr>
            <w:r>
              <w:rPr>
                <w:spacing w:val="-9"/>
                <w:sz w:val="21"/>
              </w:rPr>
              <w:t>招标文件的商务条款</w:t>
            </w:r>
          </w:p>
        </w:tc>
        <w:tc>
          <w:tcPr>
            <w:tcW w:w="1718" w:type="dxa"/>
          </w:tcPr>
          <w:p>
            <w:pPr>
              <w:pStyle w:val="16"/>
              <w:spacing w:before="152" w:line="256" w:lineRule="auto"/>
              <w:ind w:left="686" w:right="131" w:hanging="550"/>
              <w:rPr>
                <w:sz w:val="21"/>
              </w:rPr>
            </w:pPr>
            <w:r>
              <w:rPr>
                <w:spacing w:val="-6"/>
                <w:sz w:val="21"/>
              </w:rPr>
              <w:t>投标文件的响应内容</w:t>
            </w:r>
          </w:p>
        </w:tc>
        <w:tc>
          <w:tcPr>
            <w:tcW w:w="1869" w:type="dxa"/>
          </w:tcPr>
          <w:p>
            <w:pPr>
              <w:pStyle w:val="16"/>
              <w:spacing w:before="15"/>
              <w:rPr>
                <w:sz w:val="21"/>
              </w:rPr>
            </w:pPr>
          </w:p>
          <w:p>
            <w:pPr>
              <w:pStyle w:val="16"/>
              <w:ind w:left="71"/>
              <w:jc w:val="center"/>
              <w:rPr>
                <w:sz w:val="21"/>
              </w:rPr>
            </w:pPr>
            <w:r>
              <w:rPr>
                <w:spacing w:val="-16"/>
                <w:sz w:val="21"/>
              </w:rPr>
              <w:t>响应情况</w:t>
            </w:r>
          </w:p>
        </w:tc>
        <w:tc>
          <w:tcPr>
            <w:tcW w:w="1873" w:type="dxa"/>
          </w:tcPr>
          <w:p>
            <w:pPr>
              <w:pStyle w:val="16"/>
              <w:spacing w:before="15"/>
              <w:rPr>
                <w:sz w:val="21"/>
              </w:rPr>
            </w:pPr>
          </w:p>
          <w:p>
            <w:pPr>
              <w:pStyle w:val="16"/>
              <w:ind w:left="425"/>
              <w:rPr>
                <w:sz w:val="21"/>
              </w:rPr>
            </w:pPr>
            <w:r>
              <w:rPr>
                <w:spacing w:val="-10"/>
                <w:sz w:val="21"/>
              </w:rPr>
              <w:t>说明及索引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725" w:type="dxa"/>
          </w:tcPr>
          <w:p>
            <w:pPr>
              <w:pStyle w:val="16"/>
              <w:spacing w:before="83"/>
              <w:ind w:left="67"/>
              <w:jc w:val="center"/>
              <w:rPr>
                <w:sz w:val="21"/>
              </w:rPr>
            </w:pPr>
            <w:r>
              <w:rPr>
                <w:spacing w:val="-10"/>
                <w:sz w:val="21"/>
              </w:rPr>
              <w:t>1</w:t>
            </w:r>
          </w:p>
        </w:tc>
        <w:tc>
          <w:tcPr>
            <w:tcW w:w="2391" w:type="dxa"/>
          </w:tcPr>
          <w:p>
            <w:pPr>
              <w:pStyle w:val="16"/>
              <w:spacing w:before="114"/>
              <w:ind w:left="46" w:right="23"/>
              <w:jc w:val="center"/>
              <w:rPr>
                <w:sz w:val="21"/>
              </w:rPr>
            </w:pPr>
            <w:r>
              <w:rPr>
                <w:spacing w:val="-2"/>
                <w:sz w:val="21"/>
              </w:rPr>
              <w:t>*******</w:t>
            </w:r>
          </w:p>
        </w:tc>
        <w:tc>
          <w:tcPr>
            <w:tcW w:w="1718" w:type="dxa"/>
          </w:tcPr>
          <w:p>
            <w:pPr>
              <w:pStyle w:val="16"/>
              <w:spacing w:before="114"/>
              <w:ind w:left="51" w:right="23"/>
              <w:jc w:val="center"/>
              <w:rPr>
                <w:sz w:val="21"/>
              </w:rPr>
            </w:pPr>
            <w:r>
              <w:rPr>
                <w:spacing w:val="-2"/>
                <w:sz w:val="21"/>
              </w:rPr>
              <w:t>*******</w:t>
            </w:r>
          </w:p>
        </w:tc>
        <w:tc>
          <w:tcPr>
            <w:tcW w:w="1869" w:type="dxa"/>
          </w:tcPr>
          <w:p>
            <w:pPr>
              <w:pStyle w:val="16"/>
              <w:spacing w:before="83"/>
              <w:ind w:left="71" w:right="14"/>
              <w:jc w:val="center"/>
              <w:rPr>
                <w:sz w:val="21"/>
              </w:rPr>
            </w:pPr>
            <w:r>
              <w:rPr>
                <w:spacing w:val="-10"/>
                <w:sz w:val="21"/>
              </w:rPr>
              <w:t>响应/偏离</w:t>
            </w:r>
          </w:p>
        </w:tc>
        <w:tc>
          <w:tcPr>
            <w:tcW w:w="187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5" w:type="dxa"/>
          </w:tcPr>
          <w:p>
            <w:pPr>
              <w:pStyle w:val="16"/>
              <w:spacing w:before="83"/>
              <w:ind w:left="67" w:right="24"/>
              <w:jc w:val="center"/>
              <w:rPr>
                <w:sz w:val="21"/>
              </w:rPr>
            </w:pPr>
            <w:r>
              <w:rPr>
                <w:spacing w:val="-10"/>
                <w:sz w:val="21"/>
              </w:rPr>
              <w:t>2</w:t>
            </w:r>
          </w:p>
        </w:tc>
        <w:tc>
          <w:tcPr>
            <w:tcW w:w="2391" w:type="dxa"/>
          </w:tcPr>
          <w:p>
            <w:pPr>
              <w:pStyle w:val="16"/>
              <w:spacing w:before="114"/>
              <w:ind w:left="46" w:right="23"/>
              <w:jc w:val="center"/>
              <w:rPr>
                <w:sz w:val="21"/>
              </w:rPr>
            </w:pPr>
            <w:r>
              <w:rPr>
                <w:spacing w:val="-2"/>
                <w:sz w:val="21"/>
              </w:rPr>
              <w:t>*******</w:t>
            </w:r>
          </w:p>
        </w:tc>
        <w:tc>
          <w:tcPr>
            <w:tcW w:w="1718" w:type="dxa"/>
          </w:tcPr>
          <w:p>
            <w:pPr>
              <w:pStyle w:val="16"/>
              <w:spacing w:before="114"/>
              <w:ind w:left="51" w:right="23"/>
              <w:jc w:val="center"/>
              <w:rPr>
                <w:sz w:val="21"/>
              </w:rPr>
            </w:pPr>
            <w:r>
              <w:rPr>
                <w:spacing w:val="-2"/>
                <w:sz w:val="21"/>
              </w:rPr>
              <w:t>*******</w:t>
            </w:r>
          </w:p>
        </w:tc>
        <w:tc>
          <w:tcPr>
            <w:tcW w:w="1869" w:type="dxa"/>
          </w:tcPr>
          <w:p>
            <w:pPr>
              <w:pStyle w:val="16"/>
              <w:rPr>
                <w:rFonts w:ascii="Times New Roman"/>
                <w:sz w:val="20"/>
              </w:rPr>
            </w:pPr>
          </w:p>
        </w:tc>
        <w:tc>
          <w:tcPr>
            <w:tcW w:w="187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5" w:type="dxa"/>
          </w:tcPr>
          <w:p>
            <w:pPr>
              <w:pStyle w:val="16"/>
              <w:spacing w:before="85"/>
              <w:ind w:left="67" w:right="24"/>
              <w:jc w:val="center"/>
              <w:rPr>
                <w:sz w:val="21"/>
              </w:rPr>
            </w:pPr>
            <w:r>
              <w:rPr>
                <w:spacing w:val="-10"/>
                <w:sz w:val="21"/>
              </w:rPr>
              <w:t>3</w:t>
            </w:r>
          </w:p>
        </w:tc>
        <w:tc>
          <w:tcPr>
            <w:tcW w:w="2391" w:type="dxa"/>
          </w:tcPr>
          <w:p>
            <w:pPr>
              <w:pStyle w:val="16"/>
              <w:spacing w:before="116"/>
              <w:ind w:left="46" w:right="23"/>
              <w:jc w:val="center"/>
              <w:rPr>
                <w:sz w:val="21"/>
              </w:rPr>
            </w:pPr>
            <w:r>
              <w:rPr>
                <w:spacing w:val="-2"/>
                <w:sz w:val="21"/>
              </w:rPr>
              <w:t>*******</w:t>
            </w:r>
          </w:p>
        </w:tc>
        <w:tc>
          <w:tcPr>
            <w:tcW w:w="1718" w:type="dxa"/>
          </w:tcPr>
          <w:p>
            <w:pPr>
              <w:pStyle w:val="16"/>
              <w:spacing w:before="116"/>
              <w:ind w:left="51" w:right="23"/>
              <w:jc w:val="center"/>
              <w:rPr>
                <w:sz w:val="21"/>
              </w:rPr>
            </w:pPr>
            <w:r>
              <w:rPr>
                <w:spacing w:val="-2"/>
                <w:sz w:val="21"/>
              </w:rPr>
              <w:t>*******</w:t>
            </w:r>
          </w:p>
        </w:tc>
        <w:tc>
          <w:tcPr>
            <w:tcW w:w="1869" w:type="dxa"/>
          </w:tcPr>
          <w:p>
            <w:pPr>
              <w:pStyle w:val="16"/>
              <w:rPr>
                <w:rFonts w:ascii="Times New Roman"/>
                <w:sz w:val="20"/>
              </w:rPr>
            </w:pPr>
          </w:p>
        </w:tc>
        <w:tc>
          <w:tcPr>
            <w:tcW w:w="187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5" w:type="dxa"/>
          </w:tcPr>
          <w:p>
            <w:pPr>
              <w:pStyle w:val="16"/>
              <w:rPr>
                <w:rFonts w:ascii="Times New Roman"/>
                <w:sz w:val="20"/>
              </w:rPr>
            </w:pPr>
          </w:p>
        </w:tc>
        <w:tc>
          <w:tcPr>
            <w:tcW w:w="2391" w:type="dxa"/>
          </w:tcPr>
          <w:p>
            <w:pPr>
              <w:pStyle w:val="16"/>
              <w:rPr>
                <w:rFonts w:ascii="Times New Roman"/>
                <w:sz w:val="20"/>
              </w:rPr>
            </w:pPr>
          </w:p>
        </w:tc>
        <w:tc>
          <w:tcPr>
            <w:tcW w:w="1718" w:type="dxa"/>
          </w:tcPr>
          <w:p>
            <w:pPr>
              <w:pStyle w:val="16"/>
              <w:rPr>
                <w:rFonts w:ascii="Times New Roman"/>
                <w:sz w:val="20"/>
              </w:rPr>
            </w:pPr>
          </w:p>
        </w:tc>
        <w:tc>
          <w:tcPr>
            <w:tcW w:w="1869" w:type="dxa"/>
          </w:tcPr>
          <w:p>
            <w:pPr>
              <w:pStyle w:val="16"/>
              <w:rPr>
                <w:rFonts w:ascii="Times New Roman"/>
                <w:sz w:val="20"/>
              </w:rPr>
            </w:pPr>
          </w:p>
        </w:tc>
        <w:tc>
          <w:tcPr>
            <w:tcW w:w="187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5" w:type="dxa"/>
          </w:tcPr>
          <w:p>
            <w:pPr>
              <w:pStyle w:val="16"/>
              <w:rPr>
                <w:rFonts w:ascii="Times New Roman"/>
                <w:sz w:val="20"/>
              </w:rPr>
            </w:pPr>
          </w:p>
        </w:tc>
        <w:tc>
          <w:tcPr>
            <w:tcW w:w="2391" w:type="dxa"/>
          </w:tcPr>
          <w:p>
            <w:pPr>
              <w:pStyle w:val="16"/>
              <w:rPr>
                <w:rFonts w:ascii="Times New Roman"/>
                <w:sz w:val="20"/>
              </w:rPr>
            </w:pPr>
          </w:p>
        </w:tc>
        <w:tc>
          <w:tcPr>
            <w:tcW w:w="1718" w:type="dxa"/>
          </w:tcPr>
          <w:p>
            <w:pPr>
              <w:pStyle w:val="16"/>
              <w:rPr>
                <w:rFonts w:ascii="Times New Roman"/>
                <w:sz w:val="20"/>
              </w:rPr>
            </w:pPr>
          </w:p>
        </w:tc>
        <w:tc>
          <w:tcPr>
            <w:tcW w:w="1869" w:type="dxa"/>
          </w:tcPr>
          <w:p>
            <w:pPr>
              <w:pStyle w:val="16"/>
              <w:rPr>
                <w:rFonts w:ascii="Times New Roman"/>
                <w:sz w:val="20"/>
              </w:rPr>
            </w:pPr>
          </w:p>
        </w:tc>
        <w:tc>
          <w:tcPr>
            <w:tcW w:w="187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5" w:type="dxa"/>
          </w:tcPr>
          <w:p>
            <w:pPr>
              <w:pStyle w:val="16"/>
              <w:rPr>
                <w:rFonts w:ascii="Times New Roman"/>
                <w:sz w:val="20"/>
              </w:rPr>
            </w:pPr>
          </w:p>
        </w:tc>
        <w:tc>
          <w:tcPr>
            <w:tcW w:w="2391" w:type="dxa"/>
          </w:tcPr>
          <w:p>
            <w:pPr>
              <w:pStyle w:val="16"/>
              <w:rPr>
                <w:rFonts w:ascii="Times New Roman"/>
                <w:sz w:val="20"/>
              </w:rPr>
            </w:pPr>
          </w:p>
        </w:tc>
        <w:tc>
          <w:tcPr>
            <w:tcW w:w="1718" w:type="dxa"/>
          </w:tcPr>
          <w:p>
            <w:pPr>
              <w:pStyle w:val="16"/>
              <w:rPr>
                <w:rFonts w:ascii="Times New Roman"/>
                <w:sz w:val="20"/>
              </w:rPr>
            </w:pPr>
          </w:p>
        </w:tc>
        <w:tc>
          <w:tcPr>
            <w:tcW w:w="1869" w:type="dxa"/>
          </w:tcPr>
          <w:p>
            <w:pPr>
              <w:pStyle w:val="16"/>
              <w:rPr>
                <w:rFonts w:ascii="Times New Roman"/>
                <w:sz w:val="20"/>
              </w:rPr>
            </w:pPr>
          </w:p>
        </w:tc>
        <w:tc>
          <w:tcPr>
            <w:tcW w:w="187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5" w:type="dxa"/>
          </w:tcPr>
          <w:p>
            <w:pPr>
              <w:pStyle w:val="16"/>
              <w:rPr>
                <w:rFonts w:ascii="Times New Roman"/>
                <w:sz w:val="20"/>
              </w:rPr>
            </w:pPr>
          </w:p>
        </w:tc>
        <w:tc>
          <w:tcPr>
            <w:tcW w:w="2391" w:type="dxa"/>
          </w:tcPr>
          <w:p>
            <w:pPr>
              <w:pStyle w:val="16"/>
              <w:rPr>
                <w:rFonts w:ascii="Times New Roman"/>
                <w:sz w:val="20"/>
              </w:rPr>
            </w:pPr>
          </w:p>
        </w:tc>
        <w:tc>
          <w:tcPr>
            <w:tcW w:w="1718" w:type="dxa"/>
          </w:tcPr>
          <w:p>
            <w:pPr>
              <w:pStyle w:val="16"/>
              <w:rPr>
                <w:rFonts w:ascii="Times New Roman"/>
                <w:sz w:val="20"/>
              </w:rPr>
            </w:pPr>
          </w:p>
        </w:tc>
        <w:tc>
          <w:tcPr>
            <w:tcW w:w="1869" w:type="dxa"/>
          </w:tcPr>
          <w:p>
            <w:pPr>
              <w:pStyle w:val="16"/>
              <w:rPr>
                <w:rFonts w:ascii="Times New Roman"/>
                <w:sz w:val="20"/>
              </w:rPr>
            </w:pPr>
          </w:p>
        </w:tc>
        <w:tc>
          <w:tcPr>
            <w:tcW w:w="187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5" w:type="dxa"/>
          </w:tcPr>
          <w:p>
            <w:pPr>
              <w:pStyle w:val="16"/>
              <w:rPr>
                <w:rFonts w:ascii="Times New Roman"/>
                <w:sz w:val="20"/>
              </w:rPr>
            </w:pPr>
          </w:p>
        </w:tc>
        <w:tc>
          <w:tcPr>
            <w:tcW w:w="2391" w:type="dxa"/>
          </w:tcPr>
          <w:p>
            <w:pPr>
              <w:pStyle w:val="16"/>
              <w:rPr>
                <w:rFonts w:ascii="Times New Roman"/>
                <w:sz w:val="20"/>
              </w:rPr>
            </w:pPr>
          </w:p>
        </w:tc>
        <w:tc>
          <w:tcPr>
            <w:tcW w:w="1718" w:type="dxa"/>
          </w:tcPr>
          <w:p>
            <w:pPr>
              <w:pStyle w:val="16"/>
              <w:rPr>
                <w:rFonts w:ascii="Times New Roman"/>
                <w:sz w:val="20"/>
              </w:rPr>
            </w:pPr>
          </w:p>
        </w:tc>
        <w:tc>
          <w:tcPr>
            <w:tcW w:w="1869" w:type="dxa"/>
          </w:tcPr>
          <w:p>
            <w:pPr>
              <w:pStyle w:val="16"/>
              <w:rPr>
                <w:rFonts w:ascii="Times New Roman"/>
                <w:sz w:val="20"/>
              </w:rPr>
            </w:pPr>
          </w:p>
        </w:tc>
        <w:tc>
          <w:tcPr>
            <w:tcW w:w="187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5" w:type="dxa"/>
          </w:tcPr>
          <w:p>
            <w:pPr>
              <w:pStyle w:val="16"/>
              <w:rPr>
                <w:rFonts w:ascii="Times New Roman"/>
                <w:sz w:val="20"/>
              </w:rPr>
            </w:pPr>
          </w:p>
        </w:tc>
        <w:tc>
          <w:tcPr>
            <w:tcW w:w="2391" w:type="dxa"/>
          </w:tcPr>
          <w:p>
            <w:pPr>
              <w:pStyle w:val="16"/>
              <w:rPr>
                <w:rFonts w:ascii="Times New Roman"/>
                <w:sz w:val="20"/>
              </w:rPr>
            </w:pPr>
          </w:p>
        </w:tc>
        <w:tc>
          <w:tcPr>
            <w:tcW w:w="1718" w:type="dxa"/>
          </w:tcPr>
          <w:p>
            <w:pPr>
              <w:pStyle w:val="16"/>
              <w:rPr>
                <w:rFonts w:ascii="Times New Roman"/>
                <w:sz w:val="20"/>
              </w:rPr>
            </w:pPr>
          </w:p>
        </w:tc>
        <w:tc>
          <w:tcPr>
            <w:tcW w:w="1869" w:type="dxa"/>
          </w:tcPr>
          <w:p>
            <w:pPr>
              <w:pStyle w:val="16"/>
              <w:rPr>
                <w:rFonts w:ascii="Times New Roman"/>
                <w:sz w:val="20"/>
              </w:rPr>
            </w:pPr>
          </w:p>
        </w:tc>
        <w:tc>
          <w:tcPr>
            <w:tcW w:w="187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5" w:type="dxa"/>
          </w:tcPr>
          <w:p>
            <w:pPr>
              <w:pStyle w:val="16"/>
              <w:rPr>
                <w:rFonts w:ascii="Times New Roman"/>
                <w:sz w:val="20"/>
              </w:rPr>
            </w:pPr>
          </w:p>
        </w:tc>
        <w:tc>
          <w:tcPr>
            <w:tcW w:w="2391" w:type="dxa"/>
          </w:tcPr>
          <w:p>
            <w:pPr>
              <w:pStyle w:val="16"/>
              <w:rPr>
                <w:rFonts w:ascii="Times New Roman"/>
                <w:sz w:val="20"/>
              </w:rPr>
            </w:pPr>
          </w:p>
        </w:tc>
        <w:tc>
          <w:tcPr>
            <w:tcW w:w="1718" w:type="dxa"/>
          </w:tcPr>
          <w:p>
            <w:pPr>
              <w:pStyle w:val="16"/>
              <w:rPr>
                <w:rFonts w:ascii="Times New Roman"/>
                <w:sz w:val="20"/>
              </w:rPr>
            </w:pPr>
          </w:p>
        </w:tc>
        <w:tc>
          <w:tcPr>
            <w:tcW w:w="1869" w:type="dxa"/>
          </w:tcPr>
          <w:p>
            <w:pPr>
              <w:pStyle w:val="16"/>
              <w:rPr>
                <w:rFonts w:ascii="Times New Roman"/>
                <w:sz w:val="20"/>
              </w:rPr>
            </w:pPr>
          </w:p>
        </w:tc>
        <w:tc>
          <w:tcPr>
            <w:tcW w:w="187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5" w:type="dxa"/>
          </w:tcPr>
          <w:p>
            <w:pPr>
              <w:pStyle w:val="16"/>
              <w:rPr>
                <w:rFonts w:ascii="Times New Roman"/>
                <w:sz w:val="20"/>
              </w:rPr>
            </w:pPr>
          </w:p>
        </w:tc>
        <w:tc>
          <w:tcPr>
            <w:tcW w:w="2391" w:type="dxa"/>
          </w:tcPr>
          <w:p>
            <w:pPr>
              <w:pStyle w:val="16"/>
              <w:rPr>
                <w:rFonts w:ascii="Times New Roman"/>
                <w:sz w:val="20"/>
              </w:rPr>
            </w:pPr>
          </w:p>
        </w:tc>
        <w:tc>
          <w:tcPr>
            <w:tcW w:w="1718" w:type="dxa"/>
          </w:tcPr>
          <w:p>
            <w:pPr>
              <w:pStyle w:val="16"/>
              <w:rPr>
                <w:rFonts w:ascii="Times New Roman"/>
                <w:sz w:val="20"/>
              </w:rPr>
            </w:pPr>
          </w:p>
        </w:tc>
        <w:tc>
          <w:tcPr>
            <w:tcW w:w="1869" w:type="dxa"/>
          </w:tcPr>
          <w:p>
            <w:pPr>
              <w:pStyle w:val="16"/>
              <w:rPr>
                <w:rFonts w:ascii="Times New Roman"/>
                <w:sz w:val="20"/>
              </w:rPr>
            </w:pPr>
          </w:p>
        </w:tc>
        <w:tc>
          <w:tcPr>
            <w:tcW w:w="187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5" w:type="dxa"/>
          </w:tcPr>
          <w:p>
            <w:pPr>
              <w:pStyle w:val="16"/>
              <w:rPr>
                <w:rFonts w:ascii="Times New Roman"/>
                <w:sz w:val="20"/>
              </w:rPr>
            </w:pPr>
          </w:p>
        </w:tc>
        <w:tc>
          <w:tcPr>
            <w:tcW w:w="2391" w:type="dxa"/>
          </w:tcPr>
          <w:p>
            <w:pPr>
              <w:pStyle w:val="16"/>
              <w:rPr>
                <w:rFonts w:ascii="Times New Roman"/>
                <w:sz w:val="20"/>
              </w:rPr>
            </w:pPr>
          </w:p>
        </w:tc>
        <w:tc>
          <w:tcPr>
            <w:tcW w:w="1718" w:type="dxa"/>
          </w:tcPr>
          <w:p>
            <w:pPr>
              <w:pStyle w:val="16"/>
              <w:rPr>
                <w:rFonts w:ascii="Times New Roman"/>
                <w:sz w:val="20"/>
              </w:rPr>
            </w:pPr>
          </w:p>
        </w:tc>
        <w:tc>
          <w:tcPr>
            <w:tcW w:w="1869" w:type="dxa"/>
          </w:tcPr>
          <w:p>
            <w:pPr>
              <w:pStyle w:val="16"/>
              <w:rPr>
                <w:rFonts w:ascii="Times New Roman"/>
                <w:sz w:val="20"/>
              </w:rPr>
            </w:pPr>
          </w:p>
        </w:tc>
        <w:tc>
          <w:tcPr>
            <w:tcW w:w="187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5" w:type="dxa"/>
          </w:tcPr>
          <w:p>
            <w:pPr>
              <w:pStyle w:val="16"/>
              <w:rPr>
                <w:rFonts w:ascii="Times New Roman"/>
                <w:sz w:val="20"/>
              </w:rPr>
            </w:pPr>
          </w:p>
        </w:tc>
        <w:tc>
          <w:tcPr>
            <w:tcW w:w="2391" w:type="dxa"/>
          </w:tcPr>
          <w:p>
            <w:pPr>
              <w:pStyle w:val="16"/>
              <w:rPr>
                <w:rFonts w:ascii="Times New Roman"/>
                <w:sz w:val="20"/>
              </w:rPr>
            </w:pPr>
          </w:p>
        </w:tc>
        <w:tc>
          <w:tcPr>
            <w:tcW w:w="1718" w:type="dxa"/>
          </w:tcPr>
          <w:p>
            <w:pPr>
              <w:pStyle w:val="16"/>
              <w:rPr>
                <w:rFonts w:ascii="Times New Roman"/>
                <w:sz w:val="20"/>
              </w:rPr>
            </w:pPr>
          </w:p>
        </w:tc>
        <w:tc>
          <w:tcPr>
            <w:tcW w:w="1869" w:type="dxa"/>
          </w:tcPr>
          <w:p>
            <w:pPr>
              <w:pStyle w:val="16"/>
              <w:rPr>
                <w:rFonts w:ascii="Times New Roman"/>
                <w:sz w:val="20"/>
              </w:rPr>
            </w:pPr>
          </w:p>
        </w:tc>
        <w:tc>
          <w:tcPr>
            <w:tcW w:w="187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25" w:type="dxa"/>
          </w:tcPr>
          <w:p>
            <w:pPr>
              <w:pStyle w:val="16"/>
              <w:spacing w:before="150"/>
              <w:ind w:left="67" w:right="15"/>
              <w:jc w:val="center"/>
              <w:rPr>
                <w:sz w:val="21"/>
              </w:rPr>
            </w:pPr>
            <w:r>
              <w:rPr>
                <w:spacing w:val="-5"/>
                <w:sz w:val="21"/>
              </w:rPr>
              <w:t>……</w:t>
            </w:r>
          </w:p>
        </w:tc>
        <w:tc>
          <w:tcPr>
            <w:tcW w:w="2391" w:type="dxa"/>
          </w:tcPr>
          <w:p>
            <w:pPr>
              <w:pStyle w:val="16"/>
              <w:spacing w:before="150"/>
              <w:ind w:left="46"/>
              <w:jc w:val="center"/>
              <w:rPr>
                <w:sz w:val="21"/>
              </w:rPr>
            </w:pPr>
            <w:r>
              <w:rPr>
                <w:spacing w:val="-4"/>
                <w:sz w:val="21"/>
              </w:rPr>
              <w:t>…………</w:t>
            </w:r>
          </w:p>
        </w:tc>
        <w:tc>
          <w:tcPr>
            <w:tcW w:w="1718" w:type="dxa"/>
          </w:tcPr>
          <w:p>
            <w:pPr>
              <w:pStyle w:val="16"/>
              <w:spacing w:before="150"/>
              <w:ind w:left="51"/>
              <w:jc w:val="center"/>
              <w:rPr>
                <w:sz w:val="21"/>
              </w:rPr>
            </w:pPr>
            <w:r>
              <w:rPr>
                <w:spacing w:val="-4"/>
                <w:sz w:val="21"/>
              </w:rPr>
              <w:t>…………</w:t>
            </w:r>
          </w:p>
        </w:tc>
        <w:tc>
          <w:tcPr>
            <w:tcW w:w="1869" w:type="dxa"/>
          </w:tcPr>
          <w:p>
            <w:pPr>
              <w:pStyle w:val="16"/>
              <w:spacing w:before="150"/>
              <w:ind w:left="71" w:right="7"/>
              <w:jc w:val="center"/>
              <w:rPr>
                <w:sz w:val="21"/>
              </w:rPr>
            </w:pPr>
            <w:r>
              <w:rPr>
                <w:spacing w:val="-5"/>
                <w:sz w:val="21"/>
              </w:rPr>
              <w:t>……</w:t>
            </w:r>
          </w:p>
        </w:tc>
        <w:tc>
          <w:tcPr>
            <w:tcW w:w="1873" w:type="dxa"/>
          </w:tcPr>
          <w:p>
            <w:pPr>
              <w:pStyle w:val="16"/>
              <w:rPr>
                <w:rFonts w:ascii="Times New Roman"/>
                <w:sz w:val="20"/>
              </w:rPr>
            </w:pPr>
          </w:p>
        </w:tc>
      </w:tr>
    </w:tbl>
    <w:p>
      <w:pPr>
        <w:pStyle w:val="9"/>
        <w:spacing w:before="287"/>
      </w:pPr>
    </w:p>
    <w:p>
      <w:pPr>
        <w:spacing w:before="1" w:line="396" w:lineRule="auto"/>
        <w:ind w:left="884" w:right="1287" w:firstLine="420"/>
        <w:jc w:val="left"/>
        <w:rPr>
          <w:sz w:val="21"/>
        </w:rPr>
      </w:pPr>
      <w:r>
        <w:rPr>
          <w:spacing w:val="-9"/>
          <w:sz w:val="21"/>
        </w:rPr>
        <w:t>注：投标人应按照招标文件“第三章 采购需求”中的商务要求填写，“响应/偏离”应</w:t>
      </w:r>
      <w:r>
        <w:rPr>
          <w:sz w:val="21"/>
        </w:rPr>
        <w:t>据实填写“响应”、“正偏离”或“负偏离”。</w:t>
      </w:r>
    </w:p>
    <w:p>
      <w:pPr>
        <w:pStyle w:val="9"/>
        <w:rPr>
          <w:sz w:val="21"/>
        </w:rPr>
      </w:pPr>
    </w:p>
    <w:p>
      <w:pPr>
        <w:pStyle w:val="9"/>
        <w:rPr>
          <w:sz w:val="21"/>
        </w:rPr>
      </w:pPr>
    </w:p>
    <w:p>
      <w:pPr>
        <w:pStyle w:val="9"/>
        <w:spacing w:before="133"/>
        <w:rPr>
          <w:sz w:val="21"/>
        </w:rPr>
      </w:pPr>
    </w:p>
    <w:p>
      <w:pPr>
        <w:pStyle w:val="9"/>
        <w:tabs>
          <w:tab w:val="left" w:pos="2293"/>
        </w:tabs>
        <w:spacing w:line="345" w:lineRule="auto"/>
        <w:ind w:left="1348" w:right="6716" w:firstLine="21"/>
      </w:pPr>
      <w:r>
        <w:rPr>
          <w:spacing w:val="-12"/>
        </w:rPr>
        <w:t>投标人名称（公章)：</w:t>
      </w:r>
      <w:r>
        <w:rPr>
          <w:spacing w:val="-10"/>
        </w:rPr>
        <w:t>日</w:t>
      </w:r>
      <w:r>
        <w:tab/>
      </w:r>
      <w:r>
        <w:rPr>
          <w:spacing w:val="-6"/>
        </w:rPr>
        <w:t>期：</w:t>
      </w:r>
    </w:p>
    <w:p>
      <w:pPr>
        <w:spacing w:after="0" w:line="345" w:lineRule="auto"/>
        <w:sectPr>
          <w:headerReference r:id="rId22" w:type="default"/>
          <w:footerReference r:id="rId23" w:type="default"/>
          <w:pgSz w:w="11910" w:h="16840"/>
          <w:pgMar w:top="1100" w:right="720" w:bottom="1400" w:left="920" w:header="916" w:footer="1211" w:gutter="0"/>
          <w:pgNumType w:fmt="numberInDash"/>
          <w:cols w:space="720" w:num="1"/>
        </w:sectPr>
      </w:pPr>
    </w:p>
    <w:p>
      <w:pPr>
        <w:pStyle w:val="9"/>
        <w:rPr>
          <w:sz w:val="32"/>
        </w:rPr>
      </w:pPr>
    </w:p>
    <w:p>
      <w:pPr>
        <w:pStyle w:val="9"/>
        <w:spacing w:before="206"/>
        <w:rPr>
          <w:sz w:val="32"/>
        </w:rPr>
      </w:pPr>
    </w:p>
    <w:p>
      <w:pPr>
        <w:pStyle w:val="4"/>
        <w:ind w:right="391"/>
      </w:pPr>
      <w:r>
        <w:rPr>
          <w:spacing w:val="-12"/>
        </w:rPr>
        <w:t>七、业绩证明文件</w:t>
      </w:r>
    </w:p>
    <w:p>
      <w:pPr>
        <w:pStyle w:val="9"/>
        <w:spacing w:before="277"/>
        <w:ind w:left="891"/>
      </w:pPr>
      <w:r>
        <w:rPr>
          <w:spacing w:val="-9"/>
        </w:rPr>
        <w:t>项目名称：</w:t>
      </w:r>
    </w:p>
    <w:p>
      <w:pPr>
        <w:pStyle w:val="9"/>
        <w:spacing w:before="154"/>
        <w:ind w:left="891"/>
      </w:pPr>
      <w:r>
        <w:rPr>
          <w:spacing w:val="-7"/>
        </w:rPr>
        <w:t>项目编号/包号：</w:t>
      </w:r>
    </w:p>
    <w:p>
      <w:pPr>
        <w:pStyle w:val="9"/>
        <w:spacing w:before="12"/>
        <w:rPr>
          <w:sz w:val="4"/>
        </w:rPr>
      </w:pPr>
    </w:p>
    <w:tbl>
      <w:tblPr>
        <w:tblStyle w:val="12"/>
        <w:tblW w:w="0" w:type="auto"/>
        <w:tblInd w:w="7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079"/>
        <w:gridCol w:w="1246"/>
        <w:gridCol w:w="1128"/>
        <w:gridCol w:w="1281"/>
        <w:gridCol w:w="1366"/>
        <w:gridCol w:w="959"/>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48" w:type="dxa"/>
          </w:tcPr>
          <w:p>
            <w:pPr>
              <w:pStyle w:val="16"/>
              <w:spacing w:before="68"/>
              <w:rPr>
                <w:sz w:val="21"/>
              </w:rPr>
            </w:pPr>
          </w:p>
          <w:p>
            <w:pPr>
              <w:pStyle w:val="16"/>
              <w:ind w:left="67" w:right="11"/>
              <w:jc w:val="center"/>
              <w:rPr>
                <w:sz w:val="21"/>
              </w:rPr>
            </w:pPr>
            <w:r>
              <w:rPr>
                <w:spacing w:val="-9"/>
                <w:sz w:val="21"/>
              </w:rPr>
              <w:t>序号</w:t>
            </w:r>
          </w:p>
        </w:tc>
        <w:tc>
          <w:tcPr>
            <w:tcW w:w="1079" w:type="dxa"/>
          </w:tcPr>
          <w:p>
            <w:pPr>
              <w:pStyle w:val="16"/>
              <w:spacing w:before="65"/>
              <w:rPr>
                <w:sz w:val="21"/>
              </w:rPr>
            </w:pPr>
          </w:p>
          <w:p>
            <w:pPr>
              <w:pStyle w:val="16"/>
              <w:ind w:left="115"/>
              <w:rPr>
                <w:sz w:val="21"/>
              </w:rPr>
            </w:pPr>
            <w:r>
              <w:rPr>
                <w:spacing w:val="-12"/>
                <w:sz w:val="21"/>
              </w:rPr>
              <w:t>完成时间</w:t>
            </w:r>
          </w:p>
        </w:tc>
        <w:tc>
          <w:tcPr>
            <w:tcW w:w="1246" w:type="dxa"/>
          </w:tcPr>
          <w:p>
            <w:pPr>
              <w:pStyle w:val="16"/>
              <w:spacing w:before="68"/>
              <w:rPr>
                <w:sz w:val="21"/>
              </w:rPr>
            </w:pPr>
          </w:p>
          <w:p>
            <w:pPr>
              <w:pStyle w:val="16"/>
              <w:ind w:left="215"/>
              <w:rPr>
                <w:sz w:val="21"/>
              </w:rPr>
            </w:pPr>
            <w:r>
              <w:rPr>
                <w:spacing w:val="-12"/>
                <w:sz w:val="21"/>
              </w:rPr>
              <w:t>项目名称</w:t>
            </w:r>
          </w:p>
        </w:tc>
        <w:tc>
          <w:tcPr>
            <w:tcW w:w="1128" w:type="dxa"/>
          </w:tcPr>
          <w:p>
            <w:pPr>
              <w:pStyle w:val="16"/>
              <w:spacing w:before="65"/>
              <w:rPr>
                <w:sz w:val="21"/>
              </w:rPr>
            </w:pPr>
          </w:p>
          <w:p>
            <w:pPr>
              <w:pStyle w:val="16"/>
              <w:ind w:left="154"/>
              <w:rPr>
                <w:sz w:val="21"/>
              </w:rPr>
            </w:pPr>
            <w:r>
              <w:rPr>
                <w:spacing w:val="-12"/>
                <w:sz w:val="21"/>
              </w:rPr>
              <w:t>标的内容</w:t>
            </w:r>
          </w:p>
        </w:tc>
        <w:tc>
          <w:tcPr>
            <w:tcW w:w="1281" w:type="dxa"/>
          </w:tcPr>
          <w:p>
            <w:pPr>
              <w:pStyle w:val="16"/>
              <w:spacing w:before="65"/>
              <w:rPr>
                <w:sz w:val="21"/>
              </w:rPr>
            </w:pPr>
          </w:p>
          <w:p>
            <w:pPr>
              <w:pStyle w:val="16"/>
              <w:ind w:left="126"/>
              <w:rPr>
                <w:sz w:val="21"/>
              </w:rPr>
            </w:pPr>
            <w:r>
              <w:rPr>
                <w:spacing w:val="-10"/>
                <w:sz w:val="21"/>
              </w:rPr>
              <w:t>采购人名称</w:t>
            </w:r>
          </w:p>
        </w:tc>
        <w:tc>
          <w:tcPr>
            <w:tcW w:w="1366" w:type="dxa"/>
          </w:tcPr>
          <w:p>
            <w:pPr>
              <w:pStyle w:val="16"/>
              <w:spacing w:before="20" w:line="398" w:lineRule="exact"/>
              <w:ind w:left="503" w:right="10" w:hanging="365"/>
              <w:rPr>
                <w:sz w:val="21"/>
              </w:rPr>
            </w:pPr>
            <w:r>
              <w:rPr>
                <w:spacing w:val="-12"/>
                <w:sz w:val="21"/>
              </w:rPr>
              <w:t>中标（成交）</w:t>
            </w:r>
            <w:r>
              <w:rPr>
                <w:spacing w:val="-6"/>
                <w:sz w:val="21"/>
              </w:rPr>
              <w:t>金额</w:t>
            </w:r>
          </w:p>
        </w:tc>
        <w:tc>
          <w:tcPr>
            <w:tcW w:w="959" w:type="dxa"/>
          </w:tcPr>
          <w:p>
            <w:pPr>
              <w:pStyle w:val="16"/>
              <w:spacing w:before="68"/>
              <w:rPr>
                <w:sz w:val="21"/>
              </w:rPr>
            </w:pPr>
          </w:p>
          <w:p>
            <w:pPr>
              <w:pStyle w:val="16"/>
              <w:ind w:left="181"/>
              <w:rPr>
                <w:sz w:val="21"/>
              </w:rPr>
            </w:pPr>
            <w:r>
              <w:rPr>
                <w:spacing w:val="-10"/>
                <w:sz w:val="21"/>
              </w:rPr>
              <w:t>联系人</w:t>
            </w:r>
          </w:p>
        </w:tc>
        <w:tc>
          <w:tcPr>
            <w:tcW w:w="1180" w:type="dxa"/>
          </w:tcPr>
          <w:p>
            <w:pPr>
              <w:pStyle w:val="16"/>
              <w:spacing w:before="68"/>
              <w:rPr>
                <w:sz w:val="21"/>
              </w:rPr>
            </w:pPr>
          </w:p>
          <w:p>
            <w:pPr>
              <w:pStyle w:val="16"/>
              <w:ind w:left="184"/>
              <w:rPr>
                <w:sz w:val="21"/>
              </w:rPr>
            </w:pPr>
            <w:r>
              <w:rPr>
                <w:spacing w:val="-12"/>
                <w:sz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748" w:type="dxa"/>
          </w:tcPr>
          <w:p>
            <w:pPr>
              <w:pStyle w:val="16"/>
              <w:spacing w:before="204"/>
              <w:ind w:left="67"/>
              <w:jc w:val="center"/>
              <w:rPr>
                <w:sz w:val="21"/>
              </w:rPr>
            </w:pPr>
            <w:r>
              <w:rPr>
                <w:spacing w:val="-10"/>
                <w:sz w:val="21"/>
              </w:rPr>
              <w:t>1</w:t>
            </w:r>
          </w:p>
        </w:tc>
        <w:tc>
          <w:tcPr>
            <w:tcW w:w="1079" w:type="dxa"/>
          </w:tcPr>
          <w:p>
            <w:pPr>
              <w:pStyle w:val="16"/>
              <w:rPr>
                <w:rFonts w:ascii="Times New Roman"/>
                <w:sz w:val="22"/>
              </w:rPr>
            </w:pPr>
          </w:p>
        </w:tc>
        <w:tc>
          <w:tcPr>
            <w:tcW w:w="1246" w:type="dxa"/>
          </w:tcPr>
          <w:p>
            <w:pPr>
              <w:pStyle w:val="16"/>
              <w:rPr>
                <w:rFonts w:ascii="Times New Roman"/>
                <w:sz w:val="22"/>
              </w:rPr>
            </w:pPr>
          </w:p>
        </w:tc>
        <w:tc>
          <w:tcPr>
            <w:tcW w:w="1128" w:type="dxa"/>
          </w:tcPr>
          <w:p>
            <w:pPr>
              <w:pStyle w:val="16"/>
              <w:rPr>
                <w:rFonts w:ascii="Times New Roman"/>
                <w:sz w:val="22"/>
              </w:rPr>
            </w:pPr>
          </w:p>
        </w:tc>
        <w:tc>
          <w:tcPr>
            <w:tcW w:w="1281" w:type="dxa"/>
          </w:tcPr>
          <w:p>
            <w:pPr>
              <w:pStyle w:val="16"/>
              <w:rPr>
                <w:rFonts w:ascii="Times New Roman"/>
                <w:sz w:val="22"/>
              </w:rPr>
            </w:pPr>
          </w:p>
        </w:tc>
        <w:tc>
          <w:tcPr>
            <w:tcW w:w="1366" w:type="dxa"/>
          </w:tcPr>
          <w:p>
            <w:pPr>
              <w:pStyle w:val="16"/>
              <w:rPr>
                <w:rFonts w:ascii="Times New Roman"/>
                <w:sz w:val="22"/>
              </w:rPr>
            </w:pPr>
          </w:p>
        </w:tc>
        <w:tc>
          <w:tcPr>
            <w:tcW w:w="959" w:type="dxa"/>
          </w:tcPr>
          <w:p>
            <w:pPr>
              <w:pStyle w:val="16"/>
              <w:rPr>
                <w:rFonts w:ascii="Times New Roman"/>
                <w:sz w:val="22"/>
              </w:rPr>
            </w:pPr>
          </w:p>
        </w:tc>
        <w:tc>
          <w:tcPr>
            <w:tcW w:w="118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48" w:type="dxa"/>
          </w:tcPr>
          <w:p>
            <w:pPr>
              <w:pStyle w:val="16"/>
              <w:spacing w:before="207"/>
              <w:ind w:left="67" w:right="24"/>
              <w:jc w:val="center"/>
              <w:rPr>
                <w:sz w:val="21"/>
              </w:rPr>
            </w:pPr>
            <w:r>
              <w:rPr>
                <w:spacing w:val="-10"/>
                <w:sz w:val="21"/>
              </w:rPr>
              <w:t>2</w:t>
            </w:r>
          </w:p>
        </w:tc>
        <w:tc>
          <w:tcPr>
            <w:tcW w:w="1079" w:type="dxa"/>
          </w:tcPr>
          <w:p>
            <w:pPr>
              <w:pStyle w:val="16"/>
              <w:rPr>
                <w:rFonts w:ascii="Times New Roman"/>
                <w:sz w:val="22"/>
              </w:rPr>
            </w:pPr>
          </w:p>
        </w:tc>
        <w:tc>
          <w:tcPr>
            <w:tcW w:w="1246" w:type="dxa"/>
          </w:tcPr>
          <w:p>
            <w:pPr>
              <w:pStyle w:val="16"/>
              <w:rPr>
                <w:rFonts w:ascii="Times New Roman"/>
                <w:sz w:val="22"/>
              </w:rPr>
            </w:pPr>
          </w:p>
        </w:tc>
        <w:tc>
          <w:tcPr>
            <w:tcW w:w="1128" w:type="dxa"/>
          </w:tcPr>
          <w:p>
            <w:pPr>
              <w:pStyle w:val="16"/>
              <w:rPr>
                <w:rFonts w:ascii="Times New Roman"/>
                <w:sz w:val="22"/>
              </w:rPr>
            </w:pPr>
          </w:p>
        </w:tc>
        <w:tc>
          <w:tcPr>
            <w:tcW w:w="1281" w:type="dxa"/>
          </w:tcPr>
          <w:p>
            <w:pPr>
              <w:pStyle w:val="16"/>
              <w:rPr>
                <w:rFonts w:ascii="Times New Roman"/>
                <w:sz w:val="22"/>
              </w:rPr>
            </w:pPr>
          </w:p>
        </w:tc>
        <w:tc>
          <w:tcPr>
            <w:tcW w:w="1366" w:type="dxa"/>
          </w:tcPr>
          <w:p>
            <w:pPr>
              <w:pStyle w:val="16"/>
              <w:rPr>
                <w:rFonts w:ascii="Times New Roman"/>
                <w:sz w:val="22"/>
              </w:rPr>
            </w:pPr>
          </w:p>
        </w:tc>
        <w:tc>
          <w:tcPr>
            <w:tcW w:w="959" w:type="dxa"/>
          </w:tcPr>
          <w:p>
            <w:pPr>
              <w:pStyle w:val="16"/>
              <w:rPr>
                <w:rFonts w:ascii="Times New Roman"/>
                <w:sz w:val="22"/>
              </w:rPr>
            </w:pPr>
          </w:p>
        </w:tc>
        <w:tc>
          <w:tcPr>
            <w:tcW w:w="118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8" w:type="dxa"/>
          </w:tcPr>
          <w:p>
            <w:pPr>
              <w:pStyle w:val="16"/>
              <w:spacing w:before="207"/>
              <w:ind w:left="67" w:right="24"/>
              <w:jc w:val="center"/>
              <w:rPr>
                <w:sz w:val="21"/>
              </w:rPr>
            </w:pPr>
            <w:r>
              <w:rPr>
                <w:spacing w:val="-10"/>
                <w:sz w:val="21"/>
              </w:rPr>
              <w:t>3</w:t>
            </w:r>
          </w:p>
        </w:tc>
        <w:tc>
          <w:tcPr>
            <w:tcW w:w="1079" w:type="dxa"/>
          </w:tcPr>
          <w:p>
            <w:pPr>
              <w:pStyle w:val="16"/>
              <w:rPr>
                <w:rFonts w:ascii="Times New Roman"/>
                <w:sz w:val="22"/>
              </w:rPr>
            </w:pPr>
          </w:p>
        </w:tc>
        <w:tc>
          <w:tcPr>
            <w:tcW w:w="1246" w:type="dxa"/>
          </w:tcPr>
          <w:p>
            <w:pPr>
              <w:pStyle w:val="16"/>
              <w:rPr>
                <w:rFonts w:ascii="Times New Roman"/>
                <w:sz w:val="22"/>
              </w:rPr>
            </w:pPr>
          </w:p>
        </w:tc>
        <w:tc>
          <w:tcPr>
            <w:tcW w:w="1128" w:type="dxa"/>
          </w:tcPr>
          <w:p>
            <w:pPr>
              <w:pStyle w:val="16"/>
              <w:rPr>
                <w:rFonts w:ascii="Times New Roman"/>
                <w:sz w:val="22"/>
              </w:rPr>
            </w:pPr>
          </w:p>
        </w:tc>
        <w:tc>
          <w:tcPr>
            <w:tcW w:w="1281" w:type="dxa"/>
          </w:tcPr>
          <w:p>
            <w:pPr>
              <w:pStyle w:val="16"/>
              <w:rPr>
                <w:rFonts w:ascii="Times New Roman"/>
                <w:sz w:val="22"/>
              </w:rPr>
            </w:pPr>
          </w:p>
        </w:tc>
        <w:tc>
          <w:tcPr>
            <w:tcW w:w="1366" w:type="dxa"/>
          </w:tcPr>
          <w:p>
            <w:pPr>
              <w:pStyle w:val="16"/>
              <w:rPr>
                <w:rFonts w:ascii="Times New Roman"/>
                <w:sz w:val="22"/>
              </w:rPr>
            </w:pPr>
          </w:p>
        </w:tc>
        <w:tc>
          <w:tcPr>
            <w:tcW w:w="959" w:type="dxa"/>
          </w:tcPr>
          <w:p>
            <w:pPr>
              <w:pStyle w:val="16"/>
              <w:rPr>
                <w:rFonts w:ascii="Times New Roman"/>
                <w:sz w:val="22"/>
              </w:rPr>
            </w:pPr>
          </w:p>
        </w:tc>
        <w:tc>
          <w:tcPr>
            <w:tcW w:w="118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8" w:type="dxa"/>
          </w:tcPr>
          <w:p>
            <w:pPr>
              <w:pStyle w:val="16"/>
              <w:spacing w:before="211"/>
              <w:ind w:left="67" w:right="34"/>
              <w:jc w:val="center"/>
              <w:rPr>
                <w:sz w:val="21"/>
              </w:rPr>
            </w:pPr>
            <w:r>
              <w:rPr>
                <w:spacing w:val="-10"/>
                <w:sz w:val="21"/>
              </w:rPr>
              <w:t>4</w:t>
            </w:r>
          </w:p>
        </w:tc>
        <w:tc>
          <w:tcPr>
            <w:tcW w:w="1079" w:type="dxa"/>
          </w:tcPr>
          <w:p>
            <w:pPr>
              <w:pStyle w:val="16"/>
              <w:rPr>
                <w:rFonts w:ascii="Times New Roman"/>
                <w:sz w:val="22"/>
              </w:rPr>
            </w:pPr>
          </w:p>
        </w:tc>
        <w:tc>
          <w:tcPr>
            <w:tcW w:w="1246" w:type="dxa"/>
          </w:tcPr>
          <w:p>
            <w:pPr>
              <w:pStyle w:val="16"/>
              <w:rPr>
                <w:rFonts w:ascii="Times New Roman"/>
                <w:sz w:val="22"/>
              </w:rPr>
            </w:pPr>
          </w:p>
        </w:tc>
        <w:tc>
          <w:tcPr>
            <w:tcW w:w="1128" w:type="dxa"/>
          </w:tcPr>
          <w:p>
            <w:pPr>
              <w:pStyle w:val="16"/>
              <w:rPr>
                <w:rFonts w:ascii="Times New Roman"/>
                <w:sz w:val="22"/>
              </w:rPr>
            </w:pPr>
          </w:p>
        </w:tc>
        <w:tc>
          <w:tcPr>
            <w:tcW w:w="1281" w:type="dxa"/>
          </w:tcPr>
          <w:p>
            <w:pPr>
              <w:pStyle w:val="16"/>
              <w:rPr>
                <w:rFonts w:ascii="Times New Roman"/>
                <w:sz w:val="22"/>
              </w:rPr>
            </w:pPr>
          </w:p>
        </w:tc>
        <w:tc>
          <w:tcPr>
            <w:tcW w:w="1366" w:type="dxa"/>
          </w:tcPr>
          <w:p>
            <w:pPr>
              <w:pStyle w:val="16"/>
              <w:rPr>
                <w:rFonts w:ascii="Times New Roman"/>
                <w:sz w:val="22"/>
              </w:rPr>
            </w:pPr>
          </w:p>
        </w:tc>
        <w:tc>
          <w:tcPr>
            <w:tcW w:w="959" w:type="dxa"/>
          </w:tcPr>
          <w:p>
            <w:pPr>
              <w:pStyle w:val="16"/>
              <w:rPr>
                <w:rFonts w:ascii="Times New Roman"/>
                <w:sz w:val="22"/>
              </w:rPr>
            </w:pPr>
          </w:p>
        </w:tc>
        <w:tc>
          <w:tcPr>
            <w:tcW w:w="118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8" w:type="dxa"/>
          </w:tcPr>
          <w:p>
            <w:pPr>
              <w:pStyle w:val="16"/>
              <w:spacing w:before="210"/>
              <w:ind w:left="67" w:right="24"/>
              <w:jc w:val="center"/>
              <w:rPr>
                <w:sz w:val="21"/>
              </w:rPr>
            </w:pPr>
            <w:r>
              <w:rPr>
                <w:spacing w:val="-10"/>
                <w:sz w:val="21"/>
              </w:rPr>
              <w:t>5</w:t>
            </w:r>
          </w:p>
        </w:tc>
        <w:tc>
          <w:tcPr>
            <w:tcW w:w="1079" w:type="dxa"/>
          </w:tcPr>
          <w:p>
            <w:pPr>
              <w:pStyle w:val="16"/>
              <w:rPr>
                <w:rFonts w:ascii="Times New Roman"/>
                <w:sz w:val="22"/>
              </w:rPr>
            </w:pPr>
          </w:p>
        </w:tc>
        <w:tc>
          <w:tcPr>
            <w:tcW w:w="1246" w:type="dxa"/>
          </w:tcPr>
          <w:p>
            <w:pPr>
              <w:pStyle w:val="16"/>
              <w:rPr>
                <w:rFonts w:ascii="Times New Roman"/>
                <w:sz w:val="22"/>
              </w:rPr>
            </w:pPr>
          </w:p>
        </w:tc>
        <w:tc>
          <w:tcPr>
            <w:tcW w:w="1128" w:type="dxa"/>
          </w:tcPr>
          <w:p>
            <w:pPr>
              <w:pStyle w:val="16"/>
              <w:rPr>
                <w:rFonts w:ascii="Times New Roman"/>
                <w:sz w:val="22"/>
              </w:rPr>
            </w:pPr>
          </w:p>
        </w:tc>
        <w:tc>
          <w:tcPr>
            <w:tcW w:w="1281" w:type="dxa"/>
          </w:tcPr>
          <w:p>
            <w:pPr>
              <w:pStyle w:val="16"/>
              <w:rPr>
                <w:rFonts w:ascii="Times New Roman"/>
                <w:sz w:val="22"/>
              </w:rPr>
            </w:pPr>
          </w:p>
        </w:tc>
        <w:tc>
          <w:tcPr>
            <w:tcW w:w="1366" w:type="dxa"/>
          </w:tcPr>
          <w:p>
            <w:pPr>
              <w:pStyle w:val="16"/>
              <w:rPr>
                <w:rFonts w:ascii="Times New Roman"/>
                <w:sz w:val="22"/>
              </w:rPr>
            </w:pPr>
          </w:p>
        </w:tc>
        <w:tc>
          <w:tcPr>
            <w:tcW w:w="959" w:type="dxa"/>
          </w:tcPr>
          <w:p>
            <w:pPr>
              <w:pStyle w:val="16"/>
              <w:rPr>
                <w:rFonts w:ascii="Times New Roman"/>
                <w:sz w:val="22"/>
              </w:rPr>
            </w:pPr>
          </w:p>
        </w:tc>
        <w:tc>
          <w:tcPr>
            <w:tcW w:w="118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748" w:type="dxa"/>
          </w:tcPr>
          <w:p>
            <w:pPr>
              <w:pStyle w:val="16"/>
              <w:spacing w:before="264"/>
              <w:ind w:left="67" w:right="1"/>
              <w:jc w:val="center"/>
              <w:rPr>
                <w:sz w:val="21"/>
              </w:rPr>
            </w:pPr>
            <w:r>
              <w:rPr>
                <w:spacing w:val="-10"/>
                <w:sz w:val="21"/>
              </w:rPr>
              <w:t>…</w:t>
            </w:r>
          </w:p>
        </w:tc>
        <w:tc>
          <w:tcPr>
            <w:tcW w:w="1079" w:type="dxa"/>
          </w:tcPr>
          <w:p>
            <w:pPr>
              <w:pStyle w:val="16"/>
              <w:rPr>
                <w:rFonts w:ascii="Times New Roman"/>
                <w:sz w:val="22"/>
              </w:rPr>
            </w:pPr>
          </w:p>
        </w:tc>
        <w:tc>
          <w:tcPr>
            <w:tcW w:w="1246" w:type="dxa"/>
          </w:tcPr>
          <w:p>
            <w:pPr>
              <w:pStyle w:val="16"/>
              <w:rPr>
                <w:rFonts w:ascii="Times New Roman"/>
                <w:sz w:val="22"/>
              </w:rPr>
            </w:pPr>
          </w:p>
        </w:tc>
        <w:tc>
          <w:tcPr>
            <w:tcW w:w="1128" w:type="dxa"/>
          </w:tcPr>
          <w:p>
            <w:pPr>
              <w:pStyle w:val="16"/>
              <w:rPr>
                <w:rFonts w:ascii="Times New Roman"/>
                <w:sz w:val="22"/>
              </w:rPr>
            </w:pPr>
          </w:p>
        </w:tc>
        <w:tc>
          <w:tcPr>
            <w:tcW w:w="1281" w:type="dxa"/>
          </w:tcPr>
          <w:p>
            <w:pPr>
              <w:pStyle w:val="16"/>
              <w:rPr>
                <w:rFonts w:ascii="Times New Roman"/>
                <w:sz w:val="22"/>
              </w:rPr>
            </w:pPr>
          </w:p>
        </w:tc>
        <w:tc>
          <w:tcPr>
            <w:tcW w:w="1366" w:type="dxa"/>
          </w:tcPr>
          <w:p>
            <w:pPr>
              <w:pStyle w:val="16"/>
              <w:rPr>
                <w:rFonts w:ascii="Times New Roman"/>
                <w:sz w:val="22"/>
              </w:rPr>
            </w:pPr>
          </w:p>
        </w:tc>
        <w:tc>
          <w:tcPr>
            <w:tcW w:w="959" w:type="dxa"/>
          </w:tcPr>
          <w:p>
            <w:pPr>
              <w:pStyle w:val="16"/>
              <w:rPr>
                <w:rFonts w:ascii="Times New Roman"/>
                <w:sz w:val="22"/>
              </w:rPr>
            </w:pPr>
          </w:p>
        </w:tc>
        <w:tc>
          <w:tcPr>
            <w:tcW w:w="1180" w:type="dxa"/>
          </w:tcPr>
          <w:p>
            <w:pPr>
              <w:pStyle w:val="16"/>
              <w:rPr>
                <w:rFonts w:ascii="Times New Roman"/>
                <w:sz w:val="22"/>
              </w:rPr>
            </w:pPr>
          </w:p>
        </w:tc>
      </w:tr>
    </w:tbl>
    <w:p>
      <w:pPr>
        <w:pStyle w:val="9"/>
        <w:spacing w:before="265"/>
      </w:pPr>
    </w:p>
    <w:p>
      <w:pPr>
        <w:spacing w:before="0"/>
        <w:ind w:left="887" w:right="0" w:firstLine="0"/>
        <w:jc w:val="left"/>
        <w:rPr>
          <w:sz w:val="21"/>
        </w:rPr>
      </w:pPr>
      <w:r>
        <w:rPr>
          <w:spacing w:val="-8"/>
          <w:sz w:val="21"/>
        </w:rPr>
        <w:t>注：投标人须按相关要求提供相应的中标（成交）</w:t>
      </w:r>
      <w:r>
        <w:rPr>
          <w:spacing w:val="-9"/>
          <w:sz w:val="21"/>
        </w:rPr>
        <w:t>通知书、采购合同等业绩证明资料。</w:t>
      </w:r>
    </w:p>
    <w:p>
      <w:pPr>
        <w:pStyle w:val="9"/>
        <w:rPr>
          <w:sz w:val="21"/>
        </w:rPr>
      </w:pPr>
    </w:p>
    <w:p>
      <w:pPr>
        <w:pStyle w:val="9"/>
        <w:rPr>
          <w:sz w:val="21"/>
        </w:rPr>
      </w:pPr>
    </w:p>
    <w:p>
      <w:pPr>
        <w:pStyle w:val="9"/>
        <w:rPr>
          <w:sz w:val="21"/>
        </w:rPr>
      </w:pPr>
    </w:p>
    <w:p>
      <w:pPr>
        <w:pStyle w:val="9"/>
        <w:rPr>
          <w:sz w:val="21"/>
        </w:rPr>
      </w:pPr>
    </w:p>
    <w:p>
      <w:pPr>
        <w:pStyle w:val="9"/>
        <w:rPr>
          <w:sz w:val="21"/>
        </w:rPr>
      </w:pPr>
    </w:p>
    <w:p>
      <w:pPr>
        <w:pStyle w:val="9"/>
        <w:spacing w:before="53"/>
        <w:rPr>
          <w:sz w:val="21"/>
        </w:rPr>
      </w:pPr>
    </w:p>
    <w:p>
      <w:pPr>
        <w:pStyle w:val="9"/>
        <w:tabs>
          <w:tab w:val="left" w:pos="2293"/>
        </w:tabs>
        <w:spacing w:line="345" w:lineRule="auto"/>
        <w:ind w:left="1348" w:right="6716" w:firstLine="21"/>
      </w:pPr>
      <w:r>
        <w:rPr>
          <w:spacing w:val="-12"/>
        </w:rPr>
        <w:t>投标人名称（公章)：</w:t>
      </w:r>
      <w:r>
        <w:rPr>
          <w:spacing w:val="-10"/>
        </w:rPr>
        <w:t>日</w:t>
      </w:r>
      <w:r>
        <w:tab/>
      </w:r>
      <w:r>
        <w:rPr>
          <w:spacing w:val="-6"/>
        </w:rPr>
        <w:t>期：</w:t>
      </w:r>
    </w:p>
    <w:p>
      <w:pPr>
        <w:spacing w:after="0" w:line="345" w:lineRule="auto"/>
        <w:sectPr>
          <w:pgSz w:w="11910" w:h="16840"/>
          <w:pgMar w:top="1100" w:right="720" w:bottom="1400" w:left="920" w:header="916" w:footer="1211" w:gutter="0"/>
          <w:pgNumType w:fmt="numberInDash"/>
          <w:cols w:space="720" w:num="1"/>
        </w:sectPr>
      </w:pPr>
    </w:p>
    <w:p>
      <w:pPr>
        <w:pStyle w:val="9"/>
        <w:spacing w:before="24"/>
        <w:rPr>
          <w:sz w:val="32"/>
        </w:rPr>
      </w:pPr>
    </w:p>
    <w:p>
      <w:pPr>
        <w:pStyle w:val="4"/>
        <w:ind w:right="384"/>
      </w:pPr>
      <w:r>
        <w:rPr>
          <w:spacing w:val="-14"/>
        </w:rPr>
        <w:t>八、拟派项目团队</w:t>
      </w:r>
    </w:p>
    <w:p>
      <w:pPr>
        <w:pStyle w:val="9"/>
        <w:spacing w:before="4"/>
        <w:rPr>
          <w:b/>
          <w:sz w:val="14"/>
        </w:rPr>
      </w:pPr>
    </w:p>
    <w:tbl>
      <w:tblPr>
        <w:tblStyle w:val="12"/>
        <w:tblW w:w="0" w:type="auto"/>
        <w:tblInd w:w="3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1266"/>
        <w:gridCol w:w="1294"/>
        <w:gridCol w:w="1079"/>
        <w:gridCol w:w="803"/>
        <w:gridCol w:w="1858"/>
        <w:gridCol w:w="1354"/>
        <w:gridCol w:w="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777" w:type="dxa"/>
          </w:tcPr>
          <w:p>
            <w:pPr>
              <w:pStyle w:val="16"/>
              <w:spacing w:before="247"/>
              <w:ind w:left="65" w:right="11"/>
              <w:jc w:val="center"/>
              <w:rPr>
                <w:sz w:val="21"/>
              </w:rPr>
            </w:pPr>
            <w:r>
              <w:rPr>
                <w:spacing w:val="-9"/>
                <w:sz w:val="21"/>
              </w:rPr>
              <w:t>序号</w:t>
            </w:r>
          </w:p>
        </w:tc>
        <w:tc>
          <w:tcPr>
            <w:tcW w:w="1266" w:type="dxa"/>
          </w:tcPr>
          <w:p>
            <w:pPr>
              <w:pStyle w:val="16"/>
              <w:spacing w:before="108" w:line="256" w:lineRule="auto"/>
              <w:ind w:left="431" w:right="215" w:hanging="192"/>
              <w:rPr>
                <w:sz w:val="21"/>
              </w:rPr>
            </w:pPr>
            <w:r>
              <w:rPr>
                <w:spacing w:val="-14"/>
                <w:sz w:val="21"/>
              </w:rPr>
              <w:t>团队成员</w:t>
            </w:r>
            <w:r>
              <w:rPr>
                <w:spacing w:val="-6"/>
                <w:sz w:val="21"/>
              </w:rPr>
              <w:t>姓名</w:t>
            </w:r>
          </w:p>
        </w:tc>
        <w:tc>
          <w:tcPr>
            <w:tcW w:w="1294" w:type="dxa"/>
          </w:tcPr>
          <w:p>
            <w:pPr>
              <w:pStyle w:val="16"/>
              <w:spacing w:before="247"/>
              <w:ind w:left="238"/>
              <w:rPr>
                <w:sz w:val="21"/>
              </w:rPr>
            </w:pPr>
            <w:r>
              <w:rPr>
                <w:spacing w:val="-12"/>
                <w:sz w:val="21"/>
              </w:rPr>
              <w:t>工作单位</w:t>
            </w:r>
          </w:p>
        </w:tc>
        <w:tc>
          <w:tcPr>
            <w:tcW w:w="1079" w:type="dxa"/>
          </w:tcPr>
          <w:p>
            <w:pPr>
              <w:pStyle w:val="16"/>
              <w:spacing w:before="245"/>
              <w:ind w:left="134"/>
              <w:rPr>
                <w:sz w:val="21"/>
              </w:rPr>
            </w:pPr>
            <w:r>
              <w:rPr>
                <w:spacing w:val="-14"/>
                <w:sz w:val="21"/>
              </w:rPr>
              <w:t>身份证号</w:t>
            </w:r>
          </w:p>
        </w:tc>
        <w:tc>
          <w:tcPr>
            <w:tcW w:w="803" w:type="dxa"/>
          </w:tcPr>
          <w:p>
            <w:pPr>
              <w:pStyle w:val="16"/>
              <w:spacing w:before="247"/>
              <w:ind w:left="202"/>
              <w:rPr>
                <w:sz w:val="21"/>
              </w:rPr>
            </w:pPr>
            <w:r>
              <w:rPr>
                <w:spacing w:val="-10"/>
                <w:sz w:val="21"/>
              </w:rPr>
              <w:t>职称</w:t>
            </w:r>
          </w:p>
        </w:tc>
        <w:tc>
          <w:tcPr>
            <w:tcW w:w="1858" w:type="dxa"/>
          </w:tcPr>
          <w:p>
            <w:pPr>
              <w:pStyle w:val="16"/>
              <w:spacing w:before="108" w:line="256" w:lineRule="auto"/>
              <w:ind w:left="213" w:right="132" w:hanging="94"/>
              <w:rPr>
                <w:sz w:val="21"/>
              </w:rPr>
            </w:pPr>
            <w:r>
              <w:rPr>
                <w:spacing w:val="-12"/>
                <w:sz w:val="21"/>
              </w:rPr>
              <w:t>注册证书（岗位证</w:t>
            </w:r>
            <w:r>
              <w:rPr>
                <w:spacing w:val="-2"/>
                <w:sz w:val="21"/>
              </w:rPr>
              <w:t>书）名称及编号</w:t>
            </w:r>
          </w:p>
        </w:tc>
        <w:tc>
          <w:tcPr>
            <w:tcW w:w="1354" w:type="dxa"/>
          </w:tcPr>
          <w:p>
            <w:pPr>
              <w:pStyle w:val="16"/>
              <w:spacing w:before="108" w:line="256" w:lineRule="auto"/>
              <w:ind w:left="167" w:right="144"/>
              <w:rPr>
                <w:sz w:val="21"/>
              </w:rPr>
            </w:pPr>
            <w:r>
              <w:rPr>
                <w:spacing w:val="-6"/>
                <w:sz w:val="21"/>
              </w:rPr>
              <w:t>在团队中职</w:t>
            </w:r>
            <w:r>
              <w:rPr>
                <w:spacing w:val="-10"/>
                <w:sz w:val="21"/>
              </w:rPr>
              <w:t>务（岗位）</w:t>
            </w:r>
          </w:p>
        </w:tc>
        <w:tc>
          <w:tcPr>
            <w:tcW w:w="820" w:type="dxa"/>
          </w:tcPr>
          <w:p>
            <w:pPr>
              <w:pStyle w:val="16"/>
              <w:spacing w:before="108" w:line="256" w:lineRule="auto"/>
              <w:ind w:left="217" w:right="125" w:hanging="22"/>
              <w:rPr>
                <w:sz w:val="21"/>
              </w:rPr>
            </w:pPr>
            <w:r>
              <w:rPr>
                <w:spacing w:val="-16"/>
                <w:sz w:val="21"/>
              </w:rPr>
              <w:t>自有/</w:t>
            </w:r>
            <w:r>
              <w:rPr>
                <w:spacing w:val="-10"/>
                <w:sz w:val="21"/>
              </w:rPr>
              <w:t>外聘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777" w:type="dxa"/>
          </w:tcPr>
          <w:p>
            <w:pPr>
              <w:pStyle w:val="16"/>
              <w:spacing w:before="207"/>
              <w:ind w:left="65"/>
              <w:jc w:val="center"/>
              <w:rPr>
                <w:sz w:val="21"/>
              </w:rPr>
            </w:pPr>
            <w:r>
              <w:rPr>
                <w:spacing w:val="-10"/>
                <w:sz w:val="21"/>
              </w:rPr>
              <w:t>1</w:t>
            </w:r>
          </w:p>
        </w:tc>
        <w:tc>
          <w:tcPr>
            <w:tcW w:w="1266" w:type="dxa"/>
          </w:tcPr>
          <w:p>
            <w:pPr>
              <w:pStyle w:val="16"/>
              <w:rPr>
                <w:rFonts w:ascii="Times New Roman"/>
                <w:sz w:val="22"/>
              </w:rPr>
            </w:pPr>
          </w:p>
        </w:tc>
        <w:tc>
          <w:tcPr>
            <w:tcW w:w="1294" w:type="dxa"/>
          </w:tcPr>
          <w:p>
            <w:pPr>
              <w:pStyle w:val="16"/>
              <w:rPr>
                <w:rFonts w:ascii="Times New Roman"/>
                <w:sz w:val="22"/>
              </w:rPr>
            </w:pPr>
          </w:p>
        </w:tc>
        <w:tc>
          <w:tcPr>
            <w:tcW w:w="1079" w:type="dxa"/>
          </w:tcPr>
          <w:p>
            <w:pPr>
              <w:pStyle w:val="16"/>
              <w:rPr>
                <w:rFonts w:ascii="Times New Roman"/>
                <w:sz w:val="22"/>
              </w:rPr>
            </w:pPr>
          </w:p>
        </w:tc>
        <w:tc>
          <w:tcPr>
            <w:tcW w:w="803" w:type="dxa"/>
          </w:tcPr>
          <w:p>
            <w:pPr>
              <w:pStyle w:val="16"/>
              <w:rPr>
                <w:rFonts w:ascii="Times New Roman"/>
                <w:sz w:val="22"/>
              </w:rPr>
            </w:pPr>
          </w:p>
        </w:tc>
        <w:tc>
          <w:tcPr>
            <w:tcW w:w="1858" w:type="dxa"/>
          </w:tcPr>
          <w:p>
            <w:pPr>
              <w:pStyle w:val="16"/>
              <w:rPr>
                <w:rFonts w:ascii="Times New Roman"/>
                <w:sz w:val="22"/>
              </w:rPr>
            </w:pPr>
          </w:p>
        </w:tc>
        <w:tc>
          <w:tcPr>
            <w:tcW w:w="1354" w:type="dxa"/>
          </w:tcPr>
          <w:p>
            <w:pPr>
              <w:pStyle w:val="16"/>
              <w:rPr>
                <w:rFonts w:ascii="Times New Roman"/>
                <w:sz w:val="22"/>
              </w:rPr>
            </w:pPr>
          </w:p>
        </w:tc>
        <w:tc>
          <w:tcPr>
            <w:tcW w:w="82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77" w:type="dxa"/>
          </w:tcPr>
          <w:p>
            <w:pPr>
              <w:pStyle w:val="16"/>
              <w:spacing w:before="207"/>
              <w:ind w:left="65" w:right="24"/>
              <w:jc w:val="center"/>
              <w:rPr>
                <w:sz w:val="21"/>
              </w:rPr>
            </w:pPr>
            <w:r>
              <w:rPr>
                <w:spacing w:val="-10"/>
                <w:sz w:val="21"/>
              </w:rPr>
              <w:t>2</w:t>
            </w:r>
          </w:p>
        </w:tc>
        <w:tc>
          <w:tcPr>
            <w:tcW w:w="1266" w:type="dxa"/>
          </w:tcPr>
          <w:p>
            <w:pPr>
              <w:pStyle w:val="16"/>
              <w:rPr>
                <w:rFonts w:ascii="Times New Roman"/>
                <w:sz w:val="22"/>
              </w:rPr>
            </w:pPr>
          </w:p>
        </w:tc>
        <w:tc>
          <w:tcPr>
            <w:tcW w:w="1294" w:type="dxa"/>
          </w:tcPr>
          <w:p>
            <w:pPr>
              <w:pStyle w:val="16"/>
              <w:rPr>
                <w:rFonts w:ascii="Times New Roman"/>
                <w:sz w:val="22"/>
              </w:rPr>
            </w:pPr>
          </w:p>
        </w:tc>
        <w:tc>
          <w:tcPr>
            <w:tcW w:w="1079" w:type="dxa"/>
          </w:tcPr>
          <w:p>
            <w:pPr>
              <w:pStyle w:val="16"/>
              <w:rPr>
                <w:rFonts w:ascii="Times New Roman"/>
                <w:sz w:val="22"/>
              </w:rPr>
            </w:pPr>
          </w:p>
        </w:tc>
        <w:tc>
          <w:tcPr>
            <w:tcW w:w="803" w:type="dxa"/>
          </w:tcPr>
          <w:p>
            <w:pPr>
              <w:pStyle w:val="16"/>
              <w:rPr>
                <w:rFonts w:ascii="Times New Roman"/>
                <w:sz w:val="22"/>
              </w:rPr>
            </w:pPr>
          </w:p>
        </w:tc>
        <w:tc>
          <w:tcPr>
            <w:tcW w:w="1858" w:type="dxa"/>
          </w:tcPr>
          <w:p>
            <w:pPr>
              <w:pStyle w:val="16"/>
              <w:rPr>
                <w:rFonts w:ascii="Times New Roman"/>
                <w:sz w:val="22"/>
              </w:rPr>
            </w:pPr>
          </w:p>
        </w:tc>
        <w:tc>
          <w:tcPr>
            <w:tcW w:w="1354" w:type="dxa"/>
          </w:tcPr>
          <w:p>
            <w:pPr>
              <w:pStyle w:val="16"/>
              <w:rPr>
                <w:rFonts w:ascii="Times New Roman"/>
                <w:sz w:val="22"/>
              </w:rPr>
            </w:pPr>
          </w:p>
        </w:tc>
        <w:tc>
          <w:tcPr>
            <w:tcW w:w="82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77" w:type="dxa"/>
          </w:tcPr>
          <w:p>
            <w:pPr>
              <w:pStyle w:val="16"/>
              <w:spacing w:before="210"/>
              <w:ind w:left="65" w:right="20"/>
              <w:jc w:val="center"/>
              <w:rPr>
                <w:sz w:val="21"/>
              </w:rPr>
            </w:pPr>
            <w:r>
              <w:rPr>
                <w:spacing w:val="-10"/>
                <w:sz w:val="21"/>
              </w:rPr>
              <w:t>3</w:t>
            </w:r>
          </w:p>
        </w:tc>
        <w:tc>
          <w:tcPr>
            <w:tcW w:w="1266" w:type="dxa"/>
          </w:tcPr>
          <w:p>
            <w:pPr>
              <w:pStyle w:val="16"/>
              <w:rPr>
                <w:rFonts w:ascii="Times New Roman"/>
                <w:sz w:val="22"/>
              </w:rPr>
            </w:pPr>
          </w:p>
        </w:tc>
        <w:tc>
          <w:tcPr>
            <w:tcW w:w="1294" w:type="dxa"/>
          </w:tcPr>
          <w:p>
            <w:pPr>
              <w:pStyle w:val="16"/>
              <w:rPr>
                <w:rFonts w:ascii="Times New Roman"/>
                <w:sz w:val="22"/>
              </w:rPr>
            </w:pPr>
          </w:p>
        </w:tc>
        <w:tc>
          <w:tcPr>
            <w:tcW w:w="1079" w:type="dxa"/>
          </w:tcPr>
          <w:p>
            <w:pPr>
              <w:pStyle w:val="16"/>
              <w:rPr>
                <w:rFonts w:ascii="Times New Roman"/>
                <w:sz w:val="22"/>
              </w:rPr>
            </w:pPr>
          </w:p>
        </w:tc>
        <w:tc>
          <w:tcPr>
            <w:tcW w:w="803" w:type="dxa"/>
          </w:tcPr>
          <w:p>
            <w:pPr>
              <w:pStyle w:val="16"/>
              <w:rPr>
                <w:rFonts w:ascii="Times New Roman"/>
                <w:sz w:val="22"/>
              </w:rPr>
            </w:pPr>
          </w:p>
        </w:tc>
        <w:tc>
          <w:tcPr>
            <w:tcW w:w="1858" w:type="dxa"/>
          </w:tcPr>
          <w:p>
            <w:pPr>
              <w:pStyle w:val="16"/>
              <w:rPr>
                <w:rFonts w:ascii="Times New Roman"/>
                <w:sz w:val="22"/>
              </w:rPr>
            </w:pPr>
          </w:p>
        </w:tc>
        <w:tc>
          <w:tcPr>
            <w:tcW w:w="1354" w:type="dxa"/>
          </w:tcPr>
          <w:p>
            <w:pPr>
              <w:pStyle w:val="16"/>
              <w:rPr>
                <w:rFonts w:ascii="Times New Roman"/>
                <w:sz w:val="22"/>
              </w:rPr>
            </w:pPr>
          </w:p>
        </w:tc>
        <w:tc>
          <w:tcPr>
            <w:tcW w:w="82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777" w:type="dxa"/>
          </w:tcPr>
          <w:p>
            <w:pPr>
              <w:pStyle w:val="16"/>
              <w:spacing w:before="209"/>
              <w:ind w:left="65" w:right="29"/>
              <w:jc w:val="center"/>
              <w:rPr>
                <w:sz w:val="21"/>
              </w:rPr>
            </w:pPr>
            <w:r>
              <w:rPr>
                <w:spacing w:val="-10"/>
                <w:sz w:val="21"/>
              </w:rPr>
              <w:t>4</w:t>
            </w:r>
          </w:p>
        </w:tc>
        <w:tc>
          <w:tcPr>
            <w:tcW w:w="1266" w:type="dxa"/>
          </w:tcPr>
          <w:p>
            <w:pPr>
              <w:pStyle w:val="16"/>
              <w:rPr>
                <w:rFonts w:ascii="Times New Roman"/>
                <w:sz w:val="22"/>
              </w:rPr>
            </w:pPr>
          </w:p>
        </w:tc>
        <w:tc>
          <w:tcPr>
            <w:tcW w:w="1294" w:type="dxa"/>
          </w:tcPr>
          <w:p>
            <w:pPr>
              <w:pStyle w:val="16"/>
              <w:rPr>
                <w:rFonts w:ascii="Times New Roman"/>
                <w:sz w:val="22"/>
              </w:rPr>
            </w:pPr>
          </w:p>
        </w:tc>
        <w:tc>
          <w:tcPr>
            <w:tcW w:w="1079" w:type="dxa"/>
          </w:tcPr>
          <w:p>
            <w:pPr>
              <w:pStyle w:val="16"/>
              <w:rPr>
                <w:rFonts w:ascii="Times New Roman"/>
                <w:sz w:val="22"/>
              </w:rPr>
            </w:pPr>
          </w:p>
        </w:tc>
        <w:tc>
          <w:tcPr>
            <w:tcW w:w="803" w:type="dxa"/>
          </w:tcPr>
          <w:p>
            <w:pPr>
              <w:pStyle w:val="16"/>
              <w:rPr>
                <w:rFonts w:ascii="Times New Roman"/>
                <w:sz w:val="22"/>
              </w:rPr>
            </w:pPr>
          </w:p>
        </w:tc>
        <w:tc>
          <w:tcPr>
            <w:tcW w:w="1858" w:type="dxa"/>
          </w:tcPr>
          <w:p>
            <w:pPr>
              <w:pStyle w:val="16"/>
              <w:rPr>
                <w:rFonts w:ascii="Times New Roman"/>
                <w:sz w:val="22"/>
              </w:rPr>
            </w:pPr>
          </w:p>
        </w:tc>
        <w:tc>
          <w:tcPr>
            <w:tcW w:w="1354" w:type="dxa"/>
          </w:tcPr>
          <w:p>
            <w:pPr>
              <w:pStyle w:val="16"/>
              <w:rPr>
                <w:rFonts w:ascii="Times New Roman"/>
                <w:sz w:val="22"/>
              </w:rPr>
            </w:pPr>
          </w:p>
        </w:tc>
        <w:tc>
          <w:tcPr>
            <w:tcW w:w="82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77" w:type="dxa"/>
          </w:tcPr>
          <w:p>
            <w:pPr>
              <w:pStyle w:val="16"/>
              <w:spacing w:before="212"/>
              <w:ind w:left="65" w:right="20"/>
              <w:jc w:val="center"/>
              <w:rPr>
                <w:sz w:val="21"/>
              </w:rPr>
            </w:pPr>
            <w:r>
              <w:rPr>
                <w:spacing w:val="-10"/>
                <w:sz w:val="21"/>
              </w:rPr>
              <w:t>5</w:t>
            </w:r>
          </w:p>
        </w:tc>
        <w:tc>
          <w:tcPr>
            <w:tcW w:w="1266" w:type="dxa"/>
          </w:tcPr>
          <w:p>
            <w:pPr>
              <w:pStyle w:val="16"/>
              <w:rPr>
                <w:rFonts w:ascii="Times New Roman"/>
                <w:sz w:val="22"/>
              </w:rPr>
            </w:pPr>
          </w:p>
        </w:tc>
        <w:tc>
          <w:tcPr>
            <w:tcW w:w="1294" w:type="dxa"/>
          </w:tcPr>
          <w:p>
            <w:pPr>
              <w:pStyle w:val="16"/>
              <w:rPr>
                <w:rFonts w:ascii="Times New Roman"/>
                <w:sz w:val="22"/>
              </w:rPr>
            </w:pPr>
          </w:p>
        </w:tc>
        <w:tc>
          <w:tcPr>
            <w:tcW w:w="1079" w:type="dxa"/>
          </w:tcPr>
          <w:p>
            <w:pPr>
              <w:pStyle w:val="16"/>
              <w:rPr>
                <w:rFonts w:ascii="Times New Roman"/>
                <w:sz w:val="22"/>
              </w:rPr>
            </w:pPr>
          </w:p>
        </w:tc>
        <w:tc>
          <w:tcPr>
            <w:tcW w:w="803" w:type="dxa"/>
          </w:tcPr>
          <w:p>
            <w:pPr>
              <w:pStyle w:val="16"/>
              <w:rPr>
                <w:rFonts w:ascii="Times New Roman"/>
                <w:sz w:val="22"/>
              </w:rPr>
            </w:pPr>
          </w:p>
        </w:tc>
        <w:tc>
          <w:tcPr>
            <w:tcW w:w="1858" w:type="dxa"/>
          </w:tcPr>
          <w:p>
            <w:pPr>
              <w:pStyle w:val="16"/>
              <w:rPr>
                <w:rFonts w:ascii="Times New Roman"/>
                <w:sz w:val="22"/>
              </w:rPr>
            </w:pPr>
          </w:p>
        </w:tc>
        <w:tc>
          <w:tcPr>
            <w:tcW w:w="1354" w:type="dxa"/>
          </w:tcPr>
          <w:p>
            <w:pPr>
              <w:pStyle w:val="16"/>
              <w:rPr>
                <w:rFonts w:ascii="Times New Roman"/>
                <w:sz w:val="22"/>
              </w:rPr>
            </w:pPr>
          </w:p>
        </w:tc>
        <w:tc>
          <w:tcPr>
            <w:tcW w:w="82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77" w:type="dxa"/>
          </w:tcPr>
          <w:p>
            <w:pPr>
              <w:pStyle w:val="16"/>
              <w:spacing w:before="213"/>
              <w:ind w:left="65" w:right="24"/>
              <w:jc w:val="center"/>
              <w:rPr>
                <w:sz w:val="21"/>
              </w:rPr>
            </w:pPr>
            <w:r>
              <w:rPr>
                <w:spacing w:val="-10"/>
                <w:sz w:val="21"/>
              </w:rPr>
              <w:t>6</w:t>
            </w:r>
          </w:p>
        </w:tc>
        <w:tc>
          <w:tcPr>
            <w:tcW w:w="1266" w:type="dxa"/>
          </w:tcPr>
          <w:p>
            <w:pPr>
              <w:pStyle w:val="16"/>
              <w:rPr>
                <w:rFonts w:ascii="Times New Roman"/>
                <w:sz w:val="22"/>
              </w:rPr>
            </w:pPr>
          </w:p>
        </w:tc>
        <w:tc>
          <w:tcPr>
            <w:tcW w:w="1294" w:type="dxa"/>
          </w:tcPr>
          <w:p>
            <w:pPr>
              <w:pStyle w:val="16"/>
              <w:rPr>
                <w:rFonts w:ascii="Times New Roman"/>
                <w:sz w:val="22"/>
              </w:rPr>
            </w:pPr>
          </w:p>
        </w:tc>
        <w:tc>
          <w:tcPr>
            <w:tcW w:w="1079" w:type="dxa"/>
          </w:tcPr>
          <w:p>
            <w:pPr>
              <w:pStyle w:val="16"/>
              <w:rPr>
                <w:rFonts w:ascii="Times New Roman"/>
                <w:sz w:val="22"/>
              </w:rPr>
            </w:pPr>
          </w:p>
        </w:tc>
        <w:tc>
          <w:tcPr>
            <w:tcW w:w="803" w:type="dxa"/>
          </w:tcPr>
          <w:p>
            <w:pPr>
              <w:pStyle w:val="16"/>
              <w:rPr>
                <w:rFonts w:ascii="Times New Roman"/>
                <w:sz w:val="22"/>
              </w:rPr>
            </w:pPr>
          </w:p>
        </w:tc>
        <w:tc>
          <w:tcPr>
            <w:tcW w:w="1858" w:type="dxa"/>
          </w:tcPr>
          <w:p>
            <w:pPr>
              <w:pStyle w:val="16"/>
              <w:rPr>
                <w:rFonts w:ascii="Times New Roman"/>
                <w:sz w:val="22"/>
              </w:rPr>
            </w:pPr>
          </w:p>
        </w:tc>
        <w:tc>
          <w:tcPr>
            <w:tcW w:w="1354" w:type="dxa"/>
          </w:tcPr>
          <w:p>
            <w:pPr>
              <w:pStyle w:val="16"/>
              <w:rPr>
                <w:rFonts w:ascii="Times New Roman"/>
                <w:sz w:val="22"/>
              </w:rPr>
            </w:pPr>
          </w:p>
        </w:tc>
        <w:tc>
          <w:tcPr>
            <w:tcW w:w="82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77" w:type="dxa"/>
          </w:tcPr>
          <w:p>
            <w:pPr>
              <w:pStyle w:val="16"/>
              <w:spacing w:before="213"/>
              <w:ind w:left="65" w:right="20"/>
              <w:jc w:val="center"/>
              <w:rPr>
                <w:sz w:val="21"/>
              </w:rPr>
            </w:pPr>
            <w:r>
              <w:rPr>
                <w:spacing w:val="-10"/>
                <w:sz w:val="21"/>
              </w:rPr>
              <w:t>7</w:t>
            </w:r>
          </w:p>
        </w:tc>
        <w:tc>
          <w:tcPr>
            <w:tcW w:w="1266" w:type="dxa"/>
          </w:tcPr>
          <w:p>
            <w:pPr>
              <w:pStyle w:val="16"/>
              <w:rPr>
                <w:rFonts w:ascii="Times New Roman"/>
                <w:sz w:val="22"/>
              </w:rPr>
            </w:pPr>
          </w:p>
        </w:tc>
        <w:tc>
          <w:tcPr>
            <w:tcW w:w="1294" w:type="dxa"/>
          </w:tcPr>
          <w:p>
            <w:pPr>
              <w:pStyle w:val="16"/>
              <w:rPr>
                <w:rFonts w:ascii="Times New Roman"/>
                <w:sz w:val="22"/>
              </w:rPr>
            </w:pPr>
          </w:p>
        </w:tc>
        <w:tc>
          <w:tcPr>
            <w:tcW w:w="1079" w:type="dxa"/>
          </w:tcPr>
          <w:p>
            <w:pPr>
              <w:pStyle w:val="16"/>
              <w:rPr>
                <w:rFonts w:ascii="Times New Roman"/>
                <w:sz w:val="22"/>
              </w:rPr>
            </w:pPr>
          </w:p>
        </w:tc>
        <w:tc>
          <w:tcPr>
            <w:tcW w:w="803" w:type="dxa"/>
          </w:tcPr>
          <w:p>
            <w:pPr>
              <w:pStyle w:val="16"/>
              <w:rPr>
                <w:rFonts w:ascii="Times New Roman"/>
                <w:sz w:val="22"/>
              </w:rPr>
            </w:pPr>
          </w:p>
        </w:tc>
        <w:tc>
          <w:tcPr>
            <w:tcW w:w="1858" w:type="dxa"/>
          </w:tcPr>
          <w:p>
            <w:pPr>
              <w:pStyle w:val="16"/>
              <w:rPr>
                <w:rFonts w:ascii="Times New Roman"/>
                <w:sz w:val="22"/>
              </w:rPr>
            </w:pPr>
          </w:p>
        </w:tc>
        <w:tc>
          <w:tcPr>
            <w:tcW w:w="1354" w:type="dxa"/>
          </w:tcPr>
          <w:p>
            <w:pPr>
              <w:pStyle w:val="16"/>
              <w:rPr>
                <w:rFonts w:ascii="Times New Roman"/>
                <w:sz w:val="22"/>
              </w:rPr>
            </w:pPr>
          </w:p>
        </w:tc>
        <w:tc>
          <w:tcPr>
            <w:tcW w:w="82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777" w:type="dxa"/>
          </w:tcPr>
          <w:p>
            <w:pPr>
              <w:pStyle w:val="16"/>
              <w:spacing w:before="212"/>
              <w:ind w:left="65" w:right="24"/>
              <w:jc w:val="center"/>
              <w:rPr>
                <w:sz w:val="21"/>
              </w:rPr>
            </w:pPr>
            <w:r>
              <w:rPr>
                <w:spacing w:val="-10"/>
                <w:sz w:val="21"/>
              </w:rPr>
              <w:t>8</w:t>
            </w:r>
          </w:p>
        </w:tc>
        <w:tc>
          <w:tcPr>
            <w:tcW w:w="1266" w:type="dxa"/>
          </w:tcPr>
          <w:p>
            <w:pPr>
              <w:pStyle w:val="16"/>
              <w:rPr>
                <w:rFonts w:ascii="Times New Roman"/>
                <w:sz w:val="22"/>
              </w:rPr>
            </w:pPr>
          </w:p>
        </w:tc>
        <w:tc>
          <w:tcPr>
            <w:tcW w:w="1294" w:type="dxa"/>
          </w:tcPr>
          <w:p>
            <w:pPr>
              <w:pStyle w:val="16"/>
              <w:rPr>
                <w:rFonts w:ascii="Times New Roman"/>
                <w:sz w:val="22"/>
              </w:rPr>
            </w:pPr>
          </w:p>
        </w:tc>
        <w:tc>
          <w:tcPr>
            <w:tcW w:w="1079" w:type="dxa"/>
          </w:tcPr>
          <w:p>
            <w:pPr>
              <w:pStyle w:val="16"/>
              <w:rPr>
                <w:rFonts w:ascii="Times New Roman"/>
                <w:sz w:val="22"/>
              </w:rPr>
            </w:pPr>
          </w:p>
        </w:tc>
        <w:tc>
          <w:tcPr>
            <w:tcW w:w="803" w:type="dxa"/>
          </w:tcPr>
          <w:p>
            <w:pPr>
              <w:pStyle w:val="16"/>
              <w:rPr>
                <w:rFonts w:ascii="Times New Roman"/>
                <w:sz w:val="22"/>
              </w:rPr>
            </w:pPr>
          </w:p>
        </w:tc>
        <w:tc>
          <w:tcPr>
            <w:tcW w:w="1858" w:type="dxa"/>
          </w:tcPr>
          <w:p>
            <w:pPr>
              <w:pStyle w:val="16"/>
              <w:rPr>
                <w:rFonts w:ascii="Times New Roman"/>
                <w:sz w:val="22"/>
              </w:rPr>
            </w:pPr>
          </w:p>
        </w:tc>
        <w:tc>
          <w:tcPr>
            <w:tcW w:w="1354" w:type="dxa"/>
          </w:tcPr>
          <w:p>
            <w:pPr>
              <w:pStyle w:val="16"/>
              <w:rPr>
                <w:rFonts w:ascii="Times New Roman"/>
                <w:sz w:val="22"/>
              </w:rPr>
            </w:pPr>
          </w:p>
        </w:tc>
        <w:tc>
          <w:tcPr>
            <w:tcW w:w="82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77" w:type="dxa"/>
          </w:tcPr>
          <w:p>
            <w:pPr>
              <w:pStyle w:val="16"/>
              <w:spacing w:before="215"/>
              <w:ind w:left="65" w:right="24"/>
              <w:jc w:val="center"/>
              <w:rPr>
                <w:sz w:val="21"/>
              </w:rPr>
            </w:pPr>
            <w:r>
              <w:rPr>
                <w:spacing w:val="-10"/>
                <w:sz w:val="21"/>
              </w:rPr>
              <w:t>9</w:t>
            </w:r>
          </w:p>
        </w:tc>
        <w:tc>
          <w:tcPr>
            <w:tcW w:w="1266" w:type="dxa"/>
          </w:tcPr>
          <w:p>
            <w:pPr>
              <w:pStyle w:val="16"/>
              <w:rPr>
                <w:rFonts w:ascii="Times New Roman"/>
                <w:sz w:val="22"/>
              </w:rPr>
            </w:pPr>
          </w:p>
        </w:tc>
        <w:tc>
          <w:tcPr>
            <w:tcW w:w="1294" w:type="dxa"/>
          </w:tcPr>
          <w:p>
            <w:pPr>
              <w:pStyle w:val="16"/>
              <w:rPr>
                <w:rFonts w:ascii="Times New Roman"/>
                <w:sz w:val="22"/>
              </w:rPr>
            </w:pPr>
          </w:p>
        </w:tc>
        <w:tc>
          <w:tcPr>
            <w:tcW w:w="1079" w:type="dxa"/>
          </w:tcPr>
          <w:p>
            <w:pPr>
              <w:pStyle w:val="16"/>
              <w:rPr>
                <w:rFonts w:ascii="Times New Roman"/>
                <w:sz w:val="22"/>
              </w:rPr>
            </w:pPr>
          </w:p>
        </w:tc>
        <w:tc>
          <w:tcPr>
            <w:tcW w:w="803" w:type="dxa"/>
          </w:tcPr>
          <w:p>
            <w:pPr>
              <w:pStyle w:val="16"/>
              <w:rPr>
                <w:rFonts w:ascii="Times New Roman"/>
                <w:sz w:val="22"/>
              </w:rPr>
            </w:pPr>
          </w:p>
        </w:tc>
        <w:tc>
          <w:tcPr>
            <w:tcW w:w="1858" w:type="dxa"/>
          </w:tcPr>
          <w:p>
            <w:pPr>
              <w:pStyle w:val="16"/>
              <w:rPr>
                <w:rFonts w:ascii="Times New Roman"/>
                <w:sz w:val="22"/>
              </w:rPr>
            </w:pPr>
          </w:p>
        </w:tc>
        <w:tc>
          <w:tcPr>
            <w:tcW w:w="1354" w:type="dxa"/>
          </w:tcPr>
          <w:p>
            <w:pPr>
              <w:pStyle w:val="16"/>
              <w:rPr>
                <w:rFonts w:ascii="Times New Roman"/>
                <w:sz w:val="22"/>
              </w:rPr>
            </w:pPr>
          </w:p>
        </w:tc>
        <w:tc>
          <w:tcPr>
            <w:tcW w:w="820"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777" w:type="dxa"/>
          </w:tcPr>
          <w:p>
            <w:pPr>
              <w:pStyle w:val="16"/>
              <w:spacing w:before="220"/>
              <w:ind w:left="65" w:right="5"/>
              <w:jc w:val="center"/>
              <w:rPr>
                <w:sz w:val="21"/>
              </w:rPr>
            </w:pPr>
            <w:r>
              <w:rPr>
                <w:spacing w:val="-5"/>
                <w:sz w:val="21"/>
              </w:rPr>
              <w:t>10</w:t>
            </w:r>
          </w:p>
        </w:tc>
        <w:tc>
          <w:tcPr>
            <w:tcW w:w="1266" w:type="dxa"/>
          </w:tcPr>
          <w:p>
            <w:pPr>
              <w:pStyle w:val="16"/>
              <w:rPr>
                <w:rFonts w:ascii="Times New Roman"/>
                <w:sz w:val="22"/>
              </w:rPr>
            </w:pPr>
          </w:p>
        </w:tc>
        <w:tc>
          <w:tcPr>
            <w:tcW w:w="1294" w:type="dxa"/>
          </w:tcPr>
          <w:p>
            <w:pPr>
              <w:pStyle w:val="16"/>
              <w:rPr>
                <w:rFonts w:ascii="Times New Roman"/>
                <w:sz w:val="22"/>
              </w:rPr>
            </w:pPr>
          </w:p>
        </w:tc>
        <w:tc>
          <w:tcPr>
            <w:tcW w:w="1079" w:type="dxa"/>
          </w:tcPr>
          <w:p>
            <w:pPr>
              <w:pStyle w:val="16"/>
              <w:rPr>
                <w:rFonts w:ascii="Times New Roman"/>
                <w:sz w:val="22"/>
              </w:rPr>
            </w:pPr>
          </w:p>
        </w:tc>
        <w:tc>
          <w:tcPr>
            <w:tcW w:w="803" w:type="dxa"/>
          </w:tcPr>
          <w:p>
            <w:pPr>
              <w:pStyle w:val="16"/>
              <w:rPr>
                <w:rFonts w:ascii="Times New Roman"/>
                <w:sz w:val="22"/>
              </w:rPr>
            </w:pPr>
          </w:p>
        </w:tc>
        <w:tc>
          <w:tcPr>
            <w:tcW w:w="1858" w:type="dxa"/>
          </w:tcPr>
          <w:p>
            <w:pPr>
              <w:pStyle w:val="16"/>
              <w:rPr>
                <w:rFonts w:ascii="Times New Roman"/>
                <w:sz w:val="22"/>
              </w:rPr>
            </w:pPr>
          </w:p>
        </w:tc>
        <w:tc>
          <w:tcPr>
            <w:tcW w:w="1354" w:type="dxa"/>
          </w:tcPr>
          <w:p>
            <w:pPr>
              <w:pStyle w:val="16"/>
              <w:rPr>
                <w:rFonts w:ascii="Times New Roman"/>
                <w:sz w:val="22"/>
              </w:rPr>
            </w:pPr>
          </w:p>
        </w:tc>
        <w:tc>
          <w:tcPr>
            <w:tcW w:w="820" w:type="dxa"/>
          </w:tcPr>
          <w:p>
            <w:pPr>
              <w:pStyle w:val="16"/>
              <w:rPr>
                <w:rFonts w:ascii="Times New Roman"/>
                <w:sz w:val="22"/>
              </w:rPr>
            </w:pPr>
          </w:p>
        </w:tc>
      </w:tr>
    </w:tbl>
    <w:p>
      <w:pPr>
        <w:spacing w:after="0"/>
        <w:rPr>
          <w:rFonts w:ascii="Times New Roman"/>
          <w:sz w:val="22"/>
        </w:rPr>
        <w:sectPr>
          <w:pgSz w:w="11910" w:h="16840"/>
          <w:pgMar w:top="1100" w:right="720" w:bottom="1400" w:left="920" w:header="916" w:footer="1211" w:gutter="0"/>
          <w:pgNumType w:fmt="numberInDash"/>
          <w:cols w:space="720" w:num="1"/>
        </w:sectPr>
      </w:pPr>
    </w:p>
    <w:p>
      <w:pPr>
        <w:pStyle w:val="9"/>
        <w:spacing w:before="24"/>
        <w:rPr>
          <w:b/>
          <w:sz w:val="32"/>
        </w:rPr>
      </w:pPr>
    </w:p>
    <w:p>
      <w:pPr>
        <w:pStyle w:val="4"/>
      </w:pPr>
      <w:r>
        <w:rPr>
          <w:spacing w:val="-12"/>
        </w:rPr>
        <w:t>九、技术响应偏离表</w:t>
      </w:r>
    </w:p>
    <w:p>
      <w:pPr>
        <w:pStyle w:val="9"/>
        <w:spacing w:before="278"/>
        <w:ind w:left="891"/>
      </w:pPr>
      <w:r>
        <w:rPr>
          <w:spacing w:val="-9"/>
        </w:rPr>
        <w:t>项目名称：</w:t>
      </w:r>
    </w:p>
    <w:p>
      <w:pPr>
        <w:pStyle w:val="9"/>
        <w:spacing w:before="151"/>
        <w:ind w:left="891"/>
      </w:pPr>
      <w:r>
        <w:rPr>
          <w:spacing w:val="-7"/>
        </w:rPr>
        <w:t>项目编号/包号：</w:t>
      </w:r>
    </w:p>
    <w:p>
      <w:pPr>
        <w:pStyle w:val="9"/>
        <w:spacing w:before="1"/>
        <w:rPr>
          <w:sz w:val="5"/>
        </w:rPr>
      </w:pPr>
    </w:p>
    <w:tbl>
      <w:tblPr>
        <w:tblStyle w:val="12"/>
        <w:tblW w:w="0" w:type="auto"/>
        <w:tblInd w:w="7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1973"/>
        <w:gridCol w:w="1756"/>
        <w:gridCol w:w="2154"/>
        <w:gridCol w:w="1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97" w:type="dxa"/>
          </w:tcPr>
          <w:p>
            <w:pPr>
              <w:pStyle w:val="16"/>
              <w:spacing w:before="219"/>
              <w:ind w:left="67" w:right="16"/>
              <w:jc w:val="center"/>
              <w:rPr>
                <w:sz w:val="21"/>
              </w:rPr>
            </w:pPr>
            <w:r>
              <w:rPr>
                <w:spacing w:val="-9"/>
                <w:sz w:val="21"/>
              </w:rPr>
              <w:t>序号</w:t>
            </w:r>
          </w:p>
        </w:tc>
        <w:tc>
          <w:tcPr>
            <w:tcW w:w="1973" w:type="dxa"/>
          </w:tcPr>
          <w:p>
            <w:pPr>
              <w:pStyle w:val="16"/>
              <w:spacing w:before="80" w:line="256" w:lineRule="auto"/>
              <w:ind w:left="575" w:right="360" w:hanging="209"/>
              <w:rPr>
                <w:sz w:val="21"/>
              </w:rPr>
            </w:pPr>
            <w:r>
              <w:rPr>
                <w:spacing w:val="-6"/>
                <w:sz w:val="21"/>
              </w:rPr>
              <w:t>招标文件技术</w:t>
            </w:r>
            <w:r>
              <w:rPr>
                <w:spacing w:val="-4"/>
                <w:sz w:val="21"/>
              </w:rPr>
              <w:t>要求条款</w:t>
            </w:r>
          </w:p>
        </w:tc>
        <w:tc>
          <w:tcPr>
            <w:tcW w:w="1756" w:type="dxa"/>
          </w:tcPr>
          <w:p>
            <w:pPr>
              <w:pStyle w:val="16"/>
              <w:spacing w:before="80" w:line="256" w:lineRule="auto"/>
              <w:ind w:left="467" w:right="253" w:hanging="207"/>
              <w:rPr>
                <w:sz w:val="21"/>
              </w:rPr>
            </w:pPr>
            <w:r>
              <w:rPr>
                <w:spacing w:val="-8"/>
                <w:sz w:val="21"/>
              </w:rPr>
              <w:t>投标文件内容</w:t>
            </w:r>
            <w:r>
              <w:rPr>
                <w:spacing w:val="-4"/>
                <w:sz w:val="21"/>
              </w:rPr>
              <w:t>对应简述</w:t>
            </w:r>
          </w:p>
        </w:tc>
        <w:tc>
          <w:tcPr>
            <w:tcW w:w="2154" w:type="dxa"/>
          </w:tcPr>
          <w:p>
            <w:pPr>
              <w:pStyle w:val="16"/>
              <w:spacing w:before="219"/>
              <w:ind w:left="74"/>
              <w:jc w:val="center"/>
              <w:rPr>
                <w:sz w:val="21"/>
              </w:rPr>
            </w:pPr>
            <w:r>
              <w:rPr>
                <w:spacing w:val="-16"/>
                <w:sz w:val="21"/>
              </w:rPr>
              <w:t>响应情况</w:t>
            </w:r>
          </w:p>
        </w:tc>
        <w:tc>
          <w:tcPr>
            <w:tcW w:w="1938" w:type="dxa"/>
          </w:tcPr>
          <w:p>
            <w:pPr>
              <w:pStyle w:val="16"/>
              <w:spacing w:before="216"/>
              <w:ind w:left="248"/>
              <w:rPr>
                <w:sz w:val="21"/>
              </w:rPr>
            </w:pPr>
            <w:r>
              <w:rPr>
                <w:spacing w:val="-11"/>
                <w:sz w:val="21"/>
              </w:rPr>
              <w:t>证明资料及索引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697" w:type="dxa"/>
          </w:tcPr>
          <w:p>
            <w:pPr>
              <w:pStyle w:val="16"/>
              <w:spacing w:before="213"/>
              <w:ind w:left="67"/>
              <w:jc w:val="center"/>
              <w:rPr>
                <w:sz w:val="21"/>
              </w:rPr>
            </w:pPr>
            <w:r>
              <w:rPr>
                <w:spacing w:val="-10"/>
                <w:sz w:val="21"/>
              </w:rPr>
              <w:t>1</w:t>
            </w:r>
          </w:p>
        </w:tc>
        <w:tc>
          <w:tcPr>
            <w:tcW w:w="1973" w:type="dxa"/>
          </w:tcPr>
          <w:p>
            <w:pPr>
              <w:pStyle w:val="16"/>
              <w:spacing w:before="247"/>
              <w:ind w:left="45" w:right="21"/>
              <w:jc w:val="center"/>
              <w:rPr>
                <w:sz w:val="21"/>
              </w:rPr>
            </w:pPr>
            <w:r>
              <w:rPr>
                <w:spacing w:val="-2"/>
                <w:sz w:val="21"/>
              </w:rPr>
              <w:t>********</w:t>
            </w:r>
          </w:p>
        </w:tc>
        <w:tc>
          <w:tcPr>
            <w:tcW w:w="1756" w:type="dxa"/>
          </w:tcPr>
          <w:p>
            <w:pPr>
              <w:pStyle w:val="16"/>
              <w:spacing w:before="247"/>
              <w:ind w:left="48" w:right="16"/>
              <w:jc w:val="center"/>
              <w:rPr>
                <w:sz w:val="21"/>
              </w:rPr>
            </w:pPr>
            <w:r>
              <w:rPr>
                <w:spacing w:val="-2"/>
                <w:sz w:val="21"/>
              </w:rPr>
              <w:t>******</w:t>
            </w:r>
          </w:p>
        </w:tc>
        <w:tc>
          <w:tcPr>
            <w:tcW w:w="2154" w:type="dxa"/>
          </w:tcPr>
          <w:p>
            <w:pPr>
              <w:pStyle w:val="16"/>
              <w:spacing w:before="213"/>
              <w:ind w:left="74" w:right="26"/>
              <w:jc w:val="center"/>
              <w:rPr>
                <w:sz w:val="21"/>
              </w:rPr>
            </w:pPr>
            <w:r>
              <w:rPr>
                <w:spacing w:val="-10"/>
                <w:sz w:val="21"/>
              </w:rPr>
              <w:t>响应/正偏离/负偏离</w:t>
            </w:r>
          </w:p>
        </w:tc>
        <w:tc>
          <w:tcPr>
            <w:tcW w:w="193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697" w:type="dxa"/>
          </w:tcPr>
          <w:p>
            <w:pPr>
              <w:pStyle w:val="16"/>
              <w:spacing w:before="217"/>
              <w:ind w:left="67" w:right="24"/>
              <w:jc w:val="center"/>
              <w:rPr>
                <w:sz w:val="21"/>
              </w:rPr>
            </w:pPr>
            <w:r>
              <w:rPr>
                <w:spacing w:val="-10"/>
                <w:sz w:val="21"/>
              </w:rPr>
              <w:t>2</w:t>
            </w:r>
          </w:p>
        </w:tc>
        <w:tc>
          <w:tcPr>
            <w:tcW w:w="1973" w:type="dxa"/>
          </w:tcPr>
          <w:p>
            <w:pPr>
              <w:pStyle w:val="16"/>
              <w:spacing w:before="248"/>
              <w:ind w:left="45" w:right="21"/>
              <w:jc w:val="center"/>
              <w:rPr>
                <w:sz w:val="21"/>
              </w:rPr>
            </w:pPr>
            <w:r>
              <w:rPr>
                <w:spacing w:val="-2"/>
                <w:sz w:val="21"/>
              </w:rPr>
              <w:t>********</w:t>
            </w:r>
          </w:p>
        </w:tc>
        <w:tc>
          <w:tcPr>
            <w:tcW w:w="1756" w:type="dxa"/>
          </w:tcPr>
          <w:p>
            <w:pPr>
              <w:pStyle w:val="16"/>
              <w:spacing w:before="248"/>
              <w:ind w:left="48" w:right="16"/>
              <w:jc w:val="center"/>
              <w:rPr>
                <w:sz w:val="21"/>
              </w:rPr>
            </w:pPr>
            <w:r>
              <w:rPr>
                <w:spacing w:val="-2"/>
                <w:sz w:val="21"/>
              </w:rPr>
              <w:t>******</w:t>
            </w:r>
          </w:p>
        </w:tc>
        <w:tc>
          <w:tcPr>
            <w:tcW w:w="2154" w:type="dxa"/>
          </w:tcPr>
          <w:p>
            <w:pPr>
              <w:pStyle w:val="16"/>
              <w:spacing w:before="217"/>
              <w:ind w:left="74" w:right="26"/>
              <w:jc w:val="center"/>
              <w:rPr>
                <w:sz w:val="21"/>
              </w:rPr>
            </w:pPr>
            <w:r>
              <w:rPr>
                <w:spacing w:val="-10"/>
                <w:sz w:val="21"/>
              </w:rPr>
              <w:t>响应/正偏离/负偏离</w:t>
            </w:r>
          </w:p>
        </w:tc>
        <w:tc>
          <w:tcPr>
            <w:tcW w:w="193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97" w:type="dxa"/>
          </w:tcPr>
          <w:p>
            <w:pPr>
              <w:pStyle w:val="16"/>
              <w:rPr>
                <w:rFonts w:ascii="Times New Roman"/>
                <w:sz w:val="20"/>
              </w:rPr>
            </w:pPr>
          </w:p>
        </w:tc>
        <w:tc>
          <w:tcPr>
            <w:tcW w:w="1973" w:type="dxa"/>
          </w:tcPr>
          <w:p>
            <w:pPr>
              <w:pStyle w:val="16"/>
              <w:rPr>
                <w:rFonts w:ascii="Times New Roman"/>
                <w:sz w:val="20"/>
              </w:rPr>
            </w:pPr>
          </w:p>
        </w:tc>
        <w:tc>
          <w:tcPr>
            <w:tcW w:w="1756" w:type="dxa"/>
          </w:tcPr>
          <w:p>
            <w:pPr>
              <w:pStyle w:val="16"/>
              <w:rPr>
                <w:rFonts w:ascii="Times New Roman"/>
                <w:sz w:val="20"/>
              </w:rPr>
            </w:pPr>
          </w:p>
        </w:tc>
        <w:tc>
          <w:tcPr>
            <w:tcW w:w="2154" w:type="dxa"/>
          </w:tcPr>
          <w:p>
            <w:pPr>
              <w:pStyle w:val="16"/>
              <w:rPr>
                <w:rFonts w:ascii="Times New Roman"/>
                <w:sz w:val="20"/>
              </w:rPr>
            </w:pPr>
          </w:p>
        </w:tc>
        <w:tc>
          <w:tcPr>
            <w:tcW w:w="193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7" w:type="dxa"/>
          </w:tcPr>
          <w:p>
            <w:pPr>
              <w:pStyle w:val="16"/>
              <w:rPr>
                <w:rFonts w:ascii="Times New Roman"/>
                <w:sz w:val="20"/>
              </w:rPr>
            </w:pPr>
          </w:p>
        </w:tc>
        <w:tc>
          <w:tcPr>
            <w:tcW w:w="1973" w:type="dxa"/>
          </w:tcPr>
          <w:p>
            <w:pPr>
              <w:pStyle w:val="16"/>
              <w:rPr>
                <w:rFonts w:ascii="Times New Roman"/>
                <w:sz w:val="20"/>
              </w:rPr>
            </w:pPr>
          </w:p>
        </w:tc>
        <w:tc>
          <w:tcPr>
            <w:tcW w:w="1756" w:type="dxa"/>
          </w:tcPr>
          <w:p>
            <w:pPr>
              <w:pStyle w:val="16"/>
              <w:rPr>
                <w:rFonts w:ascii="Times New Roman"/>
                <w:sz w:val="20"/>
              </w:rPr>
            </w:pPr>
          </w:p>
        </w:tc>
        <w:tc>
          <w:tcPr>
            <w:tcW w:w="2154" w:type="dxa"/>
          </w:tcPr>
          <w:p>
            <w:pPr>
              <w:pStyle w:val="16"/>
              <w:rPr>
                <w:rFonts w:ascii="Times New Roman"/>
                <w:sz w:val="20"/>
              </w:rPr>
            </w:pPr>
          </w:p>
        </w:tc>
        <w:tc>
          <w:tcPr>
            <w:tcW w:w="193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97" w:type="dxa"/>
          </w:tcPr>
          <w:p>
            <w:pPr>
              <w:pStyle w:val="16"/>
              <w:rPr>
                <w:rFonts w:ascii="Times New Roman"/>
                <w:sz w:val="20"/>
              </w:rPr>
            </w:pPr>
          </w:p>
        </w:tc>
        <w:tc>
          <w:tcPr>
            <w:tcW w:w="1973" w:type="dxa"/>
          </w:tcPr>
          <w:p>
            <w:pPr>
              <w:pStyle w:val="16"/>
              <w:rPr>
                <w:rFonts w:ascii="Times New Roman"/>
                <w:sz w:val="20"/>
              </w:rPr>
            </w:pPr>
          </w:p>
        </w:tc>
        <w:tc>
          <w:tcPr>
            <w:tcW w:w="1756" w:type="dxa"/>
          </w:tcPr>
          <w:p>
            <w:pPr>
              <w:pStyle w:val="16"/>
              <w:rPr>
                <w:rFonts w:ascii="Times New Roman"/>
                <w:sz w:val="20"/>
              </w:rPr>
            </w:pPr>
          </w:p>
        </w:tc>
        <w:tc>
          <w:tcPr>
            <w:tcW w:w="2154" w:type="dxa"/>
          </w:tcPr>
          <w:p>
            <w:pPr>
              <w:pStyle w:val="16"/>
              <w:rPr>
                <w:rFonts w:ascii="Times New Roman"/>
                <w:sz w:val="20"/>
              </w:rPr>
            </w:pPr>
          </w:p>
        </w:tc>
        <w:tc>
          <w:tcPr>
            <w:tcW w:w="193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97" w:type="dxa"/>
          </w:tcPr>
          <w:p>
            <w:pPr>
              <w:pStyle w:val="16"/>
              <w:rPr>
                <w:rFonts w:ascii="Times New Roman"/>
                <w:sz w:val="20"/>
              </w:rPr>
            </w:pPr>
          </w:p>
        </w:tc>
        <w:tc>
          <w:tcPr>
            <w:tcW w:w="1973" w:type="dxa"/>
          </w:tcPr>
          <w:p>
            <w:pPr>
              <w:pStyle w:val="16"/>
              <w:rPr>
                <w:rFonts w:ascii="Times New Roman"/>
                <w:sz w:val="20"/>
              </w:rPr>
            </w:pPr>
          </w:p>
        </w:tc>
        <w:tc>
          <w:tcPr>
            <w:tcW w:w="1756" w:type="dxa"/>
          </w:tcPr>
          <w:p>
            <w:pPr>
              <w:pStyle w:val="16"/>
              <w:rPr>
                <w:rFonts w:ascii="Times New Roman"/>
                <w:sz w:val="20"/>
              </w:rPr>
            </w:pPr>
          </w:p>
        </w:tc>
        <w:tc>
          <w:tcPr>
            <w:tcW w:w="2154" w:type="dxa"/>
          </w:tcPr>
          <w:p>
            <w:pPr>
              <w:pStyle w:val="16"/>
              <w:rPr>
                <w:rFonts w:ascii="Times New Roman"/>
                <w:sz w:val="20"/>
              </w:rPr>
            </w:pPr>
          </w:p>
        </w:tc>
        <w:tc>
          <w:tcPr>
            <w:tcW w:w="193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97" w:type="dxa"/>
          </w:tcPr>
          <w:p>
            <w:pPr>
              <w:pStyle w:val="16"/>
              <w:rPr>
                <w:rFonts w:ascii="Times New Roman"/>
                <w:sz w:val="20"/>
              </w:rPr>
            </w:pPr>
          </w:p>
        </w:tc>
        <w:tc>
          <w:tcPr>
            <w:tcW w:w="1973" w:type="dxa"/>
          </w:tcPr>
          <w:p>
            <w:pPr>
              <w:pStyle w:val="16"/>
              <w:rPr>
                <w:rFonts w:ascii="Times New Roman"/>
                <w:sz w:val="20"/>
              </w:rPr>
            </w:pPr>
          </w:p>
        </w:tc>
        <w:tc>
          <w:tcPr>
            <w:tcW w:w="1756" w:type="dxa"/>
          </w:tcPr>
          <w:p>
            <w:pPr>
              <w:pStyle w:val="16"/>
              <w:rPr>
                <w:rFonts w:ascii="Times New Roman"/>
                <w:sz w:val="20"/>
              </w:rPr>
            </w:pPr>
          </w:p>
        </w:tc>
        <w:tc>
          <w:tcPr>
            <w:tcW w:w="2154" w:type="dxa"/>
          </w:tcPr>
          <w:p>
            <w:pPr>
              <w:pStyle w:val="16"/>
              <w:rPr>
                <w:rFonts w:ascii="Times New Roman"/>
                <w:sz w:val="20"/>
              </w:rPr>
            </w:pPr>
          </w:p>
        </w:tc>
        <w:tc>
          <w:tcPr>
            <w:tcW w:w="193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97" w:type="dxa"/>
          </w:tcPr>
          <w:p>
            <w:pPr>
              <w:pStyle w:val="16"/>
              <w:rPr>
                <w:rFonts w:ascii="Times New Roman"/>
                <w:sz w:val="20"/>
              </w:rPr>
            </w:pPr>
          </w:p>
        </w:tc>
        <w:tc>
          <w:tcPr>
            <w:tcW w:w="1973" w:type="dxa"/>
          </w:tcPr>
          <w:p>
            <w:pPr>
              <w:pStyle w:val="16"/>
              <w:rPr>
                <w:rFonts w:ascii="Times New Roman"/>
                <w:sz w:val="20"/>
              </w:rPr>
            </w:pPr>
          </w:p>
        </w:tc>
        <w:tc>
          <w:tcPr>
            <w:tcW w:w="1756" w:type="dxa"/>
          </w:tcPr>
          <w:p>
            <w:pPr>
              <w:pStyle w:val="16"/>
              <w:rPr>
                <w:rFonts w:ascii="Times New Roman"/>
                <w:sz w:val="20"/>
              </w:rPr>
            </w:pPr>
          </w:p>
        </w:tc>
        <w:tc>
          <w:tcPr>
            <w:tcW w:w="2154" w:type="dxa"/>
          </w:tcPr>
          <w:p>
            <w:pPr>
              <w:pStyle w:val="16"/>
              <w:rPr>
                <w:rFonts w:ascii="Times New Roman"/>
                <w:sz w:val="20"/>
              </w:rPr>
            </w:pPr>
          </w:p>
        </w:tc>
        <w:tc>
          <w:tcPr>
            <w:tcW w:w="193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97" w:type="dxa"/>
          </w:tcPr>
          <w:p>
            <w:pPr>
              <w:pStyle w:val="16"/>
              <w:rPr>
                <w:rFonts w:ascii="Times New Roman"/>
                <w:sz w:val="20"/>
              </w:rPr>
            </w:pPr>
          </w:p>
        </w:tc>
        <w:tc>
          <w:tcPr>
            <w:tcW w:w="1973" w:type="dxa"/>
          </w:tcPr>
          <w:p>
            <w:pPr>
              <w:pStyle w:val="16"/>
              <w:rPr>
                <w:rFonts w:ascii="Times New Roman"/>
                <w:sz w:val="20"/>
              </w:rPr>
            </w:pPr>
          </w:p>
        </w:tc>
        <w:tc>
          <w:tcPr>
            <w:tcW w:w="1756" w:type="dxa"/>
          </w:tcPr>
          <w:p>
            <w:pPr>
              <w:pStyle w:val="16"/>
              <w:rPr>
                <w:rFonts w:ascii="Times New Roman"/>
                <w:sz w:val="20"/>
              </w:rPr>
            </w:pPr>
          </w:p>
        </w:tc>
        <w:tc>
          <w:tcPr>
            <w:tcW w:w="2154" w:type="dxa"/>
          </w:tcPr>
          <w:p>
            <w:pPr>
              <w:pStyle w:val="16"/>
              <w:rPr>
                <w:rFonts w:ascii="Times New Roman"/>
                <w:sz w:val="20"/>
              </w:rPr>
            </w:pPr>
          </w:p>
        </w:tc>
        <w:tc>
          <w:tcPr>
            <w:tcW w:w="193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97" w:type="dxa"/>
          </w:tcPr>
          <w:p>
            <w:pPr>
              <w:pStyle w:val="16"/>
              <w:rPr>
                <w:rFonts w:ascii="Times New Roman"/>
                <w:sz w:val="20"/>
              </w:rPr>
            </w:pPr>
          </w:p>
        </w:tc>
        <w:tc>
          <w:tcPr>
            <w:tcW w:w="1973" w:type="dxa"/>
          </w:tcPr>
          <w:p>
            <w:pPr>
              <w:pStyle w:val="16"/>
              <w:rPr>
                <w:rFonts w:ascii="Times New Roman"/>
                <w:sz w:val="20"/>
              </w:rPr>
            </w:pPr>
          </w:p>
        </w:tc>
        <w:tc>
          <w:tcPr>
            <w:tcW w:w="1756" w:type="dxa"/>
          </w:tcPr>
          <w:p>
            <w:pPr>
              <w:pStyle w:val="16"/>
              <w:rPr>
                <w:rFonts w:ascii="Times New Roman"/>
                <w:sz w:val="20"/>
              </w:rPr>
            </w:pPr>
          </w:p>
        </w:tc>
        <w:tc>
          <w:tcPr>
            <w:tcW w:w="2154" w:type="dxa"/>
          </w:tcPr>
          <w:p>
            <w:pPr>
              <w:pStyle w:val="16"/>
              <w:rPr>
                <w:rFonts w:ascii="Times New Roman"/>
                <w:sz w:val="20"/>
              </w:rPr>
            </w:pPr>
          </w:p>
        </w:tc>
        <w:tc>
          <w:tcPr>
            <w:tcW w:w="193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97" w:type="dxa"/>
          </w:tcPr>
          <w:p>
            <w:pPr>
              <w:pStyle w:val="16"/>
              <w:spacing w:before="159"/>
              <w:ind w:left="67" w:right="11"/>
              <w:jc w:val="center"/>
              <w:rPr>
                <w:sz w:val="21"/>
              </w:rPr>
            </w:pPr>
            <w:r>
              <w:rPr>
                <w:spacing w:val="-5"/>
                <w:sz w:val="21"/>
              </w:rPr>
              <w:t>……</w:t>
            </w:r>
          </w:p>
        </w:tc>
        <w:tc>
          <w:tcPr>
            <w:tcW w:w="1973" w:type="dxa"/>
          </w:tcPr>
          <w:p>
            <w:pPr>
              <w:pStyle w:val="16"/>
              <w:spacing w:before="159"/>
              <w:ind w:left="45"/>
              <w:jc w:val="center"/>
              <w:rPr>
                <w:sz w:val="21"/>
              </w:rPr>
            </w:pPr>
            <w:r>
              <w:rPr>
                <w:spacing w:val="-4"/>
                <w:sz w:val="21"/>
              </w:rPr>
              <w:t>…………</w:t>
            </w:r>
          </w:p>
        </w:tc>
        <w:tc>
          <w:tcPr>
            <w:tcW w:w="1756" w:type="dxa"/>
          </w:tcPr>
          <w:p>
            <w:pPr>
              <w:pStyle w:val="16"/>
              <w:spacing w:before="159"/>
              <w:ind w:left="48"/>
              <w:jc w:val="center"/>
              <w:rPr>
                <w:sz w:val="21"/>
              </w:rPr>
            </w:pPr>
            <w:r>
              <w:rPr>
                <w:spacing w:val="-2"/>
                <w:sz w:val="21"/>
              </w:rPr>
              <w:t>………………</w:t>
            </w:r>
          </w:p>
        </w:tc>
        <w:tc>
          <w:tcPr>
            <w:tcW w:w="2154" w:type="dxa"/>
          </w:tcPr>
          <w:p>
            <w:pPr>
              <w:pStyle w:val="16"/>
              <w:spacing w:before="159"/>
              <w:ind w:left="74" w:right="17"/>
              <w:jc w:val="center"/>
              <w:rPr>
                <w:sz w:val="21"/>
              </w:rPr>
            </w:pPr>
            <w:r>
              <w:rPr>
                <w:spacing w:val="-4"/>
                <w:sz w:val="21"/>
              </w:rPr>
              <w:t>…………</w:t>
            </w:r>
          </w:p>
        </w:tc>
        <w:tc>
          <w:tcPr>
            <w:tcW w:w="1938" w:type="dxa"/>
          </w:tcPr>
          <w:p>
            <w:pPr>
              <w:pStyle w:val="16"/>
              <w:rPr>
                <w:rFonts w:ascii="Times New Roman"/>
                <w:sz w:val="20"/>
              </w:rPr>
            </w:pPr>
          </w:p>
        </w:tc>
      </w:tr>
    </w:tbl>
    <w:p>
      <w:pPr>
        <w:pStyle w:val="9"/>
        <w:spacing w:before="280"/>
      </w:pPr>
    </w:p>
    <w:p>
      <w:pPr>
        <w:spacing w:before="1"/>
        <w:ind w:left="1309" w:right="0" w:firstLine="0"/>
        <w:jc w:val="left"/>
        <w:rPr>
          <w:sz w:val="21"/>
        </w:rPr>
      </w:pPr>
      <w:r>
        <w:rPr>
          <w:spacing w:val="-14"/>
          <w:sz w:val="21"/>
        </w:rPr>
        <w:t>说明：投标人应按照招标文件“第三章 采购需求”中的技术要求填写，“响应/正偏离</w:t>
      </w:r>
    </w:p>
    <w:p>
      <w:pPr>
        <w:spacing w:before="180"/>
        <w:ind w:left="884" w:right="0" w:firstLine="0"/>
        <w:jc w:val="left"/>
        <w:rPr>
          <w:sz w:val="21"/>
        </w:rPr>
      </w:pPr>
      <w:r>
        <w:rPr>
          <w:spacing w:val="-7"/>
          <w:sz w:val="21"/>
        </w:rPr>
        <w:t>/负偏离”应据实填写“响应”、“正偏离”或“负偏离”。</w:t>
      </w:r>
    </w:p>
    <w:p>
      <w:pPr>
        <w:pStyle w:val="9"/>
        <w:rPr>
          <w:sz w:val="21"/>
        </w:rPr>
      </w:pPr>
    </w:p>
    <w:p>
      <w:pPr>
        <w:pStyle w:val="9"/>
        <w:spacing w:before="115"/>
        <w:rPr>
          <w:sz w:val="21"/>
        </w:rPr>
      </w:pPr>
    </w:p>
    <w:p>
      <w:pPr>
        <w:pStyle w:val="9"/>
        <w:tabs>
          <w:tab w:val="left" w:pos="2293"/>
        </w:tabs>
        <w:spacing w:line="345" w:lineRule="auto"/>
        <w:ind w:left="1348" w:right="6716" w:firstLine="21"/>
      </w:pPr>
      <w:r>
        <w:rPr>
          <w:spacing w:val="-12"/>
        </w:rPr>
        <w:t>投标人名称（公章)：</w:t>
      </w:r>
      <w:r>
        <w:rPr>
          <w:spacing w:val="-10"/>
        </w:rPr>
        <w:t>日</w:t>
      </w:r>
      <w:r>
        <w:tab/>
      </w:r>
      <w:r>
        <w:rPr>
          <w:spacing w:val="-6"/>
        </w:rPr>
        <w:t>期：</w:t>
      </w:r>
    </w:p>
    <w:p>
      <w:pPr>
        <w:pStyle w:val="9"/>
      </w:pPr>
    </w:p>
    <w:p>
      <w:pPr>
        <w:pStyle w:val="9"/>
      </w:pPr>
    </w:p>
    <w:p>
      <w:pPr>
        <w:pStyle w:val="9"/>
        <w:spacing w:before="44"/>
      </w:pPr>
    </w:p>
    <w:p>
      <w:pPr>
        <w:spacing w:before="0" w:line="393" w:lineRule="auto"/>
        <w:ind w:left="906" w:right="1079" w:firstLine="400"/>
        <w:jc w:val="left"/>
        <w:rPr>
          <w:sz w:val="21"/>
        </w:rPr>
      </w:pPr>
      <w:r>
        <w:rPr>
          <w:spacing w:val="-10"/>
          <w:sz w:val="21"/>
        </w:rPr>
        <w:t>备注：投标人在本表中须标注技术响应的实际数值或内容，照搬照抄采购文件内容、不注</w:t>
      </w:r>
      <w:r>
        <w:rPr>
          <w:spacing w:val="-2"/>
          <w:sz w:val="21"/>
        </w:rPr>
        <w:t>明实际响应内容者</w:t>
      </w:r>
      <w:r>
        <w:rPr>
          <w:b/>
          <w:spacing w:val="-2"/>
          <w:sz w:val="21"/>
        </w:rPr>
        <w:t>视为未响应</w:t>
      </w:r>
      <w:r>
        <w:rPr>
          <w:spacing w:val="-2"/>
          <w:sz w:val="21"/>
        </w:rPr>
        <w:t>。</w:t>
      </w:r>
    </w:p>
    <w:p>
      <w:pPr>
        <w:spacing w:after="0" w:line="393" w:lineRule="auto"/>
        <w:jc w:val="left"/>
        <w:rPr>
          <w:sz w:val="21"/>
        </w:rPr>
        <w:sectPr>
          <w:pgSz w:w="11910" w:h="16840"/>
          <w:pgMar w:top="1100" w:right="720" w:bottom="1400" w:left="920" w:header="916" w:footer="1211" w:gutter="0"/>
          <w:pgNumType w:fmt="numberInDash"/>
          <w:cols w:space="720" w:num="1"/>
        </w:sectPr>
      </w:pPr>
    </w:p>
    <w:p>
      <w:pPr>
        <w:pStyle w:val="9"/>
        <w:rPr>
          <w:sz w:val="32"/>
        </w:rPr>
      </w:pPr>
    </w:p>
    <w:p>
      <w:pPr>
        <w:pStyle w:val="9"/>
        <w:spacing w:before="328"/>
        <w:rPr>
          <w:sz w:val="32"/>
        </w:rPr>
      </w:pPr>
    </w:p>
    <w:p>
      <w:pPr>
        <w:pStyle w:val="4"/>
        <w:ind w:right="381"/>
      </w:pPr>
      <w:r>
        <w:rPr>
          <w:spacing w:val="-14"/>
        </w:rPr>
        <w:t>十、技术方案</w:t>
      </w:r>
    </w:p>
    <w:p>
      <w:pPr>
        <w:pStyle w:val="9"/>
        <w:spacing w:before="299" w:line="343" w:lineRule="auto"/>
        <w:ind w:left="894" w:right="1237" w:firstLine="477"/>
      </w:pPr>
      <w:r>
        <w:rPr>
          <w:spacing w:val="-10"/>
        </w:rPr>
        <w:t>投标人应按照招标文件的要求，提供详细的服务方案，包括文字描述或图表</w:t>
      </w:r>
      <w:r>
        <w:rPr>
          <w:spacing w:val="-2"/>
        </w:rPr>
        <w:t>显示。格式自拟。</w:t>
      </w:r>
    </w:p>
    <w:p>
      <w:pPr>
        <w:spacing w:after="0" w:line="343" w:lineRule="auto"/>
        <w:sectPr>
          <w:pgSz w:w="11910" w:h="16840"/>
          <w:pgMar w:top="1100" w:right="720" w:bottom="1400" w:left="920" w:header="916" w:footer="1211" w:gutter="0"/>
          <w:pgNumType w:fmt="numberInDash"/>
          <w:cols w:space="720" w:num="1"/>
        </w:sectPr>
      </w:pPr>
    </w:p>
    <w:p>
      <w:pPr>
        <w:pStyle w:val="9"/>
        <w:rPr>
          <w:sz w:val="32"/>
        </w:rPr>
      </w:pPr>
    </w:p>
    <w:p>
      <w:pPr>
        <w:pStyle w:val="9"/>
        <w:spacing w:before="177"/>
        <w:rPr>
          <w:sz w:val="32"/>
        </w:rPr>
      </w:pPr>
    </w:p>
    <w:p>
      <w:pPr>
        <w:pStyle w:val="4"/>
        <w:ind w:right="391"/>
      </w:pPr>
      <w:r>
        <w:rPr>
          <w:spacing w:val="-14"/>
        </w:rPr>
        <w:t>十一、其他文件</w:t>
      </w:r>
    </w:p>
    <w:p>
      <w:pPr>
        <w:pStyle w:val="8"/>
        <w:spacing w:before="275"/>
      </w:pPr>
      <w:r>
        <w:rPr>
          <w:spacing w:val="-12"/>
        </w:rPr>
        <w:t>（一）招标文件要求提供的其它商务、技术资料和证明材料；</w:t>
      </w:r>
    </w:p>
    <w:p>
      <w:pPr>
        <w:pStyle w:val="15"/>
        <w:numPr>
          <w:ilvl w:val="1"/>
          <w:numId w:val="54"/>
        </w:numPr>
        <w:tabs>
          <w:tab w:val="left" w:pos="1799"/>
        </w:tabs>
        <w:spacing w:before="154" w:after="0" w:line="240" w:lineRule="auto"/>
        <w:ind w:left="1799" w:right="0" w:hanging="413"/>
        <w:jc w:val="left"/>
        <w:rPr>
          <w:sz w:val="24"/>
        </w:rPr>
      </w:pPr>
      <w:r>
        <w:rPr>
          <w:spacing w:val="-9"/>
          <w:sz w:val="24"/>
        </w:rPr>
        <w:t>供应商信息采集表</w:t>
      </w:r>
    </w:p>
    <w:p>
      <w:pPr>
        <w:pStyle w:val="9"/>
        <w:spacing w:before="12"/>
        <w:rPr>
          <w:sz w:val="4"/>
        </w:rPr>
      </w:pPr>
    </w:p>
    <w:tbl>
      <w:tblPr>
        <w:tblStyle w:val="12"/>
        <w:tblW w:w="0" w:type="auto"/>
        <w:tblInd w:w="9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0"/>
        <w:gridCol w:w="2837"/>
        <w:gridCol w:w="2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2710" w:type="dxa"/>
          </w:tcPr>
          <w:p>
            <w:pPr>
              <w:pStyle w:val="16"/>
              <w:spacing w:before="228"/>
              <w:ind w:left="766"/>
              <w:rPr>
                <w:sz w:val="24"/>
              </w:rPr>
            </w:pPr>
            <w:r>
              <w:rPr>
                <w:spacing w:val="-7"/>
                <w:sz w:val="24"/>
              </w:rPr>
              <w:t>供应商名称</w:t>
            </w:r>
          </w:p>
        </w:tc>
        <w:tc>
          <w:tcPr>
            <w:tcW w:w="2837" w:type="dxa"/>
          </w:tcPr>
          <w:p>
            <w:pPr>
              <w:pStyle w:val="16"/>
              <w:spacing w:before="228"/>
              <w:ind w:left="230"/>
              <w:rPr>
                <w:sz w:val="24"/>
              </w:rPr>
            </w:pPr>
            <w:r>
              <w:rPr>
                <w:spacing w:val="-5"/>
                <w:sz w:val="24"/>
              </w:rPr>
              <w:t>供应商实际控制人性别</w:t>
            </w:r>
          </w:p>
        </w:tc>
        <w:tc>
          <w:tcPr>
            <w:tcW w:w="2744" w:type="dxa"/>
          </w:tcPr>
          <w:p>
            <w:pPr>
              <w:pStyle w:val="16"/>
              <w:spacing w:before="228"/>
              <w:ind w:left="669"/>
              <w:rPr>
                <w:sz w:val="24"/>
              </w:rPr>
            </w:pPr>
            <w:r>
              <w:rPr>
                <w:spacing w:val="-9"/>
                <w:sz w:val="24"/>
              </w:rPr>
              <w:t>外商投资类型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0" w:type="dxa"/>
          </w:tcPr>
          <w:p>
            <w:pPr>
              <w:pStyle w:val="16"/>
              <w:rPr>
                <w:rFonts w:ascii="Times New Roman"/>
                <w:sz w:val="22"/>
              </w:rPr>
            </w:pPr>
          </w:p>
        </w:tc>
        <w:tc>
          <w:tcPr>
            <w:tcW w:w="2837" w:type="dxa"/>
          </w:tcPr>
          <w:p>
            <w:pPr>
              <w:pStyle w:val="16"/>
              <w:rPr>
                <w:rFonts w:ascii="Times New Roman"/>
                <w:sz w:val="22"/>
              </w:rPr>
            </w:pPr>
          </w:p>
        </w:tc>
        <w:tc>
          <w:tcPr>
            <w:tcW w:w="2744"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0" w:type="dxa"/>
          </w:tcPr>
          <w:p>
            <w:pPr>
              <w:pStyle w:val="16"/>
              <w:rPr>
                <w:rFonts w:ascii="Times New Roman"/>
                <w:sz w:val="22"/>
              </w:rPr>
            </w:pPr>
          </w:p>
        </w:tc>
        <w:tc>
          <w:tcPr>
            <w:tcW w:w="2837" w:type="dxa"/>
          </w:tcPr>
          <w:p>
            <w:pPr>
              <w:pStyle w:val="16"/>
              <w:rPr>
                <w:rFonts w:ascii="Times New Roman"/>
                <w:sz w:val="22"/>
              </w:rPr>
            </w:pPr>
          </w:p>
        </w:tc>
        <w:tc>
          <w:tcPr>
            <w:tcW w:w="2744"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0" w:type="dxa"/>
          </w:tcPr>
          <w:p>
            <w:pPr>
              <w:pStyle w:val="16"/>
              <w:rPr>
                <w:rFonts w:ascii="Times New Roman"/>
                <w:sz w:val="22"/>
              </w:rPr>
            </w:pPr>
          </w:p>
        </w:tc>
        <w:tc>
          <w:tcPr>
            <w:tcW w:w="2837" w:type="dxa"/>
          </w:tcPr>
          <w:p>
            <w:pPr>
              <w:pStyle w:val="16"/>
              <w:rPr>
                <w:rFonts w:ascii="Times New Roman"/>
                <w:sz w:val="22"/>
              </w:rPr>
            </w:pPr>
          </w:p>
        </w:tc>
        <w:tc>
          <w:tcPr>
            <w:tcW w:w="2744" w:type="dxa"/>
          </w:tcPr>
          <w:p>
            <w:pPr>
              <w:pStyle w:val="1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710" w:type="dxa"/>
          </w:tcPr>
          <w:p>
            <w:pPr>
              <w:pStyle w:val="16"/>
              <w:rPr>
                <w:rFonts w:ascii="Times New Roman"/>
                <w:sz w:val="22"/>
              </w:rPr>
            </w:pPr>
          </w:p>
        </w:tc>
        <w:tc>
          <w:tcPr>
            <w:tcW w:w="2837" w:type="dxa"/>
          </w:tcPr>
          <w:p>
            <w:pPr>
              <w:pStyle w:val="16"/>
              <w:rPr>
                <w:rFonts w:ascii="Times New Roman"/>
                <w:sz w:val="22"/>
              </w:rPr>
            </w:pPr>
          </w:p>
        </w:tc>
        <w:tc>
          <w:tcPr>
            <w:tcW w:w="2744" w:type="dxa"/>
          </w:tcPr>
          <w:p>
            <w:pPr>
              <w:pStyle w:val="16"/>
              <w:rPr>
                <w:rFonts w:ascii="Times New Roman"/>
                <w:sz w:val="22"/>
              </w:rPr>
            </w:pPr>
          </w:p>
        </w:tc>
      </w:tr>
    </w:tbl>
    <w:p>
      <w:pPr>
        <w:spacing w:before="109"/>
        <w:ind w:left="887" w:right="0" w:firstLine="0"/>
        <w:jc w:val="left"/>
        <w:rPr>
          <w:sz w:val="21"/>
        </w:rPr>
      </w:pPr>
      <w:r>
        <w:rPr>
          <w:spacing w:val="-8"/>
          <w:sz w:val="21"/>
        </w:rPr>
        <w:t>注：1</w:t>
      </w:r>
      <w:r>
        <w:rPr>
          <w:spacing w:val="-9"/>
          <w:sz w:val="21"/>
        </w:rPr>
        <w:t>.供应商如为联合体，则应填写联合体各成员信息。</w:t>
      </w:r>
    </w:p>
    <w:p>
      <w:pPr>
        <w:spacing w:before="211" w:line="398" w:lineRule="auto"/>
        <w:ind w:left="887" w:right="1069" w:firstLine="420"/>
        <w:jc w:val="both"/>
        <w:rPr>
          <w:sz w:val="21"/>
        </w:rPr>
      </w:pPr>
      <w:r>
        <w:rPr>
          <w:spacing w:val="-2"/>
          <w:sz w:val="19"/>
        </w:rPr>
        <w:t>2.</w:t>
      </w:r>
      <w:r>
        <w:rPr>
          <w:spacing w:val="-2"/>
          <w:sz w:val="21"/>
        </w:rPr>
        <w:t>“供应商实际控制人性别”按供应商实际控制人性别划分请填写“男”或“女”，指</w:t>
      </w:r>
      <w:r>
        <w:rPr>
          <w:spacing w:val="-6"/>
          <w:sz w:val="21"/>
        </w:rPr>
        <w:t xml:space="preserve">拥有供应商 </w:t>
      </w:r>
      <w:r>
        <w:rPr>
          <w:spacing w:val="-2"/>
          <w:sz w:val="21"/>
        </w:rPr>
        <w:t>51%以上绝对所有权的性；绝对所有权拥有者可以是一个人，也可以是多人合计</w:t>
      </w:r>
      <w:r>
        <w:rPr>
          <w:spacing w:val="-4"/>
          <w:sz w:val="21"/>
        </w:rPr>
        <w:t>计算。</w:t>
      </w:r>
    </w:p>
    <w:p>
      <w:pPr>
        <w:pStyle w:val="15"/>
        <w:numPr>
          <w:ilvl w:val="0"/>
          <w:numId w:val="47"/>
        </w:numPr>
        <w:tabs>
          <w:tab w:val="left" w:pos="1623"/>
        </w:tabs>
        <w:spacing w:before="16" w:after="0" w:line="240" w:lineRule="auto"/>
        <w:ind w:left="1623" w:right="0" w:hanging="220"/>
        <w:jc w:val="both"/>
        <w:rPr>
          <w:sz w:val="19"/>
        </w:rPr>
      </w:pPr>
      <w:r>
        <w:rPr>
          <w:spacing w:val="-9"/>
          <w:sz w:val="21"/>
        </w:rPr>
        <w:t>“外商投资类型”请填写“外商单独投资”、“外商部分投资”或“内资”。</w:t>
      </w:r>
    </w:p>
    <w:p>
      <w:pPr>
        <w:pStyle w:val="9"/>
        <w:rPr>
          <w:sz w:val="21"/>
        </w:rPr>
      </w:pPr>
    </w:p>
    <w:p>
      <w:pPr>
        <w:pStyle w:val="9"/>
        <w:spacing w:before="257"/>
        <w:rPr>
          <w:sz w:val="21"/>
        </w:rPr>
      </w:pPr>
    </w:p>
    <w:p>
      <w:pPr>
        <w:pStyle w:val="15"/>
        <w:numPr>
          <w:ilvl w:val="1"/>
          <w:numId w:val="54"/>
        </w:numPr>
        <w:tabs>
          <w:tab w:val="left" w:pos="1807"/>
        </w:tabs>
        <w:spacing w:before="0" w:after="0" w:line="240" w:lineRule="auto"/>
        <w:ind w:left="1807" w:right="0" w:hanging="421"/>
        <w:jc w:val="both"/>
        <w:rPr>
          <w:sz w:val="24"/>
        </w:rPr>
      </w:pPr>
      <w:r>
        <w:rPr>
          <w:spacing w:val="-7"/>
          <w:sz w:val="24"/>
        </w:rPr>
        <w:t>其它商务、技术资料和证明材料</w:t>
      </w:r>
    </w:p>
    <w:p>
      <w:pPr>
        <w:pStyle w:val="9"/>
        <w:spacing w:before="309"/>
      </w:pPr>
    </w:p>
    <w:p>
      <w:pPr>
        <w:pStyle w:val="8"/>
      </w:pPr>
      <w:r>
        <w:rPr>
          <w:spacing w:val="-12"/>
        </w:rPr>
        <w:t>（二）投标人认为需要提供的其它商务、技术资料和说明。</w:t>
      </w:r>
    </w:p>
    <w:p>
      <w:pPr>
        <w:spacing w:after="0"/>
        <w:sectPr>
          <w:headerReference r:id="rId24" w:type="default"/>
          <w:footerReference r:id="rId25" w:type="default"/>
          <w:pgSz w:w="11910" w:h="16840"/>
          <w:pgMar w:top="1100" w:right="720" w:bottom="1400" w:left="920" w:header="916" w:footer="1211" w:gutter="0"/>
          <w:pgNumType w:fmt="numberInDash"/>
          <w:cols w:space="720" w:num="1"/>
        </w:sectPr>
      </w:pPr>
    </w:p>
    <w:p>
      <w:pPr>
        <w:pStyle w:val="4"/>
        <w:spacing w:before="23"/>
        <w:ind w:left="3949" w:right="0"/>
        <w:jc w:val="left"/>
      </w:pPr>
      <w:r>
        <w:rPr>
          <w:spacing w:val="-14"/>
        </w:rPr>
        <w:t>十二、投标保证金缴纳凭证</w:t>
      </w:r>
    </w:p>
    <w:p>
      <w:pPr>
        <w:pStyle w:val="9"/>
        <w:spacing w:before="44"/>
        <w:rPr>
          <w:b/>
          <w:sz w:val="32"/>
        </w:rPr>
      </w:pPr>
    </w:p>
    <w:p>
      <w:pPr>
        <w:pStyle w:val="9"/>
        <w:tabs>
          <w:tab w:val="left" w:pos="6145"/>
          <w:tab w:val="left" w:pos="8905"/>
        </w:tabs>
        <w:spacing w:line="357" w:lineRule="auto"/>
        <w:ind w:left="865" w:right="1122" w:firstLine="480"/>
      </w:pPr>
      <w:r>
        <w:rPr>
          <w:spacing w:val="-2"/>
        </w:rPr>
        <w:t>我单位参加项目名称为</w:t>
      </w:r>
      <w:r>
        <w:rPr>
          <w:rFonts w:ascii="Times New Roman" w:eastAsia="Times New Roman"/>
          <w:u w:val="single"/>
        </w:rPr>
        <w:tab/>
      </w:r>
      <w:r>
        <w:rPr>
          <w:u w:val="single"/>
        </w:rPr>
        <w:t xml:space="preserve">项目 </w:t>
      </w:r>
      <w:r>
        <w:t>，项目编号</w:t>
      </w:r>
      <w:r>
        <w:rPr>
          <w:u w:val="single"/>
        </w:rPr>
        <w:t>为</w:t>
      </w:r>
      <w:r>
        <w:rPr>
          <w:u w:val="single"/>
        </w:rPr>
        <w:tab/>
      </w:r>
      <w:r>
        <w:rPr>
          <w:spacing w:val="-10"/>
          <w:u w:val="single"/>
        </w:rPr>
        <w:t>，</w:t>
      </w:r>
      <w:r>
        <w:rPr>
          <w:spacing w:val="-2"/>
        </w:rPr>
        <w:t>投标保证金缴纳账户信息如下：</w:t>
      </w:r>
    </w:p>
    <w:p>
      <w:pPr>
        <w:pStyle w:val="9"/>
        <w:spacing w:before="4" w:line="276" w:lineRule="auto"/>
        <w:ind w:left="865" w:right="8202"/>
      </w:pPr>
      <w:r>
        <w:rPr>
          <w:spacing w:val="-2"/>
        </w:rPr>
        <w:t>公司名称：</w:t>
      </w:r>
      <w:r>
        <w:rPr>
          <w:spacing w:val="-4"/>
        </w:rPr>
        <w:t>账号：</w:t>
      </w:r>
    </w:p>
    <w:p>
      <w:pPr>
        <w:pStyle w:val="9"/>
        <w:spacing w:before="108"/>
        <w:ind w:left="865"/>
      </w:pPr>
      <w:r>
        <w:rPr>
          <w:spacing w:val="-2"/>
        </w:rPr>
        <w:t>开户行名称：</w:t>
      </w:r>
    </w:p>
    <w:p>
      <w:pPr>
        <w:pStyle w:val="9"/>
        <w:spacing w:before="154" w:line="360" w:lineRule="auto"/>
        <w:ind w:left="865" w:right="1242"/>
      </w:pPr>
      <w:r>
        <w:rPr>
          <w:spacing w:val="-2"/>
        </w:rPr>
        <w:t>请在招投标活动结束后，将投标保证金退还至以上账户。汇款凭证或者金融机构、担保机构出具的保函证明附后：</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spacing w:before="192"/>
      </w:pPr>
    </w:p>
    <w:p>
      <w:pPr>
        <w:pStyle w:val="9"/>
        <w:ind w:left="865"/>
      </w:pPr>
      <w:r>
        <w:t>供应商：（盖章</w:t>
      </w:r>
      <w:r>
        <w:rPr>
          <w:spacing w:val="-10"/>
        </w:rPr>
        <w:t>）</w:t>
      </w:r>
    </w:p>
    <w:p>
      <w:pPr>
        <w:pStyle w:val="9"/>
        <w:spacing w:before="96"/>
      </w:pPr>
    </w:p>
    <w:p>
      <w:pPr>
        <w:pStyle w:val="9"/>
        <w:ind w:left="865"/>
      </w:pPr>
      <w:r>
        <w:t>法定代表人或授权代理人（盖章</w:t>
      </w:r>
      <w:r>
        <w:rPr>
          <w:spacing w:val="-10"/>
        </w:rPr>
        <w:t>）</w:t>
      </w:r>
    </w:p>
    <w:p>
      <w:pPr>
        <w:pStyle w:val="9"/>
      </w:pPr>
    </w:p>
    <w:p>
      <w:pPr>
        <w:pStyle w:val="9"/>
        <w:spacing w:before="206"/>
      </w:pPr>
    </w:p>
    <w:p>
      <w:pPr>
        <w:pStyle w:val="9"/>
        <w:tabs>
          <w:tab w:val="left" w:pos="7950"/>
          <w:tab w:val="left" w:pos="8456"/>
          <w:tab w:val="left" w:pos="8963"/>
        </w:tabs>
        <w:ind w:left="6697"/>
      </w:pPr>
      <w:r>
        <w:t>日期</w:t>
      </w:r>
      <w:r>
        <w:rPr>
          <w:spacing w:val="-10"/>
        </w:rPr>
        <w:t>：</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pPr>
        <w:pStyle w:val="9"/>
      </w:pPr>
    </w:p>
    <w:p>
      <w:pPr>
        <w:pStyle w:val="9"/>
      </w:pPr>
    </w:p>
    <w:p>
      <w:pPr>
        <w:pStyle w:val="9"/>
        <w:spacing w:before="287"/>
      </w:pPr>
    </w:p>
    <w:p>
      <w:pPr>
        <w:spacing w:before="1"/>
        <w:ind w:left="865" w:right="1182" w:firstLine="0"/>
        <w:jc w:val="left"/>
        <w:rPr>
          <w:b/>
          <w:sz w:val="21"/>
        </w:rPr>
      </w:pPr>
      <w:r>
        <w:rPr>
          <w:b/>
          <w:spacing w:val="-2"/>
          <w:sz w:val="21"/>
        </w:rPr>
        <w:t>注：投标保证金应当以支票、汇票、本票或者金融机构、担保机构出具的保函等非现金形</w:t>
      </w:r>
      <w:r>
        <w:rPr>
          <w:b/>
          <w:spacing w:val="-4"/>
          <w:sz w:val="21"/>
        </w:rPr>
        <w:t>式提交。</w:t>
      </w:r>
    </w:p>
    <w:sectPr>
      <w:headerReference r:id="rId26" w:type="default"/>
      <w:footerReference r:id="rId27" w:type="default"/>
      <w:pgSz w:w="11910" w:h="16840"/>
      <w:pgMar w:top="1000" w:right="720" w:bottom="1400" w:left="920" w:header="0" w:footer="1211"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- 84 -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- 84 -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- 85 -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- 85 -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427355" cy="158115"/>
              <wp:effectExtent l="0" t="0" r="0" b="0"/>
              <wp:wrapNone/>
              <wp:docPr id="7" name="Textbox 7"/>
              <wp:cNvGraphicFramePr/>
              <a:graphic xmlns:a="http://schemas.openxmlformats.org/drawingml/2006/main">
                <a:graphicData uri="http://schemas.microsoft.com/office/word/2010/wordprocessingShape">
                  <wps:wsp>
                    <wps:cNvSpPr txBox="1"/>
                    <wps:spPr>
                      <a:xfrm>
                        <a:off x="0" y="0"/>
                        <a:ext cx="427355" cy="158115"/>
                      </a:xfrm>
                      <a:prstGeom prst="rect">
                        <a:avLst/>
                      </a:prstGeom>
                    </wps:spPr>
                    <wps:txbx>
                      <w:txbxContent>
                        <w:p>
                          <w:pPr>
                            <w:spacing w:before="0" w:line="249" w:lineRule="exact"/>
                            <w:ind w:left="20" w:right="0" w:firstLine="0"/>
                            <w:jc w:val="left"/>
                            <w:rPr>
                              <w:sz w:val="21"/>
                            </w:rPr>
                          </w:pPr>
                          <w:r>
                            <w:rPr>
                              <w:sz w:val="21"/>
                            </w:rPr>
                            <w:fldChar w:fldCharType="begin"/>
                          </w:r>
                          <w:r>
                            <w:rPr>
                              <w:sz w:val="21"/>
                            </w:rPr>
                            <w:instrText xml:space="preserve"> PAGE  \* MERGEFORMAT </w:instrText>
                          </w:r>
                          <w:r>
                            <w:rPr>
                              <w:sz w:val="21"/>
                            </w:rPr>
                            <w:fldChar w:fldCharType="separate"/>
                          </w:r>
                          <w:r>
                            <w:rPr>
                              <w:sz w:val="21"/>
                            </w:rPr>
                            <w:t>- 5 -</w:t>
                          </w:r>
                          <w:r>
                            <w:rPr>
                              <w:sz w:val="21"/>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top:0pt;height:12.45pt;width:33.65pt;mso-position-horizontal:center;mso-position-horizontal-relative:margin;z-index:251663360;mso-width-relative:page;mso-height-relative:page;" filled="f" stroked="f" coordsize="21600,21600" o:gfxdata="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laEZNQA&#10;AAADAQAADwAAAAAAAAABACAAAAAiAAAAZHJzL2Rvd25yZXYueG1sUEsBAhQAFAAAAAgAh07iQJY8&#10;te6xAQAAcwMAAA4AAAAAAAAAAQAgAAAAIwEAAGRycy9lMm9Eb2MueG1sUEsFBgAAAAAGAAYAWQEA&#10;AEYFAAAAAA==&#10;">
              <v:fill on="f" focussize="0,0"/>
              <v:stroke on="f"/>
              <v:imagedata o:title=""/>
              <o:lock v:ext="edit" aspectratio="f"/>
              <v:textbox inset="0mm,0mm,0mm,0mm">
                <w:txbxContent>
                  <w:p>
                    <w:pPr>
                      <w:spacing w:before="0" w:line="249" w:lineRule="exact"/>
                      <w:ind w:left="20" w:right="0" w:firstLine="0"/>
                      <w:jc w:val="left"/>
                      <w:rPr>
                        <w:sz w:val="21"/>
                      </w:rPr>
                    </w:pPr>
                    <w:r>
                      <w:rPr>
                        <w:sz w:val="21"/>
                      </w:rPr>
                      <w:fldChar w:fldCharType="begin"/>
                    </w:r>
                    <w:r>
                      <w:rPr>
                        <w:sz w:val="21"/>
                      </w:rPr>
                      <w:instrText xml:space="preserve"> PAGE  \* MERGEFORMAT </w:instrText>
                    </w:r>
                    <w:r>
                      <w:rPr>
                        <w:sz w:val="21"/>
                      </w:rPr>
                      <w:fldChar w:fldCharType="separate"/>
                    </w:r>
                    <w:r>
                      <w:rPr>
                        <w:sz w:val="21"/>
                      </w:rPr>
                      <w:t>- 5 -</w:t>
                    </w:r>
                    <w:r>
                      <w:rPr>
                        <w:sz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- 33 -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- 33 -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426085" cy="158115"/>
              <wp:effectExtent l="0" t="0" r="0" b="0"/>
              <wp:wrapNone/>
              <wp:docPr id="19" name="Textbox 19"/>
              <wp:cNvGraphicFramePr/>
              <a:graphic xmlns:a="http://schemas.openxmlformats.org/drawingml/2006/main">
                <a:graphicData uri="http://schemas.microsoft.com/office/word/2010/wordprocessingShape">
                  <wps:wsp>
                    <wps:cNvSpPr txBox="1"/>
                    <wps:spPr>
                      <a:xfrm>
                        <a:off x="0" y="0"/>
                        <a:ext cx="426084" cy="158115"/>
                      </a:xfrm>
                      <a:prstGeom prst="rect">
                        <a:avLst/>
                      </a:prstGeom>
                    </wps:spPr>
                    <wps:txbx>
                      <w:txbxContent>
                        <w:p>
                          <w:pPr>
                            <w:spacing w:before="0" w:line="249" w:lineRule="exact"/>
                            <w:ind w:left="20" w:right="0" w:firstLine="0"/>
                            <w:jc w:val="left"/>
                            <w:rPr>
                              <w:sz w:val="21"/>
                            </w:rPr>
                          </w:pPr>
                          <w:r>
                            <w:rPr>
                              <w:sz w:val="21"/>
                            </w:rPr>
                            <w:fldChar w:fldCharType="begin"/>
                          </w:r>
                          <w:r>
                            <w:rPr>
                              <w:sz w:val="21"/>
                            </w:rPr>
                            <w:instrText xml:space="preserve"> PAGE  \* MERGEFORMAT </w:instrText>
                          </w:r>
                          <w:r>
                            <w:rPr>
                              <w:sz w:val="21"/>
                            </w:rPr>
                            <w:fldChar w:fldCharType="separate"/>
                          </w:r>
                          <w:r>
                            <w:rPr>
                              <w:sz w:val="21"/>
                            </w:rPr>
                            <w:t>- 34 -</w:t>
                          </w:r>
                          <w:r>
                            <w:rPr>
                              <w:sz w:val="21"/>
                            </w:rPr>
                            <w:fldChar w:fldCharType="end"/>
                          </w:r>
                        </w:p>
                      </w:txbxContent>
                    </wps:txbx>
                    <wps:bodyPr wrap="square" lIns="0" tIns="0" rIns="0" bIns="0" rtlCol="0">
                      <a:noAutofit/>
                    </wps:bodyPr>
                  </wps:wsp>
                </a:graphicData>
              </a:graphic>
            </wp:anchor>
          </w:drawing>
        </mc:Choice>
        <mc:Fallback>
          <w:pict>
            <v:shape id="Textbox 19" o:spid="_x0000_s1026" o:spt="202" type="#_x0000_t202" style="position:absolute;left:0pt;margin-top:0pt;height:12.45pt;width:33.55pt;mso-position-horizontal:center;mso-position-horizontal-relative:margin;z-index:251665408;mso-width-relative:page;mso-height-relative:page;" filled="f" stroked="f" coordsize="21600,21600" o:gfxdata="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YJy5&#10;1AAAAAMBAAAPAAAAAAAAAAEAIAAAACIAAABkcnMvZG93bnJldi54bWxQSwECFAAUAAAACACHTuJA&#10;oVRhVbMBAAB1AwAADgAAAAAAAAABACAAAAAjAQAAZHJzL2Uyb0RvYy54bWxQSwUGAAAAAAYABgBZ&#10;AQAASAUAAAAA&#10;">
              <v:fill on="f" focussize="0,0"/>
              <v:stroke on="f"/>
              <v:imagedata o:title=""/>
              <o:lock v:ext="edit" aspectratio="f"/>
              <v:textbox inset="0mm,0mm,0mm,0mm">
                <w:txbxContent>
                  <w:p>
                    <w:pPr>
                      <w:spacing w:before="0" w:line="249" w:lineRule="exact"/>
                      <w:ind w:left="20" w:right="0" w:firstLine="0"/>
                      <w:jc w:val="left"/>
                      <w:rPr>
                        <w:sz w:val="21"/>
                      </w:rPr>
                    </w:pPr>
                    <w:r>
                      <w:rPr>
                        <w:sz w:val="21"/>
                      </w:rPr>
                      <w:fldChar w:fldCharType="begin"/>
                    </w:r>
                    <w:r>
                      <w:rPr>
                        <w:sz w:val="21"/>
                      </w:rPr>
                      <w:instrText xml:space="preserve"> PAGE  \* MERGEFORMAT </w:instrText>
                    </w:r>
                    <w:r>
                      <w:rPr>
                        <w:sz w:val="21"/>
                      </w:rPr>
                      <w:fldChar w:fldCharType="separate"/>
                    </w:r>
                    <w:r>
                      <w:rPr>
                        <w:sz w:val="21"/>
                      </w:rPr>
                      <w:t>- 34 -</w:t>
                    </w:r>
                    <w:r>
                      <w:rPr>
                        <w:sz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- 45 -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- 45 -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369570" cy="139700"/>
              <wp:effectExtent l="0" t="0" r="0" b="0"/>
              <wp:wrapNone/>
              <wp:docPr id="25" name="Textbox 25"/>
              <wp:cNvGraphicFramePr/>
              <a:graphic xmlns:a="http://schemas.openxmlformats.org/drawingml/2006/main">
                <a:graphicData uri="http://schemas.microsoft.com/office/word/2010/wordprocessingShape">
                  <wps:wsp>
                    <wps:cNvSpPr txBox="1"/>
                    <wps:spPr>
                      <a:xfrm>
                        <a:off x="0" y="0"/>
                        <a:ext cx="369570" cy="139700"/>
                      </a:xfrm>
                      <a:prstGeom prst="rect">
                        <a:avLst/>
                      </a:prstGeom>
                    </wps:spPr>
                    <wps:txbx>
                      <w:txbxContent>
                        <w:p>
                          <w:pPr>
                            <w:spacing w:before="0" w:line="220" w:lineRule="exact"/>
                            <w:ind w:left="20" w:right="0" w:firstLine="0"/>
                            <w:jc w:val="left"/>
                            <w:rPr>
                              <w:sz w:val="18"/>
                            </w:rPr>
                          </w:pPr>
                          <w:r>
                            <w:rPr>
                              <w:sz w:val="18"/>
                            </w:rPr>
                            <w:fldChar w:fldCharType="begin"/>
                          </w:r>
                          <w:r>
                            <w:rPr>
                              <w:sz w:val="18"/>
                            </w:rPr>
                            <w:instrText xml:space="preserve"> PAGE  \* MERGEFORMAT </w:instrText>
                          </w:r>
                          <w:r>
                            <w:rPr>
                              <w:sz w:val="18"/>
                            </w:rPr>
                            <w:fldChar w:fldCharType="separate"/>
                          </w:r>
                          <w:r>
                            <w:rPr>
                              <w:sz w:val="18"/>
                            </w:rPr>
                            <w:t>- 47 -</w:t>
                          </w:r>
                          <w:r>
                            <w:rPr>
                              <w:sz w:val="18"/>
                            </w:rPr>
                            <w:fldChar w:fldCharType="end"/>
                          </w:r>
                        </w:p>
                      </w:txbxContent>
                    </wps:txbx>
                    <wps:bodyPr wrap="square" lIns="0" tIns="0" rIns="0" bIns="0" rtlCol="0">
                      <a:noAutofit/>
                    </wps:bodyPr>
                  </wps:wsp>
                </a:graphicData>
              </a:graphic>
            </wp:anchor>
          </w:drawing>
        </mc:Choice>
        <mc:Fallback>
          <w:pict>
            <v:shape id="Textbox 25" o:spid="_x0000_s1026" o:spt="202" type="#_x0000_t202" style="position:absolute;left:0pt;margin-top:0pt;height:11pt;width:29.1pt;mso-position-horizontal:center;mso-position-horizontal-relative:margin;z-index:251667456;mso-width-relative:page;mso-height-relative:page;" filled="f" stroked="f" coordsize="21600,21600" o:gfxdata="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D3G&#10;/NQAAAADAQAADwAAAAAAAAABACAAAAAiAAAAZHJzL2Rvd25yZXYueG1sUEsBAhQAFAAAAAgAh07i&#10;QHIUQ5K0AQAAdQMAAA4AAAAAAAAAAQAgAAAAIwEAAGRycy9lMm9Eb2MueG1sUEsFBgAAAAAGAAYA&#10;WQEAAEkFAAAAAA==&#10;">
              <v:fill on="f" focussize="0,0"/>
              <v:stroke on="f"/>
              <v:imagedata o:title=""/>
              <o:lock v:ext="edit" aspectratio="f"/>
              <v:textbox inset="0mm,0mm,0mm,0mm">
                <w:txbxContent>
                  <w:p>
                    <w:pPr>
                      <w:spacing w:before="0" w:line="220" w:lineRule="exact"/>
                      <w:ind w:left="20" w:right="0" w:firstLine="0"/>
                      <w:jc w:val="left"/>
                      <w:rPr>
                        <w:sz w:val="18"/>
                      </w:rPr>
                    </w:pPr>
                    <w:r>
                      <w:rPr>
                        <w:sz w:val="18"/>
                      </w:rPr>
                      <w:fldChar w:fldCharType="begin"/>
                    </w:r>
                    <w:r>
                      <w:rPr>
                        <w:sz w:val="18"/>
                      </w:rPr>
                      <w:instrText xml:space="preserve"> PAGE  \* MERGEFORMAT </w:instrText>
                    </w:r>
                    <w:r>
                      <w:rPr>
                        <w:sz w:val="18"/>
                      </w:rPr>
                      <w:fldChar w:fldCharType="separate"/>
                    </w:r>
                    <w:r>
                      <w:rPr>
                        <w:sz w:val="18"/>
                      </w:rPr>
                      <w:t>- 47 -</w:t>
                    </w:r>
                    <w:r>
                      <w:rPr>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426085" cy="160020"/>
              <wp:effectExtent l="0" t="0" r="0" b="0"/>
              <wp:wrapNone/>
              <wp:docPr id="43" name="Textbox 43"/>
              <wp:cNvGraphicFramePr/>
              <a:graphic xmlns:a="http://schemas.openxmlformats.org/drawingml/2006/main">
                <a:graphicData uri="http://schemas.microsoft.com/office/word/2010/wordprocessingShape">
                  <wps:wsp>
                    <wps:cNvSpPr txBox="1"/>
                    <wps:spPr>
                      <a:xfrm>
                        <a:off x="0" y="0"/>
                        <a:ext cx="426084" cy="160020"/>
                      </a:xfrm>
                      <a:prstGeom prst="rect">
                        <a:avLst/>
                      </a:prstGeom>
                    </wps:spPr>
                    <wps:txbx>
                      <w:txbxContent>
                        <w:p>
                          <w:pPr>
                            <w:spacing w:before="0" w:line="251" w:lineRule="exact"/>
                            <w:ind w:left="20" w:right="0" w:firstLine="0"/>
                            <w:jc w:val="left"/>
                            <w:rPr>
                              <w:sz w:val="21"/>
                            </w:rPr>
                          </w:pPr>
                          <w:r>
                            <w:rPr>
                              <w:sz w:val="21"/>
                            </w:rPr>
                            <w:fldChar w:fldCharType="begin"/>
                          </w:r>
                          <w:r>
                            <w:rPr>
                              <w:sz w:val="21"/>
                            </w:rPr>
                            <w:instrText xml:space="preserve"> PAGE  \* MERGEFORMAT </w:instrText>
                          </w:r>
                          <w:r>
                            <w:rPr>
                              <w:sz w:val="21"/>
                            </w:rPr>
                            <w:fldChar w:fldCharType="separate"/>
                          </w:r>
                          <w:r>
                            <w:rPr>
                              <w:sz w:val="21"/>
                            </w:rPr>
                            <w:t>- 73 -</w:t>
                          </w:r>
                          <w:r>
                            <w:rPr>
                              <w:sz w:val="21"/>
                            </w:rPr>
                            <w:fldChar w:fldCharType="end"/>
                          </w:r>
                        </w:p>
                      </w:txbxContent>
                    </wps:txbx>
                    <wps:bodyPr wrap="square" lIns="0" tIns="0" rIns="0" bIns="0" rtlCol="0">
                      <a:noAutofit/>
                    </wps:bodyPr>
                  </wps:wsp>
                </a:graphicData>
              </a:graphic>
            </wp:anchor>
          </w:drawing>
        </mc:Choice>
        <mc:Fallback>
          <w:pict>
            <v:shape id="Textbox 43" o:spid="_x0000_s1026" o:spt="202" type="#_x0000_t202" style="position:absolute;left:0pt;margin-top:0pt;height:12.6pt;width:33.55pt;mso-position-horizontal:center;mso-position-horizontal-relative:margin;z-index:251668480;mso-width-relative:page;mso-height-relative:page;" filled="f" stroked="f" coordsize="21600,21600" o:gfxdata="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rADHbT&#10;AAAAAwEAAA8AAAAAAAAAAQAgAAAAIgAAAGRycy9kb3ducmV2LnhtbFBLAQIUABQAAAAIAIdO4kD2&#10;/29LswEAAHUDAAAOAAAAAAAAAAEAIAAAACIBAABkcnMvZTJvRG9jLnhtbFBLBQYAAAAABgAGAFkB&#10;AABHBQAAAAA=&#10;">
              <v:fill on="f" focussize="0,0"/>
              <v:stroke on="f"/>
              <v:imagedata o:title=""/>
              <o:lock v:ext="edit" aspectratio="f"/>
              <v:textbox inset="0mm,0mm,0mm,0mm">
                <w:txbxContent>
                  <w:p>
                    <w:pPr>
                      <w:spacing w:before="0" w:line="251" w:lineRule="exact"/>
                      <w:ind w:left="20" w:right="0" w:firstLine="0"/>
                      <w:jc w:val="left"/>
                      <w:rPr>
                        <w:sz w:val="21"/>
                      </w:rPr>
                    </w:pPr>
                    <w:r>
                      <w:rPr>
                        <w:sz w:val="21"/>
                      </w:rPr>
                      <w:fldChar w:fldCharType="begin"/>
                    </w:r>
                    <w:r>
                      <w:rPr>
                        <w:sz w:val="21"/>
                      </w:rPr>
                      <w:instrText xml:space="preserve"> PAGE  \* MERGEFORMAT </w:instrText>
                    </w:r>
                    <w:r>
                      <w:rPr>
                        <w:sz w:val="21"/>
                      </w:rPr>
                      <w:fldChar w:fldCharType="separate"/>
                    </w:r>
                    <w:r>
                      <w:rPr>
                        <w:sz w:val="21"/>
                      </w:rPr>
                      <w:t>- 73 -</w:t>
                    </w:r>
                    <w:r>
                      <w:rPr>
                        <w:sz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9504" behindDoc="0" locked="0" layoutInCell="1" allowOverlap="1">
              <wp:simplePos x="0" y="0"/>
              <wp:positionH relativeFrom="margin">
                <wp:align>center</wp:align>
              </wp:positionH>
              <wp:positionV relativeFrom="paragraph">
                <wp:posOffset>0</wp:posOffset>
              </wp:positionV>
              <wp:extent cx="492760" cy="158115"/>
              <wp:effectExtent l="0" t="0" r="0" b="0"/>
              <wp:wrapNone/>
              <wp:docPr id="56" name="Textbox 56"/>
              <wp:cNvGraphicFramePr/>
              <a:graphic xmlns:a="http://schemas.openxmlformats.org/drawingml/2006/main">
                <a:graphicData uri="http://schemas.microsoft.com/office/word/2010/wordprocessingShape">
                  <wps:wsp>
                    <wps:cNvSpPr txBox="1"/>
                    <wps:spPr>
                      <a:xfrm>
                        <a:off x="0" y="0"/>
                        <a:ext cx="492759" cy="158115"/>
                      </a:xfrm>
                      <a:prstGeom prst="rect">
                        <a:avLst/>
                      </a:prstGeom>
                    </wps:spPr>
                    <wps:txbx>
                      <w:txbxContent>
                        <w:p>
                          <w:pPr>
                            <w:spacing w:before="0" w:line="249" w:lineRule="exact"/>
                            <w:ind w:left="20" w:right="0" w:firstLine="0"/>
                            <w:jc w:val="left"/>
                            <w:rPr>
                              <w:sz w:val="21"/>
                            </w:rPr>
                          </w:pPr>
                          <w:r>
                            <w:rPr>
                              <w:sz w:val="21"/>
                            </w:rPr>
                            <w:fldChar w:fldCharType="begin"/>
                          </w:r>
                          <w:r>
                            <w:rPr>
                              <w:sz w:val="21"/>
                            </w:rPr>
                            <w:instrText xml:space="preserve"> PAGE  \* MERGEFORMAT </w:instrText>
                          </w:r>
                          <w:r>
                            <w:rPr>
                              <w:sz w:val="21"/>
                            </w:rPr>
                            <w:fldChar w:fldCharType="separate"/>
                          </w:r>
                          <w:r>
                            <w:rPr>
                              <w:sz w:val="21"/>
                            </w:rPr>
                            <w:t>- 79 -</w:t>
                          </w:r>
                          <w:r>
                            <w:rPr>
                              <w:sz w:val="21"/>
                            </w:rPr>
                            <w:fldChar w:fldCharType="end"/>
                          </w:r>
                        </w:p>
                      </w:txbxContent>
                    </wps:txbx>
                    <wps:bodyPr wrap="square" lIns="0" tIns="0" rIns="0" bIns="0" rtlCol="0">
                      <a:noAutofit/>
                    </wps:bodyPr>
                  </wps:wsp>
                </a:graphicData>
              </a:graphic>
            </wp:anchor>
          </w:drawing>
        </mc:Choice>
        <mc:Fallback>
          <w:pict>
            <v:shape id="Textbox 56" o:spid="_x0000_s1026" o:spt="202" type="#_x0000_t202" style="position:absolute;left:0pt;margin-top:0pt;height:12.45pt;width:38.8pt;mso-position-horizontal:center;mso-position-horizontal-relative:margin;z-index:251669504;mso-width-relative:page;mso-height-relative:page;" filled="f" stroked="f" coordsize="21600,21600" o:gfxdata="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04I&#10;1AAAAAMBAAAPAAAAAAAAAAEAIAAAACIAAABkcnMvZG93bnJldi54bWxQSwECFAAUAAAACACHTuJA&#10;gmP0BrMBAAB1AwAADgAAAAAAAAABACAAAAAjAQAAZHJzL2Uyb0RvYy54bWxQSwUGAAAAAAYABgBZ&#10;AQAASAUAAAAA&#10;">
              <v:fill on="f" focussize="0,0"/>
              <v:stroke on="f"/>
              <v:imagedata o:title=""/>
              <o:lock v:ext="edit" aspectratio="f"/>
              <v:textbox inset="0mm,0mm,0mm,0mm">
                <w:txbxContent>
                  <w:p>
                    <w:pPr>
                      <w:spacing w:before="0" w:line="249" w:lineRule="exact"/>
                      <w:ind w:left="20" w:right="0" w:firstLine="0"/>
                      <w:jc w:val="left"/>
                      <w:rPr>
                        <w:sz w:val="21"/>
                      </w:rPr>
                    </w:pPr>
                    <w:r>
                      <w:rPr>
                        <w:sz w:val="21"/>
                      </w:rPr>
                      <w:fldChar w:fldCharType="begin"/>
                    </w:r>
                    <w:r>
                      <w:rPr>
                        <w:sz w:val="21"/>
                      </w:rPr>
                      <w:instrText xml:space="preserve"> PAGE  \* MERGEFORMAT </w:instrText>
                    </w:r>
                    <w:r>
                      <w:rPr>
                        <w:sz w:val="21"/>
                      </w:rPr>
                      <w:fldChar w:fldCharType="separate"/>
                    </w:r>
                    <w:r>
                      <w:rPr>
                        <w:sz w:val="21"/>
                      </w:rPr>
                      <w:t>- 79 -</w:t>
                    </w:r>
                    <w:r>
                      <w:rPr>
                        <w:sz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1143000</wp:posOffset>
              </wp:positionH>
              <wp:positionV relativeFrom="page">
                <wp:posOffset>699135</wp:posOffset>
              </wp:positionV>
              <wp:extent cx="5273040" cy="9525"/>
              <wp:effectExtent l="0" t="0" r="0" b="0"/>
              <wp:wrapNone/>
              <wp:docPr id="1" name="Graphic 1"/>
              <wp:cNvGraphicFramePr/>
              <a:graphic xmlns:a="http://schemas.openxmlformats.org/drawingml/2006/main">
                <a:graphicData uri="http://schemas.microsoft.com/office/word/2010/wordprocessingShape">
                  <wps:wsp>
                    <wps:cNvSpPr/>
                    <wps:spPr>
                      <a:xfrm>
                        <a:off x="0" y="0"/>
                        <a:ext cx="5273040" cy="9525"/>
                      </a:xfrm>
                      <a:custGeom>
                        <a:avLst/>
                        <a:gdLst/>
                        <a:ahLst/>
                        <a:cxnLst/>
                        <a:rect l="l" t="t" r="r" b="b"/>
                        <a:pathLst>
                          <a:path w="5273040" h="9525">
                            <a:moveTo>
                              <a:pt x="5273040" y="9143"/>
                            </a:moveTo>
                            <a:lnTo>
                              <a:pt x="0" y="9143"/>
                            </a:lnTo>
                            <a:lnTo>
                              <a:pt x="0" y="0"/>
                            </a:lnTo>
                            <a:lnTo>
                              <a:pt x="5273040" y="0"/>
                            </a:lnTo>
                            <a:lnTo>
                              <a:pt x="5273040" y="9143"/>
                            </a:lnTo>
                            <a:close/>
                          </a:path>
                        </a:pathLst>
                      </a:custGeom>
                      <a:solidFill>
                        <a:srgbClr val="000000"/>
                      </a:solidFill>
                    </wps:spPr>
                    <wps:bodyPr wrap="square" lIns="0" tIns="0" rIns="0" bIns="0" rtlCol="0">
                      <a:noAutofit/>
                    </wps:bodyPr>
                  </wps:wsp>
                </a:graphicData>
              </a:graphic>
            </wp:anchor>
          </w:drawing>
        </mc:Choice>
        <mc:Fallback>
          <w:pict>
            <v:shape id="Graphic 1" o:spid="_x0000_s1026" o:spt="100" style="position:absolute;left:0pt;margin-left:90pt;margin-top:55.05pt;height:0.75pt;width:415.2pt;mso-position-horizontal-relative:page;mso-position-vertical-relative:page;z-index:-251656192;mso-width-relative:page;mso-height-relative:page;" fillcolor="#000000" filled="t" stroked="f" coordsize="5273040,9525" o:gfxdata="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4glJdcAAAAM&#10;AQAADwAAAAAAAAABACAAAAAiAAAAZHJzL2Rvd25yZXYueG1sUEsBAhQAFAAAAAgAh07iQCues6Yd&#10;AgAA3wQAAA4AAAAAAAAAAQAgAAAAJgEAAGRycy9lMm9Eb2MueG1sUEsFBgAAAAAGAAYAWQEAALUF&#10;AAAAAA==&#10;" path="m5273040,9143l0,9143,0,0,5273040,0,5273040,9143xe">
              <v:fill on="t" focussize="0,0"/>
              <v:stroke on="f"/>
              <v:imagedata o:title=""/>
              <o:lock v:ext="edit" aspectratio="f"/>
              <v:textbox inset="0mm,0mm,0mm,0mm"/>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8480" behindDoc="1" locked="0" layoutInCell="1" allowOverlap="1">
              <wp:simplePos x="0" y="0"/>
              <wp:positionH relativeFrom="page">
                <wp:posOffset>1143000</wp:posOffset>
              </wp:positionH>
              <wp:positionV relativeFrom="page">
                <wp:posOffset>699135</wp:posOffset>
              </wp:positionV>
              <wp:extent cx="5273040" cy="9525"/>
              <wp:effectExtent l="0" t="0" r="0" b="0"/>
              <wp:wrapNone/>
              <wp:docPr id="55" name="Graphic 55"/>
              <wp:cNvGraphicFramePr/>
              <a:graphic xmlns:a="http://schemas.openxmlformats.org/drawingml/2006/main">
                <a:graphicData uri="http://schemas.microsoft.com/office/word/2010/wordprocessingShape">
                  <wps:wsp>
                    <wps:cNvSpPr/>
                    <wps:spPr>
                      <a:xfrm>
                        <a:off x="0" y="0"/>
                        <a:ext cx="5273040" cy="9525"/>
                      </a:xfrm>
                      <a:custGeom>
                        <a:avLst/>
                        <a:gdLst/>
                        <a:ahLst/>
                        <a:cxnLst/>
                        <a:rect l="l" t="t" r="r" b="b"/>
                        <a:pathLst>
                          <a:path w="5273040" h="9525">
                            <a:moveTo>
                              <a:pt x="5273040" y="9143"/>
                            </a:moveTo>
                            <a:lnTo>
                              <a:pt x="0" y="9143"/>
                            </a:lnTo>
                            <a:lnTo>
                              <a:pt x="0" y="0"/>
                            </a:lnTo>
                            <a:lnTo>
                              <a:pt x="5273040" y="0"/>
                            </a:lnTo>
                            <a:lnTo>
                              <a:pt x="5273040" y="9143"/>
                            </a:lnTo>
                            <a:close/>
                          </a:path>
                        </a:pathLst>
                      </a:custGeom>
                      <a:solidFill>
                        <a:srgbClr val="000000"/>
                      </a:solidFill>
                    </wps:spPr>
                    <wps:bodyPr wrap="square" lIns="0" tIns="0" rIns="0" bIns="0" rtlCol="0">
                      <a:noAutofit/>
                    </wps:bodyPr>
                  </wps:wsp>
                </a:graphicData>
              </a:graphic>
            </wp:anchor>
          </w:drawing>
        </mc:Choice>
        <mc:Fallback>
          <w:pict>
            <v:shape id="Graphic 55" o:spid="_x0000_s1026" o:spt="100" style="position:absolute;left:0pt;margin-left:90pt;margin-top:55.05pt;height:0.75pt;width:415.2pt;mso-position-horizontal-relative:page;mso-position-vertical-relative:page;z-index:-251648000;mso-width-relative:page;mso-height-relative:page;" fillcolor="#000000" filled="t" stroked="f" coordsize="5273040,9525" o:gfxdata="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iCUl1wAA&#10;AAwBAAAPAAAAAAAAAAEAIAAAACIAAABkcnMvZG93bnJldi54bWxQSwECFAAUAAAACACHTuJAVXQ7&#10;Ux8CAADhBAAADgAAAAAAAAABACAAAAAmAQAAZHJzL2Uyb0RvYy54bWxQSwUGAAAAAAYABgBZAQAA&#10;twUAAAAA&#10;" path="m5273040,9143l0,9143,0,0,5273040,0,5273040,9143xe">
              <v:fill on="t" focussize="0,0"/>
              <v:stroke on="f"/>
              <v:imagedata o:title=""/>
              <o:lock v:ext="edit" aspectratio="f"/>
              <v:textbox inset="0mm,0mm,0mm,0mm"/>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9504" behindDoc="1" locked="0" layoutInCell="1" allowOverlap="1">
              <wp:simplePos x="0" y="0"/>
              <wp:positionH relativeFrom="page">
                <wp:posOffset>1143000</wp:posOffset>
              </wp:positionH>
              <wp:positionV relativeFrom="page">
                <wp:posOffset>699135</wp:posOffset>
              </wp:positionV>
              <wp:extent cx="5273040" cy="9525"/>
              <wp:effectExtent l="0" t="0" r="0" b="0"/>
              <wp:wrapNone/>
              <wp:docPr id="57" name="Graphic 57"/>
              <wp:cNvGraphicFramePr/>
              <a:graphic xmlns:a="http://schemas.openxmlformats.org/drawingml/2006/main">
                <a:graphicData uri="http://schemas.microsoft.com/office/word/2010/wordprocessingShape">
                  <wps:wsp>
                    <wps:cNvSpPr/>
                    <wps:spPr>
                      <a:xfrm>
                        <a:off x="0" y="0"/>
                        <a:ext cx="5273040" cy="9525"/>
                      </a:xfrm>
                      <a:custGeom>
                        <a:avLst/>
                        <a:gdLst/>
                        <a:ahLst/>
                        <a:cxnLst/>
                        <a:rect l="l" t="t" r="r" b="b"/>
                        <a:pathLst>
                          <a:path w="5273040" h="9525">
                            <a:moveTo>
                              <a:pt x="5273040" y="9143"/>
                            </a:moveTo>
                            <a:lnTo>
                              <a:pt x="0" y="9143"/>
                            </a:lnTo>
                            <a:lnTo>
                              <a:pt x="0" y="0"/>
                            </a:lnTo>
                            <a:lnTo>
                              <a:pt x="5273040" y="0"/>
                            </a:lnTo>
                            <a:lnTo>
                              <a:pt x="5273040" y="9143"/>
                            </a:lnTo>
                            <a:close/>
                          </a:path>
                        </a:pathLst>
                      </a:custGeom>
                      <a:solidFill>
                        <a:srgbClr val="000000"/>
                      </a:solidFill>
                    </wps:spPr>
                    <wps:bodyPr wrap="square" lIns="0" tIns="0" rIns="0" bIns="0" rtlCol="0">
                      <a:noAutofit/>
                    </wps:bodyPr>
                  </wps:wsp>
                </a:graphicData>
              </a:graphic>
            </wp:anchor>
          </w:drawing>
        </mc:Choice>
        <mc:Fallback>
          <w:pict>
            <v:shape id="Graphic 57" o:spid="_x0000_s1026" o:spt="100" style="position:absolute;left:0pt;margin-left:90pt;margin-top:55.05pt;height:0.75pt;width:415.2pt;mso-position-horizontal-relative:page;mso-position-vertical-relative:page;z-index:-251646976;mso-width-relative:page;mso-height-relative:page;" fillcolor="#000000" filled="t" stroked="f" coordsize="5273040,9525" o:gfxdata="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iCUl1wAA&#10;AAwBAAAPAAAAAAAAAAEAIAAAACIAAABkcnMvZG93bnJldi54bWxQSwECFAAUAAAACACHTuJA4Jft&#10;Lh8CAADhBAAADgAAAAAAAAABACAAAAAmAQAAZHJzL2Uyb0RvYy54bWxQSwUGAAAAAAYABgBZAQAA&#10;twUAAAAA&#10;" path="m5273040,9143l0,9143,0,0,5273040,0,5273040,9143xe">
              <v:fill on="t" focussize="0,0"/>
              <v:stroke on="f"/>
              <v:imagedata o:title=""/>
              <o:lock v:ext="edit" aspectratio="f"/>
              <v:textbox inset="0mm,0mm,0mm,0mm"/>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1312" behindDoc="1" locked="0" layoutInCell="1" allowOverlap="1">
              <wp:simplePos x="0" y="0"/>
              <wp:positionH relativeFrom="page">
                <wp:posOffset>1143000</wp:posOffset>
              </wp:positionH>
              <wp:positionV relativeFrom="page">
                <wp:posOffset>701040</wp:posOffset>
              </wp:positionV>
              <wp:extent cx="5274945" cy="9525"/>
              <wp:effectExtent l="0" t="0" r="0" b="0"/>
              <wp:wrapNone/>
              <wp:docPr id="2" name="Graphic 2"/>
              <wp:cNvGraphicFramePr/>
              <a:graphic xmlns:a="http://schemas.openxmlformats.org/drawingml/2006/main">
                <a:graphicData uri="http://schemas.microsoft.com/office/word/2010/wordprocessingShape">
                  <wps:wsp>
                    <wps:cNvSpPr/>
                    <wps:spPr>
                      <a:xfrm>
                        <a:off x="0" y="0"/>
                        <a:ext cx="5274945" cy="9525"/>
                      </a:xfrm>
                      <a:custGeom>
                        <a:avLst/>
                        <a:gdLst/>
                        <a:ahLst/>
                        <a:cxnLst/>
                        <a:rect l="l" t="t" r="r" b="b"/>
                        <a:pathLst>
                          <a:path w="5274945" h="9525">
                            <a:moveTo>
                              <a:pt x="5274564" y="9143"/>
                            </a:moveTo>
                            <a:lnTo>
                              <a:pt x="0" y="9143"/>
                            </a:lnTo>
                            <a:lnTo>
                              <a:pt x="0" y="0"/>
                            </a:lnTo>
                            <a:lnTo>
                              <a:pt x="5274564" y="0"/>
                            </a:lnTo>
                            <a:lnTo>
                              <a:pt x="5274564" y="9143"/>
                            </a:lnTo>
                            <a:close/>
                          </a:path>
                        </a:pathLst>
                      </a:custGeom>
                      <a:solidFill>
                        <a:srgbClr val="000000"/>
                      </a:solidFill>
                    </wps:spPr>
                    <wps:bodyPr wrap="square" lIns="0" tIns="0" rIns="0" bIns="0" rtlCol="0">
                      <a:noAutofit/>
                    </wps:bodyPr>
                  </wps:wsp>
                </a:graphicData>
              </a:graphic>
            </wp:anchor>
          </w:drawing>
        </mc:Choice>
        <mc:Fallback>
          <w:pict>
            <v:shape id="Graphic 2" o:spid="_x0000_s1026" o:spt="100" style="position:absolute;left:0pt;margin-left:90pt;margin-top:55.2pt;height:0.75pt;width:415.35pt;mso-position-horizontal-relative:page;mso-position-vertical-relative:page;z-index:-251655168;mso-width-relative:page;mso-height-relative:page;" fillcolor="#000000" filled="t" stroked="f" coordsize="5274945,9525" o:gfxdata="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Ej04vW&#10;AAAADAEAAA8AAAAAAAAAAQAgAAAAIgAAAGRycy9kb3ducmV2LnhtbFBLAQIUABQAAAAIAIdO4kDl&#10;SiBAIgIAAN8EAAAOAAAAAAAAAAEAIAAAACUBAABkcnMvZTJvRG9jLnhtbFBLBQYAAAAABgAGAFkB&#10;AAC5BQAAAAA=&#10;" path="m5274564,9143l0,9143,0,0,5274564,0,5274564,9143xe">
              <v:fill on="t" focussize="0,0"/>
              <v:stroke on="f"/>
              <v:imagedata o:title=""/>
              <o:lock v:ext="edit" aspectratio="f"/>
              <v:textbox inset="0mm,0mm,0mm,0mm"/>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2336" behindDoc="1" locked="0" layoutInCell="1" allowOverlap="1">
              <wp:simplePos x="0" y="0"/>
              <wp:positionH relativeFrom="page">
                <wp:posOffset>1143000</wp:posOffset>
              </wp:positionH>
              <wp:positionV relativeFrom="page">
                <wp:posOffset>701040</wp:posOffset>
              </wp:positionV>
              <wp:extent cx="5274945" cy="7620"/>
              <wp:effectExtent l="0" t="0" r="0" b="0"/>
              <wp:wrapNone/>
              <wp:docPr id="5" name="Graphic 5"/>
              <wp:cNvGraphicFramePr/>
              <a:graphic xmlns:a="http://schemas.openxmlformats.org/drawingml/2006/main">
                <a:graphicData uri="http://schemas.microsoft.com/office/word/2010/wordprocessingShape">
                  <wps:wsp>
                    <wps:cNvSpPr/>
                    <wps:spPr>
                      <a:xfrm>
                        <a:off x="0" y="0"/>
                        <a:ext cx="5274945" cy="7620"/>
                      </a:xfrm>
                      <a:custGeom>
                        <a:avLst/>
                        <a:gdLst/>
                        <a:ahLst/>
                        <a:cxnLst/>
                        <a:rect l="l" t="t" r="r" b="b"/>
                        <a:pathLst>
                          <a:path w="5274945" h="7620">
                            <a:moveTo>
                              <a:pt x="5274564" y="7619"/>
                            </a:moveTo>
                            <a:lnTo>
                              <a:pt x="0" y="7619"/>
                            </a:lnTo>
                            <a:lnTo>
                              <a:pt x="0" y="0"/>
                            </a:lnTo>
                            <a:lnTo>
                              <a:pt x="5274564" y="0"/>
                            </a:lnTo>
                            <a:lnTo>
                              <a:pt x="5274564" y="7619"/>
                            </a:lnTo>
                            <a:close/>
                          </a:path>
                        </a:pathLst>
                      </a:custGeom>
                      <a:solidFill>
                        <a:srgbClr val="000000"/>
                      </a:solidFill>
                    </wps:spPr>
                    <wps:bodyPr wrap="square" lIns="0" tIns="0" rIns="0" bIns="0" rtlCol="0">
                      <a:noAutofit/>
                    </wps:bodyPr>
                  </wps:wsp>
                </a:graphicData>
              </a:graphic>
            </wp:anchor>
          </w:drawing>
        </mc:Choice>
        <mc:Fallback>
          <w:pict>
            <v:shape id="Graphic 5" o:spid="_x0000_s1026" o:spt="100" style="position:absolute;left:0pt;margin-left:90pt;margin-top:55.2pt;height:0.6pt;width:415.35pt;mso-position-horizontal-relative:page;mso-position-vertical-relative:page;z-index:-251654144;mso-width-relative:page;mso-height-relative:page;" fillcolor="#000000" filled="t" stroked="f" coordsize="5274945,7620" o:gfxdata="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tZgmXX&#10;AAAADAEAAA8AAAAAAAAAAQAgAAAAIgAAAGRycy9kb3ducmV2LnhtbFBLAQIUABQAAAAIAIdO4kDR&#10;paXiIQIAAN8EAAAOAAAAAAAAAAEAIAAAACYBAABkcnMvZTJvRG9jLnhtbFBLBQYAAAAABgAGAFkB&#10;AAC5BQAAAAA=&#10;" path="m5274564,7619l0,7619,0,0,5274564,0,5274564,7619xe">
              <v:fill on="t" focussize="0,0"/>
              <v:stroke on="f"/>
              <v:imagedata o:title=""/>
              <o:lock v:ext="edit" aspectratio="f"/>
              <v:textbox inset="0mm,0mm,0mm,0mm"/>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2336" behindDoc="1" locked="0" layoutInCell="1" allowOverlap="1">
              <wp:simplePos x="0" y="0"/>
              <wp:positionH relativeFrom="page">
                <wp:posOffset>1143000</wp:posOffset>
              </wp:positionH>
              <wp:positionV relativeFrom="page">
                <wp:posOffset>701040</wp:posOffset>
              </wp:positionV>
              <wp:extent cx="5274945" cy="9525"/>
              <wp:effectExtent l="0" t="0" r="0" b="0"/>
              <wp:wrapNone/>
              <wp:docPr id="6" name="Graphic 6"/>
              <wp:cNvGraphicFramePr/>
              <a:graphic xmlns:a="http://schemas.openxmlformats.org/drawingml/2006/main">
                <a:graphicData uri="http://schemas.microsoft.com/office/word/2010/wordprocessingShape">
                  <wps:wsp>
                    <wps:cNvSpPr/>
                    <wps:spPr>
                      <a:xfrm>
                        <a:off x="0" y="0"/>
                        <a:ext cx="5274945" cy="9525"/>
                      </a:xfrm>
                      <a:custGeom>
                        <a:avLst/>
                        <a:gdLst/>
                        <a:ahLst/>
                        <a:cxnLst/>
                        <a:rect l="l" t="t" r="r" b="b"/>
                        <a:pathLst>
                          <a:path w="5274945" h="9525">
                            <a:moveTo>
                              <a:pt x="5274564" y="9143"/>
                            </a:moveTo>
                            <a:lnTo>
                              <a:pt x="0" y="9143"/>
                            </a:lnTo>
                            <a:lnTo>
                              <a:pt x="0" y="0"/>
                            </a:lnTo>
                            <a:lnTo>
                              <a:pt x="5274564" y="0"/>
                            </a:lnTo>
                            <a:lnTo>
                              <a:pt x="5274564" y="9143"/>
                            </a:lnTo>
                            <a:close/>
                          </a:path>
                        </a:pathLst>
                      </a:custGeom>
                      <a:solidFill>
                        <a:srgbClr val="000000"/>
                      </a:solidFill>
                    </wps:spPr>
                    <wps:bodyPr wrap="square" lIns="0" tIns="0" rIns="0" bIns="0" rtlCol="0">
                      <a:noAutofit/>
                    </wps:bodyPr>
                  </wps:wsp>
                </a:graphicData>
              </a:graphic>
            </wp:anchor>
          </w:drawing>
        </mc:Choice>
        <mc:Fallback>
          <w:pict>
            <v:shape id="Graphic 6" o:spid="_x0000_s1026" o:spt="100" style="position:absolute;left:0pt;margin-left:90pt;margin-top:55.2pt;height:0.75pt;width:415.35pt;mso-position-horizontal-relative:page;mso-position-vertical-relative:page;z-index:-251654144;mso-width-relative:page;mso-height-relative:page;" fillcolor="#000000" filled="t" stroked="f" coordsize="5274945,9525" o:gfxdata="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Ej04vW&#10;AAAADAEAAA8AAAAAAAAAAQAgAAAAIgAAAGRycy9kb3ducmV2LnhtbFBLAQIUABQAAAAIAIdO4kD/&#10;cZ+SIgIAAN8EAAAOAAAAAAAAAAEAIAAAACUBAABkcnMvZTJvRG9jLnhtbFBLBQYAAAAABgAGAFkB&#10;AAC5BQAAAAA=&#10;" path="m5274564,9143l0,9143,0,0,5274564,0,5274564,9143xe">
              <v:fill on="t" focussize="0,0"/>
              <v:stroke on="f"/>
              <v:imagedata o:title=""/>
              <o:lock v:ext="edit" aspectratio="f"/>
              <v:textbox inset="0mm,0mm,0mm,0mm"/>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3360" behindDoc="1" locked="0" layoutInCell="1" allowOverlap="1">
              <wp:simplePos x="0" y="0"/>
              <wp:positionH relativeFrom="page">
                <wp:posOffset>1143000</wp:posOffset>
              </wp:positionH>
              <wp:positionV relativeFrom="page">
                <wp:posOffset>701040</wp:posOffset>
              </wp:positionV>
              <wp:extent cx="5274310" cy="8890"/>
              <wp:effectExtent l="0" t="0" r="0" b="0"/>
              <wp:wrapNone/>
              <wp:docPr id="16" name="Graphic 16"/>
              <wp:cNvGraphicFramePr/>
              <a:graphic xmlns:a="http://schemas.openxmlformats.org/drawingml/2006/main">
                <a:graphicData uri="http://schemas.microsoft.com/office/word/2010/wordprocessingShape">
                  <wps:wsp>
                    <wps:cNvSpPr/>
                    <wps:spPr>
                      <a:xfrm>
                        <a:off x="0" y="0"/>
                        <a:ext cx="5274310" cy="8890"/>
                      </a:xfrm>
                      <a:custGeom>
                        <a:avLst/>
                        <a:gdLst/>
                        <a:ahLst/>
                        <a:cxnLst/>
                        <a:rect l="l" t="t" r="r" b="b"/>
                        <a:pathLst>
                          <a:path w="5274310" h="8890">
                            <a:moveTo>
                              <a:pt x="5274310" y="8889"/>
                            </a:moveTo>
                            <a:lnTo>
                              <a:pt x="0" y="8889"/>
                            </a:lnTo>
                            <a:lnTo>
                              <a:pt x="0" y="0"/>
                            </a:lnTo>
                            <a:lnTo>
                              <a:pt x="5274310" y="0"/>
                            </a:lnTo>
                            <a:lnTo>
                              <a:pt x="5274310" y="8889"/>
                            </a:lnTo>
                            <a:close/>
                          </a:path>
                        </a:pathLst>
                      </a:custGeom>
                      <a:solidFill>
                        <a:srgbClr val="000000"/>
                      </a:solidFill>
                    </wps:spPr>
                    <wps:bodyPr wrap="square" lIns="0" tIns="0" rIns="0" bIns="0" rtlCol="0">
                      <a:noAutofit/>
                    </wps:bodyPr>
                  </wps:wsp>
                </a:graphicData>
              </a:graphic>
            </wp:anchor>
          </w:drawing>
        </mc:Choice>
        <mc:Fallback>
          <w:pict>
            <v:shape id="Graphic 16" o:spid="_x0000_s1026" o:spt="100" style="position:absolute;left:0pt;margin-left:90pt;margin-top:55.2pt;height:0.7pt;width:415.3pt;mso-position-horizontal-relative:page;mso-position-vertical-relative:page;z-index:-251653120;mso-width-relative:page;mso-height-relative:page;" fillcolor="#000000" filled="t" stroked="f" coordsize="5274310,8890" o:gfxdata="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KTy1nZ&#10;AAAADAEAAA8AAAAAAAAAAQAgAAAAIgAAAGRycy9kb3ducmV2LnhtbFBLAQIUABQAAAAIAIdO4kAQ&#10;jqWuHwIAAOEEAAAOAAAAAAAAAAEAIAAAACgBAABkcnMvZTJvRG9jLnhtbFBLBQYAAAAABgAGAFkB&#10;AAC5BQAAAAA=&#10;" path="m5274310,8889l0,8889,0,0,5274310,0,5274310,8889xe">
              <v:fill on="t" focussize="0,0"/>
              <v:stroke on="f"/>
              <v:imagedata o:title=""/>
              <o:lock v:ext="edit" aspectratio="f"/>
              <v:textbox inset="0mm,0mm,0mm,0mm"/>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4384" behindDoc="1" locked="0" layoutInCell="1" allowOverlap="1">
              <wp:simplePos x="0" y="0"/>
              <wp:positionH relativeFrom="page">
                <wp:posOffset>1143000</wp:posOffset>
              </wp:positionH>
              <wp:positionV relativeFrom="page">
                <wp:posOffset>701040</wp:posOffset>
              </wp:positionV>
              <wp:extent cx="5274945" cy="7620"/>
              <wp:effectExtent l="0" t="0" r="0" b="0"/>
              <wp:wrapNone/>
              <wp:docPr id="18" name="Graphic 18"/>
              <wp:cNvGraphicFramePr/>
              <a:graphic xmlns:a="http://schemas.openxmlformats.org/drawingml/2006/main">
                <a:graphicData uri="http://schemas.microsoft.com/office/word/2010/wordprocessingShape">
                  <wps:wsp>
                    <wps:cNvSpPr/>
                    <wps:spPr>
                      <a:xfrm>
                        <a:off x="0" y="0"/>
                        <a:ext cx="5274945" cy="7620"/>
                      </a:xfrm>
                      <a:custGeom>
                        <a:avLst/>
                        <a:gdLst/>
                        <a:ahLst/>
                        <a:cxnLst/>
                        <a:rect l="l" t="t" r="r" b="b"/>
                        <a:pathLst>
                          <a:path w="5274945" h="7620">
                            <a:moveTo>
                              <a:pt x="5274564" y="7619"/>
                            </a:moveTo>
                            <a:lnTo>
                              <a:pt x="0" y="7619"/>
                            </a:lnTo>
                            <a:lnTo>
                              <a:pt x="0" y="0"/>
                            </a:lnTo>
                            <a:lnTo>
                              <a:pt x="5274564" y="0"/>
                            </a:lnTo>
                            <a:lnTo>
                              <a:pt x="5274564" y="7619"/>
                            </a:lnTo>
                            <a:close/>
                          </a:path>
                        </a:pathLst>
                      </a:custGeom>
                      <a:solidFill>
                        <a:srgbClr val="000000"/>
                      </a:solidFill>
                    </wps:spPr>
                    <wps:bodyPr wrap="square" lIns="0" tIns="0" rIns="0" bIns="0" rtlCol="0">
                      <a:noAutofit/>
                    </wps:bodyPr>
                  </wps:wsp>
                </a:graphicData>
              </a:graphic>
            </wp:anchor>
          </w:drawing>
        </mc:Choice>
        <mc:Fallback>
          <w:pict>
            <v:shape id="Graphic 18" o:spid="_x0000_s1026" o:spt="100" style="position:absolute;left:0pt;margin-left:90pt;margin-top:55.2pt;height:0.6pt;width:415.35pt;mso-position-horizontal-relative:page;mso-position-vertical-relative:page;z-index:-251652096;mso-width-relative:page;mso-height-relative:page;" fillcolor="#000000" filled="t" stroked="f" coordsize="5274945,7620" o:gfxdata="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1mC&#10;ZdcAAAAMAQAADwAAAAAAAAABACAAAAAiAAAAZHJzL2Rvd25yZXYueG1sUEsBAhQAFAAAAAgAh07i&#10;QDHs2mwjAgAA4QQAAA4AAAAAAAAAAQAgAAAAJgEAAGRycy9lMm9Eb2MueG1sUEsFBgAAAAAGAAYA&#10;WQEAALsFAAAAAA==&#10;" path="m5274564,7619l0,7619,0,0,5274564,0,5274564,7619xe">
              <v:fill on="t" focussize="0,0"/>
              <v:stroke on="f"/>
              <v:imagedata o:title=""/>
              <o:lock v:ext="edit" aspectratio="f"/>
              <v:textbox inset="0mm,0mm,0mm,0mm"/>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5408" behindDoc="1" locked="0" layoutInCell="1" allowOverlap="1">
              <wp:simplePos x="0" y="0"/>
              <wp:positionH relativeFrom="page">
                <wp:posOffset>1143000</wp:posOffset>
              </wp:positionH>
              <wp:positionV relativeFrom="page">
                <wp:posOffset>701040</wp:posOffset>
              </wp:positionV>
              <wp:extent cx="5274945" cy="9525"/>
              <wp:effectExtent l="0" t="0" r="0" b="0"/>
              <wp:wrapNone/>
              <wp:docPr id="22" name="Graphic 22"/>
              <wp:cNvGraphicFramePr/>
              <a:graphic xmlns:a="http://schemas.openxmlformats.org/drawingml/2006/main">
                <a:graphicData uri="http://schemas.microsoft.com/office/word/2010/wordprocessingShape">
                  <wps:wsp>
                    <wps:cNvSpPr/>
                    <wps:spPr>
                      <a:xfrm>
                        <a:off x="0" y="0"/>
                        <a:ext cx="5274945" cy="9525"/>
                      </a:xfrm>
                      <a:custGeom>
                        <a:avLst/>
                        <a:gdLst/>
                        <a:ahLst/>
                        <a:cxnLst/>
                        <a:rect l="l" t="t" r="r" b="b"/>
                        <a:pathLst>
                          <a:path w="5274945" h="9525">
                            <a:moveTo>
                              <a:pt x="5274564" y="9143"/>
                            </a:moveTo>
                            <a:lnTo>
                              <a:pt x="0" y="9143"/>
                            </a:lnTo>
                            <a:lnTo>
                              <a:pt x="0" y="0"/>
                            </a:lnTo>
                            <a:lnTo>
                              <a:pt x="5274564" y="0"/>
                            </a:lnTo>
                            <a:lnTo>
                              <a:pt x="5274564" y="9143"/>
                            </a:lnTo>
                            <a:close/>
                          </a:path>
                        </a:pathLst>
                      </a:custGeom>
                      <a:solidFill>
                        <a:srgbClr val="000000"/>
                      </a:solidFill>
                    </wps:spPr>
                    <wps:bodyPr wrap="square" lIns="0" tIns="0" rIns="0" bIns="0" rtlCol="0">
                      <a:noAutofit/>
                    </wps:bodyPr>
                  </wps:wsp>
                </a:graphicData>
              </a:graphic>
            </wp:anchor>
          </w:drawing>
        </mc:Choice>
        <mc:Fallback>
          <w:pict>
            <v:shape id="Graphic 22" o:spid="_x0000_s1026" o:spt="100" style="position:absolute;left:0pt;margin-left:90pt;margin-top:55.2pt;height:0.75pt;width:415.35pt;mso-position-horizontal-relative:page;mso-position-vertical-relative:page;z-index:-251651072;mso-width-relative:page;mso-height-relative:page;" fillcolor="#000000" filled="t" stroked="f" coordsize="5274945,9525" o:gfxdata="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BI9OL&#10;1gAAAAwBAAAPAAAAAAAAAAEAIAAAACIAAABkcnMvZG93bnJldi54bWxQSwECFAAUAAAACACHTuJA&#10;RFqZGyMCAADhBAAADgAAAAAAAAABACAAAAAlAQAAZHJzL2Uyb0RvYy54bWxQSwUGAAAAAAYABgBZ&#10;AQAAugUAAAAA&#10;" path="m5274564,9143l0,9143,0,0,5274564,0,5274564,9143xe">
              <v:fill on="t" focussize="0,0"/>
              <v:stroke on="f"/>
              <v:imagedata o:title=""/>
              <o:lock v:ext="edit" aspectratio="f"/>
              <v:textbox inset="0mm,0mm,0mm,0mm"/>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6432" behindDoc="1" locked="0" layoutInCell="1" allowOverlap="1">
              <wp:simplePos x="0" y="0"/>
              <wp:positionH relativeFrom="page">
                <wp:posOffset>1139825</wp:posOffset>
              </wp:positionH>
              <wp:positionV relativeFrom="page">
                <wp:posOffset>701040</wp:posOffset>
              </wp:positionV>
              <wp:extent cx="5278120" cy="9525"/>
              <wp:effectExtent l="0" t="0" r="0" b="0"/>
              <wp:wrapNone/>
              <wp:docPr id="24" name="Graphic 24"/>
              <wp:cNvGraphicFramePr/>
              <a:graphic xmlns:a="http://schemas.openxmlformats.org/drawingml/2006/main">
                <a:graphicData uri="http://schemas.microsoft.com/office/word/2010/wordprocessingShape">
                  <wps:wsp>
                    <wps:cNvSpPr/>
                    <wps:spPr>
                      <a:xfrm>
                        <a:off x="0" y="0"/>
                        <a:ext cx="5278120" cy="9525"/>
                      </a:xfrm>
                      <a:custGeom>
                        <a:avLst/>
                        <a:gdLst/>
                        <a:ahLst/>
                        <a:cxnLst/>
                        <a:rect l="l" t="t" r="r" b="b"/>
                        <a:pathLst>
                          <a:path w="5278120" h="9525">
                            <a:moveTo>
                              <a:pt x="5277612" y="9143"/>
                            </a:moveTo>
                            <a:lnTo>
                              <a:pt x="0" y="9143"/>
                            </a:lnTo>
                            <a:lnTo>
                              <a:pt x="0" y="0"/>
                            </a:lnTo>
                            <a:lnTo>
                              <a:pt x="5277612" y="0"/>
                            </a:lnTo>
                            <a:lnTo>
                              <a:pt x="5277612" y="9143"/>
                            </a:lnTo>
                            <a:close/>
                          </a:path>
                        </a:pathLst>
                      </a:custGeom>
                      <a:solidFill>
                        <a:srgbClr val="000000"/>
                      </a:solidFill>
                    </wps:spPr>
                    <wps:bodyPr wrap="square" lIns="0" tIns="0" rIns="0" bIns="0" rtlCol="0">
                      <a:noAutofit/>
                    </wps:bodyPr>
                  </wps:wsp>
                </a:graphicData>
              </a:graphic>
            </wp:anchor>
          </w:drawing>
        </mc:Choice>
        <mc:Fallback>
          <w:pict>
            <v:shape id="Graphic 24" o:spid="_x0000_s1026" o:spt="100" style="position:absolute;left:0pt;margin-left:89.75pt;margin-top:55.2pt;height:0.75pt;width:415.6pt;mso-position-horizontal-relative:page;mso-position-vertical-relative:page;z-index:-251650048;mso-width-relative:page;mso-height-relative:page;" fillcolor="#000000" filled="t" stroked="f" coordsize="5278120,9525" o:gfxdata="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UA&#10;YWTYAAAADAEAAA8AAAAAAAAAAQAgAAAAIgAAAGRycy9kb3ducmV2LnhtbFBLAQIUABQAAAAIAIdO&#10;4kCznZvcIwIAAOEEAAAOAAAAAAAAAAEAIAAAACcBAABkcnMvZTJvRG9jLnhtbFBLBQYAAAAABgAG&#10;AFkBAAC8BQAAAAA=&#10;" path="m5277612,9143l0,9143,0,0,5277612,0,5277612,9143xe">
              <v:fill on="t" focussize="0,0"/>
              <v:stroke on="f"/>
              <v:imagedata o:title=""/>
              <o:lock v:ext="edit" aspectratio="f"/>
              <v:textbox inset="0mm,0mm,0mm,0mm"/>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7456" behindDoc="1" locked="0" layoutInCell="1" allowOverlap="1">
              <wp:simplePos x="0" y="0"/>
              <wp:positionH relativeFrom="page">
                <wp:posOffset>1143000</wp:posOffset>
              </wp:positionH>
              <wp:positionV relativeFrom="page">
                <wp:posOffset>701040</wp:posOffset>
              </wp:positionV>
              <wp:extent cx="5274945" cy="9525"/>
              <wp:effectExtent l="0" t="0" r="0" b="0"/>
              <wp:wrapNone/>
              <wp:docPr id="42" name="Graphic 42"/>
              <wp:cNvGraphicFramePr/>
              <a:graphic xmlns:a="http://schemas.openxmlformats.org/drawingml/2006/main">
                <a:graphicData uri="http://schemas.microsoft.com/office/word/2010/wordprocessingShape">
                  <wps:wsp>
                    <wps:cNvSpPr/>
                    <wps:spPr>
                      <a:xfrm>
                        <a:off x="0" y="0"/>
                        <a:ext cx="5274945" cy="9525"/>
                      </a:xfrm>
                      <a:custGeom>
                        <a:avLst/>
                        <a:gdLst/>
                        <a:ahLst/>
                        <a:cxnLst/>
                        <a:rect l="l" t="t" r="r" b="b"/>
                        <a:pathLst>
                          <a:path w="5274945" h="9525">
                            <a:moveTo>
                              <a:pt x="5274564" y="9143"/>
                            </a:moveTo>
                            <a:lnTo>
                              <a:pt x="0" y="9143"/>
                            </a:lnTo>
                            <a:lnTo>
                              <a:pt x="0" y="0"/>
                            </a:lnTo>
                            <a:lnTo>
                              <a:pt x="5274564" y="0"/>
                            </a:lnTo>
                            <a:lnTo>
                              <a:pt x="5274564" y="9143"/>
                            </a:lnTo>
                            <a:close/>
                          </a:path>
                        </a:pathLst>
                      </a:custGeom>
                      <a:solidFill>
                        <a:srgbClr val="000000"/>
                      </a:solidFill>
                    </wps:spPr>
                    <wps:bodyPr wrap="square" lIns="0" tIns="0" rIns="0" bIns="0" rtlCol="0">
                      <a:noAutofit/>
                    </wps:bodyPr>
                  </wps:wsp>
                </a:graphicData>
              </a:graphic>
            </wp:anchor>
          </w:drawing>
        </mc:Choice>
        <mc:Fallback>
          <w:pict>
            <v:shape id="Graphic 42" o:spid="_x0000_s1026" o:spt="100" style="position:absolute;left:0pt;margin-left:90pt;margin-top:55.2pt;height:0.75pt;width:415.35pt;mso-position-horizontal-relative:page;mso-position-vertical-relative:page;z-index:-251649024;mso-width-relative:page;mso-height-relative:page;" fillcolor="#000000" filled="t" stroked="f" coordsize="5274945,9525" o:gfxdata="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BI9OL&#10;1gAAAAwBAAAPAAAAAAAAAAEAIAAAACIAAABkcnMvZG93bnJldi54bWxQSwECFAAUAAAACACHTuJA&#10;Je5zDSMCAADhBAAADgAAAAAAAAABACAAAAAlAQAAZHJzL2Uyb0RvYy54bWxQSwUGAAAAAAYABgBZ&#10;AQAAugUAAAAA&#10;" path="m5274564,9143l0,9143,0,0,5274564,0,5274564,9143xe">
              <v:fill on="t"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988" w:hanging="615"/>
        <w:jc w:val="left"/>
      </w:pPr>
      <w:rPr>
        <w:rFonts w:hint="default" w:ascii="宋体" w:hAnsi="宋体" w:eastAsia="宋体" w:cs="宋体"/>
        <w:b w:val="0"/>
        <w:bCs w:val="0"/>
        <w:i w:val="0"/>
        <w:iCs w:val="0"/>
        <w:spacing w:val="-5"/>
        <w:w w:val="100"/>
        <w:sz w:val="22"/>
        <w:szCs w:val="22"/>
        <w:lang w:val="en-US" w:eastAsia="zh-CN" w:bidi="ar-SA"/>
      </w:rPr>
    </w:lvl>
    <w:lvl w:ilvl="1" w:tentative="0">
      <w:start w:val="0"/>
      <w:numFmt w:val="bullet"/>
      <w:lvlText w:val="•"/>
      <w:lvlJc w:val="left"/>
      <w:pPr>
        <w:ind w:left="2809" w:hanging="615"/>
      </w:pPr>
      <w:rPr>
        <w:rFonts w:hint="default"/>
        <w:lang w:val="en-US" w:eastAsia="zh-CN" w:bidi="ar-SA"/>
      </w:rPr>
    </w:lvl>
    <w:lvl w:ilvl="2" w:tentative="0">
      <w:start w:val="0"/>
      <w:numFmt w:val="bullet"/>
      <w:lvlText w:val="•"/>
      <w:lvlJc w:val="left"/>
      <w:pPr>
        <w:ind w:left="3638" w:hanging="615"/>
      </w:pPr>
      <w:rPr>
        <w:rFonts w:hint="default"/>
        <w:lang w:val="en-US" w:eastAsia="zh-CN" w:bidi="ar-SA"/>
      </w:rPr>
    </w:lvl>
    <w:lvl w:ilvl="3" w:tentative="0">
      <w:start w:val="0"/>
      <w:numFmt w:val="bullet"/>
      <w:lvlText w:val="•"/>
      <w:lvlJc w:val="left"/>
      <w:pPr>
        <w:ind w:left="4467" w:hanging="615"/>
      </w:pPr>
      <w:rPr>
        <w:rFonts w:hint="default"/>
        <w:lang w:val="en-US" w:eastAsia="zh-CN" w:bidi="ar-SA"/>
      </w:rPr>
    </w:lvl>
    <w:lvl w:ilvl="4" w:tentative="0">
      <w:start w:val="0"/>
      <w:numFmt w:val="bullet"/>
      <w:lvlText w:val="•"/>
      <w:lvlJc w:val="left"/>
      <w:pPr>
        <w:ind w:left="5296" w:hanging="615"/>
      </w:pPr>
      <w:rPr>
        <w:rFonts w:hint="default"/>
        <w:lang w:val="en-US" w:eastAsia="zh-CN" w:bidi="ar-SA"/>
      </w:rPr>
    </w:lvl>
    <w:lvl w:ilvl="5" w:tentative="0">
      <w:start w:val="0"/>
      <w:numFmt w:val="bullet"/>
      <w:lvlText w:val="•"/>
      <w:lvlJc w:val="left"/>
      <w:pPr>
        <w:ind w:left="6125" w:hanging="615"/>
      </w:pPr>
      <w:rPr>
        <w:rFonts w:hint="default"/>
        <w:lang w:val="en-US" w:eastAsia="zh-CN" w:bidi="ar-SA"/>
      </w:rPr>
    </w:lvl>
    <w:lvl w:ilvl="6" w:tentative="0">
      <w:start w:val="0"/>
      <w:numFmt w:val="bullet"/>
      <w:lvlText w:val="•"/>
      <w:lvlJc w:val="left"/>
      <w:pPr>
        <w:ind w:left="6954" w:hanging="615"/>
      </w:pPr>
      <w:rPr>
        <w:rFonts w:hint="default"/>
        <w:lang w:val="en-US" w:eastAsia="zh-CN" w:bidi="ar-SA"/>
      </w:rPr>
    </w:lvl>
    <w:lvl w:ilvl="7" w:tentative="0">
      <w:start w:val="0"/>
      <w:numFmt w:val="bullet"/>
      <w:lvlText w:val="•"/>
      <w:lvlJc w:val="left"/>
      <w:pPr>
        <w:ind w:left="7783" w:hanging="615"/>
      </w:pPr>
      <w:rPr>
        <w:rFonts w:hint="default"/>
        <w:lang w:val="en-US" w:eastAsia="zh-CN" w:bidi="ar-SA"/>
      </w:rPr>
    </w:lvl>
    <w:lvl w:ilvl="8" w:tentative="0">
      <w:start w:val="0"/>
      <w:numFmt w:val="bullet"/>
      <w:lvlText w:val="•"/>
      <w:lvlJc w:val="left"/>
      <w:pPr>
        <w:ind w:left="8612" w:hanging="615"/>
      </w:pPr>
      <w:rPr>
        <w:rFonts w:hint="default"/>
        <w:lang w:val="en-US" w:eastAsia="zh-CN" w:bidi="ar-SA"/>
      </w:rPr>
    </w:lvl>
  </w:abstractNum>
  <w:abstractNum w:abstractNumId="1">
    <w:nsid w:val="8461FADE"/>
    <w:multiLevelType w:val="multilevel"/>
    <w:tmpl w:val="8461FADE"/>
    <w:lvl w:ilvl="0" w:tentative="0">
      <w:start w:val="33"/>
      <w:numFmt w:val="decimal"/>
      <w:lvlText w:val="%1"/>
      <w:lvlJc w:val="left"/>
      <w:pPr>
        <w:ind w:left="892" w:hanging="533"/>
        <w:jc w:val="left"/>
      </w:pPr>
      <w:rPr>
        <w:rFonts w:hint="default"/>
        <w:lang w:val="en-US" w:eastAsia="zh-CN" w:bidi="ar-SA"/>
      </w:rPr>
    </w:lvl>
    <w:lvl w:ilvl="1" w:tentative="0">
      <w:start w:val="1"/>
      <w:numFmt w:val="decimal"/>
      <w:lvlText w:val="%1.%2"/>
      <w:lvlJc w:val="left"/>
      <w:pPr>
        <w:ind w:left="892" w:hanging="533"/>
        <w:jc w:val="left"/>
      </w:pPr>
      <w:rPr>
        <w:rFonts w:hint="default" w:ascii="宋体" w:hAnsi="宋体" w:eastAsia="宋体" w:cs="宋体"/>
        <w:b w:val="0"/>
        <w:bCs w:val="0"/>
        <w:i w:val="0"/>
        <w:iCs w:val="0"/>
        <w:spacing w:val="-5"/>
        <w:w w:val="100"/>
        <w:sz w:val="24"/>
        <w:szCs w:val="24"/>
        <w:lang w:val="en-US" w:eastAsia="zh-CN" w:bidi="ar-SA"/>
      </w:rPr>
    </w:lvl>
    <w:lvl w:ilvl="2" w:tentative="0">
      <w:start w:val="0"/>
      <w:numFmt w:val="bullet"/>
      <w:lvlText w:val="•"/>
      <w:lvlJc w:val="left"/>
      <w:pPr>
        <w:ind w:left="2774" w:hanging="533"/>
      </w:pPr>
      <w:rPr>
        <w:rFonts w:hint="default"/>
        <w:lang w:val="en-US" w:eastAsia="zh-CN" w:bidi="ar-SA"/>
      </w:rPr>
    </w:lvl>
    <w:lvl w:ilvl="3" w:tentative="0">
      <w:start w:val="0"/>
      <w:numFmt w:val="bullet"/>
      <w:lvlText w:val="•"/>
      <w:lvlJc w:val="left"/>
      <w:pPr>
        <w:ind w:left="3711" w:hanging="533"/>
      </w:pPr>
      <w:rPr>
        <w:rFonts w:hint="default"/>
        <w:lang w:val="en-US" w:eastAsia="zh-CN" w:bidi="ar-SA"/>
      </w:rPr>
    </w:lvl>
    <w:lvl w:ilvl="4" w:tentative="0">
      <w:start w:val="0"/>
      <w:numFmt w:val="bullet"/>
      <w:lvlText w:val="•"/>
      <w:lvlJc w:val="left"/>
      <w:pPr>
        <w:ind w:left="4648" w:hanging="533"/>
      </w:pPr>
      <w:rPr>
        <w:rFonts w:hint="default"/>
        <w:lang w:val="en-US" w:eastAsia="zh-CN" w:bidi="ar-SA"/>
      </w:rPr>
    </w:lvl>
    <w:lvl w:ilvl="5" w:tentative="0">
      <w:start w:val="0"/>
      <w:numFmt w:val="bullet"/>
      <w:lvlText w:val="•"/>
      <w:lvlJc w:val="left"/>
      <w:pPr>
        <w:ind w:left="5585" w:hanging="533"/>
      </w:pPr>
      <w:rPr>
        <w:rFonts w:hint="default"/>
        <w:lang w:val="en-US" w:eastAsia="zh-CN" w:bidi="ar-SA"/>
      </w:rPr>
    </w:lvl>
    <w:lvl w:ilvl="6" w:tentative="0">
      <w:start w:val="0"/>
      <w:numFmt w:val="bullet"/>
      <w:lvlText w:val="•"/>
      <w:lvlJc w:val="left"/>
      <w:pPr>
        <w:ind w:left="6522" w:hanging="533"/>
      </w:pPr>
      <w:rPr>
        <w:rFonts w:hint="default"/>
        <w:lang w:val="en-US" w:eastAsia="zh-CN" w:bidi="ar-SA"/>
      </w:rPr>
    </w:lvl>
    <w:lvl w:ilvl="7" w:tentative="0">
      <w:start w:val="0"/>
      <w:numFmt w:val="bullet"/>
      <w:lvlText w:val="•"/>
      <w:lvlJc w:val="left"/>
      <w:pPr>
        <w:ind w:left="7459" w:hanging="533"/>
      </w:pPr>
      <w:rPr>
        <w:rFonts w:hint="default"/>
        <w:lang w:val="en-US" w:eastAsia="zh-CN" w:bidi="ar-SA"/>
      </w:rPr>
    </w:lvl>
    <w:lvl w:ilvl="8" w:tentative="0">
      <w:start w:val="0"/>
      <w:numFmt w:val="bullet"/>
      <w:lvlText w:val="•"/>
      <w:lvlJc w:val="left"/>
      <w:pPr>
        <w:ind w:left="8396" w:hanging="533"/>
      </w:pPr>
      <w:rPr>
        <w:rFonts w:hint="default"/>
        <w:lang w:val="en-US" w:eastAsia="zh-CN" w:bidi="ar-SA"/>
      </w:rPr>
    </w:lvl>
  </w:abstractNum>
  <w:abstractNum w:abstractNumId="2">
    <w:nsid w:val="8CAEB125"/>
    <w:multiLevelType w:val="multilevel"/>
    <w:tmpl w:val="8CAEB125"/>
    <w:lvl w:ilvl="0" w:tentative="0">
      <w:start w:val="1"/>
      <w:numFmt w:val="decimal"/>
      <w:lvlText w:val="%1."/>
      <w:lvlJc w:val="left"/>
      <w:pPr>
        <w:ind w:left="107" w:hanging="183"/>
        <w:jc w:val="left"/>
      </w:pPr>
      <w:rPr>
        <w:rFonts w:hint="default" w:ascii="Times New Roman" w:hAnsi="Times New Roman" w:eastAsia="Times New Roman" w:cs="Times New Roman"/>
        <w:b w:val="0"/>
        <w:bCs w:val="0"/>
        <w:i w:val="0"/>
        <w:iCs w:val="0"/>
        <w:spacing w:val="0"/>
        <w:w w:val="93"/>
        <w:sz w:val="22"/>
        <w:szCs w:val="22"/>
        <w:lang w:val="en-US" w:eastAsia="zh-CN" w:bidi="ar-SA"/>
      </w:rPr>
    </w:lvl>
    <w:lvl w:ilvl="1" w:tentative="0">
      <w:start w:val="1"/>
      <w:numFmt w:val="decimal"/>
      <w:lvlText w:val="%2"/>
      <w:lvlJc w:val="left"/>
      <w:pPr>
        <w:ind w:left="887" w:hanging="228"/>
        <w:jc w:val="left"/>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1923" w:hanging="228"/>
      </w:pPr>
      <w:rPr>
        <w:rFonts w:hint="default"/>
        <w:lang w:val="en-US" w:eastAsia="zh-CN" w:bidi="ar-SA"/>
      </w:rPr>
    </w:lvl>
    <w:lvl w:ilvl="3" w:tentative="0">
      <w:start w:val="0"/>
      <w:numFmt w:val="bullet"/>
      <w:lvlText w:val="•"/>
      <w:lvlJc w:val="left"/>
      <w:pPr>
        <w:ind w:left="2966" w:hanging="228"/>
      </w:pPr>
      <w:rPr>
        <w:rFonts w:hint="default"/>
        <w:lang w:val="en-US" w:eastAsia="zh-CN" w:bidi="ar-SA"/>
      </w:rPr>
    </w:lvl>
    <w:lvl w:ilvl="4" w:tentative="0">
      <w:start w:val="0"/>
      <w:numFmt w:val="bullet"/>
      <w:lvlText w:val="•"/>
      <w:lvlJc w:val="left"/>
      <w:pPr>
        <w:ind w:left="4010" w:hanging="228"/>
      </w:pPr>
      <w:rPr>
        <w:rFonts w:hint="default"/>
        <w:lang w:val="en-US" w:eastAsia="zh-CN" w:bidi="ar-SA"/>
      </w:rPr>
    </w:lvl>
    <w:lvl w:ilvl="5" w:tentative="0">
      <w:start w:val="0"/>
      <w:numFmt w:val="bullet"/>
      <w:lvlText w:val="•"/>
      <w:lvlJc w:val="left"/>
      <w:pPr>
        <w:ind w:left="5053" w:hanging="228"/>
      </w:pPr>
      <w:rPr>
        <w:rFonts w:hint="default"/>
        <w:lang w:val="en-US" w:eastAsia="zh-CN" w:bidi="ar-SA"/>
      </w:rPr>
    </w:lvl>
    <w:lvl w:ilvl="6" w:tentative="0">
      <w:start w:val="0"/>
      <w:numFmt w:val="bullet"/>
      <w:lvlText w:val="•"/>
      <w:lvlJc w:val="left"/>
      <w:pPr>
        <w:ind w:left="6096" w:hanging="228"/>
      </w:pPr>
      <w:rPr>
        <w:rFonts w:hint="default"/>
        <w:lang w:val="en-US" w:eastAsia="zh-CN" w:bidi="ar-SA"/>
      </w:rPr>
    </w:lvl>
    <w:lvl w:ilvl="7" w:tentative="0">
      <w:start w:val="0"/>
      <w:numFmt w:val="bullet"/>
      <w:lvlText w:val="•"/>
      <w:lvlJc w:val="left"/>
      <w:pPr>
        <w:ind w:left="7140" w:hanging="228"/>
      </w:pPr>
      <w:rPr>
        <w:rFonts w:hint="default"/>
        <w:lang w:val="en-US" w:eastAsia="zh-CN" w:bidi="ar-SA"/>
      </w:rPr>
    </w:lvl>
    <w:lvl w:ilvl="8" w:tentative="0">
      <w:start w:val="0"/>
      <w:numFmt w:val="bullet"/>
      <w:lvlText w:val="•"/>
      <w:lvlJc w:val="left"/>
      <w:pPr>
        <w:ind w:left="8183" w:hanging="228"/>
      </w:pPr>
      <w:rPr>
        <w:rFonts w:hint="default"/>
        <w:lang w:val="en-US" w:eastAsia="zh-CN" w:bidi="ar-SA"/>
      </w:rPr>
    </w:lvl>
  </w:abstractNum>
  <w:abstractNum w:abstractNumId="3">
    <w:nsid w:val="91995D4F"/>
    <w:multiLevelType w:val="multilevel"/>
    <w:tmpl w:val="91995D4F"/>
    <w:lvl w:ilvl="0" w:tentative="0">
      <w:start w:val="41"/>
      <w:numFmt w:val="decimal"/>
      <w:lvlText w:val="%1"/>
      <w:lvlJc w:val="left"/>
      <w:pPr>
        <w:ind w:left="892" w:hanging="555"/>
        <w:jc w:val="left"/>
      </w:pPr>
      <w:rPr>
        <w:rFonts w:hint="default"/>
        <w:lang w:val="en-US" w:eastAsia="zh-CN" w:bidi="ar-SA"/>
      </w:rPr>
    </w:lvl>
    <w:lvl w:ilvl="1" w:tentative="0">
      <w:start w:val="1"/>
      <w:numFmt w:val="decimal"/>
      <w:lvlText w:val="%1.%2"/>
      <w:lvlJc w:val="left"/>
      <w:pPr>
        <w:ind w:left="892" w:hanging="555"/>
        <w:jc w:val="left"/>
      </w:pPr>
      <w:rPr>
        <w:rFonts w:hint="default" w:ascii="宋体" w:hAnsi="宋体" w:eastAsia="宋体" w:cs="宋体"/>
        <w:b w:val="0"/>
        <w:bCs w:val="0"/>
        <w:i w:val="0"/>
        <w:iCs w:val="0"/>
        <w:spacing w:val="-3"/>
        <w:w w:val="100"/>
        <w:sz w:val="24"/>
        <w:szCs w:val="24"/>
        <w:lang w:val="en-US" w:eastAsia="zh-CN" w:bidi="ar-SA"/>
      </w:rPr>
    </w:lvl>
    <w:lvl w:ilvl="2" w:tentative="0">
      <w:start w:val="0"/>
      <w:numFmt w:val="bullet"/>
      <w:lvlText w:val="•"/>
      <w:lvlJc w:val="left"/>
      <w:pPr>
        <w:ind w:left="2774" w:hanging="555"/>
      </w:pPr>
      <w:rPr>
        <w:rFonts w:hint="default"/>
        <w:lang w:val="en-US" w:eastAsia="zh-CN" w:bidi="ar-SA"/>
      </w:rPr>
    </w:lvl>
    <w:lvl w:ilvl="3" w:tentative="0">
      <w:start w:val="0"/>
      <w:numFmt w:val="bullet"/>
      <w:lvlText w:val="•"/>
      <w:lvlJc w:val="left"/>
      <w:pPr>
        <w:ind w:left="3711" w:hanging="555"/>
      </w:pPr>
      <w:rPr>
        <w:rFonts w:hint="default"/>
        <w:lang w:val="en-US" w:eastAsia="zh-CN" w:bidi="ar-SA"/>
      </w:rPr>
    </w:lvl>
    <w:lvl w:ilvl="4" w:tentative="0">
      <w:start w:val="0"/>
      <w:numFmt w:val="bullet"/>
      <w:lvlText w:val="•"/>
      <w:lvlJc w:val="left"/>
      <w:pPr>
        <w:ind w:left="4648" w:hanging="555"/>
      </w:pPr>
      <w:rPr>
        <w:rFonts w:hint="default"/>
        <w:lang w:val="en-US" w:eastAsia="zh-CN" w:bidi="ar-SA"/>
      </w:rPr>
    </w:lvl>
    <w:lvl w:ilvl="5" w:tentative="0">
      <w:start w:val="0"/>
      <w:numFmt w:val="bullet"/>
      <w:lvlText w:val="•"/>
      <w:lvlJc w:val="left"/>
      <w:pPr>
        <w:ind w:left="5585" w:hanging="555"/>
      </w:pPr>
      <w:rPr>
        <w:rFonts w:hint="default"/>
        <w:lang w:val="en-US" w:eastAsia="zh-CN" w:bidi="ar-SA"/>
      </w:rPr>
    </w:lvl>
    <w:lvl w:ilvl="6" w:tentative="0">
      <w:start w:val="0"/>
      <w:numFmt w:val="bullet"/>
      <w:lvlText w:val="•"/>
      <w:lvlJc w:val="left"/>
      <w:pPr>
        <w:ind w:left="6522" w:hanging="555"/>
      </w:pPr>
      <w:rPr>
        <w:rFonts w:hint="default"/>
        <w:lang w:val="en-US" w:eastAsia="zh-CN" w:bidi="ar-SA"/>
      </w:rPr>
    </w:lvl>
    <w:lvl w:ilvl="7" w:tentative="0">
      <w:start w:val="0"/>
      <w:numFmt w:val="bullet"/>
      <w:lvlText w:val="•"/>
      <w:lvlJc w:val="left"/>
      <w:pPr>
        <w:ind w:left="7459" w:hanging="555"/>
      </w:pPr>
      <w:rPr>
        <w:rFonts w:hint="default"/>
        <w:lang w:val="en-US" w:eastAsia="zh-CN" w:bidi="ar-SA"/>
      </w:rPr>
    </w:lvl>
    <w:lvl w:ilvl="8" w:tentative="0">
      <w:start w:val="0"/>
      <w:numFmt w:val="bullet"/>
      <w:lvlText w:val="•"/>
      <w:lvlJc w:val="left"/>
      <w:pPr>
        <w:ind w:left="8396" w:hanging="555"/>
      </w:pPr>
      <w:rPr>
        <w:rFonts w:hint="default"/>
        <w:lang w:val="en-US" w:eastAsia="zh-CN" w:bidi="ar-SA"/>
      </w:rPr>
    </w:lvl>
  </w:abstractNum>
  <w:abstractNum w:abstractNumId="4">
    <w:nsid w:val="9288B902"/>
    <w:multiLevelType w:val="multilevel"/>
    <w:tmpl w:val="9288B902"/>
    <w:lvl w:ilvl="0" w:tentative="0">
      <w:start w:val="30"/>
      <w:numFmt w:val="decimal"/>
      <w:lvlText w:val="%1"/>
      <w:lvlJc w:val="left"/>
      <w:pPr>
        <w:ind w:left="1931" w:hanging="560"/>
        <w:jc w:val="left"/>
      </w:pPr>
      <w:rPr>
        <w:rFonts w:hint="default"/>
        <w:lang w:val="en-US" w:eastAsia="zh-CN" w:bidi="ar-SA"/>
      </w:rPr>
    </w:lvl>
    <w:lvl w:ilvl="1" w:tentative="0">
      <w:start w:val="1"/>
      <w:numFmt w:val="decimal"/>
      <w:lvlText w:val="%1.%2"/>
      <w:lvlJc w:val="left"/>
      <w:pPr>
        <w:ind w:left="1931" w:hanging="560"/>
        <w:jc w:val="left"/>
      </w:pPr>
      <w:rPr>
        <w:rFonts w:hint="default" w:ascii="宋体" w:hAnsi="宋体" w:eastAsia="宋体" w:cs="宋体"/>
        <w:b w:val="0"/>
        <w:bCs w:val="0"/>
        <w:i w:val="0"/>
        <w:iCs w:val="0"/>
        <w:spacing w:val="-3"/>
        <w:w w:val="100"/>
        <w:sz w:val="24"/>
        <w:szCs w:val="24"/>
        <w:lang w:val="en-US" w:eastAsia="zh-CN" w:bidi="ar-SA"/>
      </w:rPr>
    </w:lvl>
    <w:lvl w:ilvl="2" w:tentative="0">
      <w:start w:val="0"/>
      <w:numFmt w:val="bullet"/>
      <w:lvlText w:val="•"/>
      <w:lvlJc w:val="left"/>
      <w:pPr>
        <w:ind w:left="3606" w:hanging="560"/>
      </w:pPr>
      <w:rPr>
        <w:rFonts w:hint="default"/>
        <w:lang w:val="en-US" w:eastAsia="zh-CN" w:bidi="ar-SA"/>
      </w:rPr>
    </w:lvl>
    <w:lvl w:ilvl="3" w:tentative="0">
      <w:start w:val="0"/>
      <w:numFmt w:val="bullet"/>
      <w:lvlText w:val="•"/>
      <w:lvlJc w:val="left"/>
      <w:pPr>
        <w:ind w:left="4439" w:hanging="560"/>
      </w:pPr>
      <w:rPr>
        <w:rFonts w:hint="default"/>
        <w:lang w:val="en-US" w:eastAsia="zh-CN" w:bidi="ar-SA"/>
      </w:rPr>
    </w:lvl>
    <w:lvl w:ilvl="4" w:tentative="0">
      <w:start w:val="0"/>
      <w:numFmt w:val="bullet"/>
      <w:lvlText w:val="•"/>
      <w:lvlJc w:val="left"/>
      <w:pPr>
        <w:ind w:left="5272" w:hanging="560"/>
      </w:pPr>
      <w:rPr>
        <w:rFonts w:hint="default"/>
        <w:lang w:val="en-US" w:eastAsia="zh-CN" w:bidi="ar-SA"/>
      </w:rPr>
    </w:lvl>
    <w:lvl w:ilvl="5" w:tentative="0">
      <w:start w:val="0"/>
      <w:numFmt w:val="bullet"/>
      <w:lvlText w:val="•"/>
      <w:lvlJc w:val="left"/>
      <w:pPr>
        <w:ind w:left="6105" w:hanging="560"/>
      </w:pPr>
      <w:rPr>
        <w:rFonts w:hint="default"/>
        <w:lang w:val="en-US" w:eastAsia="zh-CN" w:bidi="ar-SA"/>
      </w:rPr>
    </w:lvl>
    <w:lvl w:ilvl="6" w:tentative="0">
      <w:start w:val="0"/>
      <w:numFmt w:val="bullet"/>
      <w:lvlText w:val="•"/>
      <w:lvlJc w:val="left"/>
      <w:pPr>
        <w:ind w:left="6938" w:hanging="560"/>
      </w:pPr>
      <w:rPr>
        <w:rFonts w:hint="default"/>
        <w:lang w:val="en-US" w:eastAsia="zh-CN" w:bidi="ar-SA"/>
      </w:rPr>
    </w:lvl>
    <w:lvl w:ilvl="7" w:tentative="0">
      <w:start w:val="0"/>
      <w:numFmt w:val="bullet"/>
      <w:lvlText w:val="•"/>
      <w:lvlJc w:val="left"/>
      <w:pPr>
        <w:ind w:left="7771" w:hanging="560"/>
      </w:pPr>
      <w:rPr>
        <w:rFonts w:hint="default"/>
        <w:lang w:val="en-US" w:eastAsia="zh-CN" w:bidi="ar-SA"/>
      </w:rPr>
    </w:lvl>
    <w:lvl w:ilvl="8" w:tentative="0">
      <w:start w:val="0"/>
      <w:numFmt w:val="bullet"/>
      <w:lvlText w:val="•"/>
      <w:lvlJc w:val="left"/>
      <w:pPr>
        <w:ind w:left="8604" w:hanging="560"/>
      </w:pPr>
      <w:rPr>
        <w:rFonts w:hint="default"/>
        <w:lang w:val="en-US" w:eastAsia="zh-CN" w:bidi="ar-SA"/>
      </w:rPr>
    </w:lvl>
  </w:abstractNum>
  <w:abstractNum w:abstractNumId="5">
    <w:nsid w:val="9C8AC8EF"/>
    <w:multiLevelType w:val="multilevel"/>
    <w:tmpl w:val="9C8AC8EF"/>
    <w:lvl w:ilvl="0" w:tentative="0">
      <w:start w:val="18"/>
      <w:numFmt w:val="decimal"/>
      <w:lvlText w:val="%1."/>
      <w:lvlJc w:val="left"/>
      <w:pPr>
        <w:ind w:left="1735" w:hanging="349"/>
        <w:jc w:val="right"/>
      </w:pPr>
      <w:rPr>
        <w:rFonts w:hint="default"/>
        <w:spacing w:val="-10"/>
        <w:w w:val="95"/>
        <w:lang w:val="en-US" w:eastAsia="zh-CN" w:bidi="ar-SA"/>
      </w:rPr>
    </w:lvl>
    <w:lvl w:ilvl="1" w:tentative="0">
      <w:start w:val="1"/>
      <w:numFmt w:val="decimal"/>
      <w:lvlText w:val="%1.%2"/>
      <w:lvlJc w:val="left"/>
      <w:pPr>
        <w:ind w:left="887" w:hanging="526"/>
        <w:jc w:val="left"/>
      </w:pPr>
      <w:rPr>
        <w:rFonts w:hint="default" w:ascii="宋体" w:hAnsi="宋体" w:eastAsia="宋体" w:cs="宋体"/>
        <w:b w:val="0"/>
        <w:bCs w:val="0"/>
        <w:i w:val="0"/>
        <w:iCs w:val="0"/>
        <w:spacing w:val="-10"/>
        <w:w w:val="83"/>
        <w:sz w:val="24"/>
        <w:szCs w:val="24"/>
        <w:lang w:val="en-US" w:eastAsia="zh-CN" w:bidi="ar-SA"/>
      </w:rPr>
    </w:lvl>
    <w:lvl w:ilvl="2" w:tentative="0">
      <w:start w:val="0"/>
      <w:numFmt w:val="bullet"/>
      <w:lvlText w:val="•"/>
      <w:lvlJc w:val="left"/>
      <w:pPr>
        <w:ind w:left="1740" w:hanging="526"/>
      </w:pPr>
      <w:rPr>
        <w:rFonts w:hint="default"/>
        <w:lang w:val="en-US" w:eastAsia="zh-CN" w:bidi="ar-SA"/>
      </w:rPr>
    </w:lvl>
    <w:lvl w:ilvl="3" w:tentative="0">
      <w:start w:val="0"/>
      <w:numFmt w:val="bullet"/>
      <w:lvlText w:val="•"/>
      <w:lvlJc w:val="left"/>
      <w:pPr>
        <w:ind w:left="2020" w:hanging="526"/>
      </w:pPr>
      <w:rPr>
        <w:rFonts w:hint="default"/>
        <w:lang w:val="en-US" w:eastAsia="zh-CN" w:bidi="ar-SA"/>
      </w:rPr>
    </w:lvl>
    <w:lvl w:ilvl="4" w:tentative="0">
      <w:start w:val="0"/>
      <w:numFmt w:val="bullet"/>
      <w:lvlText w:val="•"/>
      <w:lvlJc w:val="left"/>
      <w:pPr>
        <w:ind w:left="3198" w:hanging="526"/>
      </w:pPr>
      <w:rPr>
        <w:rFonts w:hint="default"/>
        <w:lang w:val="en-US" w:eastAsia="zh-CN" w:bidi="ar-SA"/>
      </w:rPr>
    </w:lvl>
    <w:lvl w:ilvl="5" w:tentative="0">
      <w:start w:val="0"/>
      <w:numFmt w:val="bullet"/>
      <w:lvlText w:val="•"/>
      <w:lvlJc w:val="left"/>
      <w:pPr>
        <w:ind w:left="4377" w:hanging="526"/>
      </w:pPr>
      <w:rPr>
        <w:rFonts w:hint="default"/>
        <w:lang w:val="en-US" w:eastAsia="zh-CN" w:bidi="ar-SA"/>
      </w:rPr>
    </w:lvl>
    <w:lvl w:ilvl="6" w:tentative="0">
      <w:start w:val="0"/>
      <w:numFmt w:val="bullet"/>
      <w:lvlText w:val="•"/>
      <w:lvlJc w:val="left"/>
      <w:pPr>
        <w:ind w:left="5555" w:hanging="526"/>
      </w:pPr>
      <w:rPr>
        <w:rFonts w:hint="default"/>
        <w:lang w:val="en-US" w:eastAsia="zh-CN" w:bidi="ar-SA"/>
      </w:rPr>
    </w:lvl>
    <w:lvl w:ilvl="7" w:tentative="0">
      <w:start w:val="0"/>
      <w:numFmt w:val="bullet"/>
      <w:lvlText w:val="•"/>
      <w:lvlJc w:val="left"/>
      <w:pPr>
        <w:ind w:left="6734" w:hanging="526"/>
      </w:pPr>
      <w:rPr>
        <w:rFonts w:hint="default"/>
        <w:lang w:val="en-US" w:eastAsia="zh-CN" w:bidi="ar-SA"/>
      </w:rPr>
    </w:lvl>
    <w:lvl w:ilvl="8" w:tentative="0">
      <w:start w:val="0"/>
      <w:numFmt w:val="bullet"/>
      <w:lvlText w:val="•"/>
      <w:lvlJc w:val="left"/>
      <w:pPr>
        <w:ind w:left="7912" w:hanging="526"/>
      </w:pPr>
      <w:rPr>
        <w:rFonts w:hint="default"/>
        <w:lang w:val="en-US" w:eastAsia="zh-CN" w:bidi="ar-SA"/>
      </w:rPr>
    </w:lvl>
  </w:abstractNum>
  <w:abstractNum w:abstractNumId="6">
    <w:nsid w:val="B0F1ACD9"/>
    <w:multiLevelType w:val="multilevel"/>
    <w:tmpl w:val="B0F1ACD9"/>
    <w:lvl w:ilvl="0" w:tentative="0">
      <w:start w:val="27"/>
      <w:numFmt w:val="decimal"/>
      <w:lvlText w:val="%1."/>
      <w:lvlJc w:val="left"/>
      <w:pPr>
        <w:ind w:left="1256" w:hanging="368"/>
        <w:jc w:val="right"/>
      </w:pPr>
      <w:rPr>
        <w:rFonts w:hint="default"/>
        <w:spacing w:val="-10"/>
        <w:w w:val="96"/>
        <w:lang w:val="en-US" w:eastAsia="zh-CN" w:bidi="ar-SA"/>
      </w:rPr>
    </w:lvl>
    <w:lvl w:ilvl="1" w:tentative="0">
      <w:start w:val="1"/>
      <w:numFmt w:val="decimal"/>
      <w:lvlText w:val="%1.%2"/>
      <w:lvlJc w:val="left"/>
      <w:pPr>
        <w:ind w:left="901" w:hanging="533"/>
        <w:jc w:val="left"/>
      </w:pPr>
      <w:rPr>
        <w:rFonts w:hint="default" w:ascii="宋体" w:hAnsi="宋体" w:eastAsia="宋体" w:cs="宋体"/>
        <w:b w:val="0"/>
        <w:bCs w:val="0"/>
        <w:i w:val="0"/>
        <w:iCs w:val="0"/>
        <w:spacing w:val="-5"/>
        <w:w w:val="100"/>
        <w:sz w:val="24"/>
        <w:szCs w:val="24"/>
        <w:lang w:val="en-US" w:eastAsia="zh-CN" w:bidi="ar-SA"/>
      </w:rPr>
    </w:lvl>
    <w:lvl w:ilvl="2" w:tentative="0">
      <w:start w:val="0"/>
      <w:numFmt w:val="bullet"/>
      <w:lvlText w:val="•"/>
      <w:lvlJc w:val="left"/>
      <w:pPr>
        <w:ind w:left="1960" w:hanging="533"/>
      </w:pPr>
      <w:rPr>
        <w:rFonts w:hint="default"/>
        <w:lang w:val="en-US" w:eastAsia="zh-CN" w:bidi="ar-SA"/>
      </w:rPr>
    </w:lvl>
    <w:lvl w:ilvl="3" w:tentative="0">
      <w:start w:val="0"/>
      <w:numFmt w:val="bullet"/>
      <w:lvlText w:val="•"/>
      <w:lvlJc w:val="left"/>
      <w:pPr>
        <w:ind w:left="2998" w:hanging="533"/>
      </w:pPr>
      <w:rPr>
        <w:rFonts w:hint="default"/>
        <w:lang w:val="en-US" w:eastAsia="zh-CN" w:bidi="ar-SA"/>
      </w:rPr>
    </w:lvl>
    <w:lvl w:ilvl="4" w:tentative="0">
      <w:start w:val="0"/>
      <w:numFmt w:val="bullet"/>
      <w:lvlText w:val="•"/>
      <w:lvlJc w:val="left"/>
      <w:pPr>
        <w:ind w:left="4037" w:hanging="533"/>
      </w:pPr>
      <w:rPr>
        <w:rFonts w:hint="default"/>
        <w:lang w:val="en-US" w:eastAsia="zh-CN" w:bidi="ar-SA"/>
      </w:rPr>
    </w:lvl>
    <w:lvl w:ilvl="5" w:tentative="0">
      <w:start w:val="0"/>
      <w:numFmt w:val="bullet"/>
      <w:lvlText w:val="•"/>
      <w:lvlJc w:val="left"/>
      <w:pPr>
        <w:ind w:left="5076" w:hanging="533"/>
      </w:pPr>
      <w:rPr>
        <w:rFonts w:hint="default"/>
        <w:lang w:val="en-US" w:eastAsia="zh-CN" w:bidi="ar-SA"/>
      </w:rPr>
    </w:lvl>
    <w:lvl w:ilvl="6" w:tentative="0">
      <w:start w:val="0"/>
      <w:numFmt w:val="bullet"/>
      <w:lvlText w:val="•"/>
      <w:lvlJc w:val="left"/>
      <w:pPr>
        <w:ind w:left="6115" w:hanging="533"/>
      </w:pPr>
      <w:rPr>
        <w:rFonts w:hint="default"/>
        <w:lang w:val="en-US" w:eastAsia="zh-CN" w:bidi="ar-SA"/>
      </w:rPr>
    </w:lvl>
    <w:lvl w:ilvl="7" w:tentative="0">
      <w:start w:val="0"/>
      <w:numFmt w:val="bullet"/>
      <w:lvlText w:val="•"/>
      <w:lvlJc w:val="left"/>
      <w:pPr>
        <w:ind w:left="7153" w:hanging="533"/>
      </w:pPr>
      <w:rPr>
        <w:rFonts w:hint="default"/>
        <w:lang w:val="en-US" w:eastAsia="zh-CN" w:bidi="ar-SA"/>
      </w:rPr>
    </w:lvl>
    <w:lvl w:ilvl="8" w:tentative="0">
      <w:start w:val="0"/>
      <w:numFmt w:val="bullet"/>
      <w:lvlText w:val="•"/>
      <w:lvlJc w:val="left"/>
      <w:pPr>
        <w:ind w:left="8192" w:hanging="533"/>
      </w:pPr>
      <w:rPr>
        <w:rFonts w:hint="default"/>
        <w:lang w:val="en-US" w:eastAsia="zh-CN" w:bidi="ar-SA"/>
      </w:rPr>
    </w:lvl>
  </w:abstractNum>
  <w:abstractNum w:abstractNumId="7">
    <w:nsid w:val="B53F3350"/>
    <w:multiLevelType w:val="multilevel"/>
    <w:tmpl w:val="B53F3350"/>
    <w:lvl w:ilvl="0" w:tentative="0">
      <w:start w:val="1"/>
      <w:numFmt w:val="decimal"/>
      <w:lvlText w:val="%1."/>
      <w:lvlJc w:val="left"/>
      <w:pPr>
        <w:ind w:left="889" w:hanging="218"/>
        <w:jc w:val="left"/>
      </w:pPr>
      <w:rPr>
        <w:rFonts w:hint="default" w:ascii="宋体" w:hAnsi="宋体" w:eastAsia="宋体" w:cs="宋体"/>
        <w:b w:val="0"/>
        <w:bCs w:val="0"/>
        <w:i w:val="0"/>
        <w:iCs w:val="0"/>
        <w:spacing w:val="-13"/>
        <w:w w:val="98"/>
        <w:sz w:val="20"/>
        <w:szCs w:val="20"/>
        <w:lang w:val="en-US" w:eastAsia="zh-CN" w:bidi="ar-SA"/>
      </w:rPr>
    </w:lvl>
    <w:lvl w:ilvl="1" w:tentative="0">
      <w:start w:val="0"/>
      <w:numFmt w:val="bullet"/>
      <w:lvlText w:val="•"/>
      <w:lvlJc w:val="left"/>
      <w:pPr>
        <w:ind w:left="1819" w:hanging="218"/>
      </w:pPr>
      <w:rPr>
        <w:rFonts w:hint="default"/>
        <w:lang w:val="en-US" w:eastAsia="zh-CN" w:bidi="ar-SA"/>
      </w:rPr>
    </w:lvl>
    <w:lvl w:ilvl="2" w:tentative="0">
      <w:start w:val="0"/>
      <w:numFmt w:val="bullet"/>
      <w:lvlText w:val="•"/>
      <w:lvlJc w:val="left"/>
      <w:pPr>
        <w:ind w:left="2758" w:hanging="218"/>
      </w:pPr>
      <w:rPr>
        <w:rFonts w:hint="default"/>
        <w:lang w:val="en-US" w:eastAsia="zh-CN" w:bidi="ar-SA"/>
      </w:rPr>
    </w:lvl>
    <w:lvl w:ilvl="3" w:tentative="0">
      <w:start w:val="0"/>
      <w:numFmt w:val="bullet"/>
      <w:lvlText w:val="•"/>
      <w:lvlJc w:val="left"/>
      <w:pPr>
        <w:ind w:left="3697" w:hanging="218"/>
      </w:pPr>
      <w:rPr>
        <w:rFonts w:hint="default"/>
        <w:lang w:val="en-US" w:eastAsia="zh-CN" w:bidi="ar-SA"/>
      </w:rPr>
    </w:lvl>
    <w:lvl w:ilvl="4" w:tentative="0">
      <w:start w:val="0"/>
      <w:numFmt w:val="bullet"/>
      <w:lvlText w:val="•"/>
      <w:lvlJc w:val="left"/>
      <w:pPr>
        <w:ind w:left="4636" w:hanging="218"/>
      </w:pPr>
      <w:rPr>
        <w:rFonts w:hint="default"/>
        <w:lang w:val="en-US" w:eastAsia="zh-CN" w:bidi="ar-SA"/>
      </w:rPr>
    </w:lvl>
    <w:lvl w:ilvl="5" w:tentative="0">
      <w:start w:val="0"/>
      <w:numFmt w:val="bullet"/>
      <w:lvlText w:val="•"/>
      <w:lvlJc w:val="left"/>
      <w:pPr>
        <w:ind w:left="5575" w:hanging="218"/>
      </w:pPr>
      <w:rPr>
        <w:rFonts w:hint="default"/>
        <w:lang w:val="en-US" w:eastAsia="zh-CN" w:bidi="ar-SA"/>
      </w:rPr>
    </w:lvl>
    <w:lvl w:ilvl="6" w:tentative="0">
      <w:start w:val="0"/>
      <w:numFmt w:val="bullet"/>
      <w:lvlText w:val="•"/>
      <w:lvlJc w:val="left"/>
      <w:pPr>
        <w:ind w:left="6514" w:hanging="218"/>
      </w:pPr>
      <w:rPr>
        <w:rFonts w:hint="default"/>
        <w:lang w:val="en-US" w:eastAsia="zh-CN" w:bidi="ar-SA"/>
      </w:rPr>
    </w:lvl>
    <w:lvl w:ilvl="7" w:tentative="0">
      <w:start w:val="0"/>
      <w:numFmt w:val="bullet"/>
      <w:lvlText w:val="•"/>
      <w:lvlJc w:val="left"/>
      <w:pPr>
        <w:ind w:left="7453" w:hanging="218"/>
      </w:pPr>
      <w:rPr>
        <w:rFonts w:hint="default"/>
        <w:lang w:val="en-US" w:eastAsia="zh-CN" w:bidi="ar-SA"/>
      </w:rPr>
    </w:lvl>
    <w:lvl w:ilvl="8" w:tentative="0">
      <w:start w:val="0"/>
      <w:numFmt w:val="bullet"/>
      <w:lvlText w:val="•"/>
      <w:lvlJc w:val="left"/>
      <w:pPr>
        <w:ind w:left="8392" w:hanging="218"/>
      </w:pPr>
      <w:rPr>
        <w:rFonts w:hint="default"/>
        <w:lang w:val="en-US" w:eastAsia="zh-CN" w:bidi="ar-SA"/>
      </w:rPr>
    </w:lvl>
  </w:abstractNum>
  <w:abstractNum w:abstractNumId="8">
    <w:nsid w:val="B5E306ED"/>
    <w:multiLevelType w:val="multilevel"/>
    <w:tmpl w:val="B5E306ED"/>
    <w:lvl w:ilvl="0" w:tentative="0">
      <w:start w:val="1"/>
      <w:numFmt w:val="decimal"/>
      <w:lvlText w:val="（%1）"/>
      <w:lvlJc w:val="left"/>
      <w:pPr>
        <w:ind w:left="2288" w:hanging="855"/>
        <w:jc w:val="left"/>
      </w:pPr>
      <w:rPr>
        <w:rFonts w:hint="default" w:ascii="宋体" w:hAnsi="宋体" w:eastAsia="宋体" w:cs="宋体"/>
        <w:b w:val="0"/>
        <w:bCs w:val="0"/>
        <w:i w:val="0"/>
        <w:iCs w:val="0"/>
        <w:spacing w:val="-5"/>
        <w:w w:val="100"/>
        <w:sz w:val="22"/>
        <w:szCs w:val="22"/>
        <w:lang w:val="en-US" w:eastAsia="zh-CN" w:bidi="ar-SA"/>
      </w:rPr>
    </w:lvl>
    <w:lvl w:ilvl="1" w:tentative="0">
      <w:start w:val="0"/>
      <w:numFmt w:val="bullet"/>
      <w:lvlText w:val="•"/>
      <w:lvlJc w:val="left"/>
      <w:pPr>
        <w:ind w:left="3079" w:hanging="855"/>
      </w:pPr>
      <w:rPr>
        <w:rFonts w:hint="default"/>
        <w:lang w:val="en-US" w:eastAsia="zh-CN" w:bidi="ar-SA"/>
      </w:rPr>
    </w:lvl>
    <w:lvl w:ilvl="2" w:tentative="0">
      <w:start w:val="0"/>
      <w:numFmt w:val="bullet"/>
      <w:lvlText w:val="•"/>
      <w:lvlJc w:val="left"/>
      <w:pPr>
        <w:ind w:left="3878" w:hanging="855"/>
      </w:pPr>
      <w:rPr>
        <w:rFonts w:hint="default"/>
        <w:lang w:val="en-US" w:eastAsia="zh-CN" w:bidi="ar-SA"/>
      </w:rPr>
    </w:lvl>
    <w:lvl w:ilvl="3" w:tentative="0">
      <w:start w:val="0"/>
      <w:numFmt w:val="bullet"/>
      <w:lvlText w:val="•"/>
      <w:lvlJc w:val="left"/>
      <w:pPr>
        <w:ind w:left="4677" w:hanging="855"/>
      </w:pPr>
      <w:rPr>
        <w:rFonts w:hint="default"/>
        <w:lang w:val="en-US" w:eastAsia="zh-CN" w:bidi="ar-SA"/>
      </w:rPr>
    </w:lvl>
    <w:lvl w:ilvl="4" w:tentative="0">
      <w:start w:val="0"/>
      <w:numFmt w:val="bullet"/>
      <w:lvlText w:val="•"/>
      <w:lvlJc w:val="left"/>
      <w:pPr>
        <w:ind w:left="5476" w:hanging="855"/>
      </w:pPr>
      <w:rPr>
        <w:rFonts w:hint="default"/>
        <w:lang w:val="en-US" w:eastAsia="zh-CN" w:bidi="ar-SA"/>
      </w:rPr>
    </w:lvl>
    <w:lvl w:ilvl="5" w:tentative="0">
      <w:start w:val="0"/>
      <w:numFmt w:val="bullet"/>
      <w:lvlText w:val="•"/>
      <w:lvlJc w:val="left"/>
      <w:pPr>
        <w:ind w:left="6275" w:hanging="855"/>
      </w:pPr>
      <w:rPr>
        <w:rFonts w:hint="default"/>
        <w:lang w:val="en-US" w:eastAsia="zh-CN" w:bidi="ar-SA"/>
      </w:rPr>
    </w:lvl>
    <w:lvl w:ilvl="6" w:tentative="0">
      <w:start w:val="0"/>
      <w:numFmt w:val="bullet"/>
      <w:lvlText w:val="•"/>
      <w:lvlJc w:val="left"/>
      <w:pPr>
        <w:ind w:left="7074" w:hanging="855"/>
      </w:pPr>
      <w:rPr>
        <w:rFonts w:hint="default"/>
        <w:lang w:val="en-US" w:eastAsia="zh-CN" w:bidi="ar-SA"/>
      </w:rPr>
    </w:lvl>
    <w:lvl w:ilvl="7" w:tentative="0">
      <w:start w:val="0"/>
      <w:numFmt w:val="bullet"/>
      <w:lvlText w:val="•"/>
      <w:lvlJc w:val="left"/>
      <w:pPr>
        <w:ind w:left="7873" w:hanging="855"/>
      </w:pPr>
      <w:rPr>
        <w:rFonts w:hint="default"/>
        <w:lang w:val="en-US" w:eastAsia="zh-CN" w:bidi="ar-SA"/>
      </w:rPr>
    </w:lvl>
    <w:lvl w:ilvl="8" w:tentative="0">
      <w:start w:val="0"/>
      <w:numFmt w:val="bullet"/>
      <w:lvlText w:val="•"/>
      <w:lvlJc w:val="left"/>
      <w:pPr>
        <w:ind w:left="8672" w:hanging="855"/>
      </w:pPr>
      <w:rPr>
        <w:rFonts w:hint="default"/>
        <w:lang w:val="en-US" w:eastAsia="zh-CN" w:bidi="ar-SA"/>
      </w:rPr>
    </w:lvl>
  </w:abstractNum>
  <w:abstractNum w:abstractNumId="9">
    <w:nsid w:val="B8CEF35B"/>
    <w:multiLevelType w:val="multilevel"/>
    <w:tmpl w:val="B8CEF35B"/>
    <w:lvl w:ilvl="0" w:tentative="0">
      <w:start w:val="42"/>
      <w:numFmt w:val="decimal"/>
      <w:lvlText w:val="%1."/>
      <w:lvlJc w:val="left"/>
      <w:pPr>
        <w:ind w:left="1271" w:hanging="384"/>
        <w:jc w:val="left"/>
      </w:pPr>
      <w:rPr>
        <w:rFonts w:hint="default" w:ascii="宋体" w:hAnsi="宋体" w:eastAsia="宋体" w:cs="宋体"/>
        <w:b/>
        <w:bCs/>
        <w:i w:val="0"/>
        <w:iCs w:val="0"/>
        <w:spacing w:val="-10"/>
        <w:w w:val="97"/>
        <w:sz w:val="22"/>
        <w:szCs w:val="22"/>
        <w:lang w:val="en-US" w:eastAsia="zh-CN" w:bidi="ar-SA"/>
      </w:rPr>
    </w:lvl>
    <w:lvl w:ilvl="1" w:tentative="0">
      <w:start w:val="1"/>
      <w:numFmt w:val="decimal"/>
      <w:lvlText w:val="%1.%2"/>
      <w:lvlJc w:val="left"/>
      <w:pPr>
        <w:ind w:left="894" w:hanging="569"/>
        <w:jc w:val="left"/>
      </w:pPr>
      <w:rPr>
        <w:rFonts w:hint="default" w:ascii="宋体" w:hAnsi="宋体" w:eastAsia="宋体" w:cs="宋体"/>
        <w:b w:val="0"/>
        <w:bCs w:val="0"/>
        <w:i w:val="0"/>
        <w:iCs w:val="0"/>
        <w:spacing w:val="-5"/>
        <w:w w:val="100"/>
        <w:sz w:val="24"/>
        <w:szCs w:val="24"/>
        <w:lang w:val="en-US" w:eastAsia="zh-CN" w:bidi="ar-SA"/>
      </w:rPr>
    </w:lvl>
    <w:lvl w:ilvl="2" w:tentative="0">
      <w:start w:val="1"/>
      <w:numFmt w:val="decimal"/>
      <w:lvlText w:val="%1.%2.%3"/>
      <w:lvlJc w:val="left"/>
      <w:pPr>
        <w:ind w:left="887" w:hanging="804"/>
        <w:jc w:val="left"/>
      </w:pPr>
      <w:rPr>
        <w:rFonts w:hint="default" w:ascii="宋体" w:hAnsi="宋体" w:eastAsia="宋体" w:cs="宋体"/>
        <w:b w:val="0"/>
        <w:bCs w:val="0"/>
        <w:i w:val="0"/>
        <w:iCs w:val="0"/>
        <w:spacing w:val="-5"/>
        <w:w w:val="100"/>
        <w:sz w:val="24"/>
        <w:szCs w:val="24"/>
        <w:lang w:val="en-US" w:eastAsia="zh-CN" w:bidi="ar-SA"/>
      </w:rPr>
    </w:lvl>
    <w:lvl w:ilvl="3" w:tentative="0">
      <w:start w:val="0"/>
      <w:numFmt w:val="bullet"/>
      <w:lvlText w:val="•"/>
      <w:lvlJc w:val="left"/>
      <w:pPr>
        <w:ind w:left="1940" w:hanging="804"/>
      </w:pPr>
      <w:rPr>
        <w:rFonts w:hint="default"/>
        <w:lang w:val="en-US" w:eastAsia="zh-CN" w:bidi="ar-SA"/>
      </w:rPr>
    </w:lvl>
    <w:lvl w:ilvl="4" w:tentative="0">
      <w:start w:val="0"/>
      <w:numFmt w:val="bullet"/>
      <w:lvlText w:val="•"/>
      <w:lvlJc w:val="left"/>
      <w:pPr>
        <w:ind w:left="3130" w:hanging="804"/>
      </w:pPr>
      <w:rPr>
        <w:rFonts w:hint="default"/>
        <w:lang w:val="en-US" w:eastAsia="zh-CN" w:bidi="ar-SA"/>
      </w:rPr>
    </w:lvl>
    <w:lvl w:ilvl="5" w:tentative="0">
      <w:start w:val="0"/>
      <w:numFmt w:val="bullet"/>
      <w:lvlText w:val="•"/>
      <w:lvlJc w:val="left"/>
      <w:pPr>
        <w:ind w:left="4320" w:hanging="804"/>
      </w:pPr>
      <w:rPr>
        <w:rFonts w:hint="default"/>
        <w:lang w:val="en-US" w:eastAsia="zh-CN" w:bidi="ar-SA"/>
      </w:rPr>
    </w:lvl>
    <w:lvl w:ilvl="6" w:tentative="0">
      <w:start w:val="0"/>
      <w:numFmt w:val="bullet"/>
      <w:lvlText w:val="•"/>
      <w:lvlJc w:val="left"/>
      <w:pPr>
        <w:ind w:left="5510" w:hanging="804"/>
      </w:pPr>
      <w:rPr>
        <w:rFonts w:hint="default"/>
        <w:lang w:val="en-US" w:eastAsia="zh-CN" w:bidi="ar-SA"/>
      </w:rPr>
    </w:lvl>
    <w:lvl w:ilvl="7" w:tentative="0">
      <w:start w:val="0"/>
      <w:numFmt w:val="bullet"/>
      <w:lvlText w:val="•"/>
      <w:lvlJc w:val="left"/>
      <w:pPr>
        <w:ind w:left="6700" w:hanging="804"/>
      </w:pPr>
      <w:rPr>
        <w:rFonts w:hint="default"/>
        <w:lang w:val="en-US" w:eastAsia="zh-CN" w:bidi="ar-SA"/>
      </w:rPr>
    </w:lvl>
    <w:lvl w:ilvl="8" w:tentative="0">
      <w:start w:val="0"/>
      <w:numFmt w:val="bullet"/>
      <w:lvlText w:val="•"/>
      <w:lvlJc w:val="left"/>
      <w:pPr>
        <w:ind w:left="7890" w:hanging="804"/>
      </w:pPr>
      <w:rPr>
        <w:rFonts w:hint="default"/>
        <w:lang w:val="en-US" w:eastAsia="zh-CN" w:bidi="ar-SA"/>
      </w:rPr>
    </w:lvl>
  </w:abstractNum>
  <w:abstractNum w:abstractNumId="10">
    <w:nsid w:val="BB64CFA9"/>
    <w:multiLevelType w:val="multilevel"/>
    <w:tmpl w:val="BB64CFA9"/>
    <w:lvl w:ilvl="0" w:tentative="0">
      <w:start w:val="40"/>
      <w:numFmt w:val="decimal"/>
      <w:lvlText w:val="%1."/>
      <w:lvlJc w:val="left"/>
      <w:pPr>
        <w:ind w:left="1225" w:hanging="339"/>
        <w:jc w:val="left"/>
      </w:pPr>
      <w:rPr>
        <w:rFonts w:hint="default" w:ascii="宋体" w:hAnsi="宋体" w:eastAsia="宋体" w:cs="宋体"/>
        <w:b/>
        <w:bCs/>
        <w:i w:val="0"/>
        <w:iCs w:val="0"/>
        <w:spacing w:val="2"/>
        <w:w w:val="99"/>
        <w:sz w:val="20"/>
        <w:szCs w:val="20"/>
        <w:lang w:val="en-US" w:eastAsia="zh-CN" w:bidi="ar-SA"/>
      </w:rPr>
    </w:lvl>
    <w:lvl w:ilvl="1" w:tentative="0">
      <w:start w:val="1"/>
      <w:numFmt w:val="decimal"/>
      <w:lvlText w:val="%1.%2"/>
      <w:lvlJc w:val="left"/>
      <w:pPr>
        <w:ind w:left="887" w:hanging="543"/>
        <w:jc w:val="left"/>
      </w:pPr>
      <w:rPr>
        <w:rFonts w:hint="default" w:ascii="宋体" w:hAnsi="宋体" w:eastAsia="宋体" w:cs="宋体"/>
        <w:b w:val="0"/>
        <w:bCs w:val="0"/>
        <w:i w:val="0"/>
        <w:iCs w:val="0"/>
        <w:spacing w:val="-8"/>
        <w:w w:val="100"/>
        <w:sz w:val="24"/>
        <w:szCs w:val="24"/>
        <w:lang w:val="en-US" w:eastAsia="zh-CN" w:bidi="ar-SA"/>
      </w:rPr>
    </w:lvl>
    <w:lvl w:ilvl="2" w:tentative="0">
      <w:start w:val="0"/>
      <w:numFmt w:val="bullet"/>
      <w:lvlText w:val="•"/>
      <w:lvlJc w:val="left"/>
      <w:pPr>
        <w:ind w:left="2225" w:hanging="543"/>
      </w:pPr>
      <w:rPr>
        <w:rFonts w:hint="default"/>
        <w:lang w:val="en-US" w:eastAsia="zh-CN" w:bidi="ar-SA"/>
      </w:rPr>
    </w:lvl>
    <w:lvl w:ilvl="3" w:tentative="0">
      <w:start w:val="0"/>
      <w:numFmt w:val="bullet"/>
      <w:lvlText w:val="•"/>
      <w:lvlJc w:val="left"/>
      <w:pPr>
        <w:ind w:left="3231" w:hanging="543"/>
      </w:pPr>
      <w:rPr>
        <w:rFonts w:hint="default"/>
        <w:lang w:val="en-US" w:eastAsia="zh-CN" w:bidi="ar-SA"/>
      </w:rPr>
    </w:lvl>
    <w:lvl w:ilvl="4" w:tentative="0">
      <w:start w:val="0"/>
      <w:numFmt w:val="bullet"/>
      <w:lvlText w:val="•"/>
      <w:lvlJc w:val="left"/>
      <w:pPr>
        <w:ind w:left="4236" w:hanging="543"/>
      </w:pPr>
      <w:rPr>
        <w:rFonts w:hint="default"/>
        <w:lang w:val="en-US" w:eastAsia="zh-CN" w:bidi="ar-SA"/>
      </w:rPr>
    </w:lvl>
    <w:lvl w:ilvl="5" w:tentative="0">
      <w:start w:val="0"/>
      <w:numFmt w:val="bullet"/>
      <w:lvlText w:val="•"/>
      <w:lvlJc w:val="left"/>
      <w:pPr>
        <w:ind w:left="5242" w:hanging="543"/>
      </w:pPr>
      <w:rPr>
        <w:rFonts w:hint="default"/>
        <w:lang w:val="en-US" w:eastAsia="zh-CN" w:bidi="ar-SA"/>
      </w:rPr>
    </w:lvl>
    <w:lvl w:ilvl="6" w:tentative="0">
      <w:start w:val="0"/>
      <w:numFmt w:val="bullet"/>
      <w:lvlText w:val="•"/>
      <w:lvlJc w:val="left"/>
      <w:pPr>
        <w:ind w:left="6247" w:hanging="543"/>
      </w:pPr>
      <w:rPr>
        <w:rFonts w:hint="default"/>
        <w:lang w:val="en-US" w:eastAsia="zh-CN" w:bidi="ar-SA"/>
      </w:rPr>
    </w:lvl>
    <w:lvl w:ilvl="7" w:tentative="0">
      <w:start w:val="0"/>
      <w:numFmt w:val="bullet"/>
      <w:lvlText w:val="•"/>
      <w:lvlJc w:val="left"/>
      <w:pPr>
        <w:ind w:left="7253" w:hanging="543"/>
      </w:pPr>
      <w:rPr>
        <w:rFonts w:hint="default"/>
        <w:lang w:val="en-US" w:eastAsia="zh-CN" w:bidi="ar-SA"/>
      </w:rPr>
    </w:lvl>
    <w:lvl w:ilvl="8" w:tentative="0">
      <w:start w:val="0"/>
      <w:numFmt w:val="bullet"/>
      <w:lvlText w:val="•"/>
      <w:lvlJc w:val="left"/>
      <w:pPr>
        <w:ind w:left="8258" w:hanging="543"/>
      </w:pPr>
      <w:rPr>
        <w:rFonts w:hint="default"/>
        <w:lang w:val="en-US" w:eastAsia="zh-CN" w:bidi="ar-SA"/>
      </w:rPr>
    </w:lvl>
  </w:abstractNum>
  <w:abstractNum w:abstractNumId="11">
    <w:nsid w:val="BE923771"/>
    <w:multiLevelType w:val="multilevel"/>
    <w:tmpl w:val="BE923771"/>
    <w:lvl w:ilvl="0" w:tentative="0">
      <w:start w:val="29"/>
      <w:numFmt w:val="decimal"/>
      <w:lvlText w:val="%1"/>
      <w:lvlJc w:val="left"/>
      <w:pPr>
        <w:ind w:left="889" w:hanging="591"/>
        <w:jc w:val="left"/>
      </w:pPr>
      <w:rPr>
        <w:rFonts w:hint="default"/>
        <w:lang w:val="en-US" w:eastAsia="zh-CN" w:bidi="ar-SA"/>
      </w:rPr>
    </w:lvl>
    <w:lvl w:ilvl="1" w:tentative="0">
      <w:start w:val="1"/>
      <w:numFmt w:val="decimal"/>
      <w:lvlText w:val="%1.%2"/>
      <w:lvlJc w:val="left"/>
      <w:pPr>
        <w:ind w:left="889" w:hanging="591"/>
        <w:jc w:val="left"/>
      </w:pPr>
      <w:rPr>
        <w:rFonts w:hint="default" w:ascii="宋体" w:hAnsi="宋体" w:eastAsia="宋体" w:cs="宋体"/>
        <w:b w:val="0"/>
        <w:bCs w:val="0"/>
        <w:i w:val="0"/>
        <w:iCs w:val="0"/>
        <w:spacing w:val="-3"/>
        <w:w w:val="100"/>
        <w:sz w:val="24"/>
        <w:szCs w:val="24"/>
        <w:lang w:val="en-US" w:eastAsia="zh-CN" w:bidi="ar-SA"/>
      </w:rPr>
    </w:lvl>
    <w:lvl w:ilvl="2" w:tentative="0">
      <w:start w:val="1"/>
      <w:numFmt w:val="decimal"/>
      <w:lvlText w:val="%1.%2.%3"/>
      <w:lvlJc w:val="left"/>
      <w:pPr>
        <w:ind w:left="887" w:hanging="771"/>
        <w:jc w:val="left"/>
      </w:pPr>
      <w:rPr>
        <w:rFonts w:hint="default" w:ascii="宋体" w:hAnsi="宋体" w:eastAsia="宋体" w:cs="宋体"/>
        <w:b w:val="0"/>
        <w:bCs w:val="0"/>
        <w:i w:val="0"/>
        <w:iCs w:val="0"/>
        <w:spacing w:val="-5"/>
        <w:w w:val="100"/>
        <w:sz w:val="24"/>
        <w:szCs w:val="24"/>
        <w:lang w:val="en-US" w:eastAsia="zh-CN" w:bidi="ar-SA"/>
      </w:rPr>
    </w:lvl>
    <w:lvl w:ilvl="3" w:tentative="0">
      <w:start w:val="0"/>
      <w:numFmt w:val="bullet"/>
      <w:lvlText w:val="•"/>
      <w:lvlJc w:val="left"/>
      <w:pPr>
        <w:ind w:left="2982" w:hanging="771"/>
      </w:pPr>
      <w:rPr>
        <w:rFonts w:hint="default"/>
        <w:lang w:val="en-US" w:eastAsia="zh-CN" w:bidi="ar-SA"/>
      </w:rPr>
    </w:lvl>
    <w:lvl w:ilvl="4" w:tentative="0">
      <w:start w:val="0"/>
      <w:numFmt w:val="bullet"/>
      <w:lvlText w:val="•"/>
      <w:lvlJc w:val="left"/>
      <w:pPr>
        <w:ind w:left="4023" w:hanging="771"/>
      </w:pPr>
      <w:rPr>
        <w:rFonts w:hint="default"/>
        <w:lang w:val="en-US" w:eastAsia="zh-CN" w:bidi="ar-SA"/>
      </w:rPr>
    </w:lvl>
    <w:lvl w:ilvl="5" w:tentative="0">
      <w:start w:val="0"/>
      <w:numFmt w:val="bullet"/>
      <w:lvlText w:val="•"/>
      <w:lvlJc w:val="left"/>
      <w:pPr>
        <w:ind w:left="5064" w:hanging="771"/>
      </w:pPr>
      <w:rPr>
        <w:rFonts w:hint="default"/>
        <w:lang w:val="en-US" w:eastAsia="zh-CN" w:bidi="ar-SA"/>
      </w:rPr>
    </w:lvl>
    <w:lvl w:ilvl="6" w:tentative="0">
      <w:start w:val="0"/>
      <w:numFmt w:val="bullet"/>
      <w:lvlText w:val="•"/>
      <w:lvlJc w:val="left"/>
      <w:pPr>
        <w:ind w:left="6105" w:hanging="771"/>
      </w:pPr>
      <w:rPr>
        <w:rFonts w:hint="default"/>
        <w:lang w:val="en-US" w:eastAsia="zh-CN" w:bidi="ar-SA"/>
      </w:rPr>
    </w:lvl>
    <w:lvl w:ilvl="7" w:tentative="0">
      <w:start w:val="0"/>
      <w:numFmt w:val="bullet"/>
      <w:lvlText w:val="•"/>
      <w:lvlJc w:val="left"/>
      <w:pPr>
        <w:ind w:left="7146" w:hanging="771"/>
      </w:pPr>
      <w:rPr>
        <w:rFonts w:hint="default"/>
        <w:lang w:val="en-US" w:eastAsia="zh-CN" w:bidi="ar-SA"/>
      </w:rPr>
    </w:lvl>
    <w:lvl w:ilvl="8" w:tentative="0">
      <w:start w:val="0"/>
      <w:numFmt w:val="bullet"/>
      <w:lvlText w:val="•"/>
      <w:lvlJc w:val="left"/>
      <w:pPr>
        <w:ind w:left="8187" w:hanging="771"/>
      </w:pPr>
      <w:rPr>
        <w:rFonts w:hint="default"/>
        <w:lang w:val="en-US" w:eastAsia="zh-CN" w:bidi="ar-SA"/>
      </w:rPr>
    </w:lvl>
  </w:abstractNum>
  <w:abstractNum w:abstractNumId="12">
    <w:nsid w:val="BF205925"/>
    <w:multiLevelType w:val="multilevel"/>
    <w:tmpl w:val="BF205925"/>
    <w:lvl w:ilvl="0" w:tentative="0">
      <w:start w:val="2"/>
      <w:numFmt w:val="decimal"/>
      <w:lvlText w:val="（%1）"/>
      <w:lvlJc w:val="left"/>
      <w:pPr>
        <w:ind w:left="1974" w:hanging="600"/>
        <w:jc w:val="left"/>
      </w:pPr>
      <w:rPr>
        <w:rFonts w:hint="default" w:ascii="宋体" w:hAnsi="宋体" w:eastAsia="宋体" w:cs="宋体"/>
        <w:b w:val="0"/>
        <w:bCs w:val="0"/>
        <w:i w:val="0"/>
        <w:iCs w:val="0"/>
        <w:spacing w:val="-5"/>
        <w:w w:val="100"/>
        <w:sz w:val="22"/>
        <w:szCs w:val="22"/>
        <w:lang w:val="en-US" w:eastAsia="zh-CN" w:bidi="ar-SA"/>
      </w:rPr>
    </w:lvl>
    <w:lvl w:ilvl="1" w:tentative="0">
      <w:start w:val="0"/>
      <w:numFmt w:val="bullet"/>
      <w:lvlText w:val="•"/>
      <w:lvlJc w:val="left"/>
      <w:pPr>
        <w:ind w:left="2809" w:hanging="600"/>
      </w:pPr>
      <w:rPr>
        <w:rFonts w:hint="default"/>
        <w:lang w:val="en-US" w:eastAsia="zh-CN" w:bidi="ar-SA"/>
      </w:rPr>
    </w:lvl>
    <w:lvl w:ilvl="2" w:tentative="0">
      <w:start w:val="0"/>
      <w:numFmt w:val="bullet"/>
      <w:lvlText w:val="•"/>
      <w:lvlJc w:val="left"/>
      <w:pPr>
        <w:ind w:left="3638" w:hanging="600"/>
      </w:pPr>
      <w:rPr>
        <w:rFonts w:hint="default"/>
        <w:lang w:val="en-US" w:eastAsia="zh-CN" w:bidi="ar-SA"/>
      </w:rPr>
    </w:lvl>
    <w:lvl w:ilvl="3" w:tentative="0">
      <w:start w:val="0"/>
      <w:numFmt w:val="bullet"/>
      <w:lvlText w:val="•"/>
      <w:lvlJc w:val="left"/>
      <w:pPr>
        <w:ind w:left="4467" w:hanging="600"/>
      </w:pPr>
      <w:rPr>
        <w:rFonts w:hint="default"/>
        <w:lang w:val="en-US" w:eastAsia="zh-CN" w:bidi="ar-SA"/>
      </w:rPr>
    </w:lvl>
    <w:lvl w:ilvl="4" w:tentative="0">
      <w:start w:val="0"/>
      <w:numFmt w:val="bullet"/>
      <w:lvlText w:val="•"/>
      <w:lvlJc w:val="left"/>
      <w:pPr>
        <w:ind w:left="5296" w:hanging="600"/>
      </w:pPr>
      <w:rPr>
        <w:rFonts w:hint="default"/>
        <w:lang w:val="en-US" w:eastAsia="zh-CN" w:bidi="ar-SA"/>
      </w:rPr>
    </w:lvl>
    <w:lvl w:ilvl="5" w:tentative="0">
      <w:start w:val="0"/>
      <w:numFmt w:val="bullet"/>
      <w:lvlText w:val="•"/>
      <w:lvlJc w:val="left"/>
      <w:pPr>
        <w:ind w:left="6125" w:hanging="600"/>
      </w:pPr>
      <w:rPr>
        <w:rFonts w:hint="default"/>
        <w:lang w:val="en-US" w:eastAsia="zh-CN" w:bidi="ar-SA"/>
      </w:rPr>
    </w:lvl>
    <w:lvl w:ilvl="6" w:tentative="0">
      <w:start w:val="0"/>
      <w:numFmt w:val="bullet"/>
      <w:lvlText w:val="•"/>
      <w:lvlJc w:val="left"/>
      <w:pPr>
        <w:ind w:left="6954" w:hanging="600"/>
      </w:pPr>
      <w:rPr>
        <w:rFonts w:hint="default"/>
        <w:lang w:val="en-US" w:eastAsia="zh-CN" w:bidi="ar-SA"/>
      </w:rPr>
    </w:lvl>
    <w:lvl w:ilvl="7" w:tentative="0">
      <w:start w:val="0"/>
      <w:numFmt w:val="bullet"/>
      <w:lvlText w:val="•"/>
      <w:lvlJc w:val="left"/>
      <w:pPr>
        <w:ind w:left="7783" w:hanging="600"/>
      </w:pPr>
      <w:rPr>
        <w:rFonts w:hint="default"/>
        <w:lang w:val="en-US" w:eastAsia="zh-CN" w:bidi="ar-SA"/>
      </w:rPr>
    </w:lvl>
    <w:lvl w:ilvl="8" w:tentative="0">
      <w:start w:val="0"/>
      <w:numFmt w:val="bullet"/>
      <w:lvlText w:val="•"/>
      <w:lvlJc w:val="left"/>
      <w:pPr>
        <w:ind w:left="8612" w:hanging="600"/>
      </w:pPr>
      <w:rPr>
        <w:rFonts w:hint="default"/>
        <w:lang w:val="en-US" w:eastAsia="zh-CN" w:bidi="ar-SA"/>
      </w:rPr>
    </w:lvl>
  </w:abstractNum>
  <w:abstractNum w:abstractNumId="13">
    <w:nsid w:val="C8879AEF"/>
    <w:multiLevelType w:val="multilevel"/>
    <w:tmpl w:val="C8879AEF"/>
    <w:lvl w:ilvl="0" w:tentative="0">
      <w:start w:val="2"/>
      <w:numFmt w:val="decimal"/>
      <w:lvlText w:val="%1."/>
      <w:lvlJc w:val="left"/>
      <w:pPr>
        <w:ind w:left="1136" w:hanging="248"/>
        <w:jc w:val="left"/>
      </w:pPr>
      <w:rPr>
        <w:rFonts w:hint="default" w:ascii="宋体" w:hAnsi="宋体" w:eastAsia="宋体" w:cs="宋体"/>
        <w:b/>
        <w:bCs/>
        <w:i w:val="0"/>
        <w:iCs w:val="0"/>
        <w:spacing w:val="-10"/>
        <w:w w:val="99"/>
        <w:sz w:val="22"/>
        <w:szCs w:val="22"/>
        <w:lang w:val="en-US" w:eastAsia="zh-CN" w:bidi="ar-SA"/>
      </w:rPr>
    </w:lvl>
    <w:lvl w:ilvl="1" w:tentative="0">
      <w:start w:val="1"/>
      <w:numFmt w:val="decimal"/>
      <w:lvlText w:val="%1.%2"/>
      <w:lvlJc w:val="left"/>
      <w:pPr>
        <w:ind w:left="889" w:hanging="447"/>
        <w:jc w:val="left"/>
      </w:pPr>
      <w:rPr>
        <w:rFonts w:hint="default" w:ascii="宋体" w:hAnsi="宋体" w:eastAsia="宋体" w:cs="宋体"/>
        <w:b w:val="0"/>
        <w:bCs w:val="0"/>
        <w:i w:val="0"/>
        <w:iCs w:val="0"/>
        <w:spacing w:val="-3"/>
        <w:w w:val="94"/>
        <w:sz w:val="24"/>
        <w:szCs w:val="24"/>
        <w:lang w:val="en-US" w:eastAsia="zh-CN" w:bidi="ar-SA"/>
      </w:rPr>
    </w:lvl>
    <w:lvl w:ilvl="2" w:tentative="0">
      <w:start w:val="1"/>
      <w:numFmt w:val="decimal"/>
      <w:lvlText w:val="%1.%2.%3"/>
      <w:lvlJc w:val="left"/>
      <w:pPr>
        <w:ind w:left="892" w:hanging="668"/>
        <w:jc w:val="left"/>
      </w:pPr>
      <w:rPr>
        <w:rFonts w:hint="default" w:ascii="宋体" w:hAnsi="宋体" w:eastAsia="宋体" w:cs="宋体"/>
        <w:b w:val="0"/>
        <w:bCs w:val="0"/>
        <w:i w:val="0"/>
        <w:iCs w:val="0"/>
        <w:spacing w:val="-3"/>
        <w:w w:val="100"/>
        <w:sz w:val="24"/>
        <w:szCs w:val="24"/>
        <w:lang w:val="en-US" w:eastAsia="zh-CN" w:bidi="ar-SA"/>
      </w:rPr>
    </w:lvl>
    <w:lvl w:ilvl="3" w:tentative="0">
      <w:start w:val="0"/>
      <w:numFmt w:val="bullet"/>
      <w:lvlText w:val="•"/>
      <w:lvlJc w:val="left"/>
      <w:pPr>
        <w:ind w:left="1820" w:hanging="668"/>
      </w:pPr>
      <w:rPr>
        <w:rFonts w:hint="default"/>
        <w:lang w:val="en-US" w:eastAsia="zh-CN" w:bidi="ar-SA"/>
      </w:rPr>
    </w:lvl>
    <w:lvl w:ilvl="4" w:tentative="0">
      <w:start w:val="0"/>
      <w:numFmt w:val="bullet"/>
      <w:lvlText w:val="•"/>
      <w:lvlJc w:val="left"/>
      <w:pPr>
        <w:ind w:left="3027" w:hanging="668"/>
      </w:pPr>
      <w:rPr>
        <w:rFonts w:hint="default"/>
        <w:lang w:val="en-US" w:eastAsia="zh-CN" w:bidi="ar-SA"/>
      </w:rPr>
    </w:lvl>
    <w:lvl w:ilvl="5" w:tentative="0">
      <w:start w:val="0"/>
      <w:numFmt w:val="bullet"/>
      <w:lvlText w:val="•"/>
      <w:lvlJc w:val="left"/>
      <w:pPr>
        <w:ind w:left="4234" w:hanging="668"/>
      </w:pPr>
      <w:rPr>
        <w:rFonts w:hint="default"/>
        <w:lang w:val="en-US" w:eastAsia="zh-CN" w:bidi="ar-SA"/>
      </w:rPr>
    </w:lvl>
    <w:lvl w:ilvl="6" w:tentative="0">
      <w:start w:val="0"/>
      <w:numFmt w:val="bullet"/>
      <w:lvlText w:val="•"/>
      <w:lvlJc w:val="left"/>
      <w:pPr>
        <w:ind w:left="5441" w:hanging="668"/>
      </w:pPr>
      <w:rPr>
        <w:rFonts w:hint="default"/>
        <w:lang w:val="en-US" w:eastAsia="zh-CN" w:bidi="ar-SA"/>
      </w:rPr>
    </w:lvl>
    <w:lvl w:ilvl="7" w:tentative="0">
      <w:start w:val="0"/>
      <w:numFmt w:val="bullet"/>
      <w:lvlText w:val="•"/>
      <w:lvlJc w:val="left"/>
      <w:pPr>
        <w:ind w:left="6648" w:hanging="668"/>
      </w:pPr>
      <w:rPr>
        <w:rFonts w:hint="default"/>
        <w:lang w:val="en-US" w:eastAsia="zh-CN" w:bidi="ar-SA"/>
      </w:rPr>
    </w:lvl>
    <w:lvl w:ilvl="8" w:tentative="0">
      <w:start w:val="0"/>
      <w:numFmt w:val="bullet"/>
      <w:lvlText w:val="•"/>
      <w:lvlJc w:val="left"/>
      <w:pPr>
        <w:ind w:left="7855" w:hanging="668"/>
      </w:pPr>
      <w:rPr>
        <w:rFonts w:hint="default"/>
        <w:lang w:val="en-US" w:eastAsia="zh-CN" w:bidi="ar-SA"/>
      </w:rPr>
    </w:lvl>
  </w:abstractNum>
  <w:abstractNum w:abstractNumId="14">
    <w:nsid w:val="CF092B84"/>
    <w:multiLevelType w:val="multilevel"/>
    <w:tmpl w:val="CF092B84"/>
    <w:lvl w:ilvl="0" w:tentative="0">
      <w:start w:val="1"/>
      <w:numFmt w:val="decimal"/>
      <w:lvlText w:val="%1."/>
      <w:lvlJc w:val="left"/>
      <w:pPr>
        <w:ind w:left="1603" w:hanging="220"/>
        <w:jc w:val="left"/>
      </w:pPr>
      <w:rPr>
        <w:rFonts w:hint="default" w:ascii="宋体" w:hAnsi="宋体" w:eastAsia="宋体" w:cs="宋体"/>
        <w:b w:val="0"/>
        <w:bCs w:val="0"/>
        <w:i w:val="0"/>
        <w:iCs w:val="0"/>
        <w:spacing w:val="-3"/>
        <w:w w:val="88"/>
        <w:sz w:val="20"/>
        <w:szCs w:val="20"/>
        <w:lang w:val="en-US" w:eastAsia="zh-CN" w:bidi="ar-SA"/>
      </w:rPr>
    </w:lvl>
    <w:lvl w:ilvl="1" w:tentative="0">
      <w:start w:val="0"/>
      <w:numFmt w:val="bullet"/>
      <w:lvlText w:val="•"/>
      <w:lvlJc w:val="left"/>
      <w:pPr>
        <w:ind w:left="2467" w:hanging="220"/>
      </w:pPr>
      <w:rPr>
        <w:rFonts w:hint="default"/>
        <w:lang w:val="en-US" w:eastAsia="zh-CN" w:bidi="ar-SA"/>
      </w:rPr>
    </w:lvl>
    <w:lvl w:ilvl="2" w:tentative="0">
      <w:start w:val="0"/>
      <w:numFmt w:val="bullet"/>
      <w:lvlText w:val="•"/>
      <w:lvlJc w:val="left"/>
      <w:pPr>
        <w:ind w:left="3334" w:hanging="220"/>
      </w:pPr>
      <w:rPr>
        <w:rFonts w:hint="default"/>
        <w:lang w:val="en-US" w:eastAsia="zh-CN" w:bidi="ar-SA"/>
      </w:rPr>
    </w:lvl>
    <w:lvl w:ilvl="3" w:tentative="0">
      <w:start w:val="0"/>
      <w:numFmt w:val="bullet"/>
      <w:lvlText w:val="•"/>
      <w:lvlJc w:val="left"/>
      <w:pPr>
        <w:ind w:left="4201" w:hanging="220"/>
      </w:pPr>
      <w:rPr>
        <w:rFonts w:hint="default"/>
        <w:lang w:val="en-US" w:eastAsia="zh-CN" w:bidi="ar-SA"/>
      </w:rPr>
    </w:lvl>
    <w:lvl w:ilvl="4" w:tentative="0">
      <w:start w:val="0"/>
      <w:numFmt w:val="bullet"/>
      <w:lvlText w:val="•"/>
      <w:lvlJc w:val="left"/>
      <w:pPr>
        <w:ind w:left="5068" w:hanging="220"/>
      </w:pPr>
      <w:rPr>
        <w:rFonts w:hint="default"/>
        <w:lang w:val="en-US" w:eastAsia="zh-CN" w:bidi="ar-SA"/>
      </w:rPr>
    </w:lvl>
    <w:lvl w:ilvl="5" w:tentative="0">
      <w:start w:val="0"/>
      <w:numFmt w:val="bullet"/>
      <w:lvlText w:val="•"/>
      <w:lvlJc w:val="left"/>
      <w:pPr>
        <w:ind w:left="5935" w:hanging="220"/>
      </w:pPr>
      <w:rPr>
        <w:rFonts w:hint="default"/>
        <w:lang w:val="en-US" w:eastAsia="zh-CN" w:bidi="ar-SA"/>
      </w:rPr>
    </w:lvl>
    <w:lvl w:ilvl="6" w:tentative="0">
      <w:start w:val="0"/>
      <w:numFmt w:val="bullet"/>
      <w:lvlText w:val="•"/>
      <w:lvlJc w:val="left"/>
      <w:pPr>
        <w:ind w:left="6802" w:hanging="220"/>
      </w:pPr>
      <w:rPr>
        <w:rFonts w:hint="default"/>
        <w:lang w:val="en-US" w:eastAsia="zh-CN" w:bidi="ar-SA"/>
      </w:rPr>
    </w:lvl>
    <w:lvl w:ilvl="7" w:tentative="0">
      <w:start w:val="0"/>
      <w:numFmt w:val="bullet"/>
      <w:lvlText w:val="•"/>
      <w:lvlJc w:val="left"/>
      <w:pPr>
        <w:ind w:left="7669" w:hanging="220"/>
      </w:pPr>
      <w:rPr>
        <w:rFonts w:hint="default"/>
        <w:lang w:val="en-US" w:eastAsia="zh-CN" w:bidi="ar-SA"/>
      </w:rPr>
    </w:lvl>
    <w:lvl w:ilvl="8" w:tentative="0">
      <w:start w:val="0"/>
      <w:numFmt w:val="bullet"/>
      <w:lvlText w:val="•"/>
      <w:lvlJc w:val="left"/>
      <w:pPr>
        <w:ind w:left="8536" w:hanging="220"/>
      </w:pPr>
      <w:rPr>
        <w:rFonts w:hint="default"/>
        <w:lang w:val="en-US" w:eastAsia="zh-CN" w:bidi="ar-SA"/>
      </w:rPr>
    </w:lvl>
  </w:abstractNum>
  <w:abstractNum w:abstractNumId="15">
    <w:nsid w:val="D7D140E4"/>
    <w:multiLevelType w:val="multilevel"/>
    <w:tmpl w:val="D7D140E4"/>
    <w:lvl w:ilvl="0" w:tentative="0">
      <w:start w:val="2"/>
      <w:numFmt w:val="decimal"/>
      <w:lvlText w:val="%1."/>
      <w:lvlJc w:val="left"/>
      <w:pPr>
        <w:ind w:left="908" w:hanging="248"/>
        <w:jc w:val="left"/>
      </w:pPr>
      <w:rPr>
        <w:rFonts w:hint="default" w:ascii="宋体" w:hAnsi="宋体" w:eastAsia="宋体" w:cs="宋体"/>
        <w:b w:val="0"/>
        <w:bCs w:val="0"/>
        <w:i w:val="0"/>
        <w:iCs w:val="0"/>
        <w:spacing w:val="-3"/>
        <w:w w:val="90"/>
        <w:sz w:val="22"/>
        <w:szCs w:val="22"/>
        <w:lang w:val="en-US" w:eastAsia="zh-CN" w:bidi="ar-SA"/>
      </w:rPr>
    </w:lvl>
    <w:lvl w:ilvl="1" w:tentative="0">
      <w:start w:val="0"/>
      <w:numFmt w:val="bullet"/>
      <w:lvlText w:val="•"/>
      <w:lvlJc w:val="left"/>
      <w:pPr>
        <w:ind w:left="1837" w:hanging="248"/>
      </w:pPr>
      <w:rPr>
        <w:rFonts w:hint="default"/>
        <w:lang w:val="en-US" w:eastAsia="zh-CN" w:bidi="ar-SA"/>
      </w:rPr>
    </w:lvl>
    <w:lvl w:ilvl="2" w:tentative="0">
      <w:start w:val="0"/>
      <w:numFmt w:val="bullet"/>
      <w:lvlText w:val="•"/>
      <w:lvlJc w:val="left"/>
      <w:pPr>
        <w:ind w:left="2774" w:hanging="248"/>
      </w:pPr>
      <w:rPr>
        <w:rFonts w:hint="default"/>
        <w:lang w:val="en-US" w:eastAsia="zh-CN" w:bidi="ar-SA"/>
      </w:rPr>
    </w:lvl>
    <w:lvl w:ilvl="3" w:tentative="0">
      <w:start w:val="0"/>
      <w:numFmt w:val="bullet"/>
      <w:lvlText w:val="•"/>
      <w:lvlJc w:val="left"/>
      <w:pPr>
        <w:ind w:left="3711" w:hanging="248"/>
      </w:pPr>
      <w:rPr>
        <w:rFonts w:hint="default"/>
        <w:lang w:val="en-US" w:eastAsia="zh-CN" w:bidi="ar-SA"/>
      </w:rPr>
    </w:lvl>
    <w:lvl w:ilvl="4" w:tentative="0">
      <w:start w:val="0"/>
      <w:numFmt w:val="bullet"/>
      <w:lvlText w:val="•"/>
      <w:lvlJc w:val="left"/>
      <w:pPr>
        <w:ind w:left="4648" w:hanging="248"/>
      </w:pPr>
      <w:rPr>
        <w:rFonts w:hint="default"/>
        <w:lang w:val="en-US" w:eastAsia="zh-CN" w:bidi="ar-SA"/>
      </w:rPr>
    </w:lvl>
    <w:lvl w:ilvl="5" w:tentative="0">
      <w:start w:val="0"/>
      <w:numFmt w:val="bullet"/>
      <w:lvlText w:val="•"/>
      <w:lvlJc w:val="left"/>
      <w:pPr>
        <w:ind w:left="5585" w:hanging="248"/>
      </w:pPr>
      <w:rPr>
        <w:rFonts w:hint="default"/>
        <w:lang w:val="en-US" w:eastAsia="zh-CN" w:bidi="ar-SA"/>
      </w:rPr>
    </w:lvl>
    <w:lvl w:ilvl="6" w:tentative="0">
      <w:start w:val="0"/>
      <w:numFmt w:val="bullet"/>
      <w:lvlText w:val="•"/>
      <w:lvlJc w:val="left"/>
      <w:pPr>
        <w:ind w:left="6522" w:hanging="248"/>
      </w:pPr>
      <w:rPr>
        <w:rFonts w:hint="default"/>
        <w:lang w:val="en-US" w:eastAsia="zh-CN" w:bidi="ar-SA"/>
      </w:rPr>
    </w:lvl>
    <w:lvl w:ilvl="7" w:tentative="0">
      <w:start w:val="0"/>
      <w:numFmt w:val="bullet"/>
      <w:lvlText w:val="•"/>
      <w:lvlJc w:val="left"/>
      <w:pPr>
        <w:ind w:left="7459" w:hanging="248"/>
      </w:pPr>
      <w:rPr>
        <w:rFonts w:hint="default"/>
        <w:lang w:val="en-US" w:eastAsia="zh-CN" w:bidi="ar-SA"/>
      </w:rPr>
    </w:lvl>
    <w:lvl w:ilvl="8" w:tentative="0">
      <w:start w:val="0"/>
      <w:numFmt w:val="bullet"/>
      <w:lvlText w:val="•"/>
      <w:lvlJc w:val="left"/>
      <w:pPr>
        <w:ind w:left="8396" w:hanging="248"/>
      </w:pPr>
      <w:rPr>
        <w:rFonts w:hint="default"/>
        <w:lang w:val="en-US" w:eastAsia="zh-CN" w:bidi="ar-SA"/>
      </w:rPr>
    </w:lvl>
  </w:abstractNum>
  <w:abstractNum w:abstractNumId="16">
    <w:nsid w:val="D7F9FE59"/>
    <w:multiLevelType w:val="multilevel"/>
    <w:tmpl w:val="D7F9FE59"/>
    <w:lvl w:ilvl="0" w:tentative="0">
      <w:start w:val="17"/>
      <w:numFmt w:val="decimal"/>
      <w:lvlText w:val="%1"/>
      <w:lvlJc w:val="left"/>
      <w:pPr>
        <w:ind w:left="892" w:hanging="548"/>
        <w:jc w:val="left"/>
      </w:pPr>
      <w:rPr>
        <w:rFonts w:hint="default"/>
        <w:lang w:val="en-US" w:eastAsia="zh-CN" w:bidi="ar-SA"/>
      </w:rPr>
    </w:lvl>
    <w:lvl w:ilvl="1" w:tentative="0">
      <w:start w:val="1"/>
      <w:numFmt w:val="decimal"/>
      <w:lvlText w:val="%1.%2"/>
      <w:lvlJc w:val="left"/>
      <w:pPr>
        <w:ind w:left="892" w:hanging="548"/>
        <w:jc w:val="right"/>
      </w:pPr>
      <w:rPr>
        <w:rFonts w:hint="default" w:ascii="宋体" w:hAnsi="宋体" w:eastAsia="宋体" w:cs="宋体"/>
        <w:b w:val="0"/>
        <w:bCs w:val="0"/>
        <w:i w:val="0"/>
        <w:iCs w:val="0"/>
        <w:spacing w:val="-3"/>
        <w:w w:val="100"/>
        <w:sz w:val="24"/>
        <w:szCs w:val="24"/>
        <w:lang w:val="en-US" w:eastAsia="zh-CN" w:bidi="ar-SA"/>
      </w:rPr>
    </w:lvl>
    <w:lvl w:ilvl="2" w:tentative="0">
      <w:start w:val="1"/>
      <w:numFmt w:val="decimal"/>
      <w:lvlText w:val="%1.%2.%3"/>
      <w:lvlJc w:val="left"/>
      <w:pPr>
        <w:ind w:left="2204" w:hanging="819"/>
        <w:jc w:val="left"/>
      </w:pPr>
      <w:rPr>
        <w:rFonts w:hint="default" w:ascii="宋体" w:hAnsi="宋体" w:eastAsia="宋体" w:cs="宋体"/>
        <w:b w:val="0"/>
        <w:bCs w:val="0"/>
        <w:i w:val="0"/>
        <w:iCs w:val="0"/>
        <w:spacing w:val="-3"/>
        <w:w w:val="100"/>
        <w:sz w:val="24"/>
        <w:szCs w:val="24"/>
        <w:lang w:val="en-US" w:eastAsia="zh-CN" w:bidi="ar-SA"/>
      </w:rPr>
    </w:lvl>
    <w:lvl w:ilvl="3" w:tentative="0">
      <w:start w:val="0"/>
      <w:numFmt w:val="bullet"/>
      <w:lvlText w:val="•"/>
      <w:lvlJc w:val="left"/>
      <w:pPr>
        <w:ind w:left="3993" w:hanging="819"/>
      </w:pPr>
      <w:rPr>
        <w:rFonts w:hint="default"/>
        <w:lang w:val="en-US" w:eastAsia="zh-CN" w:bidi="ar-SA"/>
      </w:rPr>
    </w:lvl>
    <w:lvl w:ilvl="4" w:tentative="0">
      <w:start w:val="0"/>
      <w:numFmt w:val="bullet"/>
      <w:lvlText w:val="•"/>
      <w:lvlJc w:val="left"/>
      <w:pPr>
        <w:ind w:left="4890" w:hanging="819"/>
      </w:pPr>
      <w:rPr>
        <w:rFonts w:hint="default"/>
        <w:lang w:val="en-US" w:eastAsia="zh-CN" w:bidi="ar-SA"/>
      </w:rPr>
    </w:lvl>
    <w:lvl w:ilvl="5" w:tentative="0">
      <w:start w:val="0"/>
      <w:numFmt w:val="bullet"/>
      <w:lvlText w:val="•"/>
      <w:lvlJc w:val="left"/>
      <w:pPr>
        <w:ind w:left="5786" w:hanging="819"/>
      </w:pPr>
      <w:rPr>
        <w:rFonts w:hint="default"/>
        <w:lang w:val="en-US" w:eastAsia="zh-CN" w:bidi="ar-SA"/>
      </w:rPr>
    </w:lvl>
    <w:lvl w:ilvl="6" w:tentative="0">
      <w:start w:val="0"/>
      <w:numFmt w:val="bullet"/>
      <w:lvlText w:val="•"/>
      <w:lvlJc w:val="left"/>
      <w:pPr>
        <w:ind w:left="6683" w:hanging="819"/>
      </w:pPr>
      <w:rPr>
        <w:rFonts w:hint="default"/>
        <w:lang w:val="en-US" w:eastAsia="zh-CN" w:bidi="ar-SA"/>
      </w:rPr>
    </w:lvl>
    <w:lvl w:ilvl="7" w:tentative="0">
      <w:start w:val="0"/>
      <w:numFmt w:val="bullet"/>
      <w:lvlText w:val="•"/>
      <w:lvlJc w:val="left"/>
      <w:pPr>
        <w:ind w:left="7580" w:hanging="819"/>
      </w:pPr>
      <w:rPr>
        <w:rFonts w:hint="default"/>
        <w:lang w:val="en-US" w:eastAsia="zh-CN" w:bidi="ar-SA"/>
      </w:rPr>
    </w:lvl>
    <w:lvl w:ilvl="8" w:tentative="0">
      <w:start w:val="0"/>
      <w:numFmt w:val="bullet"/>
      <w:lvlText w:val="•"/>
      <w:lvlJc w:val="left"/>
      <w:pPr>
        <w:ind w:left="8476" w:hanging="819"/>
      </w:pPr>
      <w:rPr>
        <w:rFonts w:hint="default"/>
        <w:lang w:val="en-US" w:eastAsia="zh-CN" w:bidi="ar-SA"/>
      </w:rPr>
    </w:lvl>
  </w:abstractNum>
  <w:abstractNum w:abstractNumId="17">
    <w:nsid w:val="DCBA6B53"/>
    <w:multiLevelType w:val="multilevel"/>
    <w:tmpl w:val="DCBA6B53"/>
    <w:lvl w:ilvl="0" w:tentative="0">
      <w:start w:val="14"/>
      <w:numFmt w:val="decimal"/>
      <w:lvlText w:val="%1."/>
      <w:lvlJc w:val="left"/>
      <w:pPr>
        <w:ind w:left="1252" w:hanging="468"/>
        <w:jc w:val="left"/>
      </w:pPr>
      <w:rPr>
        <w:rFonts w:hint="default" w:ascii="宋体" w:hAnsi="宋体" w:eastAsia="宋体" w:cs="宋体"/>
        <w:b/>
        <w:bCs/>
        <w:i w:val="0"/>
        <w:iCs w:val="0"/>
        <w:spacing w:val="-10"/>
        <w:w w:val="99"/>
        <w:sz w:val="22"/>
        <w:szCs w:val="22"/>
        <w:lang w:val="en-US" w:eastAsia="zh-CN" w:bidi="ar-SA"/>
      </w:rPr>
    </w:lvl>
    <w:lvl w:ilvl="1" w:tentative="0">
      <w:start w:val="1"/>
      <w:numFmt w:val="decimal"/>
      <w:lvlText w:val="%1.%2"/>
      <w:lvlJc w:val="left"/>
      <w:pPr>
        <w:ind w:left="1967" w:hanging="581"/>
        <w:jc w:val="left"/>
      </w:pPr>
      <w:rPr>
        <w:rFonts w:hint="default" w:ascii="宋体" w:hAnsi="宋体" w:eastAsia="宋体" w:cs="宋体"/>
        <w:b w:val="0"/>
        <w:bCs w:val="0"/>
        <w:i w:val="0"/>
        <w:iCs w:val="0"/>
        <w:spacing w:val="-5"/>
        <w:w w:val="100"/>
        <w:sz w:val="24"/>
        <w:szCs w:val="24"/>
        <w:lang w:val="en-US" w:eastAsia="zh-CN" w:bidi="ar-SA"/>
      </w:rPr>
    </w:lvl>
    <w:lvl w:ilvl="2" w:tentative="0">
      <w:start w:val="1"/>
      <w:numFmt w:val="decimal"/>
      <w:lvlText w:val="%1.%2.%3"/>
      <w:lvlJc w:val="left"/>
      <w:pPr>
        <w:ind w:left="2212" w:hanging="826"/>
        <w:jc w:val="left"/>
      </w:pPr>
      <w:rPr>
        <w:rFonts w:hint="default" w:ascii="宋体" w:hAnsi="宋体" w:eastAsia="宋体" w:cs="宋体"/>
        <w:b w:val="0"/>
        <w:bCs w:val="0"/>
        <w:i w:val="0"/>
        <w:iCs w:val="0"/>
        <w:spacing w:val="0"/>
        <w:w w:val="100"/>
        <w:sz w:val="24"/>
        <w:szCs w:val="24"/>
        <w:lang w:val="en-US" w:eastAsia="zh-CN" w:bidi="ar-SA"/>
      </w:rPr>
    </w:lvl>
    <w:lvl w:ilvl="3" w:tentative="0">
      <w:start w:val="0"/>
      <w:numFmt w:val="bullet"/>
      <w:lvlText w:val="•"/>
      <w:lvlJc w:val="left"/>
      <w:pPr>
        <w:ind w:left="2220" w:hanging="826"/>
      </w:pPr>
      <w:rPr>
        <w:rFonts w:hint="default"/>
        <w:lang w:val="en-US" w:eastAsia="zh-CN" w:bidi="ar-SA"/>
      </w:rPr>
    </w:lvl>
    <w:lvl w:ilvl="4" w:tentative="0">
      <w:start w:val="0"/>
      <w:numFmt w:val="bullet"/>
      <w:lvlText w:val="•"/>
      <w:lvlJc w:val="left"/>
      <w:pPr>
        <w:ind w:left="3370" w:hanging="826"/>
      </w:pPr>
      <w:rPr>
        <w:rFonts w:hint="default"/>
        <w:lang w:val="en-US" w:eastAsia="zh-CN" w:bidi="ar-SA"/>
      </w:rPr>
    </w:lvl>
    <w:lvl w:ilvl="5" w:tentative="0">
      <w:start w:val="0"/>
      <w:numFmt w:val="bullet"/>
      <w:lvlText w:val="•"/>
      <w:lvlJc w:val="left"/>
      <w:pPr>
        <w:ind w:left="4520" w:hanging="826"/>
      </w:pPr>
      <w:rPr>
        <w:rFonts w:hint="default"/>
        <w:lang w:val="en-US" w:eastAsia="zh-CN" w:bidi="ar-SA"/>
      </w:rPr>
    </w:lvl>
    <w:lvl w:ilvl="6" w:tentative="0">
      <w:start w:val="0"/>
      <w:numFmt w:val="bullet"/>
      <w:lvlText w:val="•"/>
      <w:lvlJc w:val="left"/>
      <w:pPr>
        <w:ind w:left="5670" w:hanging="826"/>
      </w:pPr>
      <w:rPr>
        <w:rFonts w:hint="default"/>
        <w:lang w:val="en-US" w:eastAsia="zh-CN" w:bidi="ar-SA"/>
      </w:rPr>
    </w:lvl>
    <w:lvl w:ilvl="7" w:tentative="0">
      <w:start w:val="0"/>
      <w:numFmt w:val="bullet"/>
      <w:lvlText w:val="•"/>
      <w:lvlJc w:val="left"/>
      <w:pPr>
        <w:ind w:left="6820" w:hanging="826"/>
      </w:pPr>
      <w:rPr>
        <w:rFonts w:hint="default"/>
        <w:lang w:val="en-US" w:eastAsia="zh-CN" w:bidi="ar-SA"/>
      </w:rPr>
    </w:lvl>
    <w:lvl w:ilvl="8" w:tentative="0">
      <w:start w:val="0"/>
      <w:numFmt w:val="bullet"/>
      <w:lvlText w:val="•"/>
      <w:lvlJc w:val="left"/>
      <w:pPr>
        <w:ind w:left="7970" w:hanging="826"/>
      </w:pPr>
      <w:rPr>
        <w:rFonts w:hint="default"/>
        <w:lang w:val="en-US" w:eastAsia="zh-CN" w:bidi="ar-SA"/>
      </w:rPr>
    </w:lvl>
  </w:abstractNum>
  <w:abstractNum w:abstractNumId="18">
    <w:nsid w:val="E093A4B0"/>
    <w:multiLevelType w:val="multilevel"/>
    <w:tmpl w:val="E093A4B0"/>
    <w:lvl w:ilvl="0" w:tentative="0">
      <w:start w:val="1"/>
      <w:numFmt w:val="decimal"/>
      <w:lvlText w:val="（%1）"/>
      <w:lvlJc w:val="left"/>
      <w:pPr>
        <w:ind w:left="916" w:hanging="600"/>
        <w:jc w:val="left"/>
      </w:pPr>
      <w:rPr>
        <w:rFonts w:hint="default" w:ascii="宋体" w:hAnsi="宋体" w:eastAsia="宋体" w:cs="宋体"/>
        <w:b w:val="0"/>
        <w:bCs w:val="0"/>
        <w:i w:val="0"/>
        <w:iCs w:val="0"/>
        <w:spacing w:val="-5"/>
        <w:w w:val="100"/>
        <w:sz w:val="22"/>
        <w:szCs w:val="22"/>
        <w:lang w:val="en-US" w:eastAsia="zh-CN" w:bidi="ar-SA"/>
      </w:rPr>
    </w:lvl>
    <w:lvl w:ilvl="1" w:tentative="0">
      <w:start w:val="0"/>
      <w:numFmt w:val="bullet"/>
      <w:lvlText w:val="•"/>
      <w:lvlJc w:val="left"/>
      <w:pPr>
        <w:ind w:left="1855" w:hanging="600"/>
      </w:pPr>
      <w:rPr>
        <w:rFonts w:hint="default"/>
        <w:lang w:val="en-US" w:eastAsia="zh-CN" w:bidi="ar-SA"/>
      </w:rPr>
    </w:lvl>
    <w:lvl w:ilvl="2" w:tentative="0">
      <w:start w:val="0"/>
      <w:numFmt w:val="bullet"/>
      <w:lvlText w:val="•"/>
      <w:lvlJc w:val="left"/>
      <w:pPr>
        <w:ind w:left="2790" w:hanging="600"/>
      </w:pPr>
      <w:rPr>
        <w:rFonts w:hint="default"/>
        <w:lang w:val="en-US" w:eastAsia="zh-CN" w:bidi="ar-SA"/>
      </w:rPr>
    </w:lvl>
    <w:lvl w:ilvl="3" w:tentative="0">
      <w:start w:val="0"/>
      <w:numFmt w:val="bullet"/>
      <w:lvlText w:val="•"/>
      <w:lvlJc w:val="left"/>
      <w:pPr>
        <w:ind w:left="3725" w:hanging="600"/>
      </w:pPr>
      <w:rPr>
        <w:rFonts w:hint="default"/>
        <w:lang w:val="en-US" w:eastAsia="zh-CN" w:bidi="ar-SA"/>
      </w:rPr>
    </w:lvl>
    <w:lvl w:ilvl="4" w:tentative="0">
      <w:start w:val="0"/>
      <w:numFmt w:val="bullet"/>
      <w:lvlText w:val="•"/>
      <w:lvlJc w:val="left"/>
      <w:pPr>
        <w:ind w:left="4660" w:hanging="600"/>
      </w:pPr>
      <w:rPr>
        <w:rFonts w:hint="default"/>
        <w:lang w:val="en-US" w:eastAsia="zh-CN" w:bidi="ar-SA"/>
      </w:rPr>
    </w:lvl>
    <w:lvl w:ilvl="5" w:tentative="0">
      <w:start w:val="0"/>
      <w:numFmt w:val="bullet"/>
      <w:lvlText w:val="•"/>
      <w:lvlJc w:val="left"/>
      <w:pPr>
        <w:ind w:left="5595" w:hanging="600"/>
      </w:pPr>
      <w:rPr>
        <w:rFonts w:hint="default"/>
        <w:lang w:val="en-US" w:eastAsia="zh-CN" w:bidi="ar-SA"/>
      </w:rPr>
    </w:lvl>
    <w:lvl w:ilvl="6" w:tentative="0">
      <w:start w:val="0"/>
      <w:numFmt w:val="bullet"/>
      <w:lvlText w:val="•"/>
      <w:lvlJc w:val="left"/>
      <w:pPr>
        <w:ind w:left="6530" w:hanging="600"/>
      </w:pPr>
      <w:rPr>
        <w:rFonts w:hint="default"/>
        <w:lang w:val="en-US" w:eastAsia="zh-CN" w:bidi="ar-SA"/>
      </w:rPr>
    </w:lvl>
    <w:lvl w:ilvl="7" w:tentative="0">
      <w:start w:val="0"/>
      <w:numFmt w:val="bullet"/>
      <w:lvlText w:val="•"/>
      <w:lvlJc w:val="left"/>
      <w:pPr>
        <w:ind w:left="7465" w:hanging="600"/>
      </w:pPr>
      <w:rPr>
        <w:rFonts w:hint="default"/>
        <w:lang w:val="en-US" w:eastAsia="zh-CN" w:bidi="ar-SA"/>
      </w:rPr>
    </w:lvl>
    <w:lvl w:ilvl="8" w:tentative="0">
      <w:start w:val="0"/>
      <w:numFmt w:val="bullet"/>
      <w:lvlText w:val="•"/>
      <w:lvlJc w:val="left"/>
      <w:pPr>
        <w:ind w:left="8400" w:hanging="600"/>
      </w:pPr>
      <w:rPr>
        <w:rFonts w:hint="default"/>
        <w:lang w:val="en-US" w:eastAsia="zh-CN" w:bidi="ar-SA"/>
      </w:rPr>
    </w:lvl>
  </w:abstractNum>
  <w:abstractNum w:abstractNumId="19">
    <w:nsid w:val="F0E89278"/>
    <w:multiLevelType w:val="multilevel"/>
    <w:tmpl w:val="F0E89278"/>
    <w:lvl w:ilvl="0" w:tentative="0">
      <w:start w:val="1"/>
      <w:numFmt w:val="decimal"/>
      <w:lvlText w:val="%1."/>
      <w:lvlJc w:val="left"/>
      <w:pPr>
        <w:ind w:left="1520" w:hanging="190"/>
        <w:jc w:val="left"/>
      </w:pPr>
      <w:rPr>
        <w:rFonts w:hint="default"/>
        <w:spacing w:val="-9"/>
        <w:w w:val="81"/>
        <w:lang w:val="en-US" w:eastAsia="zh-CN" w:bidi="ar-SA"/>
      </w:rPr>
    </w:lvl>
    <w:lvl w:ilvl="1" w:tentative="0">
      <w:start w:val="0"/>
      <w:numFmt w:val="bullet"/>
      <w:lvlText w:val="•"/>
      <w:lvlJc w:val="left"/>
      <w:pPr>
        <w:ind w:left="2395" w:hanging="190"/>
      </w:pPr>
      <w:rPr>
        <w:rFonts w:hint="default"/>
        <w:lang w:val="en-US" w:eastAsia="zh-CN" w:bidi="ar-SA"/>
      </w:rPr>
    </w:lvl>
    <w:lvl w:ilvl="2" w:tentative="0">
      <w:start w:val="0"/>
      <w:numFmt w:val="bullet"/>
      <w:lvlText w:val="•"/>
      <w:lvlJc w:val="left"/>
      <w:pPr>
        <w:ind w:left="3270" w:hanging="190"/>
      </w:pPr>
      <w:rPr>
        <w:rFonts w:hint="default"/>
        <w:lang w:val="en-US" w:eastAsia="zh-CN" w:bidi="ar-SA"/>
      </w:rPr>
    </w:lvl>
    <w:lvl w:ilvl="3" w:tentative="0">
      <w:start w:val="0"/>
      <w:numFmt w:val="bullet"/>
      <w:lvlText w:val="•"/>
      <w:lvlJc w:val="left"/>
      <w:pPr>
        <w:ind w:left="4145" w:hanging="190"/>
      </w:pPr>
      <w:rPr>
        <w:rFonts w:hint="default"/>
        <w:lang w:val="en-US" w:eastAsia="zh-CN" w:bidi="ar-SA"/>
      </w:rPr>
    </w:lvl>
    <w:lvl w:ilvl="4" w:tentative="0">
      <w:start w:val="0"/>
      <w:numFmt w:val="bullet"/>
      <w:lvlText w:val="•"/>
      <w:lvlJc w:val="left"/>
      <w:pPr>
        <w:ind w:left="5020" w:hanging="190"/>
      </w:pPr>
      <w:rPr>
        <w:rFonts w:hint="default"/>
        <w:lang w:val="en-US" w:eastAsia="zh-CN" w:bidi="ar-SA"/>
      </w:rPr>
    </w:lvl>
    <w:lvl w:ilvl="5" w:tentative="0">
      <w:start w:val="0"/>
      <w:numFmt w:val="bullet"/>
      <w:lvlText w:val="•"/>
      <w:lvlJc w:val="left"/>
      <w:pPr>
        <w:ind w:left="5895" w:hanging="190"/>
      </w:pPr>
      <w:rPr>
        <w:rFonts w:hint="default"/>
        <w:lang w:val="en-US" w:eastAsia="zh-CN" w:bidi="ar-SA"/>
      </w:rPr>
    </w:lvl>
    <w:lvl w:ilvl="6" w:tentative="0">
      <w:start w:val="0"/>
      <w:numFmt w:val="bullet"/>
      <w:lvlText w:val="•"/>
      <w:lvlJc w:val="left"/>
      <w:pPr>
        <w:ind w:left="6770" w:hanging="190"/>
      </w:pPr>
      <w:rPr>
        <w:rFonts w:hint="default"/>
        <w:lang w:val="en-US" w:eastAsia="zh-CN" w:bidi="ar-SA"/>
      </w:rPr>
    </w:lvl>
    <w:lvl w:ilvl="7" w:tentative="0">
      <w:start w:val="0"/>
      <w:numFmt w:val="bullet"/>
      <w:lvlText w:val="•"/>
      <w:lvlJc w:val="left"/>
      <w:pPr>
        <w:ind w:left="7645" w:hanging="190"/>
      </w:pPr>
      <w:rPr>
        <w:rFonts w:hint="default"/>
        <w:lang w:val="en-US" w:eastAsia="zh-CN" w:bidi="ar-SA"/>
      </w:rPr>
    </w:lvl>
    <w:lvl w:ilvl="8" w:tentative="0">
      <w:start w:val="0"/>
      <w:numFmt w:val="bullet"/>
      <w:lvlText w:val="•"/>
      <w:lvlJc w:val="left"/>
      <w:pPr>
        <w:ind w:left="8520" w:hanging="190"/>
      </w:pPr>
      <w:rPr>
        <w:rFonts w:hint="default"/>
        <w:lang w:val="en-US" w:eastAsia="zh-CN" w:bidi="ar-SA"/>
      </w:rPr>
    </w:lvl>
  </w:abstractNum>
  <w:abstractNum w:abstractNumId="20">
    <w:nsid w:val="F4B5D9F5"/>
    <w:multiLevelType w:val="multilevel"/>
    <w:tmpl w:val="F4B5D9F5"/>
    <w:lvl w:ilvl="0" w:tentative="0">
      <w:start w:val="12"/>
      <w:numFmt w:val="decimal"/>
      <w:lvlText w:val="%1."/>
      <w:lvlJc w:val="left"/>
      <w:pPr>
        <w:ind w:left="1229" w:hanging="326"/>
        <w:jc w:val="left"/>
      </w:pPr>
      <w:rPr>
        <w:rFonts w:hint="default" w:ascii="宋体" w:hAnsi="宋体" w:eastAsia="宋体" w:cs="宋体"/>
        <w:b/>
        <w:bCs/>
        <w:i w:val="0"/>
        <w:iCs w:val="0"/>
        <w:spacing w:val="-10"/>
        <w:w w:val="99"/>
        <w:sz w:val="20"/>
        <w:szCs w:val="20"/>
        <w:lang w:val="en-US" w:eastAsia="zh-CN" w:bidi="ar-SA"/>
      </w:rPr>
    </w:lvl>
    <w:lvl w:ilvl="1" w:tentative="0">
      <w:start w:val="1"/>
      <w:numFmt w:val="decimal"/>
      <w:lvlText w:val="%1.%2"/>
      <w:lvlJc w:val="left"/>
      <w:pPr>
        <w:ind w:left="889" w:hanging="581"/>
        <w:jc w:val="left"/>
      </w:pPr>
      <w:rPr>
        <w:rFonts w:hint="default" w:ascii="宋体" w:hAnsi="宋体" w:eastAsia="宋体" w:cs="宋体"/>
        <w:b w:val="0"/>
        <w:bCs w:val="0"/>
        <w:i w:val="0"/>
        <w:iCs w:val="0"/>
        <w:spacing w:val="-5"/>
        <w:w w:val="100"/>
        <w:sz w:val="24"/>
        <w:szCs w:val="24"/>
        <w:lang w:val="en-US" w:eastAsia="zh-CN" w:bidi="ar-SA"/>
      </w:rPr>
    </w:lvl>
    <w:lvl w:ilvl="2" w:tentative="0">
      <w:start w:val="0"/>
      <w:numFmt w:val="bullet"/>
      <w:lvlText w:val="•"/>
      <w:lvlJc w:val="left"/>
      <w:pPr>
        <w:ind w:left="2225" w:hanging="581"/>
      </w:pPr>
      <w:rPr>
        <w:rFonts w:hint="default"/>
        <w:lang w:val="en-US" w:eastAsia="zh-CN" w:bidi="ar-SA"/>
      </w:rPr>
    </w:lvl>
    <w:lvl w:ilvl="3" w:tentative="0">
      <w:start w:val="0"/>
      <w:numFmt w:val="bullet"/>
      <w:lvlText w:val="•"/>
      <w:lvlJc w:val="left"/>
      <w:pPr>
        <w:ind w:left="3231" w:hanging="581"/>
      </w:pPr>
      <w:rPr>
        <w:rFonts w:hint="default"/>
        <w:lang w:val="en-US" w:eastAsia="zh-CN" w:bidi="ar-SA"/>
      </w:rPr>
    </w:lvl>
    <w:lvl w:ilvl="4" w:tentative="0">
      <w:start w:val="0"/>
      <w:numFmt w:val="bullet"/>
      <w:lvlText w:val="•"/>
      <w:lvlJc w:val="left"/>
      <w:pPr>
        <w:ind w:left="4236" w:hanging="581"/>
      </w:pPr>
      <w:rPr>
        <w:rFonts w:hint="default"/>
        <w:lang w:val="en-US" w:eastAsia="zh-CN" w:bidi="ar-SA"/>
      </w:rPr>
    </w:lvl>
    <w:lvl w:ilvl="5" w:tentative="0">
      <w:start w:val="0"/>
      <w:numFmt w:val="bullet"/>
      <w:lvlText w:val="•"/>
      <w:lvlJc w:val="left"/>
      <w:pPr>
        <w:ind w:left="5242" w:hanging="581"/>
      </w:pPr>
      <w:rPr>
        <w:rFonts w:hint="default"/>
        <w:lang w:val="en-US" w:eastAsia="zh-CN" w:bidi="ar-SA"/>
      </w:rPr>
    </w:lvl>
    <w:lvl w:ilvl="6" w:tentative="0">
      <w:start w:val="0"/>
      <w:numFmt w:val="bullet"/>
      <w:lvlText w:val="•"/>
      <w:lvlJc w:val="left"/>
      <w:pPr>
        <w:ind w:left="6247" w:hanging="581"/>
      </w:pPr>
      <w:rPr>
        <w:rFonts w:hint="default"/>
        <w:lang w:val="en-US" w:eastAsia="zh-CN" w:bidi="ar-SA"/>
      </w:rPr>
    </w:lvl>
    <w:lvl w:ilvl="7" w:tentative="0">
      <w:start w:val="0"/>
      <w:numFmt w:val="bullet"/>
      <w:lvlText w:val="•"/>
      <w:lvlJc w:val="left"/>
      <w:pPr>
        <w:ind w:left="7253" w:hanging="581"/>
      </w:pPr>
      <w:rPr>
        <w:rFonts w:hint="default"/>
        <w:lang w:val="en-US" w:eastAsia="zh-CN" w:bidi="ar-SA"/>
      </w:rPr>
    </w:lvl>
    <w:lvl w:ilvl="8" w:tentative="0">
      <w:start w:val="0"/>
      <w:numFmt w:val="bullet"/>
      <w:lvlText w:val="•"/>
      <w:lvlJc w:val="left"/>
      <w:pPr>
        <w:ind w:left="8258" w:hanging="581"/>
      </w:pPr>
      <w:rPr>
        <w:rFonts w:hint="default"/>
        <w:lang w:val="en-US" w:eastAsia="zh-CN" w:bidi="ar-SA"/>
      </w:rPr>
    </w:lvl>
  </w:abstractNum>
  <w:abstractNum w:abstractNumId="21">
    <w:nsid w:val="F7735DC9"/>
    <w:multiLevelType w:val="multilevel"/>
    <w:tmpl w:val="F7735DC9"/>
    <w:lvl w:ilvl="0" w:tentative="0">
      <w:start w:val="37"/>
      <w:numFmt w:val="decimal"/>
      <w:lvlText w:val="%1"/>
      <w:lvlJc w:val="left"/>
      <w:pPr>
        <w:ind w:left="1928" w:hanging="557"/>
        <w:jc w:val="left"/>
      </w:pPr>
      <w:rPr>
        <w:rFonts w:hint="default"/>
        <w:lang w:val="en-US" w:eastAsia="zh-CN" w:bidi="ar-SA"/>
      </w:rPr>
    </w:lvl>
    <w:lvl w:ilvl="1" w:tentative="0">
      <w:start w:val="1"/>
      <w:numFmt w:val="decimal"/>
      <w:lvlText w:val="%1.%2"/>
      <w:lvlJc w:val="left"/>
      <w:pPr>
        <w:ind w:left="1928" w:hanging="557"/>
        <w:jc w:val="left"/>
      </w:pPr>
      <w:rPr>
        <w:rFonts w:hint="default" w:ascii="宋体" w:hAnsi="宋体" w:eastAsia="宋体" w:cs="宋体"/>
        <w:b w:val="0"/>
        <w:bCs w:val="0"/>
        <w:i w:val="0"/>
        <w:iCs w:val="0"/>
        <w:spacing w:val="-3"/>
        <w:w w:val="100"/>
        <w:sz w:val="24"/>
        <w:szCs w:val="24"/>
        <w:lang w:val="en-US" w:eastAsia="zh-CN" w:bidi="ar-SA"/>
      </w:rPr>
    </w:lvl>
    <w:lvl w:ilvl="2" w:tentative="0">
      <w:start w:val="0"/>
      <w:numFmt w:val="bullet"/>
      <w:lvlText w:val="•"/>
      <w:lvlJc w:val="left"/>
      <w:pPr>
        <w:ind w:left="3590" w:hanging="557"/>
      </w:pPr>
      <w:rPr>
        <w:rFonts w:hint="default"/>
        <w:lang w:val="en-US" w:eastAsia="zh-CN" w:bidi="ar-SA"/>
      </w:rPr>
    </w:lvl>
    <w:lvl w:ilvl="3" w:tentative="0">
      <w:start w:val="0"/>
      <w:numFmt w:val="bullet"/>
      <w:lvlText w:val="•"/>
      <w:lvlJc w:val="left"/>
      <w:pPr>
        <w:ind w:left="4425" w:hanging="557"/>
      </w:pPr>
      <w:rPr>
        <w:rFonts w:hint="default"/>
        <w:lang w:val="en-US" w:eastAsia="zh-CN" w:bidi="ar-SA"/>
      </w:rPr>
    </w:lvl>
    <w:lvl w:ilvl="4" w:tentative="0">
      <w:start w:val="0"/>
      <w:numFmt w:val="bullet"/>
      <w:lvlText w:val="•"/>
      <w:lvlJc w:val="left"/>
      <w:pPr>
        <w:ind w:left="5260" w:hanging="557"/>
      </w:pPr>
      <w:rPr>
        <w:rFonts w:hint="default"/>
        <w:lang w:val="en-US" w:eastAsia="zh-CN" w:bidi="ar-SA"/>
      </w:rPr>
    </w:lvl>
    <w:lvl w:ilvl="5" w:tentative="0">
      <w:start w:val="0"/>
      <w:numFmt w:val="bullet"/>
      <w:lvlText w:val="•"/>
      <w:lvlJc w:val="left"/>
      <w:pPr>
        <w:ind w:left="6095" w:hanging="557"/>
      </w:pPr>
      <w:rPr>
        <w:rFonts w:hint="default"/>
        <w:lang w:val="en-US" w:eastAsia="zh-CN" w:bidi="ar-SA"/>
      </w:rPr>
    </w:lvl>
    <w:lvl w:ilvl="6" w:tentative="0">
      <w:start w:val="0"/>
      <w:numFmt w:val="bullet"/>
      <w:lvlText w:val="•"/>
      <w:lvlJc w:val="left"/>
      <w:pPr>
        <w:ind w:left="6930" w:hanging="557"/>
      </w:pPr>
      <w:rPr>
        <w:rFonts w:hint="default"/>
        <w:lang w:val="en-US" w:eastAsia="zh-CN" w:bidi="ar-SA"/>
      </w:rPr>
    </w:lvl>
    <w:lvl w:ilvl="7" w:tentative="0">
      <w:start w:val="0"/>
      <w:numFmt w:val="bullet"/>
      <w:lvlText w:val="•"/>
      <w:lvlJc w:val="left"/>
      <w:pPr>
        <w:ind w:left="7765" w:hanging="557"/>
      </w:pPr>
      <w:rPr>
        <w:rFonts w:hint="default"/>
        <w:lang w:val="en-US" w:eastAsia="zh-CN" w:bidi="ar-SA"/>
      </w:rPr>
    </w:lvl>
    <w:lvl w:ilvl="8" w:tentative="0">
      <w:start w:val="0"/>
      <w:numFmt w:val="bullet"/>
      <w:lvlText w:val="•"/>
      <w:lvlJc w:val="left"/>
      <w:pPr>
        <w:ind w:left="8600" w:hanging="557"/>
      </w:pPr>
      <w:rPr>
        <w:rFonts w:hint="default"/>
        <w:lang w:val="en-US" w:eastAsia="zh-CN" w:bidi="ar-SA"/>
      </w:rPr>
    </w:lvl>
  </w:abstractNum>
  <w:abstractNum w:abstractNumId="22">
    <w:nsid w:val="0053208E"/>
    <w:multiLevelType w:val="multilevel"/>
    <w:tmpl w:val="0053208E"/>
    <w:lvl w:ilvl="0" w:tentative="0">
      <w:start w:val="1"/>
      <w:numFmt w:val="decimal"/>
      <w:lvlText w:val="%1."/>
      <w:lvlJc w:val="left"/>
      <w:pPr>
        <w:ind w:left="1699" w:hanging="218"/>
        <w:jc w:val="left"/>
      </w:pPr>
      <w:rPr>
        <w:rFonts w:hint="default" w:ascii="宋体" w:hAnsi="宋体" w:eastAsia="宋体" w:cs="宋体"/>
        <w:b w:val="0"/>
        <w:bCs w:val="0"/>
        <w:i w:val="0"/>
        <w:iCs w:val="0"/>
        <w:spacing w:val="-13"/>
        <w:w w:val="96"/>
        <w:sz w:val="20"/>
        <w:szCs w:val="20"/>
        <w:lang w:val="en-US" w:eastAsia="zh-CN" w:bidi="ar-SA"/>
      </w:rPr>
    </w:lvl>
    <w:lvl w:ilvl="1" w:tentative="0">
      <w:start w:val="0"/>
      <w:numFmt w:val="bullet"/>
      <w:lvlText w:val="•"/>
      <w:lvlJc w:val="left"/>
      <w:pPr>
        <w:ind w:left="2557" w:hanging="218"/>
      </w:pPr>
      <w:rPr>
        <w:rFonts w:hint="default"/>
        <w:lang w:val="en-US" w:eastAsia="zh-CN" w:bidi="ar-SA"/>
      </w:rPr>
    </w:lvl>
    <w:lvl w:ilvl="2" w:tentative="0">
      <w:start w:val="0"/>
      <w:numFmt w:val="bullet"/>
      <w:lvlText w:val="•"/>
      <w:lvlJc w:val="left"/>
      <w:pPr>
        <w:ind w:left="3414" w:hanging="218"/>
      </w:pPr>
      <w:rPr>
        <w:rFonts w:hint="default"/>
        <w:lang w:val="en-US" w:eastAsia="zh-CN" w:bidi="ar-SA"/>
      </w:rPr>
    </w:lvl>
    <w:lvl w:ilvl="3" w:tentative="0">
      <w:start w:val="0"/>
      <w:numFmt w:val="bullet"/>
      <w:lvlText w:val="•"/>
      <w:lvlJc w:val="left"/>
      <w:pPr>
        <w:ind w:left="4271" w:hanging="218"/>
      </w:pPr>
      <w:rPr>
        <w:rFonts w:hint="default"/>
        <w:lang w:val="en-US" w:eastAsia="zh-CN" w:bidi="ar-SA"/>
      </w:rPr>
    </w:lvl>
    <w:lvl w:ilvl="4" w:tentative="0">
      <w:start w:val="0"/>
      <w:numFmt w:val="bullet"/>
      <w:lvlText w:val="•"/>
      <w:lvlJc w:val="left"/>
      <w:pPr>
        <w:ind w:left="5128" w:hanging="218"/>
      </w:pPr>
      <w:rPr>
        <w:rFonts w:hint="default"/>
        <w:lang w:val="en-US" w:eastAsia="zh-CN" w:bidi="ar-SA"/>
      </w:rPr>
    </w:lvl>
    <w:lvl w:ilvl="5" w:tentative="0">
      <w:start w:val="0"/>
      <w:numFmt w:val="bullet"/>
      <w:lvlText w:val="•"/>
      <w:lvlJc w:val="left"/>
      <w:pPr>
        <w:ind w:left="5985" w:hanging="218"/>
      </w:pPr>
      <w:rPr>
        <w:rFonts w:hint="default"/>
        <w:lang w:val="en-US" w:eastAsia="zh-CN" w:bidi="ar-SA"/>
      </w:rPr>
    </w:lvl>
    <w:lvl w:ilvl="6" w:tentative="0">
      <w:start w:val="0"/>
      <w:numFmt w:val="bullet"/>
      <w:lvlText w:val="•"/>
      <w:lvlJc w:val="left"/>
      <w:pPr>
        <w:ind w:left="6842" w:hanging="218"/>
      </w:pPr>
      <w:rPr>
        <w:rFonts w:hint="default"/>
        <w:lang w:val="en-US" w:eastAsia="zh-CN" w:bidi="ar-SA"/>
      </w:rPr>
    </w:lvl>
    <w:lvl w:ilvl="7" w:tentative="0">
      <w:start w:val="0"/>
      <w:numFmt w:val="bullet"/>
      <w:lvlText w:val="•"/>
      <w:lvlJc w:val="left"/>
      <w:pPr>
        <w:ind w:left="7699" w:hanging="218"/>
      </w:pPr>
      <w:rPr>
        <w:rFonts w:hint="default"/>
        <w:lang w:val="en-US" w:eastAsia="zh-CN" w:bidi="ar-SA"/>
      </w:rPr>
    </w:lvl>
    <w:lvl w:ilvl="8" w:tentative="0">
      <w:start w:val="0"/>
      <w:numFmt w:val="bullet"/>
      <w:lvlText w:val="•"/>
      <w:lvlJc w:val="left"/>
      <w:pPr>
        <w:ind w:left="8556" w:hanging="218"/>
      </w:pPr>
      <w:rPr>
        <w:rFonts w:hint="default"/>
        <w:lang w:val="en-US" w:eastAsia="zh-CN" w:bidi="ar-SA"/>
      </w:rPr>
    </w:lvl>
  </w:abstractNum>
  <w:abstractNum w:abstractNumId="23">
    <w:nsid w:val="03D62ECE"/>
    <w:multiLevelType w:val="multilevel"/>
    <w:tmpl w:val="03D62ECE"/>
    <w:lvl w:ilvl="0" w:tentative="0">
      <w:start w:val="2"/>
      <w:numFmt w:val="decimal"/>
      <w:lvlText w:val="%1."/>
      <w:lvlJc w:val="left"/>
      <w:pPr>
        <w:ind w:left="1610" w:hanging="239"/>
        <w:jc w:val="left"/>
      </w:pPr>
      <w:rPr>
        <w:rFonts w:hint="default" w:ascii="宋体" w:hAnsi="宋体" w:eastAsia="宋体" w:cs="宋体"/>
        <w:b w:val="0"/>
        <w:bCs w:val="0"/>
        <w:i w:val="0"/>
        <w:iCs w:val="0"/>
        <w:spacing w:val="-8"/>
        <w:w w:val="100"/>
        <w:sz w:val="22"/>
        <w:szCs w:val="22"/>
        <w:lang w:val="en-US" w:eastAsia="zh-CN" w:bidi="ar-SA"/>
      </w:rPr>
    </w:lvl>
    <w:lvl w:ilvl="1" w:tentative="0">
      <w:start w:val="0"/>
      <w:numFmt w:val="bullet"/>
      <w:lvlText w:val="•"/>
      <w:lvlJc w:val="left"/>
      <w:pPr>
        <w:ind w:left="2485" w:hanging="239"/>
      </w:pPr>
      <w:rPr>
        <w:rFonts w:hint="default"/>
        <w:lang w:val="en-US" w:eastAsia="zh-CN" w:bidi="ar-SA"/>
      </w:rPr>
    </w:lvl>
    <w:lvl w:ilvl="2" w:tentative="0">
      <w:start w:val="0"/>
      <w:numFmt w:val="bullet"/>
      <w:lvlText w:val="•"/>
      <w:lvlJc w:val="left"/>
      <w:pPr>
        <w:ind w:left="3350" w:hanging="239"/>
      </w:pPr>
      <w:rPr>
        <w:rFonts w:hint="default"/>
        <w:lang w:val="en-US" w:eastAsia="zh-CN" w:bidi="ar-SA"/>
      </w:rPr>
    </w:lvl>
    <w:lvl w:ilvl="3" w:tentative="0">
      <w:start w:val="0"/>
      <w:numFmt w:val="bullet"/>
      <w:lvlText w:val="•"/>
      <w:lvlJc w:val="left"/>
      <w:pPr>
        <w:ind w:left="4215" w:hanging="239"/>
      </w:pPr>
      <w:rPr>
        <w:rFonts w:hint="default"/>
        <w:lang w:val="en-US" w:eastAsia="zh-CN" w:bidi="ar-SA"/>
      </w:rPr>
    </w:lvl>
    <w:lvl w:ilvl="4" w:tentative="0">
      <w:start w:val="0"/>
      <w:numFmt w:val="bullet"/>
      <w:lvlText w:val="•"/>
      <w:lvlJc w:val="left"/>
      <w:pPr>
        <w:ind w:left="5080" w:hanging="239"/>
      </w:pPr>
      <w:rPr>
        <w:rFonts w:hint="default"/>
        <w:lang w:val="en-US" w:eastAsia="zh-CN" w:bidi="ar-SA"/>
      </w:rPr>
    </w:lvl>
    <w:lvl w:ilvl="5" w:tentative="0">
      <w:start w:val="0"/>
      <w:numFmt w:val="bullet"/>
      <w:lvlText w:val="•"/>
      <w:lvlJc w:val="left"/>
      <w:pPr>
        <w:ind w:left="5945" w:hanging="239"/>
      </w:pPr>
      <w:rPr>
        <w:rFonts w:hint="default"/>
        <w:lang w:val="en-US" w:eastAsia="zh-CN" w:bidi="ar-SA"/>
      </w:rPr>
    </w:lvl>
    <w:lvl w:ilvl="6" w:tentative="0">
      <w:start w:val="0"/>
      <w:numFmt w:val="bullet"/>
      <w:lvlText w:val="•"/>
      <w:lvlJc w:val="left"/>
      <w:pPr>
        <w:ind w:left="6810" w:hanging="239"/>
      </w:pPr>
      <w:rPr>
        <w:rFonts w:hint="default"/>
        <w:lang w:val="en-US" w:eastAsia="zh-CN" w:bidi="ar-SA"/>
      </w:rPr>
    </w:lvl>
    <w:lvl w:ilvl="7" w:tentative="0">
      <w:start w:val="0"/>
      <w:numFmt w:val="bullet"/>
      <w:lvlText w:val="•"/>
      <w:lvlJc w:val="left"/>
      <w:pPr>
        <w:ind w:left="7675" w:hanging="239"/>
      </w:pPr>
      <w:rPr>
        <w:rFonts w:hint="default"/>
        <w:lang w:val="en-US" w:eastAsia="zh-CN" w:bidi="ar-SA"/>
      </w:rPr>
    </w:lvl>
    <w:lvl w:ilvl="8" w:tentative="0">
      <w:start w:val="0"/>
      <w:numFmt w:val="bullet"/>
      <w:lvlText w:val="•"/>
      <w:lvlJc w:val="left"/>
      <w:pPr>
        <w:ind w:left="8540" w:hanging="239"/>
      </w:pPr>
      <w:rPr>
        <w:rFonts w:hint="default"/>
        <w:lang w:val="en-US" w:eastAsia="zh-CN" w:bidi="ar-SA"/>
      </w:rPr>
    </w:lvl>
  </w:abstractNum>
  <w:abstractNum w:abstractNumId="24">
    <w:nsid w:val="0709FD3E"/>
    <w:multiLevelType w:val="multilevel"/>
    <w:tmpl w:val="0709FD3E"/>
    <w:lvl w:ilvl="0" w:tentative="0">
      <w:start w:val="2"/>
      <w:numFmt w:val="decimal"/>
      <w:lvlText w:val="%1"/>
      <w:lvlJc w:val="left"/>
      <w:pPr>
        <w:ind w:left="1799" w:hanging="476"/>
        <w:jc w:val="left"/>
      </w:pPr>
      <w:rPr>
        <w:rFonts w:hint="default"/>
        <w:lang w:val="en-US" w:eastAsia="zh-CN" w:bidi="ar-SA"/>
      </w:rPr>
    </w:lvl>
    <w:lvl w:ilvl="1" w:tentative="0">
      <w:start w:val="1"/>
      <w:numFmt w:val="decimal"/>
      <w:lvlText w:val="%1.%2"/>
      <w:lvlJc w:val="left"/>
      <w:pPr>
        <w:ind w:left="1799" w:hanging="476"/>
        <w:jc w:val="left"/>
      </w:pPr>
      <w:rPr>
        <w:rFonts w:hint="default" w:ascii="宋体" w:hAnsi="宋体" w:eastAsia="宋体" w:cs="宋体"/>
        <w:b/>
        <w:bCs/>
        <w:i w:val="0"/>
        <w:iCs w:val="0"/>
        <w:spacing w:val="-8"/>
        <w:w w:val="99"/>
        <w:sz w:val="24"/>
        <w:szCs w:val="24"/>
        <w:lang w:val="en-US" w:eastAsia="zh-CN" w:bidi="ar-SA"/>
      </w:rPr>
    </w:lvl>
    <w:lvl w:ilvl="2" w:tentative="0">
      <w:start w:val="1"/>
      <w:numFmt w:val="decimal"/>
      <w:lvlText w:val="%1.%2.%3"/>
      <w:lvlJc w:val="left"/>
      <w:pPr>
        <w:ind w:left="892" w:hanging="574"/>
        <w:jc w:val="left"/>
      </w:pPr>
      <w:rPr>
        <w:rFonts w:hint="default" w:ascii="宋体" w:hAnsi="宋体" w:eastAsia="宋体" w:cs="宋体"/>
        <w:b w:val="0"/>
        <w:bCs w:val="0"/>
        <w:i w:val="0"/>
        <w:iCs w:val="0"/>
        <w:spacing w:val="-8"/>
        <w:w w:val="100"/>
        <w:sz w:val="22"/>
        <w:szCs w:val="22"/>
        <w:lang w:val="en-US" w:eastAsia="zh-CN" w:bidi="ar-SA"/>
      </w:rPr>
    </w:lvl>
    <w:lvl w:ilvl="3" w:tentative="0">
      <w:start w:val="0"/>
      <w:numFmt w:val="bullet"/>
      <w:lvlText w:val="•"/>
      <w:lvlJc w:val="left"/>
      <w:pPr>
        <w:ind w:left="2080" w:hanging="574"/>
      </w:pPr>
      <w:rPr>
        <w:rFonts w:hint="default"/>
        <w:lang w:val="en-US" w:eastAsia="zh-CN" w:bidi="ar-SA"/>
      </w:rPr>
    </w:lvl>
    <w:lvl w:ilvl="4" w:tentative="0">
      <w:start w:val="0"/>
      <w:numFmt w:val="bullet"/>
      <w:lvlText w:val="•"/>
      <w:lvlJc w:val="left"/>
      <w:pPr>
        <w:ind w:left="3250" w:hanging="574"/>
      </w:pPr>
      <w:rPr>
        <w:rFonts w:hint="default"/>
        <w:lang w:val="en-US" w:eastAsia="zh-CN" w:bidi="ar-SA"/>
      </w:rPr>
    </w:lvl>
    <w:lvl w:ilvl="5" w:tentative="0">
      <w:start w:val="0"/>
      <w:numFmt w:val="bullet"/>
      <w:lvlText w:val="•"/>
      <w:lvlJc w:val="left"/>
      <w:pPr>
        <w:ind w:left="4420" w:hanging="574"/>
      </w:pPr>
      <w:rPr>
        <w:rFonts w:hint="default"/>
        <w:lang w:val="en-US" w:eastAsia="zh-CN" w:bidi="ar-SA"/>
      </w:rPr>
    </w:lvl>
    <w:lvl w:ilvl="6" w:tentative="0">
      <w:start w:val="0"/>
      <w:numFmt w:val="bullet"/>
      <w:lvlText w:val="•"/>
      <w:lvlJc w:val="left"/>
      <w:pPr>
        <w:ind w:left="5590" w:hanging="574"/>
      </w:pPr>
      <w:rPr>
        <w:rFonts w:hint="default"/>
        <w:lang w:val="en-US" w:eastAsia="zh-CN" w:bidi="ar-SA"/>
      </w:rPr>
    </w:lvl>
    <w:lvl w:ilvl="7" w:tentative="0">
      <w:start w:val="0"/>
      <w:numFmt w:val="bullet"/>
      <w:lvlText w:val="•"/>
      <w:lvlJc w:val="left"/>
      <w:pPr>
        <w:ind w:left="6760" w:hanging="574"/>
      </w:pPr>
      <w:rPr>
        <w:rFonts w:hint="default"/>
        <w:lang w:val="en-US" w:eastAsia="zh-CN" w:bidi="ar-SA"/>
      </w:rPr>
    </w:lvl>
    <w:lvl w:ilvl="8" w:tentative="0">
      <w:start w:val="0"/>
      <w:numFmt w:val="bullet"/>
      <w:lvlText w:val="•"/>
      <w:lvlJc w:val="left"/>
      <w:pPr>
        <w:ind w:left="7930" w:hanging="574"/>
      </w:pPr>
      <w:rPr>
        <w:rFonts w:hint="default"/>
        <w:lang w:val="en-US" w:eastAsia="zh-CN" w:bidi="ar-SA"/>
      </w:rPr>
    </w:lvl>
  </w:abstractNum>
  <w:abstractNum w:abstractNumId="25">
    <w:nsid w:val="0CEF100B"/>
    <w:multiLevelType w:val="multilevel"/>
    <w:tmpl w:val="0CEF100B"/>
    <w:lvl w:ilvl="0" w:tentative="0">
      <w:start w:val="1"/>
      <w:numFmt w:val="decimal"/>
      <w:lvlText w:val="%1."/>
      <w:lvlJc w:val="left"/>
      <w:pPr>
        <w:ind w:left="875" w:hanging="394"/>
        <w:jc w:val="left"/>
      </w:pPr>
      <w:rPr>
        <w:rFonts w:hint="default"/>
        <w:spacing w:val="0"/>
        <w:w w:val="100"/>
        <w:lang w:val="en-US" w:eastAsia="zh-CN" w:bidi="ar-SA"/>
      </w:rPr>
    </w:lvl>
    <w:lvl w:ilvl="1" w:tentative="0">
      <w:start w:val="0"/>
      <w:numFmt w:val="bullet"/>
      <w:lvlText w:val="•"/>
      <w:lvlJc w:val="left"/>
      <w:pPr>
        <w:ind w:left="1819" w:hanging="394"/>
      </w:pPr>
      <w:rPr>
        <w:rFonts w:hint="default"/>
        <w:lang w:val="en-US" w:eastAsia="zh-CN" w:bidi="ar-SA"/>
      </w:rPr>
    </w:lvl>
    <w:lvl w:ilvl="2" w:tentative="0">
      <w:start w:val="0"/>
      <w:numFmt w:val="bullet"/>
      <w:lvlText w:val="•"/>
      <w:lvlJc w:val="left"/>
      <w:pPr>
        <w:ind w:left="2758" w:hanging="394"/>
      </w:pPr>
      <w:rPr>
        <w:rFonts w:hint="default"/>
        <w:lang w:val="en-US" w:eastAsia="zh-CN" w:bidi="ar-SA"/>
      </w:rPr>
    </w:lvl>
    <w:lvl w:ilvl="3" w:tentative="0">
      <w:start w:val="0"/>
      <w:numFmt w:val="bullet"/>
      <w:lvlText w:val="•"/>
      <w:lvlJc w:val="left"/>
      <w:pPr>
        <w:ind w:left="3697" w:hanging="394"/>
      </w:pPr>
      <w:rPr>
        <w:rFonts w:hint="default"/>
        <w:lang w:val="en-US" w:eastAsia="zh-CN" w:bidi="ar-SA"/>
      </w:rPr>
    </w:lvl>
    <w:lvl w:ilvl="4" w:tentative="0">
      <w:start w:val="0"/>
      <w:numFmt w:val="bullet"/>
      <w:lvlText w:val="•"/>
      <w:lvlJc w:val="left"/>
      <w:pPr>
        <w:ind w:left="4636" w:hanging="394"/>
      </w:pPr>
      <w:rPr>
        <w:rFonts w:hint="default"/>
        <w:lang w:val="en-US" w:eastAsia="zh-CN" w:bidi="ar-SA"/>
      </w:rPr>
    </w:lvl>
    <w:lvl w:ilvl="5" w:tentative="0">
      <w:start w:val="0"/>
      <w:numFmt w:val="bullet"/>
      <w:lvlText w:val="•"/>
      <w:lvlJc w:val="left"/>
      <w:pPr>
        <w:ind w:left="5575" w:hanging="394"/>
      </w:pPr>
      <w:rPr>
        <w:rFonts w:hint="default"/>
        <w:lang w:val="en-US" w:eastAsia="zh-CN" w:bidi="ar-SA"/>
      </w:rPr>
    </w:lvl>
    <w:lvl w:ilvl="6" w:tentative="0">
      <w:start w:val="0"/>
      <w:numFmt w:val="bullet"/>
      <w:lvlText w:val="•"/>
      <w:lvlJc w:val="left"/>
      <w:pPr>
        <w:ind w:left="6514" w:hanging="394"/>
      </w:pPr>
      <w:rPr>
        <w:rFonts w:hint="default"/>
        <w:lang w:val="en-US" w:eastAsia="zh-CN" w:bidi="ar-SA"/>
      </w:rPr>
    </w:lvl>
    <w:lvl w:ilvl="7" w:tentative="0">
      <w:start w:val="0"/>
      <w:numFmt w:val="bullet"/>
      <w:lvlText w:val="•"/>
      <w:lvlJc w:val="left"/>
      <w:pPr>
        <w:ind w:left="7453" w:hanging="394"/>
      </w:pPr>
      <w:rPr>
        <w:rFonts w:hint="default"/>
        <w:lang w:val="en-US" w:eastAsia="zh-CN" w:bidi="ar-SA"/>
      </w:rPr>
    </w:lvl>
    <w:lvl w:ilvl="8" w:tentative="0">
      <w:start w:val="0"/>
      <w:numFmt w:val="bullet"/>
      <w:lvlText w:val="•"/>
      <w:lvlJc w:val="left"/>
      <w:pPr>
        <w:ind w:left="8392" w:hanging="394"/>
      </w:pPr>
      <w:rPr>
        <w:rFonts w:hint="default"/>
        <w:lang w:val="en-US" w:eastAsia="zh-CN" w:bidi="ar-SA"/>
      </w:rPr>
    </w:lvl>
  </w:abstractNum>
  <w:abstractNum w:abstractNumId="26">
    <w:nsid w:val="0E640482"/>
    <w:multiLevelType w:val="multilevel"/>
    <w:tmpl w:val="0E640482"/>
    <w:lvl w:ilvl="0" w:tentative="0">
      <w:start w:val="1"/>
      <w:numFmt w:val="decimal"/>
      <w:lvlText w:val="（%1）"/>
      <w:lvlJc w:val="left"/>
      <w:pPr>
        <w:ind w:left="1892" w:hanging="600"/>
        <w:jc w:val="right"/>
      </w:pPr>
      <w:rPr>
        <w:rFonts w:hint="default" w:ascii="宋体" w:hAnsi="宋体" w:eastAsia="宋体" w:cs="宋体"/>
        <w:b w:val="0"/>
        <w:bCs w:val="0"/>
        <w:i w:val="0"/>
        <w:iCs w:val="0"/>
        <w:spacing w:val="-8"/>
        <w:w w:val="100"/>
        <w:sz w:val="22"/>
        <w:szCs w:val="22"/>
        <w:lang w:val="en-US" w:eastAsia="zh-CN" w:bidi="ar-SA"/>
      </w:rPr>
    </w:lvl>
    <w:lvl w:ilvl="1" w:tentative="0">
      <w:start w:val="0"/>
      <w:numFmt w:val="bullet"/>
      <w:lvlText w:val="•"/>
      <w:lvlJc w:val="left"/>
      <w:pPr>
        <w:ind w:left="2737" w:hanging="600"/>
      </w:pPr>
      <w:rPr>
        <w:rFonts w:hint="default"/>
        <w:lang w:val="en-US" w:eastAsia="zh-CN" w:bidi="ar-SA"/>
      </w:rPr>
    </w:lvl>
    <w:lvl w:ilvl="2" w:tentative="0">
      <w:start w:val="0"/>
      <w:numFmt w:val="bullet"/>
      <w:lvlText w:val="•"/>
      <w:lvlJc w:val="left"/>
      <w:pPr>
        <w:ind w:left="3574" w:hanging="600"/>
      </w:pPr>
      <w:rPr>
        <w:rFonts w:hint="default"/>
        <w:lang w:val="en-US" w:eastAsia="zh-CN" w:bidi="ar-SA"/>
      </w:rPr>
    </w:lvl>
    <w:lvl w:ilvl="3" w:tentative="0">
      <w:start w:val="0"/>
      <w:numFmt w:val="bullet"/>
      <w:lvlText w:val="•"/>
      <w:lvlJc w:val="left"/>
      <w:pPr>
        <w:ind w:left="4411" w:hanging="600"/>
      </w:pPr>
      <w:rPr>
        <w:rFonts w:hint="default"/>
        <w:lang w:val="en-US" w:eastAsia="zh-CN" w:bidi="ar-SA"/>
      </w:rPr>
    </w:lvl>
    <w:lvl w:ilvl="4" w:tentative="0">
      <w:start w:val="0"/>
      <w:numFmt w:val="bullet"/>
      <w:lvlText w:val="•"/>
      <w:lvlJc w:val="left"/>
      <w:pPr>
        <w:ind w:left="5248" w:hanging="600"/>
      </w:pPr>
      <w:rPr>
        <w:rFonts w:hint="default"/>
        <w:lang w:val="en-US" w:eastAsia="zh-CN" w:bidi="ar-SA"/>
      </w:rPr>
    </w:lvl>
    <w:lvl w:ilvl="5" w:tentative="0">
      <w:start w:val="0"/>
      <w:numFmt w:val="bullet"/>
      <w:lvlText w:val="•"/>
      <w:lvlJc w:val="left"/>
      <w:pPr>
        <w:ind w:left="6085" w:hanging="600"/>
      </w:pPr>
      <w:rPr>
        <w:rFonts w:hint="default"/>
        <w:lang w:val="en-US" w:eastAsia="zh-CN" w:bidi="ar-SA"/>
      </w:rPr>
    </w:lvl>
    <w:lvl w:ilvl="6" w:tentative="0">
      <w:start w:val="0"/>
      <w:numFmt w:val="bullet"/>
      <w:lvlText w:val="•"/>
      <w:lvlJc w:val="left"/>
      <w:pPr>
        <w:ind w:left="6922" w:hanging="600"/>
      </w:pPr>
      <w:rPr>
        <w:rFonts w:hint="default"/>
        <w:lang w:val="en-US" w:eastAsia="zh-CN" w:bidi="ar-SA"/>
      </w:rPr>
    </w:lvl>
    <w:lvl w:ilvl="7" w:tentative="0">
      <w:start w:val="0"/>
      <w:numFmt w:val="bullet"/>
      <w:lvlText w:val="•"/>
      <w:lvlJc w:val="left"/>
      <w:pPr>
        <w:ind w:left="7759" w:hanging="600"/>
      </w:pPr>
      <w:rPr>
        <w:rFonts w:hint="default"/>
        <w:lang w:val="en-US" w:eastAsia="zh-CN" w:bidi="ar-SA"/>
      </w:rPr>
    </w:lvl>
    <w:lvl w:ilvl="8" w:tentative="0">
      <w:start w:val="0"/>
      <w:numFmt w:val="bullet"/>
      <w:lvlText w:val="•"/>
      <w:lvlJc w:val="left"/>
      <w:pPr>
        <w:ind w:left="8596" w:hanging="600"/>
      </w:pPr>
      <w:rPr>
        <w:rFonts w:hint="default"/>
        <w:lang w:val="en-US" w:eastAsia="zh-CN" w:bidi="ar-SA"/>
      </w:rPr>
    </w:lvl>
  </w:abstractNum>
  <w:abstractNum w:abstractNumId="27">
    <w:nsid w:val="0F9F9CCA"/>
    <w:multiLevelType w:val="multilevel"/>
    <w:tmpl w:val="0F9F9CCA"/>
    <w:lvl w:ilvl="0" w:tentative="0">
      <w:start w:val="3"/>
      <w:numFmt w:val="decimal"/>
      <w:lvlText w:val="%1）"/>
      <w:lvlJc w:val="left"/>
      <w:pPr>
        <w:ind w:left="889" w:hanging="328"/>
        <w:jc w:val="left"/>
      </w:pPr>
      <w:rPr>
        <w:rFonts w:hint="default" w:ascii="宋体" w:hAnsi="宋体" w:eastAsia="宋体" w:cs="宋体"/>
        <w:b w:val="0"/>
        <w:bCs w:val="0"/>
        <w:i w:val="0"/>
        <w:iCs w:val="0"/>
        <w:spacing w:val="-5"/>
        <w:w w:val="100"/>
        <w:sz w:val="20"/>
        <w:szCs w:val="20"/>
        <w:lang w:val="en-US" w:eastAsia="zh-CN" w:bidi="ar-SA"/>
      </w:rPr>
    </w:lvl>
    <w:lvl w:ilvl="1" w:tentative="0">
      <w:start w:val="0"/>
      <w:numFmt w:val="bullet"/>
      <w:lvlText w:val="•"/>
      <w:lvlJc w:val="left"/>
      <w:pPr>
        <w:ind w:left="1819" w:hanging="328"/>
      </w:pPr>
      <w:rPr>
        <w:rFonts w:hint="default"/>
        <w:lang w:val="en-US" w:eastAsia="zh-CN" w:bidi="ar-SA"/>
      </w:rPr>
    </w:lvl>
    <w:lvl w:ilvl="2" w:tentative="0">
      <w:start w:val="0"/>
      <w:numFmt w:val="bullet"/>
      <w:lvlText w:val="•"/>
      <w:lvlJc w:val="left"/>
      <w:pPr>
        <w:ind w:left="2758" w:hanging="328"/>
      </w:pPr>
      <w:rPr>
        <w:rFonts w:hint="default"/>
        <w:lang w:val="en-US" w:eastAsia="zh-CN" w:bidi="ar-SA"/>
      </w:rPr>
    </w:lvl>
    <w:lvl w:ilvl="3" w:tentative="0">
      <w:start w:val="0"/>
      <w:numFmt w:val="bullet"/>
      <w:lvlText w:val="•"/>
      <w:lvlJc w:val="left"/>
      <w:pPr>
        <w:ind w:left="3697" w:hanging="328"/>
      </w:pPr>
      <w:rPr>
        <w:rFonts w:hint="default"/>
        <w:lang w:val="en-US" w:eastAsia="zh-CN" w:bidi="ar-SA"/>
      </w:rPr>
    </w:lvl>
    <w:lvl w:ilvl="4" w:tentative="0">
      <w:start w:val="0"/>
      <w:numFmt w:val="bullet"/>
      <w:lvlText w:val="•"/>
      <w:lvlJc w:val="left"/>
      <w:pPr>
        <w:ind w:left="4636" w:hanging="328"/>
      </w:pPr>
      <w:rPr>
        <w:rFonts w:hint="default"/>
        <w:lang w:val="en-US" w:eastAsia="zh-CN" w:bidi="ar-SA"/>
      </w:rPr>
    </w:lvl>
    <w:lvl w:ilvl="5" w:tentative="0">
      <w:start w:val="0"/>
      <w:numFmt w:val="bullet"/>
      <w:lvlText w:val="•"/>
      <w:lvlJc w:val="left"/>
      <w:pPr>
        <w:ind w:left="5575" w:hanging="328"/>
      </w:pPr>
      <w:rPr>
        <w:rFonts w:hint="default"/>
        <w:lang w:val="en-US" w:eastAsia="zh-CN" w:bidi="ar-SA"/>
      </w:rPr>
    </w:lvl>
    <w:lvl w:ilvl="6" w:tentative="0">
      <w:start w:val="0"/>
      <w:numFmt w:val="bullet"/>
      <w:lvlText w:val="•"/>
      <w:lvlJc w:val="left"/>
      <w:pPr>
        <w:ind w:left="6514" w:hanging="328"/>
      </w:pPr>
      <w:rPr>
        <w:rFonts w:hint="default"/>
        <w:lang w:val="en-US" w:eastAsia="zh-CN" w:bidi="ar-SA"/>
      </w:rPr>
    </w:lvl>
    <w:lvl w:ilvl="7" w:tentative="0">
      <w:start w:val="0"/>
      <w:numFmt w:val="bullet"/>
      <w:lvlText w:val="•"/>
      <w:lvlJc w:val="left"/>
      <w:pPr>
        <w:ind w:left="7453" w:hanging="328"/>
      </w:pPr>
      <w:rPr>
        <w:rFonts w:hint="default"/>
        <w:lang w:val="en-US" w:eastAsia="zh-CN" w:bidi="ar-SA"/>
      </w:rPr>
    </w:lvl>
    <w:lvl w:ilvl="8" w:tentative="0">
      <w:start w:val="0"/>
      <w:numFmt w:val="bullet"/>
      <w:lvlText w:val="•"/>
      <w:lvlJc w:val="left"/>
      <w:pPr>
        <w:ind w:left="8392" w:hanging="328"/>
      </w:pPr>
      <w:rPr>
        <w:rFonts w:hint="default"/>
        <w:lang w:val="en-US" w:eastAsia="zh-CN" w:bidi="ar-SA"/>
      </w:rPr>
    </w:lvl>
  </w:abstractNum>
  <w:abstractNum w:abstractNumId="28">
    <w:nsid w:val="1C257C7B"/>
    <w:multiLevelType w:val="multilevel"/>
    <w:tmpl w:val="1C257C7B"/>
    <w:lvl w:ilvl="0" w:tentative="0">
      <w:start w:val="1"/>
      <w:numFmt w:val="decimal"/>
      <w:lvlText w:val="%1."/>
      <w:lvlJc w:val="left"/>
      <w:pPr>
        <w:ind w:left="1643" w:hanging="219"/>
        <w:jc w:val="left"/>
      </w:pPr>
      <w:rPr>
        <w:rFonts w:hint="default" w:ascii="宋体" w:hAnsi="宋体" w:eastAsia="宋体" w:cs="宋体"/>
        <w:b w:val="0"/>
        <w:bCs w:val="0"/>
        <w:i w:val="0"/>
        <w:iCs w:val="0"/>
        <w:spacing w:val="-8"/>
        <w:w w:val="100"/>
        <w:sz w:val="20"/>
        <w:szCs w:val="20"/>
        <w:lang w:val="en-US" w:eastAsia="zh-CN" w:bidi="ar-SA"/>
      </w:rPr>
    </w:lvl>
    <w:lvl w:ilvl="1" w:tentative="0">
      <w:start w:val="0"/>
      <w:numFmt w:val="bullet"/>
      <w:lvlText w:val="•"/>
      <w:lvlJc w:val="left"/>
      <w:pPr>
        <w:ind w:left="2503" w:hanging="219"/>
      </w:pPr>
      <w:rPr>
        <w:rFonts w:hint="default"/>
        <w:lang w:val="en-US" w:eastAsia="zh-CN" w:bidi="ar-SA"/>
      </w:rPr>
    </w:lvl>
    <w:lvl w:ilvl="2" w:tentative="0">
      <w:start w:val="0"/>
      <w:numFmt w:val="bullet"/>
      <w:lvlText w:val="•"/>
      <w:lvlJc w:val="left"/>
      <w:pPr>
        <w:ind w:left="3366" w:hanging="219"/>
      </w:pPr>
      <w:rPr>
        <w:rFonts w:hint="default"/>
        <w:lang w:val="en-US" w:eastAsia="zh-CN" w:bidi="ar-SA"/>
      </w:rPr>
    </w:lvl>
    <w:lvl w:ilvl="3" w:tentative="0">
      <w:start w:val="0"/>
      <w:numFmt w:val="bullet"/>
      <w:lvlText w:val="•"/>
      <w:lvlJc w:val="left"/>
      <w:pPr>
        <w:ind w:left="4229" w:hanging="219"/>
      </w:pPr>
      <w:rPr>
        <w:rFonts w:hint="default"/>
        <w:lang w:val="en-US" w:eastAsia="zh-CN" w:bidi="ar-SA"/>
      </w:rPr>
    </w:lvl>
    <w:lvl w:ilvl="4" w:tentative="0">
      <w:start w:val="0"/>
      <w:numFmt w:val="bullet"/>
      <w:lvlText w:val="•"/>
      <w:lvlJc w:val="left"/>
      <w:pPr>
        <w:ind w:left="5092" w:hanging="219"/>
      </w:pPr>
      <w:rPr>
        <w:rFonts w:hint="default"/>
        <w:lang w:val="en-US" w:eastAsia="zh-CN" w:bidi="ar-SA"/>
      </w:rPr>
    </w:lvl>
    <w:lvl w:ilvl="5" w:tentative="0">
      <w:start w:val="0"/>
      <w:numFmt w:val="bullet"/>
      <w:lvlText w:val="•"/>
      <w:lvlJc w:val="left"/>
      <w:pPr>
        <w:ind w:left="5955" w:hanging="219"/>
      </w:pPr>
      <w:rPr>
        <w:rFonts w:hint="default"/>
        <w:lang w:val="en-US" w:eastAsia="zh-CN" w:bidi="ar-SA"/>
      </w:rPr>
    </w:lvl>
    <w:lvl w:ilvl="6" w:tentative="0">
      <w:start w:val="0"/>
      <w:numFmt w:val="bullet"/>
      <w:lvlText w:val="•"/>
      <w:lvlJc w:val="left"/>
      <w:pPr>
        <w:ind w:left="6818" w:hanging="219"/>
      </w:pPr>
      <w:rPr>
        <w:rFonts w:hint="default"/>
        <w:lang w:val="en-US" w:eastAsia="zh-CN" w:bidi="ar-SA"/>
      </w:rPr>
    </w:lvl>
    <w:lvl w:ilvl="7" w:tentative="0">
      <w:start w:val="0"/>
      <w:numFmt w:val="bullet"/>
      <w:lvlText w:val="•"/>
      <w:lvlJc w:val="left"/>
      <w:pPr>
        <w:ind w:left="7681" w:hanging="219"/>
      </w:pPr>
      <w:rPr>
        <w:rFonts w:hint="default"/>
        <w:lang w:val="en-US" w:eastAsia="zh-CN" w:bidi="ar-SA"/>
      </w:rPr>
    </w:lvl>
    <w:lvl w:ilvl="8" w:tentative="0">
      <w:start w:val="0"/>
      <w:numFmt w:val="bullet"/>
      <w:lvlText w:val="•"/>
      <w:lvlJc w:val="left"/>
      <w:pPr>
        <w:ind w:left="8544" w:hanging="219"/>
      </w:pPr>
      <w:rPr>
        <w:rFonts w:hint="default"/>
        <w:lang w:val="en-US" w:eastAsia="zh-CN" w:bidi="ar-SA"/>
      </w:rPr>
    </w:lvl>
  </w:abstractNum>
  <w:abstractNum w:abstractNumId="29">
    <w:nsid w:val="23E97754"/>
    <w:multiLevelType w:val="multilevel"/>
    <w:tmpl w:val="23E97754"/>
    <w:lvl w:ilvl="0" w:tentative="0">
      <w:start w:val="1"/>
      <w:numFmt w:val="decimal"/>
      <w:lvlText w:val="%1."/>
      <w:lvlJc w:val="left"/>
      <w:pPr>
        <w:ind w:left="1603" w:hanging="220"/>
        <w:jc w:val="left"/>
      </w:pPr>
      <w:rPr>
        <w:rFonts w:hint="default" w:ascii="宋体" w:hAnsi="宋体" w:eastAsia="宋体" w:cs="宋体"/>
        <w:b w:val="0"/>
        <w:bCs w:val="0"/>
        <w:i w:val="0"/>
        <w:iCs w:val="0"/>
        <w:spacing w:val="-5"/>
        <w:w w:val="100"/>
        <w:sz w:val="20"/>
        <w:szCs w:val="20"/>
        <w:lang w:val="en-US" w:eastAsia="zh-CN" w:bidi="ar-SA"/>
      </w:rPr>
    </w:lvl>
    <w:lvl w:ilvl="1" w:tentative="0">
      <w:start w:val="0"/>
      <w:numFmt w:val="bullet"/>
      <w:lvlText w:val="•"/>
      <w:lvlJc w:val="left"/>
      <w:pPr>
        <w:ind w:left="2467" w:hanging="220"/>
      </w:pPr>
      <w:rPr>
        <w:rFonts w:hint="default"/>
        <w:lang w:val="en-US" w:eastAsia="zh-CN" w:bidi="ar-SA"/>
      </w:rPr>
    </w:lvl>
    <w:lvl w:ilvl="2" w:tentative="0">
      <w:start w:val="0"/>
      <w:numFmt w:val="bullet"/>
      <w:lvlText w:val="•"/>
      <w:lvlJc w:val="left"/>
      <w:pPr>
        <w:ind w:left="3334" w:hanging="220"/>
      </w:pPr>
      <w:rPr>
        <w:rFonts w:hint="default"/>
        <w:lang w:val="en-US" w:eastAsia="zh-CN" w:bidi="ar-SA"/>
      </w:rPr>
    </w:lvl>
    <w:lvl w:ilvl="3" w:tentative="0">
      <w:start w:val="0"/>
      <w:numFmt w:val="bullet"/>
      <w:lvlText w:val="•"/>
      <w:lvlJc w:val="left"/>
      <w:pPr>
        <w:ind w:left="4201" w:hanging="220"/>
      </w:pPr>
      <w:rPr>
        <w:rFonts w:hint="default"/>
        <w:lang w:val="en-US" w:eastAsia="zh-CN" w:bidi="ar-SA"/>
      </w:rPr>
    </w:lvl>
    <w:lvl w:ilvl="4" w:tentative="0">
      <w:start w:val="0"/>
      <w:numFmt w:val="bullet"/>
      <w:lvlText w:val="•"/>
      <w:lvlJc w:val="left"/>
      <w:pPr>
        <w:ind w:left="5068" w:hanging="220"/>
      </w:pPr>
      <w:rPr>
        <w:rFonts w:hint="default"/>
        <w:lang w:val="en-US" w:eastAsia="zh-CN" w:bidi="ar-SA"/>
      </w:rPr>
    </w:lvl>
    <w:lvl w:ilvl="5" w:tentative="0">
      <w:start w:val="0"/>
      <w:numFmt w:val="bullet"/>
      <w:lvlText w:val="•"/>
      <w:lvlJc w:val="left"/>
      <w:pPr>
        <w:ind w:left="5935" w:hanging="220"/>
      </w:pPr>
      <w:rPr>
        <w:rFonts w:hint="default"/>
        <w:lang w:val="en-US" w:eastAsia="zh-CN" w:bidi="ar-SA"/>
      </w:rPr>
    </w:lvl>
    <w:lvl w:ilvl="6" w:tentative="0">
      <w:start w:val="0"/>
      <w:numFmt w:val="bullet"/>
      <w:lvlText w:val="•"/>
      <w:lvlJc w:val="left"/>
      <w:pPr>
        <w:ind w:left="6802" w:hanging="220"/>
      </w:pPr>
      <w:rPr>
        <w:rFonts w:hint="default"/>
        <w:lang w:val="en-US" w:eastAsia="zh-CN" w:bidi="ar-SA"/>
      </w:rPr>
    </w:lvl>
    <w:lvl w:ilvl="7" w:tentative="0">
      <w:start w:val="0"/>
      <w:numFmt w:val="bullet"/>
      <w:lvlText w:val="•"/>
      <w:lvlJc w:val="left"/>
      <w:pPr>
        <w:ind w:left="7669" w:hanging="220"/>
      </w:pPr>
      <w:rPr>
        <w:rFonts w:hint="default"/>
        <w:lang w:val="en-US" w:eastAsia="zh-CN" w:bidi="ar-SA"/>
      </w:rPr>
    </w:lvl>
    <w:lvl w:ilvl="8" w:tentative="0">
      <w:start w:val="0"/>
      <w:numFmt w:val="bullet"/>
      <w:lvlText w:val="•"/>
      <w:lvlJc w:val="left"/>
      <w:pPr>
        <w:ind w:left="8536" w:hanging="220"/>
      </w:pPr>
      <w:rPr>
        <w:rFonts w:hint="default"/>
        <w:lang w:val="en-US" w:eastAsia="zh-CN" w:bidi="ar-SA"/>
      </w:rPr>
    </w:lvl>
  </w:abstractNum>
  <w:abstractNum w:abstractNumId="30">
    <w:nsid w:val="243FCF68"/>
    <w:multiLevelType w:val="multilevel"/>
    <w:tmpl w:val="243FCF68"/>
    <w:lvl w:ilvl="0" w:tentative="0">
      <w:start w:val="36"/>
      <w:numFmt w:val="decimal"/>
      <w:lvlText w:val="%1."/>
      <w:lvlJc w:val="left"/>
      <w:pPr>
        <w:ind w:left="1224" w:hanging="333"/>
        <w:jc w:val="left"/>
      </w:pPr>
      <w:rPr>
        <w:rFonts w:hint="default" w:ascii="宋体" w:hAnsi="宋体" w:eastAsia="宋体" w:cs="宋体"/>
        <w:b/>
        <w:bCs/>
        <w:i w:val="0"/>
        <w:iCs w:val="0"/>
        <w:spacing w:val="-5"/>
        <w:w w:val="99"/>
        <w:sz w:val="20"/>
        <w:szCs w:val="20"/>
        <w:lang w:val="en-US" w:eastAsia="zh-CN" w:bidi="ar-SA"/>
      </w:rPr>
    </w:lvl>
    <w:lvl w:ilvl="1" w:tentative="0">
      <w:start w:val="1"/>
      <w:numFmt w:val="decimal"/>
      <w:lvlText w:val="%1.%2"/>
      <w:lvlJc w:val="left"/>
      <w:pPr>
        <w:ind w:left="1912" w:hanging="540"/>
        <w:jc w:val="left"/>
      </w:pPr>
      <w:rPr>
        <w:rFonts w:hint="default" w:ascii="宋体" w:hAnsi="宋体" w:eastAsia="宋体" w:cs="宋体"/>
        <w:b w:val="0"/>
        <w:bCs w:val="0"/>
        <w:i w:val="0"/>
        <w:iCs w:val="0"/>
        <w:spacing w:val="-3"/>
        <w:w w:val="100"/>
        <w:sz w:val="24"/>
        <w:szCs w:val="24"/>
        <w:lang w:val="en-US" w:eastAsia="zh-CN" w:bidi="ar-SA"/>
      </w:rPr>
    </w:lvl>
    <w:lvl w:ilvl="2" w:tentative="0">
      <w:start w:val="0"/>
      <w:numFmt w:val="bullet"/>
      <w:lvlText w:val="•"/>
      <w:lvlJc w:val="left"/>
      <w:pPr>
        <w:ind w:left="2847" w:hanging="540"/>
      </w:pPr>
      <w:rPr>
        <w:rFonts w:hint="default"/>
        <w:lang w:val="en-US" w:eastAsia="zh-CN" w:bidi="ar-SA"/>
      </w:rPr>
    </w:lvl>
    <w:lvl w:ilvl="3" w:tentative="0">
      <w:start w:val="0"/>
      <w:numFmt w:val="bullet"/>
      <w:lvlText w:val="•"/>
      <w:lvlJc w:val="left"/>
      <w:pPr>
        <w:ind w:left="3775" w:hanging="540"/>
      </w:pPr>
      <w:rPr>
        <w:rFonts w:hint="default"/>
        <w:lang w:val="en-US" w:eastAsia="zh-CN" w:bidi="ar-SA"/>
      </w:rPr>
    </w:lvl>
    <w:lvl w:ilvl="4" w:tentative="0">
      <w:start w:val="0"/>
      <w:numFmt w:val="bullet"/>
      <w:lvlText w:val="•"/>
      <w:lvlJc w:val="left"/>
      <w:pPr>
        <w:ind w:left="4703" w:hanging="540"/>
      </w:pPr>
      <w:rPr>
        <w:rFonts w:hint="default"/>
        <w:lang w:val="en-US" w:eastAsia="zh-CN" w:bidi="ar-SA"/>
      </w:rPr>
    </w:lvl>
    <w:lvl w:ilvl="5" w:tentative="0">
      <w:start w:val="0"/>
      <w:numFmt w:val="bullet"/>
      <w:lvlText w:val="•"/>
      <w:lvlJc w:val="left"/>
      <w:pPr>
        <w:ind w:left="5631" w:hanging="540"/>
      </w:pPr>
      <w:rPr>
        <w:rFonts w:hint="default"/>
        <w:lang w:val="en-US" w:eastAsia="zh-CN" w:bidi="ar-SA"/>
      </w:rPr>
    </w:lvl>
    <w:lvl w:ilvl="6" w:tentative="0">
      <w:start w:val="0"/>
      <w:numFmt w:val="bullet"/>
      <w:lvlText w:val="•"/>
      <w:lvlJc w:val="left"/>
      <w:pPr>
        <w:ind w:left="6558" w:hanging="540"/>
      </w:pPr>
      <w:rPr>
        <w:rFonts w:hint="default"/>
        <w:lang w:val="en-US" w:eastAsia="zh-CN" w:bidi="ar-SA"/>
      </w:rPr>
    </w:lvl>
    <w:lvl w:ilvl="7" w:tentative="0">
      <w:start w:val="0"/>
      <w:numFmt w:val="bullet"/>
      <w:lvlText w:val="•"/>
      <w:lvlJc w:val="left"/>
      <w:pPr>
        <w:ind w:left="7486" w:hanging="540"/>
      </w:pPr>
      <w:rPr>
        <w:rFonts w:hint="default"/>
        <w:lang w:val="en-US" w:eastAsia="zh-CN" w:bidi="ar-SA"/>
      </w:rPr>
    </w:lvl>
    <w:lvl w:ilvl="8" w:tentative="0">
      <w:start w:val="0"/>
      <w:numFmt w:val="bullet"/>
      <w:lvlText w:val="•"/>
      <w:lvlJc w:val="left"/>
      <w:pPr>
        <w:ind w:left="8414" w:hanging="540"/>
      </w:pPr>
      <w:rPr>
        <w:rFonts w:hint="default"/>
        <w:lang w:val="en-US" w:eastAsia="zh-CN" w:bidi="ar-SA"/>
      </w:rPr>
    </w:lvl>
  </w:abstractNum>
  <w:abstractNum w:abstractNumId="31">
    <w:nsid w:val="2470EC97"/>
    <w:multiLevelType w:val="multilevel"/>
    <w:tmpl w:val="2470EC97"/>
    <w:lvl w:ilvl="0" w:tentative="0">
      <w:start w:val="13"/>
      <w:numFmt w:val="decimal"/>
      <w:lvlText w:val="%1"/>
      <w:lvlJc w:val="left"/>
      <w:pPr>
        <w:ind w:left="894" w:hanging="528"/>
        <w:jc w:val="left"/>
      </w:pPr>
      <w:rPr>
        <w:rFonts w:hint="default"/>
        <w:lang w:val="en-US" w:eastAsia="zh-CN" w:bidi="ar-SA"/>
      </w:rPr>
    </w:lvl>
    <w:lvl w:ilvl="1" w:tentative="0">
      <w:start w:val="1"/>
      <w:numFmt w:val="decimal"/>
      <w:lvlText w:val="%1.%2"/>
      <w:lvlJc w:val="left"/>
      <w:pPr>
        <w:ind w:left="894" w:hanging="528"/>
        <w:jc w:val="left"/>
      </w:pPr>
      <w:rPr>
        <w:rFonts w:hint="default" w:ascii="宋体" w:hAnsi="宋体" w:eastAsia="宋体" w:cs="宋体"/>
        <w:b w:val="0"/>
        <w:bCs w:val="0"/>
        <w:i w:val="0"/>
        <w:iCs w:val="0"/>
        <w:spacing w:val="-8"/>
        <w:w w:val="100"/>
        <w:sz w:val="24"/>
        <w:szCs w:val="24"/>
        <w:lang w:val="en-US" w:eastAsia="zh-CN" w:bidi="ar-SA"/>
      </w:rPr>
    </w:lvl>
    <w:lvl w:ilvl="2" w:tentative="0">
      <w:start w:val="0"/>
      <w:numFmt w:val="bullet"/>
      <w:lvlText w:val="•"/>
      <w:lvlJc w:val="left"/>
      <w:pPr>
        <w:ind w:left="2774" w:hanging="528"/>
      </w:pPr>
      <w:rPr>
        <w:rFonts w:hint="default"/>
        <w:lang w:val="en-US" w:eastAsia="zh-CN" w:bidi="ar-SA"/>
      </w:rPr>
    </w:lvl>
    <w:lvl w:ilvl="3" w:tentative="0">
      <w:start w:val="0"/>
      <w:numFmt w:val="bullet"/>
      <w:lvlText w:val="•"/>
      <w:lvlJc w:val="left"/>
      <w:pPr>
        <w:ind w:left="3711" w:hanging="528"/>
      </w:pPr>
      <w:rPr>
        <w:rFonts w:hint="default"/>
        <w:lang w:val="en-US" w:eastAsia="zh-CN" w:bidi="ar-SA"/>
      </w:rPr>
    </w:lvl>
    <w:lvl w:ilvl="4" w:tentative="0">
      <w:start w:val="0"/>
      <w:numFmt w:val="bullet"/>
      <w:lvlText w:val="•"/>
      <w:lvlJc w:val="left"/>
      <w:pPr>
        <w:ind w:left="4648" w:hanging="528"/>
      </w:pPr>
      <w:rPr>
        <w:rFonts w:hint="default"/>
        <w:lang w:val="en-US" w:eastAsia="zh-CN" w:bidi="ar-SA"/>
      </w:rPr>
    </w:lvl>
    <w:lvl w:ilvl="5" w:tentative="0">
      <w:start w:val="0"/>
      <w:numFmt w:val="bullet"/>
      <w:lvlText w:val="•"/>
      <w:lvlJc w:val="left"/>
      <w:pPr>
        <w:ind w:left="5585" w:hanging="528"/>
      </w:pPr>
      <w:rPr>
        <w:rFonts w:hint="default"/>
        <w:lang w:val="en-US" w:eastAsia="zh-CN" w:bidi="ar-SA"/>
      </w:rPr>
    </w:lvl>
    <w:lvl w:ilvl="6" w:tentative="0">
      <w:start w:val="0"/>
      <w:numFmt w:val="bullet"/>
      <w:lvlText w:val="•"/>
      <w:lvlJc w:val="left"/>
      <w:pPr>
        <w:ind w:left="6522" w:hanging="528"/>
      </w:pPr>
      <w:rPr>
        <w:rFonts w:hint="default"/>
        <w:lang w:val="en-US" w:eastAsia="zh-CN" w:bidi="ar-SA"/>
      </w:rPr>
    </w:lvl>
    <w:lvl w:ilvl="7" w:tentative="0">
      <w:start w:val="0"/>
      <w:numFmt w:val="bullet"/>
      <w:lvlText w:val="•"/>
      <w:lvlJc w:val="left"/>
      <w:pPr>
        <w:ind w:left="7459" w:hanging="528"/>
      </w:pPr>
      <w:rPr>
        <w:rFonts w:hint="default"/>
        <w:lang w:val="en-US" w:eastAsia="zh-CN" w:bidi="ar-SA"/>
      </w:rPr>
    </w:lvl>
    <w:lvl w:ilvl="8" w:tentative="0">
      <w:start w:val="0"/>
      <w:numFmt w:val="bullet"/>
      <w:lvlText w:val="•"/>
      <w:lvlJc w:val="left"/>
      <w:pPr>
        <w:ind w:left="8396" w:hanging="528"/>
      </w:pPr>
      <w:rPr>
        <w:rFonts w:hint="default"/>
        <w:lang w:val="en-US" w:eastAsia="zh-CN" w:bidi="ar-SA"/>
      </w:rPr>
    </w:lvl>
  </w:abstractNum>
  <w:abstractNum w:abstractNumId="32">
    <w:nsid w:val="25B654F3"/>
    <w:multiLevelType w:val="multilevel"/>
    <w:tmpl w:val="25B654F3"/>
    <w:lvl w:ilvl="0" w:tentative="0">
      <w:start w:val="1"/>
      <w:numFmt w:val="decimal"/>
      <w:lvlText w:val="%1."/>
      <w:lvlJc w:val="left"/>
      <w:pPr>
        <w:ind w:left="355" w:hanging="220"/>
        <w:jc w:val="left"/>
      </w:pPr>
      <w:rPr>
        <w:rFonts w:hint="default" w:ascii="宋体" w:hAnsi="宋体" w:eastAsia="宋体" w:cs="宋体"/>
        <w:b w:val="0"/>
        <w:bCs w:val="0"/>
        <w:i w:val="0"/>
        <w:iCs w:val="0"/>
        <w:spacing w:val="-5"/>
        <w:w w:val="90"/>
        <w:sz w:val="20"/>
        <w:szCs w:val="20"/>
        <w:lang w:val="en-US" w:eastAsia="zh-CN" w:bidi="ar-SA"/>
      </w:rPr>
    </w:lvl>
    <w:lvl w:ilvl="1" w:tentative="0">
      <w:start w:val="0"/>
      <w:numFmt w:val="bullet"/>
      <w:lvlText w:val="•"/>
      <w:lvlJc w:val="left"/>
      <w:pPr>
        <w:ind w:left="1010" w:hanging="220"/>
      </w:pPr>
      <w:rPr>
        <w:rFonts w:hint="default"/>
        <w:lang w:val="en-US" w:eastAsia="zh-CN" w:bidi="ar-SA"/>
      </w:rPr>
    </w:lvl>
    <w:lvl w:ilvl="2" w:tentative="0">
      <w:start w:val="0"/>
      <w:numFmt w:val="bullet"/>
      <w:lvlText w:val="•"/>
      <w:lvlJc w:val="left"/>
      <w:pPr>
        <w:ind w:left="1661" w:hanging="220"/>
      </w:pPr>
      <w:rPr>
        <w:rFonts w:hint="default"/>
        <w:lang w:val="en-US" w:eastAsia="zh-CN" w:bidi="ar-SA"/>
      </w:rPr>
    </w:lvl>
    <w:lvl w:ilvl="3" w:tentative="0">
      <w:start w:val="0"/>
      <w:numFmt w:val="bullet"/>
      <w:lvlText w:val="•"/>
      <w:lvlJc w:val="left"/>
      <w:pPr>
        <w:ind w:left="2312" w:hanging="220"/>
      </w:pPr>
      <w:rPr>
        <w:rFonts w:hint="default"/>
        <w:lang w:val="en-US" w:eastAsia="zh-CN" w:bidi="ar-SA"/>
      </w:rPr>
    </w:lvl>
    <w:lvl w:ilvl="4" w:tentative="0">
      <w:start w:val="0"/>
      <w:numFmt w:val="bullet"/>
      <w:lvlText w:val="•"/>
      <w:lvlJc w:val="left"/>
      <w:pPr>
        <w:ind w:left="2963" w:hanging="220"/>
      </w:pPr>
      <w:rPr>
        <w:rFonts w:hint="default"/>
        <w:lang w:val="en-US" w:eastAsia="zh-CN" w:bidi="ar-SA"/>
      </w:rPr>
    </w:lvl>
    <w:lvl w:ilvl="5" w:tentative="0">
      <w:start w:val="0"/>
      <w:numFmt w:val="bullet"/>
      <w:lvlText w:val="•"/>
      <w:lvlJc w:val="left"/>
      <w:pPr>
        <w:ind w:left="3614" w:hanging="220"/>
      </w:pPr>
      <w:rPr>
        <w:rFonts w:hint="default"/>
        <w:lang w:val="en-US" w:eastAsia="zh-CN" w:bidi="ar-SA"/>
      </w:rPr>
    </w:lvl>
    <w:lvl w:ilvl="6" w:tentative="0">
      <w:start w:val="0"/>
      <w:numFmt w:val="bullet"/>
      <w:lvlText w:val="•"/>
      <w:lvlJc w:val="left"/>
      <w:pPr>
        <w:ind w:left="4265" w:hanging="220"/>
      </w:pPr>
      <w:rPr>
        <w:rFonts w:hint="default"/>
        <w:lang w:val="en-US" w:eastAsia="zh-CN" w:bidi="ar-SA"/>
      </w:rPr>
    </w:lvl>
    <w:lvl w:ilvl="7" w:tentative="0">
      <w:start w:val="0"/>
      <w:numFmt w:val="bullet"/>
      <w:lvlText w:val="•"/>
      <w:lvlJc w:val="left"/>
      <w:pPr>
        <w:ind w:left="4916" w:hanging="220"/>
      </w:pPr>
      <w:rPr>
        <w:rFonts w:hint="default"/>
        <w:lang w:val="en-US" w:eastAsia="zh-CN" w:bidi="ar-SA"/>
      </w:rPr>
    </w:lvl>
    <w:lvl w:ilvl="8" w:tentative="0">
      <w:start w:val="0"/>
      <w:numFmt w:val="bullet"/>
      <w:lvlText w:val="•"/>
      <w:lvlJc w:val="left"/>
      <w:pPr>
        <w:ind w:left="5567" w:hanging="220"/>
      </w:pPr>
      <w:rPr>
        <w:rFonts w:hint="default"/>
        <w:lang w:val="en-US" w:eastAsia="zh-CN" w:bidi="ar-SA"/>
      </w:rPr>
    </w:lvl>
  </w:abstractNum>
  <w:abstractNum w:abstractNumId="33">
    <w:nsid w:val="2A8F537B"/>
    <w:multiLevelType w:val="multilevel"/>
    <w:tmpl w:val="2A8F537B"/>
    <w:lvl w:ilvl="0" w:tentative="0">
      <w:start w:val="1"/>
      <w:numFmt w:val="decimal"/>
      <w:lvlText w:val="%1."/>
      <w:lvlJc w:val="left"/>
      <w:pPr>
        <w:ind w:left="955" w:hanging="220"/>
        <w:jc w:val="left"/>
      </w:pPr>
      <w:rPr>
        <w:rFonts w:hint="default" w:ascii="宋体" w:hAnsi="宋体" w:eastAsia="宋体" w:cs="宋体"/>
        <w:b w:val="0"/>
        <w:bCs w:val="0"/>
        <w:i w:val="0"/>
        <w:iCs w:val="0"/>
        <w:spacing w:val="-3"/>
        <w:w w:val="100"/>
        <w:sz w:val="20"/>
        <w:szCs w:val="20"/>
        <w:lang w:val="en-US" w:eastAsia="zh-CN" w:bidi="ar-SA"/>
      </w:rPr>
    </w:lvl>
    <w:lvl w:ilvl="1" w:tentative="0">
      <w:start w:val="0"/>
      <w:numFmt w:val="bullet"/>
      <w:lvlText w:val="•"/>
      <w:lvlJc w:val="left"/>
      <w:pPr>
        <w:ind w:left="1550" w:hanging="220"/>
      </w:pPr>
      <w:rPr>
        <w:rFonts w:hint="default"/>
        <w:lang w:val="en-US" w:eastAsia="zh-CN" w:bidi="ar-SA"/>
      </w:rPr>
    </w:lvl>
    <w:lvl w:ilvl="2" w:tentative="0">
      <w:start w:val="0"/>
      <w:numFmt w:val="bullet"/>
      <w:lvlText w:val="•"/>
      <w:lvlJc w:val="left"/>
      <w:pPr>
        <w:ind w:left="2141" w:hanging="220"/>
      </w:pPr>
      <w:rPr>
        <w:rFonts w:hint="default"/>
        <w:lang w:val="en-US" w:eastAsia="zh-CN" w:bidi="ar-SA"/>
      </w:rPr>
    </w:lvl>
    <w:lvl w:ilvl="3" w:tentative="0">
      <w:start w:val="0"/>
      <w:numFmt w:val="bullet"/>
      <w:lvlText w:val="•"/>
      <w:lvlJc w:val="left"/>
      <w:pPr>
        <w:ind w:left="2732" w:hanging="220"/>
      </w:pPr>
      <w:rPr>
        <w:rFonts w:hint="default"/>
        <w:lang w:val="en-US" w:eastAsia="zh-CN" w:bidi="ar-SA"/>
      </w:rPr>
    </w:lvl>
    <w:lvl w:ilvl="4" w:tentative="0">
      <w:start w:val="0"/>
      <w:numFmt w:val="bullet"/>
      <w:lvlText w:val="•"/>
      <w:lvlJc w:val="left"/>
      <w:pPr>
        <w:ind w:left="3323" w:hanging="220"/>
      </w:pPr>
      <w:rPr>
        <w:rFonts w:hint="default"/>
        <w:lang w:val="en-US" w:eastAsia="zh-CN" w:bidi="ar-SA"/>
      </w:rPr>
    </w:lvl>
    <w:lvl w:ilvl="5" w:tentative="0">
      <w:start w:val="0"/>
      <w:numFmt w:val="bullet"/>
      <w:lvlText w:val="•"/>
      <w:lvlJc w:val="left"/>
      <w:pPr>
        <w:ind w:left="3914" w:hanging="220"/>
      </w:pPr>
      <w:rPr>
        <w:rFonts w:hint="default"/>
        <w:lang w:val="en-US" w:eastAsia="zh-CN" w:bidi="ar-SA"/>
      </w:rPr>
    </w:lvl>
    <w:lvl w:ilvl="6" w:tentative="0">
      <w:start w:val="0"/>
      <w:numFmt w:val="bullet"/>
      <w:lvlText w:val="•"/>
      <w:lvlJc w:val="left"/>
      <w:pPr>
        <w:ind w:left="4505" w:hanging="220"/>
      </w:pPr>
      <w:rPr>
        <w:rFonts w:hint="default"/>
        <w:lang w:val="en-US" w:eastAsia="zh-CN" w:bidi="ar-SA"/>
      </w:rPr>
    </w:lvl>
    <w:lvl w:ilvl="7" w:tentative="0">
      <w:start w:val="0"/>
      <w:numFmt w:val="bullet"/>
      <w:lvlText w:val="•"/>
      <w:lvlJc w:val="left"/>
      <w:pPr>
        <w:ind w:left="5096" w:hanging="220"/>
      </w:pPr>
      <w:rPr>
        <w:rFonts w:hint="default"/>
        <w:lang w:val="en-US" w:eastAsia="zh-CN" w:bidi="ar-SA"/>
      </w:rPr>
    </w:lvl>
    <w:lvl w:ilvl="8" w:tentative="0">
      <w:start w:val="0"/>
      <w:numFmt w:val="bullet"/>
      <w:lvlText w:val="•"/>
      <w:lvlJc w:val="left"/>
      <w:pPr>
        <w:ind w:left="5687" w:hanging="220"/>
      </w:pPr>
      <w:rPr>
        <w:rFonts w:hint="default"/>
        <w:lang w:val="en-US" w:eastAsia="zh-CN" w:bidi="ar-SA"/>
      </w:rPr>
    </w:lvl>
  </w:abstractNum>
  <w:abstractNum w:abstractNumId="34">
    <w:nsid w:val="30FC5B15"/>
    <w:multiLevelType w:val="multilevel"/>
    <w:tmpl w:val="30FC5B15"/>
    <w:lvl w:ilvl="0" w:tentative="0">
      <w:start w:val="38"/>
      <w:numFmt w:val="decimal"/>
      <w:lvlText w:val="%1"/>
      <w:lvlJc w:val="left"/>
      <w:pPr>
        <w:ind w:left="892" w:hanging="533"/>
        <w:jc w:val="left"/>
      </w:pPr>
      <w:rPr>
        <w:rFonts w:hint="default"/>
        <w:lang w:val="en-US" w:eastAsia="zh-CN" w:bidi="ar-SA"/>
      </w:rPr>
    </w:lvl>
    <w:lvl w:ilvl="1" w:tentative="0">
      <w:start w:val="1"/>
      <w:numFmt w:val="decimal"/>
      <w:lvlText w:val="%1.%2"/>
      <w:lvlJc w:val="left"/>
      <w:pPr>
        <w:ind w:left="892" w:hanging="533"/>
        <w:jc w:val="left"/>
      </w:pPr>
      <w:rPr>
        <w:rFonts w:hint="default" w:ascii="宋体" w:hAnsi="宋体" w:eastAsia="宋体" w:cs="宋体"/>
        <w:b w:val="0"/>
        <w:bCs w:val="0"/>
        <w:i w:val="0"/>
        <w:iCs w:val="0"/>
        <w:spacing w:val="-5"/>
        <w:w w:val="100"/>
        <w:sz w:val="24"/>
        <w:szCs w:val="24"/>
        <w:lang w:val="en-US" w:eastAsia="zh-CN" w:bidi="ar-SA"/>
      </w:rPr>
    </w:lvl>
    <w:lvl w:ilvl="2" w:tentative="0">
      <w:start w:val="0"/>
      <w:numFmt w:val="bullet"/>
      <w:lvlText w:val="•"/>
      <w:lvlJc w:val="left"/>
      <w:pPr>
        <w:ind w:left="2774" w:hanging="533"/>
      </w:pPr>
      <w:rPr>
        <w:rFonts w:hint="default"/>
        <w:lang w:val="en-US" w:eastAsia="zh-CN" w:bidi="ar-SA"/>
      </w:rPr>
    </w:lvl>
    <w:lvl w:ilvl="3" w:tentative="0">
      <w:start w:val="0"/>
      <w:numFmt w:val="bullet"/>
      <w:lvlText w:val="•"/>
      <w:lvlJc w:val="left"/>
      <w:pPr>
        <w:ind w:left="3711" w:hanging="533"/>
      </w:pPr>
      <w:rPr>
        <w:rFonts w:hint="default"/>
        <w:lang w:val="en-US" w:eastAsia="zh-CN" w:bidi="ar-SA"/>
      </w:rPr>
    </w:lvl>
    <w:lvl w:ilvl="4" w:tentative="0">
      <w:start w:val="0"/>
      <w:numFmt w:val="bullet"/>
      <w:lvlText w:val="•"/>
      <w:lvlJc w:val="left"/>
      <w:pPr>
        <w:ind w:left="4648" w:hanging="533"/>
      </w:pPr>
      <w:rPr>
        <w:rFonts w:hint="default"/>
        <w:lang w:val="en-US" w:eastAsia="zh-CN" w:bidi="ar-SA"/>
      </w:rPr>
    </w:lvl>
    <w:lvl w:ilvl="5" w:tentative="0">
      <w:start w:val="0"/>
      <w:numFmt w:val="bullet"/>
      <w:lvlText w:val="•"/>
      <w:lvlJc w:val="left"/>
      <w:pPr>
        <w:ind w:left="5585" w:hanging="533"/>
      </w:pPr>
      <w:rPr>
        <w:rFonts w:hint="default"/>
        <w:lang w:val="en-US" w:eastAsia="zh-CN" w:bidi="ar-SA"/>
      </w:rPr>
    </w:lvl>
    <w:lvl w:ilvl="6" w:tentative="0">
      <w:start w:val="0"/>
      <w:numFmt w:val="bullet"/>
      <w:lvlText w:val="•"/>
      <w:lvlJc w:val="left"/>
      <w:pPr>
        <w:ind w:left="6522" w:hanging="533"/>
      </w:pPr>
      <w:rPr>
        <w:rFonts w:hint="default"/>
        <w:lang w:val="en-US" w:eastAsia="zh-CN" w:bidi="ar-SA"/>
      </w:rPr>
    </w:lvl>
    <w:lvl w:ilvl="7" w:tentative="0">
      <w:start w:val="0"/>
      <w:numFmt w:val="bullet"/>
      <w:lvlText w:val="•"/>
      <w:lvlJc w:val="left"/>
      <w:pPr>
        <w:ind w:left="7459" w:hanging="533"/>
      </w:pPr>
      <w:rPr>
        <w:rFonts w:hint="default"/>
        <w:lang w:val="en-US" w:eastAsia="zh-CN" w:bidi="ar-SA"/>
      </w:rPr>
    </w:lvl>
    <w:lvl w:ilvl="8" w:tentative="0">
      <w:start w:val="0"/>
      <w:numFmt w:val="bullet"/>
      <w:lvlText w:val="•"/>
      <w:lvlJc w:val="left"/>
      <w:pPr>
        <w:ind w:left="8396" w:hanging="533"/>
      </w:pPr>
      <w:rPr>
        <w:rFonts w:hint="default"/>
        <w:lang w:val="en-US" w:eastAsia="zh-CN" w:bidi="ar-SA"/>
      </w:rPr>
    </w:lvl>
  </w:abstractNum>
  <w:abstractNum w:abstractNumId="35">
    <w:nsid w:val="32A7AF2D"/>
    <w:multiLevelType w:val="multilevel"/>
    <w:tmpl w:val="32A7AF2D"/>
    <w:lvl w:ilvl="0" w:tentative="0">
      <w:start w:val="1"/>
      <w:numFmt w:val="decimal"/>
      <w:lvlText w:val="%1."/>
      <w:lvlJc w:val="left"/>
      <w:pPr>
        <w:ind w:left="884" w:hanging="220"/>
        <w:jc w:val="left"/>
      </w:pPr>
      <w:rPr>
        <w:rFonts w:hint="default" w:ascii="宋体" w:hAnsi="宋体" w:eastAsia="宋体" w:cs="宋体"/>
        <w:b w:val="0"/>
        <w:bCs w:val="0"/>
        <w:i w:val="0"/>
        <w:iCs w:val="0"/>
        <w:spacing w:val="-8"/>
        <w:w w:val="78"/>
        <w:sz w:val="20"/>
        <w:szCs w:val="20"/>
        <w:lang w:val="en-US" w:eastAsia="zh-CN" w:bidi="ar-SA"/>
      </w:rPr>
    </w:lvl>
    <w:lvl w:ilvl="1" w:tentative="0">
      <w:start w:val="0"/>
      <w:numFmt w:val="bullet"/>
      <w:lvlText w:val="•"/>
      <w:lvlJc w:val="left"/>
      <w:pPr>
        <w:ind w:left="1819" w:hanging="220"/>
      </w:pPr>
      <w:rPr>
        <w:rFonts w:hint="default"/>
        <w:lang w:val="en-US" w:eastAsia="zh-CN" w:bidi="ar-SA"/>
      </w:rPr>
    </w:lvl>
    <w:lvl w:ilvl="2" w:tentative="0">
      <w:start w:val="0"/>
      <w:numFmt w:val="bullet"/>
      <w:lvlText w:val="•"/>
      <w:lvlJc w:val="left"/>
      <w:pPr>
        <w:ind w:left="2758" w:hanging="220"/>
      </w:pPr>
      <w:rPr>
        <w:rFonts w:hint="default"/>
        <w:lang w:val="en-US" w:eastAsia="zh-CN" w:bidi="ar-SA"/>
      </w:rPr>
    </w:lvl>
    <w:lvl w:ilvl="3" w:tentative="0">
      <w:start w:val="0"/>
      <w:numFmt w:val="bullet"/>
      <w:lvlText w:val="•"/>
      <w:lvlJc w:val="left"/>
      <w:pPr>
        <w:ind w:left="3697" w:hanging="220"/>
      </w:pPr>
      <w:rPr>
        <w:rFonts w:hint="default"/>
        <w:lang w:val="en-US" w:eastAsia="zh-CN" w:bidi="ar-SA"/>
      </w:rPr>
    </w:lvl>
    <w:lvl w:ilvl="4" w:tentative="0">
      <w:start w:val="0"/>
      <w:numFmt w:val="bullet"/>
      <w:lvlText w:val="•"/>
      <w:lvlJc w:val="left"/>
      <w:pPr>
        <w:ind w:left="4636" w:hanging="220"/>
      </w:pPr>
      <w:rPr>
        <w:rFonts w:hint="default"/>
        <w:lang w:val="en-US" w:eastAsia="zh-CN" w:bidi="ar-SA"/>
      </w:rPr>
    </w:lvl>
    <w:lvl w:ilvl="5" w:tentative="0">
      <w:start w:val="0"/>
      <w:numFmt w:val="bullet"/>
      <w:lvlText w:val="•"/>
      <w:lvlJc w:val="left"/>
      <w:pPr>
        <w:ind w:left="5575" w:hanging="220"/>
      </w:pPr>
      <w:rPr>
        <w:rFonts w:hint="default"/>
        <w:lang w:val="en-US" w:eastAsia="zh-CN" w:bidi="ar-SA"/>
      </w:rPr>
    </w:lvl>
    <w:lvl w:ilvl="6" w:tentative="0">
      <w:start w:val="0"/>
      <w:numFmt w:val="bullet"/>
      <w:lvlText w:val="•"/>
      <w:lvlJc w:val="left"/>
      <w:pPr>
        <w:ind w:left="6514" w:hanging="220"/>
      </w:pPr>
      <w:rPr>
        <w:rFonts w:hint="default"/>
        <w:lang w:val="en-US" w:eastAsia="zh-CN" w:bidi="ar-SA"/>
      </w:rPr>
    </w:lvl>
    <w:lvl w:ilvl="7" w:tentative="0">
      <w:start w:val="0"/>
      <w:numFmt w:val="bullet"/>
      <w:lvlText w:val="•"/>
      <w:lvlJc w:val="left"/>
      <w:pPr>
        <w:ind w:left="7453" w:hanging="220"/>
      </w:pPr>
      <w:rPr>
        <w:rFonts w:hint="default"/>
        <w:lang w:val="en-US" w:eastAsia="zh-CN" w:bidi="ar-SA"/>
      </w:rPr>
    </w:lvl>
    <w:lvl w:ilvl="8" w:tentative="0">
      <w:start w:val="0"/>
      <w:numFmt w:val="bullet"/>
      <w:lvlText w:val="•"/>
      <w:lvlJc w:val="left"/>
      <w:pPr>
        <w:ind w:left="8392" w:hanging="220"/>
      </w:pPr>
      <w:rPr>
        <w:rFonts w:hint="default"/>
        <w:lang w:val="en-US" w:eastAsia="zh-CN" w:bidi="ar-SA"/>
      </w:rPr>
    </w:lvl>
  </w:abstractNum>
  <w:abstractNum w:abstractNumId="36">
    <w:nsid w:val="35E83B33"/>
    <w:multiLevelType w:val="multilevel"/>
    <w:tmpl w:val="35E83B33"/>
    <w:lvl w:ilvl="0" w:tentative="0">
      <w:start w:val="1"/>
      <w:numFmt w:val="decimal"/>
      <w:lvlText w:val="%1."/>
      <w:lvlJc w:val="left"/>
      <w:pPr>
        <w:ind w:left="908" w:hanging="206"/>
        <w:jc w:val="left"/>
      </w:pPr>
      <w:rPr>
        <w:rFonts w:hint="default" w:ascii="宋体" w:hAnsi="宋体" w:eastAsia="宋体" w:cs="宋体"/>
        <w:b w:val="0"/>
        <w:bCs w:val="0"/>
        <w:i w:val="0"/>
        <w:iCs w:val="0"/>
        <w:spacing w:val="-22"/>
        <w:w w:val="100"/>
        <w:sz w:val="20"/>
        <w:szCs w:val="20"/>
        <w:lang w:val="en-US" w:eastAsia="zh-CN" w:bidi="ar-SA"/>
      </w:rPr>
    </w:lvl>
    <w:lvl w:ilvl="1" w:tentative="0">
      <w:start w:val="0"/>
      <w:numFmt w:val="bullet"/>
      <w:lvlText w:val="•"/>
      <w:lvlJc w:val="left"/>
      <w:pPr>
        <w:ind w:left="1837" w:hanging="206"/>
      </w:pPr>
      <w:rPr>
        <w:rFonts w:hint="default"/>
        <w:lang w:val="en-US" w:eastAsia="zh-CN" w:bidi="ar-SA"/>
      </w:rPr>
    </w:lvl>
    <w:lvl w:ilvl="2" w:tentative="0">
      <w:start w:val="0"/>
      <w:numFmt w:val="bullet"/>
      <w:lvlText w:val="•"/>
      <w:lvlJc w:val="left"/>
      <w:pPr>
        <w:ind w:left="2774" w:hanging="206"/>
      </w:pPr>
      <w:rPr>
        <w:rFonts w:hint="default"/>
        <w:lang w:val="en-US" w:eastAsia="zh-CN" w:bidi="ar-SA"/>
      </w:rPr>
    </w:lvl>
    <w:lvl w:ilvl="3" w:tentative="0">
      <w:start w:val="0"/>
      <w:numFmt w:val="bullet"/>
      <w:lvlText w:val="•"/>
      <w:lvlJc w:val="left"/>
      <w:pPr>
        <w:ind w:left="3711" w:hanging="206"/>
      </w:pPr>
      <w:rPr>
        <w:rFonts w:hint="default"/>
        <w:lang w:val="en-US" w:eastAsia="zh-CN" w:bidi="ar-SA"/>
      </w:rPr>
    </w:lvl>
    <w:lvl w:ilvl="4" w:tentative="0">
      <w:start w:val="0"/>
      <w:numFmt w:val="bullet"/>
      <w:lvlText w:val="•"/>
      <w:lvlJc w:val="left"/>
      <w:pPr>
        <w:ind w:left="4648" w:hanging="206"/>
      </w:pPr>
      <w:rPr>
        <w:rFonts w:hint="default"/>
        <w:lang w:val="en-US" w:eastAsia="zh-CN" w:bidi="ar-SA"/>
      </w:rPr>
    </w:lvl>
    <w:lvl w:ilvl="5" w:tentative="0">
      <w:start w:val="0"/>
      <w:numFmt w:val="bullet"/>
      <w:lvlText w:val="•"/>
      <w:lvlJc w:val="left"/>
      <w:pPr>
        <w:ind w:left="5585" w:hanging="206"/>
      </w:pPr>
      <w:rPr>
        <w:rFonts w:hint="default"/>
        <w:lang w:val="en-US" w:eastAsia="zh-CN" w:bidi="ar-SA"/>
      </w:rPr>
    </w:lvl>
    <w:lvl w:ilvl="6" w:tentative="0">
      <w:start w:val="0"/>
      <w:numFmt w:val="bullet"/>
      <w:lvlText w:val="•"/>
      <w:lvlJc w:val="left"/>
      <w:pPr>
        <w:ind w:left="6522" w:hanging="206"/>
      </w:pPr>
      <w:rPr>
        <w:rFonts w:hint="default"/>
        <w:lang w:val="en-US" w:eastAsia="zh-CN" w:bidi="ar-SA"/>
      </w:rPr>
    </w:lvl>
    <w:lvl w:ilvl="7" w:tentative="0">
      <w:start w:val="0"/>
      <w:numFmt w:val="bullet"/>
      <w:lvlText w:val="•"/>
      <w:lvlJc w:val="left"/>
      <w:pPr>
        <w:ind w:left="7459" w:hanging="206"/>
      </w:pPr>
      <w:rPr>
        <w:rFonts w:hint="default"/>
        <w:lang w:val="en-US" w:eastAsia="zh-CN" w:bidi="ar-SA"/>
      </w:rPr>
    </w:lvl>
    <w:lvl w:ilvl="8" w:tentative="0">
      <w:start w:val="0"/>
      <w:numFmt w:val="bullet"/>
      <w:lvlText w:val="•"/>
      <w:lvlJc w:val="left"/>
      <w:pPr>
        <w:ind w:left="8396" w:hanging="206"/>
      </w:pPr>
      <w:rPr>
        <w:rFonts w:hint="default"/>
        <w:lang w:val="en-US" w:eastAsia="zh-CN" w:bidi="ar-SA"/>
      </w:rPr>
    </w:lvl>
  </w:abstractNum>
  <w:abstractNum w:abstractNumId="37">
    <w:nsid w:val="39A0D9AC"/>
    <w:multiLevelType w:val="multilevel"/>
    <w:tmpl w:val="39A0D9AC"/>
    <w:lvl w:ilvl="0" w:tentative="0">
      <w:start w:val="31"/>
      <w:numFmt w:val="decimal"/>
      <w:lvlText w:val="%1."/>
      <w:lvlJc w:val="left"/>
      <w:pPr>
        <w:ind w:left="1256" w:hanging="365"/>
        <w:jc w:val="left"/>
      </w:pPr>
      <w:rPr>
        <w:rFonts w:hint="default" w:ascii="宋体" w:hAnsi="宋体" w:eastAsia="宋体" w:cs="宋体"/>
        <w:b/>
        <w:bCs/>
        <w:i w:val="0"/>
        <w:iCs w:val="0"/>
        <w:spacing w:val="-10"/>
        <w:w w:val="99"/>
        <w:sz w:val="22"/>
        <w:szCs w:val="22"/>
        <w:lang w:val="en-US" w:eastAsia="zh-CN" w:bidi="ar-SA"/>
      </w:rPr>
    </w:lvl>
    <w:lvl w:ilvl="1" w:tentative="0">
      <w:start w:val="1"/>
      <w:numFmt w:val="decimal"/>
      <w:lvlText w:val="%1.%2"/>
      <w:lvlJc w:val="left"/>
      <w:pPr>
        <w:ind w:left="887" w:hanging="533"/>
        <w:jc w:val="left"/>
      </w:pPr>
      <w:rPr>
        <w:rFonts w:hint="default" w:ascii="宋体" w:hAnsi="宋体" w:eastAsia="宋体" w:cs="宋体"/>
        <w:b w:val="0"/>
        <w:bCs w:val="0"/>
        <w:i w:val="0"/>
        <w:iCs w:val="0"/>
        <w:spacing w:val="-8"/>
        <w:w w:val="100"/>
        <w:sz w:val="24"/>
        <w:szCs w:val="24"/>
        <w:lang w:val="en-US" w:eastAsia="zh-CN" w:bidi="ar-SA"/>
      </w:rPr>
    </w:lvl>
    <w:lvl w:ilvl="2" w:tentative="0">
      <w:start w:val="0"/>
      <w:numFmt w:val="bullet"/>
      <w:lvlText w:val="•"/>
      <w:lvlJc w:val="left"/>
      <w:pPr>
        <w:ind w:left="2261" w:hanging="533"/>
      </w:pPr>
      <w:rPr>
        <w:rFonts w:hint="default"/>
        <w:lang w:val="en-US" w:eastAsia="zh-CN" w:bidi="ar-SA"/>
      </w:rPr>
    </w:lvl>
    <w:lvl w:ilvl="3" w:tentative="0">
      <w:start w:val="0"/>
      <w:numFmt w:val="bullet"/>
      <w:lvlText w:val="•"/>
      <w:lvlJc w:val="left"/>
      <w:pPr>
        <w:ind w:left="3262" w:hanging="533"/>
      </w:pPr>
      <w:rPr>
        <w:rFonts w:hint="default"/>
        <w:lang w:val="en-US" w:eastAsia="zh-CN" w:bidi="ar-SA"/>
      </w:rPr>
    </w:lvl>
    <w:lvl w:ilvl="4" w:tentative="0">
      <w:start w:val="0"/>
      <w:numFmt w:val="bullet"/>
      <w:lvlText w:val="•"/>
      <w:lvlJc w:val="left"/>
      <w:pPr>
        <w:ind w:left="4263" w:hanging="533"/>
      </w:pPr>
      <w:rPr>
        <w:rFonts w:hint="default"/>
        <w:lang w:val="en-US" w:eastAsia="zh-CN" w:bidi="ar-SA"/>
      </w:rPr>
    </w:lvl>
    <w:lvl w:ilvl="5" w:tentative="0">
      <w:start w:val="0"/>
      <w:numFmt w:val="bullet"/>
      <w:lvlText w:val="•"/>
      <w:lvlJc w:val="left"/>
      <w:pPr>
        <w:ind w:left="5264" w:hanging="533"/>
      </w:pPr>
      <w:rPr>
        <w:rFonts w:hint="default"/>
        <w:lang w:val="en-US" w:eastAsia="zh-CN" w:bidi="ar-SA"/>
      </w:rPr>
    </w:lvl>
    <w:lvl w:ilvl="6" w:tentative="0">
      <w:start w:val="0"/>
      <w:numFmt w:val="bullet"/>
      <w:lvlText w:val="•"/>
      <w:lvlJc w:val="left"/>
      <w:pPr>
        <w:ind w:left="6265" w:hanging="533"/>
      </w:pPr>
      <w:rPr>
        <w:rFonts w:hint="default"/>
        <w:lang w:val="en-US" w:eastAsia="zh-CN" w:bidi="ar-SA"/>
      </w:rPr>
    </w:lvl>
    <w:lvl w:ilvl="7" w:tentative="0">
      <w:start w:val="0"/>
      <w:numFmt w:val="bullet"/>
      <w:lvlText w:val="•"/>
      <w:lvlJc w:val="left"/>
      <w:pPr>
        <w:ind w:left="7266" w:hanging="533"/>
      </w:pPr>
      <w:rPr>
        <w:rFonts w:hint="default"/>
        <w:lang w:val="en-US" w:eastAsia="zh-CN" w:bidi="ar-SA"/>
      </w:rPr>
    </w:lvl>
    <w:lvl w:ilvl="8" w:tentative="0">
      <w:start w:val="0"/>
      <w:numFmt w:val="bullet"/>
      <w:lvlText w:val="•"/>
      <w:lvlJc w:val="left"/>
      <w:pPr>
        <w:ind w:left="8267" w:hanging="533"/>
      </w:pPr>
      <w:rPr>
        <w:rFonts w:hint="default"/>
        <w:lang w:val="en-US" w:eastAsia="zh-CN" w:bidi="ar-SA"/>
      </w:rPr>
    </w:lvl>
  </w:abstractNum>
  <w:abstractNum w:abstractNumId="38">
    <w:nsid w:val="40B249F9"/>
    <w:multiLevelType w:val="multilevel"/>
    <w:tmpl w:val="40B249F9"/>
    <w:lvl w:ilvl="0" w:tentative="0">
      <w:start w:val="1"/>
      <w:numFmt w:val="decimal"/>
      <w:lvlText w:val="%1）"/>
      <w:lvlJc w:val="left"/>
      <w:pPr>
        <w:ind w:left="1760" w:hanging="377"/>
        <w:jc w:val="left"/>
      </w:pPr>
      <w:rPr>
        <w:rFonts w:hint="default" w:ascii="宋体" w:hAnsi="宋体" w:eastAsia="宋体" w:cs="宋体"/>
        <w:b w:val="0"/>
        <w:bCs w:val="0"/>
        <w:i w:val="0"/>
        <w:iCs w:val="0"/>
        <w:spacing w:val="-5"/>
        <w:w w:val="100"/>
        <w:sz w:val="22"/>
        <w:szCs w:val="22"/>
        <w:lang w:val="en-US" w:eastAsia="zh-CN" w:bidi="ar-SA"/>
      </w:rPr>
    </w:lvl>
    <w:lvl w:ilvl="1" w:tentative="0">
      <w:start w:val="1"/>
      <w:numFmt w:val="decimal"/>
      <w:lvlText w:val="%1.%2"/>
      <w:lvlJc w:val="left"/>
      <w:pPr>
        <w:ind w:left="1801" w:hanging="416"/>
        <w:jc w:val="left"/>
      </w:pPr>
      <w:rPr>
        <w:rFonts w:hint="default" w:ascii="宋体" w:hAnsi="宋体" w:eastAsia="宋体" w:cs="宋体"/>
        <w:b w:val="0"/>
        <w:bCs w:val="0"/>
        <w:i w:val="0"/>
        <w:iCs w:val="0"/>
        <w:spacing w:val="-8"/>
        <w:w w:val="100"/>
        <w:sz w:val="24"/>
        <w:szCs w:val="24"/>
        <w:lang w:val="en-US" w:eastAsia="zh-CN" w:bidi="ar-SA"/>
      </w:rPr>
    </w:lvl>
    <w:lvl w:ilvl="2" w:tentative="0">
      <w:start w:val="0"/>
      <w:numFmt w:val="bullet"/>
      <w:lvlText w:val="•"/>
      <w:lvlJc w:val="left"/>
      <w:pPr>
        <w:ind w:left="2741" w:hanging="416"/>
      </w:pPr>
      <w:rPr>
        <w:rFonts w:hint="default"/>
        <w:lang w:val="en-US" w:eastAsia="zh-CN" w:bidi="ar-SA"/>
      </w:rPr>
    </w:lvl>
    <w:lvl w:ilvl="3" w:tentative="0">
      <w:start w:val="0"/>
      <w:numFmt w:val="bullet"/>
      <w:lvlText w:val="•"/>
      <w:lvlJc w:val="left"/>
      <w:pPr>
        <w:ind w:left="3682" w:hanging="416"/>
      </w:pPr>
      <w:rPr>
        <w:rFonts w:hint="default"/>
        <w:lang w:val="en-US" w:eastAsia="zh-CN" w:bidi="ar-SA"/>
      </w:rPr>
    </w:lvl>
    <w:lvl w:ilvl="4" w:tentative="0">
      <w:start w:val="0"/>
      <w:numFmt w:val="bullet"/>
      <w:lvlText w:val="•"/>
      <w:lvlJc w:val="left"/>
      <w:pPr>
        <w:ind w:left="4623" w:hanging="416"/>
      </w:pPr>
      <w:rPr>
        <w:rFonts w:hint="default"/>
        <w:lang w:val="en-US" w:eastAsia="zh-CN" w:bidi="ar-SA"/>
      </w:rPr>
    </w:lvl>
    <w:lvl w:ilvl="5" w:tentative="0">
      <w:start w:val="0"/>
      <w:numFmt w:val="bullet"/>
      <w:lvlText w:val="•"/>
      <w:lvlJc w:val="left"/>
      <w:pPr>
        <w:ind w:left="5564" w:hanging="416"/>
      </w:pPr>
      <w:rPr>
        <w:rFonts w:hint="default"/>
        <w:lang w:val="en-US" w:eastAsia="zh-CN" w:bidi="ar-SA"/>
      </w:rPr>
    </w:lvl>
    <w:lvl w:ilvl="6" w:tentative="0">
      <w:start w:val="0"/>
      <w:numFmt w:val="bullet"/>
      <w:lvlText w:val="•"/>
      <w:lvlJc w:val="left"/>
      <w:pPr>
        <w:ind w:left="6505" w:hanging="416"/>
      </w:pPr>
      <w:rPr>
        <w:rFonts w:hint="default"/>
        <w:lang w:val="en-US" w:eastAsia="zh-CN" w:bidi="ar-SA"/>
      </w:rPr>
    </w:lvl>
    <w:lvl w:ilvl="7" w:tentative="0">
      <w:start w:val="0"/>
      <w:numFmt w:val="bullet"/>
      <w:lvlText w:val="•"/>
      <w:lvlJc w:val="left"/>
      <w:pPr>
        <w:ind w:left="7446" w:hanging="416"/>
      </w:pPr>
      <w:rPr>
        <w:rFonts w:hint="default"/>
        <w:lang w:val="en-US" w:eastAsia="zh-CN" w:bidi="ar-SA"/>
      </w:rPr>
    </w:lvl>
    <w:lvl w:ilvl="8" w:tentative="0">
      <w:start w:val="0"/>
      <w:numFmt w:val="bullet"/>
      <w:lvlText w:val="•"/>
      <w:lvlJc w:val="left"/>
      <w:pPr>
        <w:ind w:left="8387" w:hanging="416"/>
      </w:pPr>
      <w:rPr>
        <w:rFonts w:hint="default"/>
        <w:lang w:val="en-US" w:eastAsia="zh-CN" w:bidi="ar-SA"/>
      </w:rPr>
    </w:lvl>
  </w:abstractNum>
  <w:abstractNum w:abstractNumId="39">
    <w:nsid w:val="46A08BB8"/>
    <w:multiLevelType w:val="multilevel"/>
    <w:tmpl w:val="46A08BB8"/>
    <w:lvl w:ilvl="0" w:tentative="0">
      <w:start w:val="26"/>
      <w:numFmt w:val="decimal"/>
      <w:lvlText w:val="%1"/>
      <w:lvlJc w:val="left"/>
      <w:pPr>
        <w:ind w:left="1914" w:hanging="543"/>
        <w:jc w:val="left"/>
      </w:pPr>
      <w:rPr>
        <w:rFonts w:hint="default"/>
        <w:lang w:val="en-US" w:eastAsia="zh-CN" w:bidi="ar-SA"/>
      </w:rPr>
    </w:lvl>
    <w:lvl w:ilvl="1" w:tentative="0">
      <w:start w:val="1"/>
      <w:numFmt w:val="decimal"/>
      <w:lvlText w:val="%1.%2"/>
      <w:lvlJc w:val="left"/>
      <w:pPr>
        <w:ind w:left="1914" w:hanging="543"/>
        <w:jc w:val="left"/>
      </w:pPr>
      <w:rPr>
        <w:rFonts w:hint="default" w:ascii="宋体" w:hAnsi="宋体" w:eastAsia="宋体" w:cs="宋体"/>
        <w:b w:val="0"/>
        <w:bCs w:val="0"/>
        <w:i w:val="0"/>
        <w:iCs w:val="0"/>
        <w:spacing w:val="-3"/>
        <w:w w:val="100"/>
        <w:sz w:val="24"/>
        <w:szCs w:val="24"/>
        <w:lang w:val="en-US" w:eastAsia="zh-CN" w:bidi="ar-SA"/>
      </w:rPr>
    </w:lvl>
    <w:lvl w:ilvl="2" w:tentative="0">
      <w:start w:val="0"/>
      <w:numFmt w:val="bullet"/>
      <w:lvlText w:val="•"/>
      <w:lvlJc w:val="left"/>
      <w:pPr>
        <w:ind w:left="3590" w:hanging="543"/>
      </w:pPr>
      <w:rPr>
        <w:rFonts w:hint="default"/>
        <w:lang w:val="en-US" w:eastAsia="zh-CN" w:bidi="ar-SA"/>
      </w:rPr>
    </w:lvl>
    <w:lvl w:ilvl="3" w:tentative="0">
      <w:start w:val="0"/>
      <w:numFmt w:val="bullet"/>
      <w:lvlText w:val="•"/>
      <w:lvlJc w:val="left"/>
      <w:pPr>
        <w:ind w:left="4425" w:hanging="543"/>
      </w:pPr>
      <w:rPr>
        <w:rFonts w:hint="default"/>
        <w:lang w:val="en-US" w:eastAsia="zh-CN" w:bidi="ar-SA"/>
      </w:rPr>
    </w:lvl>
    <w:lvl w:ilvl="4" w:tentative="0">
      <w:start w:val="0"/>
      <w:numFmt w:val="bullet"/>
      <w:lvlText w:val="•"/>
      <w:lvlJc w:val="left"/>
      <w:pPr>
        <w:ind w:left="5260" w:hanging="543"/>
      </w:pPr>
      <w:rPr>
        <w:rFonts w:hint="default"/>
        <w:lang w:val="en-US" w:eastAsia="zh-CN" w:bidi="ar-SA"/>
      </w:rPr>
    </w:lvl>
    <w:lvl w:ilvl="5" w:tentative="0">
      <w:start w:val="0"/>
      <w:numFmt w:val="bullet"/>
      <w:lvlText w:val="•"/>
      <w:lvlJc w:val="left"/>
      <w:pPr>
        <w:ind w:left="6095" w:hanging="543"/>
      </w:pPr>
      <w:rPr>
        <w:rFonts w:hint="default"/>
        <w:lang w:val="en-US" w:eastAsia="zh-CN" w:bidi="ar-SA"/>
      </w:rPr>
    </w:lvl>
    <w:lvl w:ilvl="6" w:tentative="0">
      <w:start w:val="0"/>
      <w:numFmt w:val="bullet"/>
      <w:lvlText w:val="•"/>
      <w:lvlJc w:val="left"/>
      <w:pPr>
        <w:ind w:left="6930" w:hanging="543"/>
      </w:pPr>
      <w:rPr>
        <w:rFonts w:hint="default"/>
        <w:lang w:val="en-US" w:eastAsia="zh-CN" w:bidi="ar-SA"/>
      </w:rPr>
    </w:lvl>
    <w:lvl w:ilvl="7" w:tentative="0">
      <w:start w:val="0"/>
      <w:numFmt w:val="bullet"/>
      <w:lvlText w:val="•"/>
      <w:lvlJc w:val="left"/>
      <w:pPr>
        <w:ind w:left="7765" w:hanging="543"/>
      </w:pPr>
      <w:rPr>
        <w:rFonts w:hint="default"/>
        <w:lang w:val="en-US" w:eastAsia="zh-CN" w:bidi="ar-SA"/>
      </w:rPr>
    </w:lvl>
    <w:lvl w:ilvl="8" w:tentative="0">
      <w:start w:val="0"/>
      <w:numFmt w:val="bullet"/>
      <w:lvlText w:val="•"/>
      <w:lvlJc w:val="left"/>
      <w:pPr>
        <w:ind w:left="8600" w:hanging="543"/>
      </w:pPr>
      <w:rPr>
        <w:rFonts w:hint="default"/>
        <w:lang w:val="en-US" w:eastAsia="zh-CN" w:bidi="ar-SA"/>
      </w:rPr>
    </w:lvl>
  </w:abstractNum>
  <w:abstractNum w:abstractNumId="40">
    <w:nsid w:val="4C1BAE26"/>
    <w:multiLevelType w:val="multilevel"/>
    <w:tmpl w:val="4C1BAE26"/>
    <w:lvl w:ilvl="0" w:tentative="0">
      <w:start w:val="24"/>
      <w:numFmt w:val="decimal"/>
      <w:lvlText w:val="%1"/>
      <w:lvlJc w:val="left"/>
      <w:pPr>
        <w:ind w:left="889" w:hanging="543"/>
        <w:jc w:val="left"/>
      </w:pPr>
      <w:rPr>
        <w:rFonts w:hint="default"/>
        <w:lang w:val="en-US" w:eastAsia="zh-CN" w:bidi="ar-SA"/>
      </w:rPr>
    </w:lvl>
    <w:lvl w:ilvl="1" w:tentative="0">
      <w:start w:val="1"/>
      <w:numFmt w:val="decimal"/>
      <w:lvlText w:val="%1.%2"/>
      <w:lvlJc w:val="left"/>
      <w:pPr>
        <w:ind w:left="889" w:hanging="543"/>
        <w:jc w:val="left"/>
      </w:pPr>
      <w:rPr>
        <w:rFonts w:hint="default" w:ascii="宋体" w:hAnsi="宋体" w:eastAsia="宋体" w:cs="宋体"/>
        <w:b w:val="0"/>
        <w:bCs w:val="0"/>
        <w:i w:val="0"/>
        <w:iCs w:val="0"/>
        <w:spacing w:val="-3"/>
        <w:w w:val="100"/>
        <w:sz w:val="24"/>
        <w:szCs w:val="24"/>
        <w:lang w:val="en-US" w:eastAsia="zh-CN" w:bidi="ar-SA"/>
      </w:rPr>
    </w:lvl>
    <w:lvl w:ilvl="2" w:tentative="0">
      <w:start w:val="0"/>
      <w:numFmt w:val="bullet"/>
      <w:lvlText w:val="•"/>
      <w:lvlJc w:val="left"/>
      <w:pPr>
        <w:ind w:left="2758" w:hanging="543"/>
      </w:pPr>
      <w:rPr>
        <w:rFonts w:hint="default"/>
        <w:lang w:val="en-US" w:eastAsia="zh-CN" w:bidi="ar-SA"/>
      </w:rPr>
    </w:lvl>
    <w:lvl w:ilvl="3" w:tentative="0">
      <w:start w:val="0"/>
      <w:numFmt w:val="bullet"/>
      <w:lvlText w:val="•"/>
      <w:lvlJc w:val="left"/>
      <w:pPr>
        <w:ind w:left="3697" w:hanging="543"/>
      </w:pPr>
      <w:rPr>
        <w:rFonts w:hint="default"/>
        <w:lang w:val="en-US" w:eastAsia="zh-CN" w:bidi="ar-SA"/>
      </w:rPr>
    </w:lvl>
    <w:lvl w:ilvl="4" w:tentative="0">
      <w:start w:val="0"/>
      <w:numFmt w:val="bullet"/>
      <w:lvlText w:val="•"/>
      <w:lvlJc w:val="left"/>
      <w:pPr>
        <w:ind w:left="4636" w:hanging="543"/>
      </w:pPr>
      <w:rPr>
        <w:rFonts w:hint="default"/>
        <w:lang w:val="en-US" w:eastAsia="zh-CN" w:bidi="ar-SA"/>
      </w:rPr>
    </w:lvl>
    <w:lvl w:ilvl="5" w:tentative="0">
      <w:start w:val="0"/>
      <w:numFmt w:val="bullet"/>
      <w:lvlText w:val="•"/>
      <w:lvlJc w:val="left"/>
      <w:pPr>
        <w:ind w:left="5575" w:hanging="543"/>
      </w:pPr>
      <w:rPr>
        <w:rFonts w:hint="default"/>
        <w:lang w:val="en-US" w:eastAsia="zh-CN" w:bidi="ar-SA"/>
      </w:rPr>
    </w:lvl>
    <w:lvl w:ilvl="6" w:tentative="0">
      <w:start w:val="0"/>
      <w:numFmt w:val="bullet"/>
      <w:lvlText w:val="•"/>
      <w:lvlJc w:val="left"/>
      <w:pPr>
        <w:ind w:left="6514" w:hanging="543"/>
      </w:pPr>
      <w:rPr>
        <w:rFonts w:hint="default"/>
        <w:lang w:val="en-US" w:eastAsia="zh-CN" w:bidi="ar-SA"/>
      </w:rPr>
    </w:lvl>
    <w:lvl w:ilvl="7" w:tentative="0">
      <w:start w:val="0"/>
      <w:numFmt w:val="bullet"/>
      <w:lvlText w:val="•"/>
      <w:lvlJc w:val="left"/>
      <w:pPr>
        <w:ind w:left="7453" w:hanging="543"/>
      </w:pPr>
      <w:rPr>
        <w:rFonts w:hint="default"/>
        <w:lang w:val="en-US" w:eastAsia="zh-CN" w:bidi="ar-SA"/>
      </w:rPr>
    </w:lvl>
    <w:lvl w:ilvl="8" w:tentative="0">
      <w:start w:val="0"/>
      <w:numFmt w:val="bullet"/>
      <w:lvlText w:val="•"/>
      <w:lvlJc w:val="left"/>
      <w:pPr>
        <w:ind w:left="8392" w:hanging="543"/>
      </w:pPr>
      <w:rPr>
        <w:rFonts w:hint="default"/>
        <w:lang w:val="en-US" w:eastAsia="zh-CN" w:bidi="ar-SA"/>
      </w:rPr>
    </w:lvl>
  </w:abstractNum>
  <w:abstractNum w:abstractNumId="41">
    <w:nsid w:val="4D4DC07F"/>
    <w:multiLevelType w:val="multilevel"/>
    <w:tmpl w:val="4D4DC07F"/>
    <w:lvl w:ilvl="0" w:tentative="0">
      <w:start w:val="11"/>
      <w:numFmt w:val="decimal"/>
      <w:lvlText w:val="%1"/>
      <w:lvlJc w:val="left"/>
      <w:pPr>
        <w:ind w:left="887" w:hanging="497"/>
        <w:jc w:val="left"/>
      </w:pPr>
      <w:rPr>
        <w:rFonts w:hint="default"/>
        <w:lang w:val="en-US" w:eastAsia="zh-CN" w:bidi="ar-SA"/>
      </w:rPr>
    </w:lvl>
    <w:lvl w:ilvl="1" w:tentative="0">
      <w:start w:val="1"/>
      <w:numFmt w:val="decimal"/>
      <w:lvlText w:val="%1.%2"/>
      <w:lvlJc w:val="left"/>
      <w:pPr>
        <w:ind w:left="887" w:hanging="497"/>
        <w:jc w:val="left"/>
      </w:pPr>
      <w:rPr>
        <w:rFonts w:hint="default" w:ascii="宋体" w:hAnsi="宋体" w:eastAsia="宋体" w:cs="宋体"/>
        <w:b w:val="0"/>
        <w:bCs w:val="0"/>
        <w:i w:val="0"/>
        <w:iCs w:val="0"/>
        <w:spacing w:val="-15"/>
        <w:w w:val="100"/>
        <w:sz w:val="24"/>
        <w:szCs w:val="24"/>
        <w:lang w:val="en-US" w:eastAsia="zh-CN" w:bidi="ar-SA"/>
      </w:rPr>
    </w:lvl>
    <w:lvl w:ilvl="2" w:tentative="0">
      <w:start w:val="0"/>
      <w:numFmt w:val="bullet"/>
      <w:lvlText w:val="•"/>
      <w:lvlJc w:val="left"/>
      <w:pPr>
        <w:ind w:left="2758" w:hanging="497"/>
      </w:pPr>
      <w:rPr>
        <w:rFonts w:hint="default"/>
        <w:lang w:val="en-US" w:eastAsia="zh-CN" w:bidi="ar-SA"/>
      </w:rPr>
    </w:lvl>
    <w:lvl w:ilvl="3" w:tentative="0">
      <w:start w:val="0"/>
      <w:numFmt w:val="bullet"/>
      <w:lvlText w:val="•"/>
      <w:lvlJc w:val="left"/>
      <w:pPr>
        <w:ind w:left="3697" w:hanging="497"/>
      </w:pPr>
      <w:rPr>
        <w:rFonts w:hint="default"/>
        <w:lang w:val="en-US" w:eastAsia="zh-CN" w:bidi="ar-SA"/>
      </w:rPr>
    </w:lvl>
    <w:lvl w:ilvl="4" w:tentative="0">
      <w:start w:val="0"/>
      <w:numFmt w:val="bullet"/>
      <w:lvlText w:val="•"/>
      <w:lvlJc w:val="left"/>
      <w:pPr>
        <w:ind w:left="4636" w:hanging="497"/>
      </w:pPr>
      <w:rPr>
        <w:rFonts w:hint="default"/>
        <w:lang w:val="en-US" w:eastAsia="zh-CN" w:bidi="ar-SA"/>
      </w:rPr>
    </w:lvl>
    <w:lvl w:ilvl="5" w:tentative="0">
      <w:start w:val="0"/>
      <w:numFmt w:val="bullet"/>
      <w:lvlText w:val="•"/>
      <w:lvlJc w:val="left"/>
      <w:pPr>
        <w:ind w:left="5575" w:hanging="497"/>
      </w:pPr>
      <w:rPr>
        <w:rFonts w:hint="default"/>
        <w:lang w:val="en-US" w:eastAsia="zh-CN" w:bidi="ar-SA"/>
      </w:rPr>
    </w:lvl>
    <w:lvl w:ilvl="6" w:tentative="0">
      <w:start w:val="0"/>
      <w:numFmt w:val="bullet"/>
      <w:lvlText w:val="•"/>
      <w:lvlJc w:val="left"/>
      <w:pPr>
        <w:ind w:left="6514" w:hanging="497"/>
      </w:pPr>
      <w:rPr>
        <w:rFonts w:hint="default"/>
        <w:lang w:val="en-US" w:eastAsia="zh-CN" w:bidi="ar-SA"/>
      </w:rPr>
    </w:lvl>
    <w:lvl w:ilvl="7" w:tentative="0">
      <w:start w:val="0"/>
      <w:numFmt w:val="bullet"/>
      <w:lvlText w:val="•"/>
      <w:lvlJc w:val="left"/>
      <w:pPr>
        <w:ind w:left="7453" w:hanging="497"/>
      </w:pPr>
      <w:rPr>
        <w:rFonts w:hint="default"/>
        <w:lang w:val="en-US" w:eastAsia="zh-CN" w:bidi="ar-SA"/>
      </w:rPr>
    </w:lvl>
    <w:lvl w:ilvl="8" w:tentative="0">
      <w:start w:val="0"/>
      <w:numFmt w:val="bullet"/>
      <w:lvlText w:val="•"/>
      <w:lvlJc w:val="left"/>
      <w:pPr>
        <w:ind w:left="8392" w:hanging="497"/>
      </w:pPr>
      <w:rPr>
        <w:rFonts w:hint="default"/>
        <w:lang w:val="en-US" w:eastAsia="zh-CN" w:bidi="ar-SA"/>
      </w:rPr>
    </w:lvl>
  </w:abstractNum>
  <w:abstractNum w:abstractNumId="42">
    <w:nsid w:val="4D94DA66"/>
    <w:multiLevelType w:val="multilevel"/>
    <w:tmpl w:val="4D94DA66"/>
    <w:lvl w:ilvl="0" w:tentative="0">
      <w:start w:val="1"/>
      <w:numFmt w:val="decimal"/>
      <w:lvlText w:val="（%1）"/>
      <w:lvlJc w:val="left"/>
      <w:pPr>
        <w:ind w:left="1974" w:hanging="600"/>
        <w:jc w:val="left"/>
      </w:pPr>
      <w:rPr>
        <w:rFonts w:hint="default" w:ascii="宋体" w:hAnsi="宋体" w:eastAsia="宋体" w:cs="宋体"/>
        <w:b w:val="0"/>
        <w:bCs w:val="0"/>
        <w:i w:val="0"/>
        <w:iCs w:val="0"/>
        <w:spacing w:val="-5"/>
        <w:w w:val="100"/>
        <w:sz w:val="22"/>
        <w:szCs w:val="22"/>
        <w:lang w:val="en-US" w:eastAsia="zh-CN" w:bidi="ar-SA"/>
      </w:rPr>
    </w:lvl>
    <w:lvl w:ilvl="1" w:tentative="0">
      <w:start w:val="0"/>
      <w:numFmt w:val="bullet"/>
      <w:lvlText w:val="•"/>
      <w:lvlJc w:val="left"/>
      <w:pPr>
        <w:ind w:left="2809" w:hanging="600"/>
      </w:pPr>
      <w:rPr>
        <w:rFonts w:hint="default"/>
        <w:lang w:val="en-US" w:eastAsia="zh-CN" w:bidi="ar-SA"/>
      </w:rPr>
    </w:lvl>
    <w:lvl w:ilvl="2" w:tentative="0">
      <w:start w:val="0"/>
      <w:numFmt w:val="bullet"/>
      <w:lvlText w:val="•"/>
      <w:lvlJc w:val="left"/>
      <w:pPr>
        <w:ind w:left="3638" w:hanging="600"/>
      </w:pPr>
      <w:rPr>
        <w:rFonts w:hint="default"/>
        <w:lang w:val="en-US" w:eastAsia="zh-CN" w:bidi="ar-SA"/>
      </w:rPr>
    </w:lvl>
    <w:lvl w:ilvl="3" w:tentative="0">
      <w:start w:val="0"/>
      <w:numFmt w:val="bullet"/>
      <w:lvlText w:val="•"/>
      <w:lvlJc w:val="left"/>
      <w:pPr>
        <w:ind w:left="4467" w:hanging="600"/>
      </w:pPr>
      <w:rPr>
        <w:rFonts w:hint="default"/>
        <w:lang w:val="en-US" w:eastAsia="zh-CN" w:bidi="ar-SA"/>
      </w:rPr>
    </w:lvl>
    <w:lvl w:ilvl="4" w:tentative="0">
      <w:start w:val="0"/>
      <w:numFmt w:val="bullet"/>
      <w:lvlText w:val="•"/>
      <w:lvlJc w:val="left"/>
      <w:pPr>
        <w:ind w:left="5296" w:hanging="600"/>
      </w:pPr>
      <w:rPr>
        <w:rFonts w:hint="default"/>
        <w:lang w:val="en-US" w:eastAsia="zh-CN" w:bidi="ar-SA"/>
      </w:rPr>
    </w:lvl>
    <w:lvl w:ilvl="5" w:tentative="0">
      <w:start w:val="0"/>
      <w:numFmt w:val="bullet"/>
      <w:lvlText w:val="•"/>
      <w:lvlJc w:val="left"/>
      <w:pPr>
        <w:ind w:left="6125" w:hanging="600"/>
      </w:pPr>
      <w:rPr>
        <w:rFonts w:hint="default"/>
        <w:lang w:val="en-US" w:eastAsia="zh-CN" w:bidi="ar-SA"/>
      </w:rPr>
    </w:lvl>
    <w:lvl w:ilvl="6" w:tentative="0">
      <w:start w:val="0"/>
      <w:numFmt w:val="bullet"/>
      <w:lvlText w:val="•"/>
      <w:lvlJc w:val="left"/>
      <w:pPr>
        <w:ind w:left="6954" w:hanging="600"/>
      </w:pPr>
      <w:rPr>
        <w:rFonts w:hint="default"/>
        <w:lang w:val="en-US" w:eastAsia="zh-CN" w:bidi="ar-SA"/>
      </w:rPr>
    </w:lvl>
    <w:lvl w:ilvl="7" w:tentative="0">
      <w:start w:val="0"/>
      <w:numFmt w:val="bullet"/>
      <w:lvlText w:val="•"/>
      <w:lvlJc w:val="left"/>
      <w:pPr>
        <w:ind w:left="7783" w:hanging="600"/>
      </w:pPr>
      <w:rPr>
        <w:rFonts w:hint="default"/>
        <w:lang w:val="en-US" w:eastAsia="zh-CN" w:bidi="ar-SA"/>
      </w:rPr>
    </w:lvl>
    <w:lvl w:ilvl="8" w:tentative="0">
      <w:start w:val="0"/>
      <w:numFmt w:val="bullet"/>
      <w:lvlText w:val="•"/>
      <w:lvlJc w:val="left"/>
      <w:pPr>
        <w:ind w:left="8612" w:hanging="600"/>
      </w:pPr>
      <w:rPr>
        <w:rFonts w:hint="default"/>
        <w:lang w:val="en-US" w:eastAsia="zh-CN" w:bidi="ar-SA"/>
      </w:rPr>
    </w:lvl>
  </w:abstractNum>
  <w:abstractNum w:abstractNumId="43">
    <w:nsid w:val="58765686"/>
    <w:multiLevelType w:val="multilevel"/>
    <w:tmpl w:val="58765686"/>
    <w:lvl w:ilvl="0" w:tentative="0">
      <w:start w:val="34"/>
      <w:numFmt w:val="decimal"/>
      <w:lvlText w:val="%1."/>
      <w:lvlJc w:val="left"/>
      <w:pPr>
        <w:ind w:left="1224" w:hanging="333"/>
        <w:jc w:val="left"/>
      </w:pPr>
      <w:rPr>
        <w:rFonts w:hint="default" w:ascii="宋体" w:hAnsi="宋体" w:eastAsia="宋体" w:cs="宋体"/>
        <w:b/>
        <w:bCs/>
        <w:i w:val="0"/>
        <w:iCs w:val="0"/>
        <w:spacing w:val="-5"/>
        <w:w w:val="99"/>
        <w:sz w:val="20"/>
        <w:szCs w:val="20"/>
        <w:lang w:val="en-US" w:eastAsia="zh-CN" w:bidi="ar-SA"/>
      </w:rPr>
    </w:lvl>
    <w:lvl w:ilvl="1" w:tentative="0">
      <w:start w:val="1"/>
      <w:numFmt w:val="decimal"/>
      <w:lvlText w:val="%1.%2"/>
      <w:lvlJc w:val="left"/>
      <w:pPr>
        <w:ind w:left="911" w:hanging="540"/>
        <w:jc w:val="left"/>
      </w:pPr>
      <w:rPr>
        <w:rFonts w:hint="default" w:ascii="宋体" w:hAnsi="宋体" w:eastAsia="宋体" w:cs="宋体"/>
        <w:b w:val="0"/>
        <w:bCs w:val="0"/>
        <w:i w:val="0"/>
        <w:iCs w:val="0"/>
        <w:spacing w:val="-12"/>
        <w:w w:val="100"/>
        <w:sz w:val="24"/>
        <w:szCs w:val="24"/>
        <w:lang w:val="en-US" w:eastAsia="zh-CN" w:bidi="ar-SA"/>
      </w:rPr>
    </w:lvl>
    <w:lvl w:ilvl="2" w:tentative="0">
      <w:start w:val="0"/>
      <w:numFmt w:val="bullet"/>
      <w:lvlText w:val="•"/>
      <w:lvlJc w:val="left"/>
      <w:pPr>
        <w:ind w:left="2225" w:hanging="540"/>
      </w:pPr>
      <w:rPr>
        <w:rFonts w:hint="default"/>
        <w:lang w:val="en-US" w:eastAsia="zh-CN" w:bidi="ar-SA"/>
      </w:rPr>
    </w:lvl>
    <w:lvl w:ilvl="3" w:tentative="0">
      <w:start w:val="0"/>
      <w:numFmt w:val="bullet"/>
      <w:lvlText w:val="•"/>
      <w:lvlJc w:val="left"/>
      <w:pPr>
        <w:ind w:left="3231" w:hanging="540"/>
      </w:pPr>
      <w:rPr>
        <w:rFonts w:hint="default"/>
        <w:lang w:val="en-US" w:eastAsia="zh-CN" w:bidi="ar-SA"/>
      </w:rPr>
    </w:lvl>
    <w:lvl w:ilvl="4" w:tentative="0">
      <w:start w:val="0"/>
      <w:numFmt w:val="bullet"/>
      <w:lvlText w:val="•"/>
      <w:lvlJc w:val="left"/>
      <w:pPr>
        <w:ind w:left="4236" w:hanging="540"/>
      </w:pPr>
      <w:rPr>
        <w:rFonts w:hint="default"/>
        <w:lang w:val="en-US" w:eastAsia="zh-CN" w:bidi="ar-SA"/>
      </w:rPr>
    </w:lvl>
    <w:lvl w:ilvl="5" w:tentative="0">
      <w:start w:val="0"/>
      <w:numFmt w:val="bullet"/>
      <w:lvlText w:val="•"/>
      <w:lvlJc w:val="left"/>
      <w:pPr>
        <w:ind w:left="5242" w:hanging="540"/>
      </w:pPr>
      <w:rPr>
        <w:rFonts w:hint="default"/>
        <w:lang w:val="en-US" w:eastAsia="zh-CN" w:bidi="ar-SA"/>
      </w:rPr>
    </w:lvl>
    <w:lvl w:ilvl="6" w:tentative="0">
      <w:start w:val="0"/>
      <w:numFmt w:val="bullet"/>
      <w:lvlText w:val="•"/>
      <w:lvlJc w:val="left"/>
      <w:pPr>
        <w:ind w:left="6247" w:hanging="540"/>
      </w:pPr>
      <w:rPr>
        <w:rFonts w:hint="default"/>
        <w:lang w:val="en-US" w:eastAsia="zh-CN" w:bidi="ar-SA"/>
      </w:rPr>
    </w:lvl>
    <w:lvl w:ilvl="7" w:tentative="0">
      <w:start w:val="0"/>
      <w:numFmt w:val="bullet"/>
      <w:lvlText w:val="•"/>
      <w:lvlJc w:val="left"/>
      <w:pPr>
        <w:ind w:left="7253" w:hanging="540"/>
      </w:pPr>
      <w:rPr>
        <w:rFonts w:hint="default"/>
        <w:lang w:val="en-US" w:eastAsia="zh-CN" w:bidi="ar-SA"/>
      </w:rPr>
    </w:lvl>
    <w:lvl w:ilvl="8" w:tentative="0">
      <w:start w:val="0"/>
      <w:numFmt w:val="bullet"/>
      <w:lvlText w:val="•"/>
      <w:lvlJc w:val="left"/>
      <w:pPr>
        <w:ind w:left="8258" w:hanging="540"/>
      </w:pPr>
      <w:rPr>
        <w:rFonts w:hint="default"/>
        <w:lang w:val="en-US" w:eastAsia="zh-CN" w:bidi="ar-SA"/>
      </w:rPr>
    </w:lvl>
  </w:abstractNum>
  <w:abstractNum w:abstractNumId="44">
    <w:nsid w:val="59ADCABA"/>
    <w:multiLevelType w:val="multilevel"/>
    <w:tmpl w:val="59ADCABA"/>
    <w:lvl w:ilvl="0" w:tentative="0">
      <w:start w:val="1"/>
      <w:numFmt w:val="decimal"/>
      <w:lvlText w:val="（%1）"/>
      <w:lvlJc w:val="left"/>
      <w:pPr>
        <w:ind w:left="2284" w:hanging="850"/>
        <w:jc w:val="left"/>
      </w:pPr>
      <w:rPr>
        <w:rFonts w:hint="default" w:ascii="宋体" w:hAnsi="宋体" w:eastAsia="宋体" w:cs="宋体"/>
        <w:b w:val="0"/>
        <w:bCs w:val="0"/>
        <w:i w:val="0"/>
        <w:iCs w:val="0"/>
        <w:spacing w:val="-10"/>
        <w:w w:val="100"/>
        <w:sz w:val="22"/>
        <w:szCs w:val="22"/>
        <w:lang w:val="en-US" w:eastAsia="zh-CN" w:bidi="ar-SA"/>
      </w:rPr>
    </w:lvl>
    <w:lvl w:ilvl="1" w:tentative="0">
      <w:start w:val="0"/>
      <w:numFmt w:val="bullet"/>
      <w:lvlText w:val="•"/>
      <w:lvlJc w:val="left"/>
      <w:pPr>
        <w:ind w:left="3079" w:hanging="850"/>
      </w:pPr>
      <w:rPr>
        <w:rFonts w:hint="default"/>
        <w:lang w:val="en-US" w:eastAsia="zh-CN" w:bidi="ar-SA"/>
      </w:rPr>
    </w:lvl>
    <w:lvl w:ilvl="2" w:tentative="0">
      <w:start w:val="0"/>
      <w:numFmt w:val="bullet"/>
      <w:lvlText w:val="•"/>
      <w:lvlJc w:val="left"/>
      <w:pPr>
        <w:ind w:left="3878" w:hanging="850"/>
      </w:pPr>
      <w:rPr>
        <w:rFonts w:hint="default"/>
        <w:lang w:val="en-US" w:eastAsia="zh-CN" w:bidi="ar-SA"/>
      </w:rPr>
    </w:lvl>
    <w:lvl w:ilvl="3" w:tentative="0">
      <w:start w:val="0"/>
      <w:numFmt w:val="bullet"/>
      <w:lvlText w:val="•"/>
      <w:lvlJc w:val="left"/>
      <w:pPr>
        <w:ind w:left="4677" w:hanging="850"/>
      </w:pPr>
      <w:rPr>
        <w:rFonts w:hint="default"/>
        <w:lang w:val="en-US" w:eastAsia="zh-CN" w:bidi="ar-SA"/>
      </w:rPr>
    </w:lvl>
    <w:lvl w:ilvl="4" w:tentative="0">
      <w:start w:val="0"/>
      <w:numFmt w:val="bullet"/>
      <w:lvlText w:val="•"/>
      <w:lvlJc w:val="left"/>
      <w:pPr>
        <w:ind w:left="5476" w:hanging="850"/>
      </w:pPr>
      <w:rPr>
        <w:rFonts w:hint="default"/>
        <w:lang w:val="en-US" w:eastAsia="zh-CN" w:bidi="ar-SA"/>
      </w:rPr>
    </w:lvl>
    <w:lvl w:ilvl="5" w:tentative="0">
      <w:start w:val="0"/>
      <w:numFmt w:val="bullet"/>
      <w:lvlText w:val="•"/>
      <w:lvlJc w:val="left"/>
      <w:pPr>
        <w:ind w:left="6275" w:hanging="850"/>
      </w:pPr>
      <w:rPr>
        <w:rFonts w:hint="default"/>
        <w:lang w:val="en-US" w:eastAsia="zh-CN" w:bidi="ar-SA"/>
      </w:rPr>
    </w:lvl>
    <w:lvl w:ilvl="6" w:tentative="0">
      <w:start w:val="0"/>
      <w:numFmt w:val="bullet"/>
      <w:lvlText w:val="•"/>
      <w:lvlJc w:val="left"/>
      <w:pPr>
        <w:ind w:left="7074" w:hanging="850"/>
      </w:pPr>
      <w:rPr>
        <w:rFonts w:hint="default"/>
        <w:lang w:val="en-US" w:eastAsia="zh-CN" w:bidi="ar-SA"/>
      </w:rPr>
    </w:lvl>
    <w:lvl w:ilvl="7" w:tentative="0">
      <w:start w:val="0"/>
      <w:numFmt w:val="bullet"/>
      <w:lvlText w:val="•"/>
      <w:lvlJc w:val="left"/>
      <w:pPr>
        <w:ind w:left="7873" w:hanging="850"/>
      </w:pPr>
      <w:rPr>
        <w:rFonts w:hint="default"/>
        <w:lang w:val="en-US" w:eastAsia="zh-CN" w:bidi="ar-SA"/>
      </w:rPr>
    </w:lvl>
    <w:lvl w:ilvl="8" w:tentative="0">
      <w:start w:val="0"/>
      <w:numFmt w:val="bullet"/>
      <w:lvlText w:val="•"/>
      <w:lvlJc w:val="left"/>
      <w:pPr>
        <w:ind w:left="8672" w:hanging="850"/>
      </w:pPr>
      <w:rPr>
        <w:rFonts w:hint="default"/>
        <w:lang w:val="en-US" w:eastAsia="zh-CN" w:bidi="ar-SA"/>
      </w:rPr>
    </w:lvl>
  </w:abstractNum>
  <w:abstractNum w:abstractNumId="45">
    <w:nsid w:val="5A241D34"/>
    <w:multiLevelType w:val="multilevel"/>
    <w:tmpl w:val="5A241D34"/>
    <w:lvl w:ilvl="0" w:tentative="0">
      <w:start w:val="1"/>
      <w:numFmt w:val="decimal"/>
      <w:lvlText w:val="%1."/>
      <w:lvlJc w:val="left"/>
      <w:pPr>
        <w:ind w:left="357" w:hanging="222"/>
        <w:jc w:val="left"/>
      </w:pPr>
      <w:rPr>
        <w:rFonts w:hint="default" w:ascii="宋体" w:hAnsi="宋体" w:eastAsia="宋体" w:cs="宋体"/>
        <w:b w:val="0"/>
        <w:bCs w:val="0"/>
        <w:i w:val="0"/>
        <w:iCs w:val="0"/>
        <w:spacing w:val="-3"/>
        <w:w w:val="100"/>
        <w:sz w:val="20"/>
        <w:szCs w:val="20"/>
        <w:lang w:val="en-US" w:eastAsia="zh-CN" w:bidi="ar-SA"/>
      </w:rPr>
    </w:lvl>
    <w:lvl w:ilvl="1" w:tentative="0">
      <w:start w:val="0"/>
      <w:numFmt w:val="bullet"/>
      <w:lvlText w:val="•"/>
      <w:lvlJc w:val="left"/>
      <w:pPr>
        <w:ind w:left="1010" w:hanging="222"/>
      </w:pPr>
      <w:rPr>
        <w:rFonts w:hint="default"/>
        <w:lang w:val="en-US" w:eastAsia="zh-CN" w:bidi="ar-SA"/>
      </w:rPr>
    </w:lvl>
    <w:lvl w:ilvl="2" w:tentative="0">
      <w:start w:val="0"/>
      <w:numFmt w:val="bullet"/>
      <w:lvlText w:val="•"/>
      <w:lvlJc w:val="left"/>
      <w:pPr>
        <w:ind w:left="1661" w:hanging="222"/>
      </w:pPr>
      <w:rPr>
        <w:rFonts w:hint="default"/>
        <w:lang w:val="en-US" w:eastAsia="zh-CN" w:bidi="ar-SA"/>
      </w:rPr>
    </w:lvl>
    <w:lvl w:ilvl="3" w:tentative="0">
      <w:start w:val="0"/>
      <w:numFmt w:val="bullet"/>
      <w:lvlText w:val="•"/>
      <w:lvlJc w:val="left"/>
      <w:pPr>
        <w:ind w:left="2312" w:hanging="222"/>
      </w:pPr>
      <w:rPr>
        <w:rFonts w:hint="default"/>
        <w:lang w:val="en-US" w:eastAsia="zh-CN" w:bidi="ar-SA"/>
      </w:rPr>
    </w:lvl>
    <w:lvl w:ilvl="4" w:tentative="0">
      <w:start w:val="0"/>
      <w:numFmt w:val="bullet"/>
      <w:lvlText w:val="•"/>
      <w:lvlJc w:val="left"/>
      <w:pPr>
        <w:ind w:left="2963" w:hanging="222"/>
      </w:pPr>
      <w:rPr>
        <w:rFonts w:hint="default"/>
        <w:lang w:val="en-US" w:eastAsia="zh-CN" w:bidi="ar-SA"/>
      </w:rPr>
    </w:lvl>
    <w:lvl w:ilvl="5" w:tentative="0">
      <w:start w:val="0"/>
      <w:numFmt w:val="bullet"/>
      <w:lvlText w:val="•"/>
      <w:lvlJc w:val="left"/>
      <w:pPr>
        <w:ind w:left="3614" w:hanging="222"/>
      </w:pPr>
      <w:rPr>
        <w:rFonts w:hint="default"/>
        <w:lang w:val="en-US" w:eastAsia="zh-CN" w:bidi="ar-SA"/>
      </w:rPr>
    </w:lvl>
    <w:lvl w:ilvl="6" w:tentative="0">
      <w:start w:val="0"/>
      <w:numFmt w:val="bullet"/>
      <w:lvlText w:val="•"/>
      <w:lvlJc w:val="left"/>
      <w:pPr>
        <w:ind w:left="4265" w:hanging="222"/>
      </w:pPr>
      <w:rPr>
        <w:rFonts w:hint="default"/>
        <w:lang w:val="en-US" w:eastAsia="zh-CN" w:bidi="ar-SA"/>
      </w:rPr>
    </w:lvl>
    <w:lvl w:ilvl="7" w:tentative="0">
      <w:start w:val="0"/>
      <w:numFmt w:val="bullet"/>
      <w:lvlText w:val="•"/>
      <w:lvlJc w:val="left"/>
      <w:pPr>
        <w:ind w:left="4916" w:hanging="222"/>
      </w:pPr>
      <w:rPr>
        <w:rFonts w:hint="default"/>
        <w:lang w:val="en-US" w:eastAsia="zh-CN" w:bidi="ar-SA"/>
      </w:rPr>
    </w:lvl>
    <w:lvl w:ilvl="8" w:tentative="0">
      <w:start w:val="0"/>
      <w:numFmt w:val="bullet"/>
      <w:lvlText w:val="•"/>
      <w:lvlJc w:val="left"/>
      <w:pPr>
        <w:ind w:left="5567" w:hanging="222"/>
      </w:pPr>
      <w:rPr>
        <w:rFonts w:hint="default"/>
        <w:lang w:val="en-US" w:eastAsia="zh-CN" w:bidi="ar-SA"/>
      </w:rPr>
    </w:lvl>
  </w:abstractNum>
  <w:abstractNum w:abstractNumId="46">
    <w:nsid w:val="5E29AB5A"/>
    <w:multiLevelType w:val="multilevel"/>
    <w:tmpl w:val="5E29AB5A"/>
    <w:lvl w:ilvl="0" w:tentative="0">
      <w:start w:val="1"/>
      <w:numFmt w:val="decimal"/>
      <w:lvlText w:val="（%1）"/>
      <w:lvlJc w:val="left"/>
      <w:pPr>
        <w:ind w:left="889" w:hanging="598"/>
        <w:jc w:val="left"/>
      </w:pPr>
      <w:rPr>
        <w:rFonts w:hint="default" w:ascii="宋体" w:hAnsi="宋体" w:eastAsia="宋体" w:cs="宋体"/>
        <w:b w:val="0"/>
        <w:bCs w:val="0"/>
        <w:i w:val="0"/>
        <w:iCs w:val="0"/>
        <w:spacing w:val="-5"/>
        <w:w w:val="100"/>
        <w:sz w:val="22"/>
        <w:szCs w:val="22"/>
        <w:lang w:val="en-US" w:eastAsia="zh-CN" w:bidi="ar-SA"/>
      </w:rPr>
    </w:lvl>
    <w:lvl w:ilvl="1" w:tentative="0">
      <w:start w:val="0"/>
      <w:numFmt w:val="bullet"/>
      <w:lvlText w:val="•"/>
      <w:lvlJc w:val="left"/>
      <w:pPr>
        <w:ind w:left="1819" w:hanging="598"/>
      </w:pPr>
      <w:rPr>
        <w:rFonts w:hint="default"/>
        <w:lang w:val="en-US" w:eastAsia="zh-CN" w:bidi="ar-SA"/>
      </w:rPr>
    </w:lvl>
    <w:lvl w:ilvl="2" w:tentative="0">
      <w:start w:val="0"/>
      <w:numFmt w:val="bullet"/>
      <w:lvlText w:val="•"/>
      <w:lvlJc w:val="left"/>
      <w:pPr>
        <w:ind w:left="2758" w:hanging="598"/>
      </w:pPr>
      <w:rPr>
        <w:rFonts w:hint="default"/>
        <w:lang w:val="en-US" w:eastAsia="zh-CN" w:bidi="ar-SA"/>
      </w:rPr>
    </w:lvl>
    <w:lvl w:ilvl="3" w:tentative="0">
      <w:start w:val="0"/>
      <w:numFmt w:val="bullet"/>
      <w:lvlText w:val="•"/>
      <w:lvlJc w:val="left"/>
      <w:pPr>
        <w:ind w:left="3697" w:hanging="598"/>
      </w:pPr>
      <w:rPr>
        <w:rFonts w:hint="default"/>
        <w:lang w:val="en-US" w:eastAsia="zh-CN" w:bidi="ar-SA"/>
      </w:rPr>
    </w:lvl>
    <w:lvl w:ilvl="4" w:tentative="0">
      <w:start w:val="0"/>
      <w:numFmt w:val="bullet"/>
      <w:lvlText w:val="•"/>
      <w:lvlJc w:val="left"/>
      <w:pPr>
        <w:ind w:left="4636" w:hanging="598"/>
      </w:pPr>
      <w:rPr>
        <w:rFonts w:hint="default"/>
        <w:lang w:val="en-US" w:eastAsia="zh-CN" w:bidi="ar-SA"/>
      </w:rPr>
    </w:lvl>
    <w:lvl w:ilvl="5" w:tentative="0">
      <w:start w:val="0"/>
      <w:numFmt w:val="bullet"/>
      <w:lvlText w:val="•"/>
      <w:lvlJc w:val="left"/>
      <w:pPr>
        <w:ind w:left="5575" w:hanging="598"/>
      </w:pPr>
      <w:rPr>
        <w:rFonts w:hint="default"/>
        <w:lang w:val="en-US" w:eastAsia="zh-CN" w:bidi="ar-SA"/>
      </w:rPr>
    </w:lvl>
    <w:lvl w:ilvl="6" w:tentative="0">
      <w:start w:val="0"/>
      <w:numFmt w:val="bullet"/>
      <w:lvlText w:val="•"/>
      <w:lvlJc w:val="left"/>
      <w:pPr>
        <w:ind w:left="6514" w:hanging="598"/>
      </w:pPr>
      <w:rPr>
        <w:rFonts w:hint="default"/>
        <w:lang w:val="en-US" w:eastAsia="zh-CN" w:bidi="ar-SA"/>
      </w:rPr>
    </w:lvl>
    <w:lvl w:ilvl="7" w:tentative="0">
      <w:start w:val="0"/>
      <w:numFmt w:val="bullet"/>
      <w:lvlText w:val="•"/>
      <w:lvlJc w:val="left"/>
      <w:pPr>
        <w:ind w:left="7453" w:hanging="598"/>
      </w:pPr>
      <w:rPr>
        <w:rFonts w:hint="default"/>
        <w:lang w:val="en-US" w:eastAsia="zh-CN" w:bidi="ar-SA"/>
      </w:rPr>
    </w:lvl>
    <w:lvl w:ilvl="8" w:tentative="0">
      <w:start w:val="0"/>
      <w:numFmt w:val="bullet"/>
      <w:lvlText w:val="•"/>
      <w:lvlJc w:val="left"/>
      <w:pPr>
        <w:ind w:left="8392" w:hanging="598"/>
      </w:pPr>
      <w:rPr>
        <w:rFonts w:hint="default"/>
        <w:lang w:val="en-US" w:eastAsia="zh-CN" w:bidi="ar-SA"/>
      </w:rPr>
    </w:lvl>
  </w:abstractNum>
  <w:abstractNum w:abstractNumId="47">
    <w:nsid w:val="5FFFB1A7"/>
    <w:multiLevelType w:val="multilevel"/>
    <w:tmpl w:val="5FFFB1A7"/>
    <w:lvl w:ilvl="0" w:tentative="0">
      <w:start w:val="1"/>
      <w:numFmt w:val="decimal"/>
      <w:lvlText w:val="%1."/>
      <w:lvlJc w:val="left"/>
      <w:pPr>
        <w:ind w:left="889" w:hanging="210"/>
        <w:jc w:val="left"/>
      </w:pPr>
      <w:rPr>
        <w:rFonts w:hint="default" w:ascii="宋体" w:hAnsi="宋体" w:eastAsia="宋体" w:cs="宋体"/>
        <w:b w:val="0"/>
        <w:bCs w:val="0"/>
        <w:i w:val="0"/>
        <w:iCs w:val="0"/>
        <w:spacing w:val="-20"/>
        <w:w w:val="100"/>
        <w:sz w:val="20"/>
        <w:szCs w:val="20"/>
        <w:lang w:val="en-US" w:eastAsia="zh-CN" w:bidi="ar-SA"/>
      </w:rPr>
    </w:lvl>
    <w:lvl w:ilvl="1" w:tentative="0">
      <w:start w:val="1"/>
      <w:numFmt w:val="decimal"/>
      <w:lvlText w:val="%1.%2"/>
      <w:lvlJc w:val="left"/>
      <w:pPr>
        <w:ind w:left="889" w:hanging="399"/>
        <w:jc w:val="left"/>
      </w:pPr>
      <w:rPr>
        <w:rFonts w:hint="default" w:ascii="宋体" w:hAnsi="宋体" w:eastAsia="宋体" w:cs="宋体"/>
        <w:b w:val="0"/>
        <w:bCs w:val="0"/>
        <w:i w:val="0"/>
        <w:iCs w:val="0"/>
        <w:spacing w:val="-15"/>
        <w:w w:val="100"/>
        <w:sz w:val="24"/>
        <w:szCs w:val="24"/>
        <w:lang w:val="en-US" w:eastAsia="zh-CN" w:bidi="ar-SA"/>
      </w:rPr>
    </w:lvl>
    <w:lvl w:ilvl="2" w:tentative="0">
      <w:start w:val="0"/>
      <w:numFmt w:val="bullet"/>
      <w:lvlText w:val="•"/>
      <w:lvlJc w:val="left"/>
      <w:pPr>
        <w:ind w:left="1860" w:hanging="399"/>
      </w:pPr>
      <w:rPr>
        <w:rFonts w:hint="default"/>
        <w:lang w:val="en-US" w:eastAsia="zh-CN" w:bidi="ar-SA"/>
      </w:rPr>
    </w:lvl>
    <w:lvl w:ilvl="3" w:tentative="0">
      <w:start w:val="0"/>
      <w:numFmt w:val="bullet"/>
      <w:lvlText w:val="•"/>
      <w:lvlJc w:val="left"/>
      <w:pPr>
        <w:ind w:left="1920" w:hanging="399"/>
      </w:pPr>
      <w:rPr>
        <w:rFonts w:hint="default"/>
        <w:lang w:val="en-US" w:eastAsia="zh-CN" w:bidi="ar-SA"/>
      </w:rPr>
    </w:lvl>
    <w:lvl w:ilvl="4" w:tentative="0">
      <w:start w:val="0"/>
      <w:numFmt w:val="bullet"/>
      <w:lvlText w:val="•"/>
      <w:lvlJc w:val="left"/>
      <w:pPr>
        <w:ind w:left="1940" w:hanging="399"/>
      </w:pPr>
      <w:rPr>
        <w:rFonts w:hint="default"/>
        <w:lang w:val="en-US" w:eastAsia="zh-CN" w:bidi="ar-SA"/>
      </w:rPr>
    </w:lvl>
    <w:lvl w:ilvl="5" w:tentative="0">
      <w:start w:val="0"/>
      <w:numFmt w:val="bullet"/>
      <w:lvlText w:val="•"/>
      <w:lvlJc w:val="left"/>
      <w:pPr>
        <w:ind w:left="3328" w:hanging="399"/>
      </w:pPr>
      <w:rPr>
        <w:rFonts w:hint="default"/>
        <w:lang w:val="en-US" w:eastAsia="zh-CN" w:bidi="ar-SA"/>
      </w:rPr>
    </w:lvl>
    <w:lvl w:ilvl="6" w:tentative="0">
      <w:start w:val="0"/>
      <w:numFmt w:val="bullet"/>
      <w:lvlText w:val="•"/>
      <w:lvlJc w:val="left"/>
      <w:pPr>
        <w:ind w:left="4716" w:hanging="399"/>
      </w:pPr>
      <w:rPr>
        <w:rFonts w:hint="default"/>
        <w:lang w:val="en-US" w:eastAsia="zh-CN" w:bidi="ar-SA"/>
      </w:rPr>
    </w:lvl>
    <w:lvl w:ilvl="7" w:tentative="0">
      <w:start w:val="0"/>
      <w:numFmt w:val="bullet"/>
      <w:lvlText w:val="•"/>
      <w:lvlJc w:val="left"/>
      <w:pPr>
        <w:ind w:left="6105" w:hanging="399"/>
      </w:pPr>
      <w:rPr>
        <w:rFonts w:hint="default"/>
        <w:lang w:val="en-US" w:eastAsia="zh-CN" w:bidi="ar-SA"/>
      </w:rPr>
    </w:lvl>
    <w:lvl w:ilvl="8" w:tentative="0">
      <w:start w:val="0"/>
      <w:numFmt w:val="bullet"/>
      <w:lvlText w:val="•"/>
      <w:lvlJc w:val="left"/>
      <w:pPr>
        <w:ind w:left="7493" w:hanging="399"/>
      </w:pPr>
      <w:rPr>
        <w:rFonts w:hint="default"/>
        <w:lang w:val="en-US" w:eastAsia="zh-CN" w:bidi="ar-SA"/>
      </w:rPr>
    </w:lvl>
  </w:abstractNum>
  <w:abstractNum w:abstractNumId="48">
    <w:nsid w:val="60382F6E"/>
    <w:multiLevelType w:val="multilevel"/>
    <w:tmpl w:val="60382F6E"/>
    <w:lvl w:ilvl="0" w:tentative="0">
      <w:start w:val="25"/>
      <w:numFmt w:val="decimal"/>
      <w:lvlText w:val="%1."/>
      <w:lvlJc w:val="left"/>
      <w:pPr>
        <w:ind w:left="1221" w:hanging="333"/>
        <w:jc w:val="left"/>
      </w:pPr>
      <w:rPr>
        <w:rFonts w:hint="default" w:ascii="宋体" w:hAnsi="宋体" w:eastAsia="宋体" w:cs="宋体"/>
        <w:b/>
        <w:bCs/>
        <w:i w:val="0"/>
        <w:iCs w:val="0"/>
        <w:spacing w:val="-5"/>
        <w:w w:val="99"/>
        <w:sz w:val="20"/>
        <w:szCs w:val="20"/>
        <w:lang w:val="en-US" w:eastAsia="zh-CN" w:bidi="ar-SA"/>
      </w:rPr>
    </w:lvl>
    <w:lvl w:ilvl="1" w:tentative="0">
      <w:start w:val="1"/>
      <w:numFmt w:val="decimal"/>
      <w:lvlText w:val="%1.%2"/>
      <w:lvlJc w:val="left"/>
      <w:pPr>
        <w:ind w:left="1904" w:hanging="533"/>
        <w:jc w:val="left"/>
      </w:pPr>
      <w:rPr>
        <w:rFonts w:hint="default" w:ascii="宋体" w:hAnsi="宋体" w:eastAsia="宋体" w:cs="宋体"/>
        <w:b w:val="0"/>
        <w:bCs w:val="0"/>
        <w:i w:val="0"/>
        <w:iCs w:val="0"/>
        <w:spacing w:val="-15"/>
        <w:w w:val="100"/>
        <w:sz w:val="24"/>
        <w:szCs w:val="24"/>
        <w:lang w:val="en-US" w:eastAsia="zh-CN" w:bidi="ar-SA"/>
      </w:rPr>
    </w:lvl>
    <w:lvl w:ilvl="2" w:tentative="0">
      <w:start w:val="0"/>
      <w:numFmt w:val="bullet"/>
      <w:lvlText w:val="•"/>
      <w:lvlJc w:val="left"/>
      <w:pPr>
        <w:ind w:left="2830" w:hanging="533"/>
      </w:pPr>
      <w:rPr>
        <w:rFonts w:hint="default"/>
        <w:lang w:val="en-US" w:eastAsia="zh-CN" w:bidi="ar-SA"/>
      </w:rPr>
    </w:lvl>
    <w:lvl w:ilvl="3" w:tentative="0">
      <w:start w:val="0"/>
      <w:numFmt w:val="bullet"/>
      <w:lvlText w:val="•"/>
      <w:lvlJc w:val="left"/>
      <w:pPr>
        <w:ind w:left="3760" w:hanging="533"/>
      </w:pPr>
      <w:rPr>
        <w:rFonts w:hint="default"/>
        <w:lang w:val="en-US" w:eastAsia="zh-CN" w:bidi="ar-SA"/>
      </w:rPr>
    </w:lvl>
    <w:lvl w:ilvl="4" w:tentative="0">
      <w:start w:val="0"/>
      <w:numFmt w:val="bullet"/>
      <w:lvlText w:val="•"/>
      <w:lvlJc w:val="left"/>
      <w:pPr>
        <w:ind w:left="4690" w:hanging="533"/>
      </w:pPr>
      <w:rPr>
        <w:rFonts w:hint="default"/>
        <w:lang w:val="en-US" w:eastAsia="zh-CN" w:bidi="ar-SA"/>
      </w:rPr>
    </w:lvl>
    <w:lvl w:ilvl="5" w:tentative="0">
      <w:start w:val="0"/>
      <w:numFmt w:val="bullet"/>
      <w:lvlText w:val="•"/>
      <w:lvlJc w:val="left"/>
      <w:pPr>
        <w:ind w:left="5620" w:hanging="533"/>
      </w:pPr>
      <w:rPr>
        <w:rFonts w:hint="default"/>
        <w:lang w:val="en-US" w:eastAsia="zh-CN" w:bidi="ar-SA"/>
      </w:rPr>
    </w:lvl>
    <w:lvl w:ilvl="6" w:tentative="0">
      <w:start w:val="0"/>
      <w:numFmt w:val="bullet"/>
      <w:lvlText w:val="•"/>
      <w:lvlJc w:val="left"/>
      <w:pPr>
        <w:ind w:left="6550" w:hanging="533"/>
      </w:pPr>
      <w:rPr>
        <w:rFonts w:hint="default"/>
        <w:lang w:val="en-US" w:eastAsia="zh-CN" w:bidi="ar-SA"/>
      </w:rPr>
    </w:lvl>
    <w:lvl w:ilvl="7" w:tentative="0">
      <w:start w:val="0"/>
      <w:numFmt w:val="bullet"/>
      <w:lvlText w:val="•"/>
      <w:lvlJc w:val="left"/>
      <w:pPr>
        <w:ind w:left="7480" w:hanging="533"/>
      </w:pPr>
      <w:rPr>
        <w:rFonts w:hint="default"/>
        <w:lang w:val="en-US" w:eastAsia="zh-CN" w:bidi="ar-SA"/>
      </w:rPr>
    </w:lvl>
    <w:lvl w:ilvl="8" w:tentative="0">
      <w:start w:val="0"/>
      <w:numFmt w:val="bullet"/>
      <w:lvlText w:val="•"/>
      <w:lvlJc w:val="left"/>
      <w:pPr>
        <w:ind w:left="8410" w:hanging="533"/>
      </w:pPr>
      <w:rPr>
        <w:rFonts w:hint="default"/>
        <w:lang w:val="en-US" w:eastAsia="zh-CN" w:bidi="ar-SA"/>
      </w:rPr>
    </w:lvl>
  </w:abstractNum>
  <w:abstractNum w:abstractNumId="49">
    <w:nsid w:val="629F7852"/>
    <w:multiLevelType w:val="multilevel"/>
    <w:tmpl w:val="629F7852"/>
    <w:lvl w:ilvl="0" w:tentative="0">
      <w:start w:val="1"/>
      <w:numFmt w:val="decimal"/>
      <w:lvlText w:val="（%1）"/>
      <w:lvlJc w:val="left"/>
      <w:pPr>
        <w:ind w:left="1984" w:hanging="610"/>
        <w:jc w:val="left"/>
      </w:pPr>
      <w:rPr>
        <w:rFonts w:hint="default" w:ascii="宋体" w:hAnsi="宋体" w:eastAsia="宋体" w:cs="宋体"/>
        <w:b w:val="0"/>
        <w:bCs w:val="0"/>
        <w:i w:val="0"/>
        <w:iCs w:val="0"/>
        <w:spacing w:val="-5"/>
        <w:w w:val="100"/>
        <w:sz w:val="22"/>
        <w:szCs w:val="22"/>
        <w:lang w:val="en-US" w:eastAsia="zh-CN" w:bidi="ar-SA"/>
      </w:rPr>
    </w:lvl>
    <w:lvl w:ilvl="1" w:tentative="0">
      <w:start w:val="0"/>
      <w:numFmt w:val="bullet"/>
      <w:lvlText w:val="•"/>
      <w:lvlJc w:val="left"/>
      <w:pPr>
        <w:ind w:left="2809" w:hanging="610"/>
      </w:pPr>
      <w:rPr>
        <w:rFonts w:hint="default"/>
        <w:lang w:val="en-US" w:eastAsia="zh-CN" w:bidi="ar-SA"/>
      </w:rPr>
    </w:lvl>
    <w:lvl w:ilvl="2" w:tentative="0">
      <w:start w:val="0"/>
      <w:numFmt w:val="bullet"/>
      <w:lvlText w:val="•"/>
      <w:lvlJc w:val="left"/>
      <w:pPr>
        <w:ind w:left="3638" w:hanging="610"/>
      </w:pPr>
      <w:rPr>
        <w:rFonts w:hint="default"/>
        <w:lang w:val="en-US" w:eastAsia="zh-CN" w:bidi="ar-SA"/>
      </w:rPr>
    </w:lvl>
    <w:lvl w:ilvl="3" w:tentative="0">
      <w:start w:val="0"/>
      <w:numFmt w:val="bullet"/>
      <w:lvlText w:val="•"/>
      <w:lvlJc w:val="left"/>
      <w:pPr>
        <w:ind w:left="4467" w:hanging="610"/>
      </w:pPr>
      <w:rPr>
        <w:rFonts w:hint="default"/>
        <w:lang w:val="en-US" w:eastAsia="zh-CN" w:bidi="ar-SA"/>
      </w:rPr>
    </w:lvl>
    <w:lvl w:ilvl="4" w:tentative="0">
      <w:start w:val="0"/>
      <w:numFmt w:val="bullet"/>
      <w:lvlText w:val="•"/>
      <w:lvlJc w:val="left"/>
      <w:pPr>
        <w:ind w:left="5296" w:hanging="610"/>
      </w:pPr>
      <w:rPr>
        <w:rFonts w:hint="default"/>
        <w:lang w:val="en-US" w:eastAsia="zh-CN" w:bidi="ar-SA"/>
      </w:rPr>
    </w:lvl>
    <w:lvl w:ilvl="5" w:tentative="0">
      <w:start w:val="0"/>
      <w:numFmt w:val="bullet"/>
      <w:lvlText w:val="•"/>
      <w:lvlJc w:val="left"/>
      <w:pPr>
        <w:ind w:left="6125" w:hanging="610"/>
      </w:pPr>
      <w:rPr>
        <w:rFonts w:hint="default"/>
        <w:lang w:val="en-US" w:eastAsia="zh-CN" w:bidi="ar-SA"/>
      </w:rPr>
    </w:lvl>
    <w:lvl w:ilvl="6" w:tentative="0">
      <w:start w:val="0"/>
      <w:numFmt w:val="bullet"/>
      <w:lvlText w:val="•"/>
      <w:lvlJc w:val="left"/>
      <w:pPr>
        <w:ind w:left="6954" w:hanging="610"/>
      </w:pPr>
      <w:rPr>
        <w:rFonts w:hint="default"/>
        <w:lang w:val="en-US" w:eastAsia="zh-CN" w:bidi="ar-SA"/>
      </w:rPr>
    </w:lvl>
    <w:lvl w:ilvl="7" w:tentative="0">
      <w:start w:val="0"/>
      <w:numFmt w:val="bullet"/>
      <w:lvlText w:val="•"/>
      <w:lvlJc w:val="left"/>
      <w:pPr>
        <w:ind w:left="7783" w:hanging="610"/>
      </w:pPr>
      <w:rPr>
        <w:rFonts w:hint="default"/>
        <w:lang w:val="en-US" w:eastAsia="zh-CN" w:bidi="ar-SA"/>
      </w:rPr>
    </w:lvl>
    <w:lvl w:ilvl="8" w:tentative="0">
      <w:start w:val="0"/>
      <w:numFmt w:val="bullet"/>
      <w:lvlText w:val="•"/>
      <w:lvlJc w:val="left"/>
      <w:pPr>
        <w:ind w:left="8612" w:hanging="610"/>
      </w:pPr>
      <w:rPr>
        <w:rFonts w:hint="default"/>
        <w:lang w:val="en-US" w:eastAsia="zh-CN" w:bidi="ar-SA"/>
      </w:rPr>
    </w:lvl>
  </w:abstractNum>
  <w:abstractNum w:abstractNumId="50">
    <w:nsid w:val="65CD0074"/>
    <w:multiLevelType w:val="multilevel"/>
    <w:tmpl w:val="65CD0074"/>
    <w:lvl w:ilvl="0" w:tentative="0">
      <w:start w:val="1"/>
      <w:numFmt w:val="decimal"/>
      <w:lvlText w:val="%1"/>
      <w:lvlJc w:val="left"/>
      <w:pPr>
        <w:ind w:left="1804" w:hanging="466"/>
        <w:jc w:val="left"/>
      </w:pPr>
      <w:rPr>
        <w:rFonts w:hint="default"/>
        <w:lang w:val="en-US" w:eastAsia="zh-CN" w:bidi="ar-SA"/>
      </w:rPr>
    </w:lvl>
    <w:lvl w:ilvl="1" w:tentative="0">
      <w:start w:val="1"/>
      <w:numFmt w:val="decimal"/>
      <w:lvlText w:val="%1.%2"/>
      <w:lvlJc w:val="left"/>
      <w:pPr>
        <w:ind w:left="1804" w:hanging="466"/>
        <w:jc w:val="left"/>
      </w:pPr>
      <w:rPr>
        <w:rFonts w:hint="default" w:ascii="宋体" w:hAnsi="宋体" w:eastAsia="宋体" w:cs="宋体"/>
        <w:b/>
        <w:bCs/>
        <w:i w:val="0"/>
        <w:iCs w:val="0"/>
        <w:spacing w:val="-10"/>
        <w:w w:val="99"/>
        <w:sz w:val="24"/>
        <w:szCs w:val="24"/>
        <w:lang w:val="en-US" w:eastAsia="zh-CN" w:bidi="ar-SA"/>
      </w:rPr>
    </w:lvl>
    <w:lvl w:ilvl="2" w:tentative="0">
      <w:start w:val="1"/>
      <w:numFmt w:val="decimal"/>
      <w:lvlText w:val="%1.%2.%3"/>
      <w:lvlJc w:val="left"/>
      <w:pPr>
        <w:ind w:left="2000" w:hanging="665"/>
        <w:jc w:val="left"/>
      </w:pPr>
      <w:rPr>
        <w:rFonts w:hint="default" w:ascii="宋体" w:hAnsi="宋体" w:eastAsia="宋体" w:cs="宋体"/>
        <w:b w:val="0"/>
        <w:bCs w:val="0"/>
        <w:i w:val="0"/>
        <w:iCs w:val="0"/>
        <w:spacing w:val="-5"/>
        <w:w w:val="96"/>
        <w:sz w:val="24"/>
        <w:szCs w:val="24"/>
        <w:lang w:val="en-US" w:eastAsia="zh-CN" w:bidi="ar-SA"/>
      </w:rPr>
    </w:lvl>
    <w:lvl w:ilvl="3" w:tentative="0">
      <w:start w:val="0"/>
      <w:numFmt w:val="bullet"/>
      <w:lvlText w:val="•"/>
      <w:lvlJc w:val="left"/>
      <w:pPr>
        <w:ind w:left="2000" w:hanging="665"/>
      </w:pPr>
      <w:rPr>
        <w:rFonts w:hint="default"/>
        <w:lang w:val="en-US" w:eastAsia="zh-CN" w:bidi="ar-SA"/>
      </w:rPr>
    </w:lvl>
    <w:lvl w:ilvl="4" w:tentative="0">
      <w:start w:val="0"/>
      <w:numFmt w:val="bullet"/>
      <w:lvlText w:val="•"/>
      <w:lvlJc w:val="left"/>
      <w:pPr>
        <w:ind w:left="3181" w:hanging="665"/>
      </w:pPr>
      <w:rPr>
        <w:rFonts w:hint="default"/>
        <w:lang w:val="en-US" w:eastAsia="zh-CN" w:bidi="ar-SA"/>
      </w:rPr>
    </w:lvl>
    <w:lvl w:ilvl="5" w:tentative="0">
      <w:start w:val="0"/>
      <w:numFmt w:val="bullet"/>
      <w:lvlText w:val="•"/>
      <w:lvlJc w:val="left"/>
      <w:pPr>
        <w:ind w:left="4362" w:hanging="665"/>
      </w:pPr>
      <w:rPr>
        <w:rFonts w:hint="default"/>
        <w:lang w:val="en-US" w:eastAsia="zh-CN" w:bidi="ar-SA"/>
      </w:rPr>
    </w:lvl>
    <w:lvl w:ilvl="6" w:tentative="0">
      <w:start w:val="0"/>
      <w:numFmt w:val="bullet"/>
      <w:lvlText w:val="•"/>
      <w:lvlJc w:val="left"/>
      <w:pPr>
        <w:ind w:left="5544" w:hanging="665"/>
      </w:pPr>
      <w:rPr>
        <w:rFonts w:hint="default"/>
        <w:lang w:val="en-US" w:eastAsia="zh-CN" w:bidi="ar-SA"/>
      </w:rPr>
    </w:lvl>
    <w:lvl w:ilvl="7" w:tentative="0">
      <w:start w:val="0"/>
      <w:numFmt w:val="bullet"/>
      <w:lvlText w:val="•"/>
      <w:lvlJc w:val="left"/>
      <w:pPr>
        <w:ind w:left="6725" w:hanging="665"/>
      </w:pPr>
      <w:rPr>
        <w:rFonts w:hint="default"/>
        <w:lang w:val="en-US" w:eastAsia="zh-CN" w:bidi="ar-SA"/>
      </w:rPr>
    </w:lvl>
    <w:lvl w:ilvl="8" w:tentative="0">
      <w:start w:val="0"/>
      <w:numFmt w:val="bullet"/>
      <w:lvlText w:val="•"/>
      <w:lvlJc w:val="left"/>
      <w:pPr>
        <w:ind w:left="7907" w:hanging="665"/>
      </w:pPr>
      <w:rPr>
        <w:rFonts w:hint="default"/>
        <w:lang w:val="en-US" w:eastAsia="zh-CN" w:bidi="ar-SA"/>
      </w:rPr>
    </w:lvl>
  </w:abstractNum>
  <w:abstractNum w:abstractNumId="51">
    <w:nsid w:val="72183CF9"/>
    <w:multiLevelType w:val="multilevel"/>
    <w:tmpl w:val="72183CF9"/>
    <w:lvl w:ilvl="0" w:tentative="0">
      <w:start w:val="1"/>
      <w:numFmt w:val="decimal"/>
      <w:lvlText w:val="%1."/>
      <w:lvlJc w:val="left"/>
      <w:pPr>
        <w:ind w:left="355" w:hanging="220"/>
        <w:jc w:val="left"/>
      </w:pPr>
      <w:rPr>
        <w:rFonts w:hint="default" w:ascii="宋体" w:hAnsi="宋体" w:eastAsia="宋体" w:cs="宋体"/>
        <w:b w:val="0"/>
        <w:bCs w:val="0"/>
        <w:i w:val="0"/>
        <w:iCs w:val="0"/>
        <w:spacing w:val="-5"/>
        <w:w w:val="100"/>
        <w:sz w:val="20"/>
        <w:szCs w:val="20"/>
        <w:lang w:val="en-US" w:eastAsia="zh-CN" w:bidi="ar-SA"/>
      </w:rPr>
    </w:lvl>
    <w:lvl w:ilvl="1" w:tentative="0">
      <w:start w:val="0"/>
      <w:numFmt w:val="bullet"/>
      <w:lvlText w:val="•"/>
      <w:lvlJc w:val="left"/>
      <w:pPr>
        <w:ind w:left="1010" w:hanging="220"/>
      </w:pPr>
      <w:rPr>
        <w:rFonts w:hint="default"/>
        <w:lang w:val="en-US" w:eastAsia="zh-CN" w:bidi="ar-SA"/>
      </w:rPr>
    </w:lvl>
    <w:lvl w:ilvl="2" w:tentative="0">
      <w:start w:val="0"/>
      <w:numFmt w:val="bullet"/>
      <w:lvlText w:val="•"/>
      <w:lvlJc w:val="left"/>
      <w:pPr>
        <w:ind w:left="1661" w:hanging="220"/>
      </w:pPr>
      <w:rPr>
        <w:rFonts w:hint="default"/>
        <w:lang w:val="en-US" w:eastAsia="zh-CN" w:bidi="ar-SA"/>
      </w:rPr>
    </w:lvl>
    <w:lvl w:ilvl="3" w:tentative="0">
      <w:start w:val="0"/>
      <w:numFmt w:val="bullet"/>
      <w:lvlText w:val="•"/>
      <w:lvlJc w:val="left"/>
      <w:pPr>
        <w:ind w:left="2312" w:hanging="220"/>
      </w:pPr>
      <w:rPr>
        <w:rFonts w:hint="default"/>
        <w:lang w:val="en-US" w:eastAsia="zh-CN" w:bidi="ar-SA"/>
      </w:rPr>
    </w:lvl>
    <w:lvl w:ilvl="4" w:tentative="0">
      <w:start w:val="0"/>
      <w:numFmt w:val="bullet"/>
      <w:lvlText w:val="•"/>
      <w:lvlJc w:val="left"/>
      <w:pPr>
        <w:ind w:left="2963" w:hanging="220"/>
      </w:pPr>
      <w:rPr>
        <w:rFonts w:hint="default"/>
        <w:lang w:val="en-US" w:eastAsia="zh-CN" w:bidi="ar-SA"/>
      </w:rPr>
    </w:lvl>
    <w:lvl w:ilvl="5" w:tentative="0">
      <w:start w:val="0"/>
      <w:numFmt w:val="bullet"/>
      <w:lvlText w:val="•"/>
      <w:lvlJc w:val="left"/>
      <w:pPr>
        <w:ind w:left="3614" w:hanging="220"/>
      </w:pPr>
      <w:rPr>
        <w:rFonts w:hint="default"/>
        <w:lang w:val="en-US" w:eastAsia="zh-CN" w:bidi="ar-SA"/>
      </w:rPr>
    </w:lvl>
    <w:lvl w:ilvl="6" w:tentative="0">
      <w:start w:val="0"/>
      <w:numFmt w:val="bullet"/>
      <w:lvlText w:val="•"/>
      <w:lvlJc w:val="left"/>
      <w:pPr>
        <w:ind w:left="4265" w:hanging="220"/>
      </w:pPr>
      <w:rPr>
        <w:rFonts w:hint="default"/>
        <w:lang w:val="en-US" w:eastAsia="zh-CN" w:bidi="ar-SA"/>
      </w:rPr>
    </w:lvl>
    <w:lvl w:ilvl="7" w:tentative="0">
      <w:start w:val="0"/>
      <w:numFmt w:val="bullet"/>
      <w:lvlText w:val="•"/>
      <w:lvlJc w:val="left"/>
      <w:pPr>
        <w:ind w:left="4916" w:hanging="220"/>
      </w:pPr>
      <w:rPr>
        <w:rFonts w:hint="default"/>
        <w:lang w:val="en-US" w:eastAsia="zh-CN" w:bidi="ar-SA"/>
      </w:rPr>
    </w:lvl>
    <w:lvl w:ilvl="8" w:tentative="0">
      <w:start w:val="0"/>
      <w:numFmt w:val="bullet"/>
      <w:lvlText w:val="•"/>
      <w:lvlJc w:val="left"/>
      <w:pPr>
        <w:ind w:left="5567" w:hanging="220"/>
      </w:pPr>
      <w:rPr>
        <w:rFonts w:hint="default"/>
        <w:lang w:val="en-US" w:eastAsia="zh-CN" w:bidi="ar-SA"/>
      </w:rPr>
    </w:lvl>
  </w:abstractNum>
  <w:abstractNum w:abstractNumId="52">
    <w:nsid w:val="77ECEA79"/>
    <w:multiLevelType w:val="multilevel"/>
    <w:tmpl w:val="77ECEA79"/>
    <w:lvl w:ilvl="0" w:tentative="0">
      <w:start w:val="1"/>
      <w:numFmt w:val="decimal"/>
      <w:lvlText w:val="（%1）"/>
      <w:lvlJc w:val="left"/>
      <w:pPr>
        <w:ind w:left="1943" w:hanging="569"/>
        <w:jc w:val="left"/>
      </w:pPr>
      <w:rPr>
        <w:rFonts w:hint="default" w:ascii="宋体" w:hAnsi="宋体" w:eastAsia="宋体" w:cs="宋体"/>
        <w:b w:val="0"/>
        <w:bCs w:val="0"/>
        <w:i w:val="0"/>
        <w:iCs w:val="0"/>
        <w:spacing w:val="-15"/>
        <w:w w:val="100"/>
        <w:sz w:val="22"/>
        <w:szCs w:val="22"/>
        <w:lang w:val="en-US" w:eastAsia="zh-CN" w:bidi="ar-SA"/>
      </w:rPr>
    </w:lvl>
    <w:lvl w:ilvl="1" w:tentative="0">
      <w:start w:val="0"/>
      <w:numFmt w:val="bullet"/>
      <w:lvlText w:val="•"/>
      <w:lvlJc w:val="left"/>
      <w:pPr>
        <w:ind w:left="2773" w:hanging="569"/>
      </w:pPr>
      <w:rPr>
        <w:rFonts w:hint="default"/>
        <w:lang w:val="en-US" w:eastAsia="zh-CN" w:bidi="ar-SA"/>
      </w:rPr>
    </w:lvl>
    <w:lvl w:ilvl="2" w:tentative="0">
      <w:start w:val="0"/>
      <w:numFmt w:val="bullet"/>
      <w:lvlText w:val="•"/>
      <w:lvlJc w:val="left"/>
      <w:pPr>
        <w:ind w:left="3606" w:hanging="569"/>
      </w:pPr>
      <w:rPr>
        <w:rFonts w:hint="default"/>
        <w:lang w:val="en-US" w:eastAsia="zh-CN" w:bidi="ar-SA"/>
      </w:rPr>
    </w:lvl>
    <w:lvl w:ilvl="3" w:tentative="0">
      <w:start w:val="0"/>
      <w:numFmt w:val="bullet"/>
      <w:lvlText w:val="•"/>
      <w:lvlJc w:val="left"/>
      <w:pPr>
        <w:ind w:left="4439" w:hanging="569"/>
      </w:pPr>
      <w:rPr>
        <w:rFonts w:hint="default"/>
        <w:lang w:val="en-US" w:eastAsia="zh-CN" w:bidi="ar-SA"/>
      </w:rPr>
    </w:lvl>
    <w:lvl w:ilvl="4" w:tentative="0">
      <w:start w:val="0"/>
      <w:numFmt w:val="bullet"/>
      <w:lvlText w:val="•"/>
      <w:lvlJc w:val="left"/>
      <w:pPr>
        <w:ind w:left="5272" w:hanging="569"/>
      </w:pPr>
      <w:rPr>
        <w:rFonts w:hint="default"/>
        <w:lang w:val="en-US" w:eastAsia="zh-CN" w:bidi="ar-SA"/>
      </w:rPr>
    </w:lvl>
    <w:lvl w:ilvl="5" w:tentative="0">
      <w:start w:val="0"/>
      <w:numFmt w:val="bullet"/>
      <w:lvlText w:val="•"/>
      <w:lvlJc w:val="left"/>
      <w:pPr>
        <w:ind w:left="6105" w:hanging="569"/>
      </w:pPr>
      <w:rPr>
        <w:rFonts w:hint="default"/>
        <w:lang w:val="en-US" w:eastAsia="zh-CN" w:bidi="ar-SA"/>
      </w:rPr>
    </w:lvl>
    <w:lvl w:ilvl="6" w:tentative="0">
      <w:start w:val="0"/>
      <w:numFmt w:val="bullet"/>
      <w:lvlText w:val="•"/>
      <w:lvlJc w:val="left"/>
      <w:pPr>
        <w:ind w:left="6938" w:hanging="569"/>
      </w:pPr>
      <w:rPr>
        <w:rFonts w:hint="default"/>
        <w:lang w:val="en-US" w:eastAsia="zh-CN" w:bidi="ar-SA"/>
      </w:rPr>
    </w:lvl>
    <w:lvl w:ilvl="7" w:tentative="0">
      <w:start w:val="0"/>
      <w:numFmt w:val="bullet"/>
      <w:lvlText w:val="•"/>
      <w:lvlJc w:val="left"/>
      <w:pPr>
        <w:ind w:left="7771" w:hanging="569"/>
      </w:pPr>
      <w:rPr>
        <w:rFonts w:hint="default"/>
        <w:lang w:val="en-US" w:eastAsia="zh-CN" w:bidi="ar-SA"/>
      </w:rPr>
    </w:lvl>
    <w:lvl w:ilvl="8" w:tentative="0">
      <w:start w:val="0"/>
      <w:numFmt w:val="bullet"/>
      <w:lvlText w:val="•"/>
      <w:lvlJc w:val="left"/>
      <w:pPr>
        <w:ind w:left="8604" w:hanging="569"/>
      </w:pPr>
      <w:rPr>
        <w:rFonts w:hint="default"/>
        <w:lang w:val="en-US" w:eastAsia="zh-CN" w:bidi="ar-SA"/>
      </w:rPr>
    </w:lvl>
  </w:abstractNum>
  <w:abstractNum w:abstractNumId="53">
    <w:nsid w:val="79AA4FA4"/>
    <w:multiLevelType w:val="multilevel"/>
    <w:tmpl w:val="79AA4FA4"/>
    <w:lvl w:ilvl="0" w:tentative="0">
      <w:start w:val="39"/>
      <w:numFmt w:val="decimal"/>
      <w:lvlText w:val="%1"/>
      <w:lvlJc w:val="left"/>
      <w:pPr>
        <w:ind w:left="889" w:hanging="543"/>
        <w:jc w:val="left"/>
      </w:pPr>
      <w:rPr>
        <w:rFonts w:hint="default"/>
        <w:lang w:val="en-US" w:eastAsia="zh-CN" w:bidi="ar-SA"/>
      </w:rPr>
    </w:lvl>
    <w:lvl w:ilvl="1" w:tentative="0">
      <w:start w:val="1"/>
      <w:numFmt w:val="decimal"/>
      <w:lvlText w:val="%1.%2"/>
      <w:lvlJc w:val="left"/>
      <w:pPr>
        <w:ind w:left="889" w:hanging="543"/>
        <w:jc w:val="left"/>
      </w:pPr>
      <w:rPr>
        <w:rFonts w:hint="default" w:ascii="宋体" w:hAnsi="宋体" w:eastAsia="宋体" w:cs="宋体"/>
        <w:b w:val="0"/>
        <w:bCs w:val="0"/>
        <w:i w:val="0"/>
        <w:iCs w:val="0"/>
        <w:spacing w:val="-8"/>
        <w:w w:val="100"/>
        <w:sz w:val="24"/>
        <w:szCs w:val="24"/>
        <w:lang w:val="en-US" w:eastAsia="zh-CN" w:bidi="ar-SA"/>
      </w:rPr>
    </w:lvl>
    <w:lvl w:ilvl="2" w:tentative="0">
      <w:start w:val="0"/>
      <w:numFmt w:val="bullet"/>
      <w:lvlText w:val="•"/>
      <w:lvlJc w:val="left"/>
      <w:pPr>
        <w:ind w:left="2758" w:hanging="543"/>
      </w:pPr>
      <w:rPr>
        <w:rFonts w:hint="default"/>
        <w:lang w:val="en-US" w:eastAsia="zh-CN" w:bidi="ar-SA"/>
      </w:rPr>
    </w:lvl>
    <w:lvl w:ilvl="3" w:tentative="0">
      <w:start w:val="0"/>
      <w:numFmt w:val="bullet"/>
      <w:lvlText w:val="•"/>
      <w:lvlJc w:val="left"/>
      <w:pPr>
        <w:ind w:left="3697" w:hanging="543"/>
      </w:pPr>
      <w:rPr>
        <w:rFonts w:hint="default"/>
        <w:lang w:val="en-US" w:eastAsia="zh-CN" w:bidi="ar-SA"/>
      </w:rPr>
    </w:lvl>
    <w:lvl w:ilvl="4" w:tentative="0">
      <w:start w:val="0"/>
      <w:numFmt w:val="bullet"/>
      <w:lvlText w:val="•"/>
      <w:lvlJc w:val="left"/>
      <w:pPr>
        <w:ind w:left="4636" w:hanging="543"/>
      </w:pPr>
      <w:rPr>
        <w:rFonts w:hint="default"/>
        <w:lang w:val="en-US" w:eastAsia="zh-CN" w:bidi="ar-SA"/>
      </w:rPr>
    </w:lvl>
    <w:lvl w:ilvl="5" w:tentative="0">
      <w:start w:val="0"/>
      <w:numFmt w:val="bullet"/>
      <w:lvlText w:val="•"/>
      <w:lvlJc w:val="left"/>
      <w:pPr>
        <w:ind w:left="5575" w:hanging="543"/>
      </w:pPr>
      <w:rPr>
        <w:rFonts w:hint="default"/>
        <w:lang w:val="en-US" w:eastAsia="zh-CN" w:bidi="ar-SA"/>
      </w:rPr>
    </w:lvl>
    <w:lvl w:ilvl="6" w:tentative="0">
      <w:start w:val="0"/>
      <w:numFmt w:val="bullet"/>
      <w:lvlText w:val="•"/>
      <w:lvlJc w:val="left"/>
      <w:pPr>
        <w:ind w:left="6514" w:hanging="543"/>
      </w:pPr>
      <w:rPr>
        <w:rFonts w:hint="default"/>
        <w:lang w:val="en-US" w:eastAsia="zh-CN" w:bidi="ar-SA"/>
      </w:rPr>
    </w:lvl>
    <w:lvl w:ilvl="7" w:tentative="0">
      <w:start w:val="0"/>
      <w:numFmt w:val="bullet"/>
      <w:lvlText w:val="•"/>
      <w:lvlJc w:val="left"/>
      <w:pPr>
        <w:ind w:left="7453" w:hanging="543"/>
      </w:pPr>
      <w:rPr>
        <w:rFonts w:hint="default"/>
        <w:lang w:val="en-US" w:eastAsia="zh-CN" w:bidi="ar-SA"/>
      </w:rPr>
    </w:lvl>
    <w:lvl w:ilvl="8" w:tentative="0">
      <w:start w:val="0"/>
      <w:numFmt w:val="bullet"/>
      <w:lvlText w:val="•"/>
      <w:lvlJc w:val="left"/>
      <w:pPr>
        <w:ind w:left="8392" w:hanging="543"/>
      </w:pPr>
      <w:rPr>
        <w:rFonts w:hint="default"/>
        <w:lang w:val="en-US" w:eastAsia="zh-CN" w:bidi="ar-SA"/>
      </w:rPr>
    </w:lvl>
  </w:abstractNum>
  <w:abstractNum w:abstractNumId="54">
    <w:nsid w:val="7C246926"/>
    <w:multiLevelType w:val="multilevel"/>
    <w:tmpl w:val="7C246926"/>
    <w:lvl w:ilvl="0" w:tentative="0">
      <w:start w:val="1"/>
      <w:numFmt w:val="decimal"/>
      <w:lvlText w:val="（%1）"/>
      <w:lvlJc w:val="left"/>
      <w:pPr>
        <w:ind w:left="1950" w:hanging="576"/>
        <w:jc w:val="left"/>
      </w:pPr>
      <w:rPr>
        <w:rFonts w:hint="default" w:ascii="宋体" w:hAnsi="宋体" w:eastAsia="宋体" w:cs="宋体"/>
        <w:b w:val="0"/>
        <w:bCs w:val="0"/>
        <w:i w:val="0"/>
        <w:iCs w:val="0"/>
        <w:spacing w:val="-15"/>
        <w:w w:val="100"/>
        <w:sz w:val="22"/>
        <w:szCs w:val="22"/>
        <w:lang w:val="en-US" w:eastAsia="zh-CN" w:bidi="ar-SA"/>
      </w:rPr>
    </w:lvl>
    <w:lvl w:ilvl="1" w:tentative="0">
      <w:start w:val="0"/>
      <w:numFmt w:val="bullet"/>
      <w:lvlText w:val="•"/>
      <w:lvlJc w:val="left"/>
      <w:pPr>
        <w:ind w:left="2791" w:hanging="576"/>
      </w:pPr>
      <w:rPr>
        <w:rFonts w:hint="default"/>
        <w:lang w:val="en-US" w:eastAsia="zh-CN" w:bidi="ar-SA"/>
      </w:rPr>
    </w:lvl>
    <w:lvl w:ilvl="2" w:tentative="0">
      <w:start w:val="0"/>
      <w:numFmt w:val="bullet"/>
      <w:lvlText w:val="•"/>
      <w:lvlJc w:val="left"/>
      <w:pPr>
        <w:ind w:left="3622" w:hanging="576"/>
      </w:pPr>
      <w:rPr>
        <w:rFonts w:hint="default"/>
        <w:lang w:val="en-US" w:eastAsia="zh-CN" w:bidi="ar-SA"/>
      </w:rPr>
    </w:lvl>
    <w:lvl w:ilvl="3" w:tentative="0">
      <w:start w:val="0"/>
      <w:numFmt w:val="bullet"/>
      <w:lvlText w:val="•"/>
      <w:lvlJc w:val="left"/>
      <w:pPr>
        <w:ind w:left="4453" w:hanging="576"/>
      </w:pPr>
      <w:rPr>
        <w:rFonts w:hint="default"/>
        <w:lang w:val="en-US" w:eastAsia="zh-CN" w:bidi="ar-SA"/>
      </w:rPr>
    </w:lvl>
    <w:lvl w:ilvl="4" w:tentative="0">
      <w:start w:val="0"/>
      <w:numFmt w:val="bullet"/>
      <w:lvlText w:val="•"/>
      <w:lvlJc w:val="left"/>
      <w:pPr>
        <w:ind w:left="5284" w:hanging="576"/>
      </w:pPr>
      <w:rPr>
        <w:rFonts w:hint="default"/>
        <w:lang w:val="en-US" w:eastAsia="zh-CN" w:bidi="ar-SA"/>
      </w:rPr>
    </w:lvl>
    <w:lvl w:ilvl="5" w:tentative="0">
      <w:start w:val="0"/>
      <w:numFmt w:val="bullet"/>
      <w:lvlText w:val="•"/>
      <w:lvlJc w:val="left"/>
      <w:pPr>
        <w:ind w:left="6115" w:hanging="576"/>
      </w:pPr>
      <w:rPr>
        <w:rFonts w:hint="default"/>
        <w:lang w:val="en-US" w:eastAsia="zh-CN" w:bidi="ar-SA"/>
      </w:rPr>
    </w:lvl>
    <w:lvl w:ilvl="6" w:tentative="0">
      <w:start w:val="0"/>
      <w:numFmt w:val="bullet"/>
      <w:lvlText w:val="•"/>
      <w:lvlJc w:val="left"/>
      <w:pPr>
        <w:ind w:left="6946" w:hanging="576"/>
      </w:pPr>
      <w:rPr>
        <w:rFonts w:hint="default"/>
        <w:lang w:val="en-US" w:eastAsia="zh-CN" w:bidi="ar-SA"/>
      </w:rPr>
    </w:lvl>
    <w:lvl w:ilvl="7" w:tentative="0">
      <w:start w:val="0"/>
      <w:numFmt w:val="bullet"/>
      <w:lvlText w:val="•"/>
      <w:lvlJc w:val="left"/>
      <w:pPr>
        <w:ind w:left="7777" w:hanging="576"/>
      </w:pPr>
      <w:rPr>
        <w:rFonts w:hint="default"/>
        <w:lang w:val="en-US" w:eastAsia="zh-CN" w:bidi="ar-SA"/>
      </w:rPr>
    </w:lvl>
    <w:lvl w:ilvl="8" w:tentative="0">
      <w:start w:val="0"/>
      <w:numFmt w:val="bullet"/>
      <w:lvlText w:val="•"/>
      <w:lvlJc w:val="left"/>
      <w:pPr>
        <w:ind w:left="8608" w:hanging="576"/>
      </w:pPr>
      <w:rPr>
        <w:rFonts w:hint="default"/>
        <w:lang w:val="en-US" w:eastAsia="zh-CN" w:bidi="ar-SA"/>
      </w:rPr>
    </w:lvl>
  </w:abstractNum>
  <w:abstractNum w:abstractNumId="55">
    <w:nsid w:val="7DEC2089"/>
    <w:multiLevelType w:val="multilevel"/>
    <w:tmpl w:val="7DEC2089"/>
    <w:lvl w:ilvl="0" w:tentative="0">
      <w:start w:val="35"/>
      <w:numFmt w:val="decimal"/>
      <w:lvlText w:val="%1"/>
      <w:lvlJc w:val="left"/>
      <w:pPr>
        <w:ind w:left="1909" w:hanging="538"/>
        <w:jc w:val="left"/>
      </w:pPr>
      <w:rPr>
        <w:rFonts w:hint="default"/>
        <w:lang w:val="en-US" w:eastAsia="zh-CN" w:bidi="ar-SA"/>
      </w:rPr>
    </w:lvl>
    <w:lvl w:ilvl="1" w:tentative="0">
      <w:start w:val="1"/>
      <w:numFmt w:val="decimal"/>
      <w:lvlText w:val="%1.%2"/>
      <w:lvlJc w:val="left"/>
      <w:pPr>
        <w:ind w:left="1909" w:hanging="538"/>
        <w:jc w:val="left"/>
      </w:pPr>
      <w:rPr>
        <w:rFonts w:hint="default" w:ascii="宋体" w:hAnsi="宋体" w:eastAsia="宋体" w:cs="宋体"/>
        <w:b w:val="0"/>
        <w:bCs w:val="0"/>
        <w:i w:val="0"/>
        <w:iCs w:val="0"/>
        <w:spacing w:val="-8"/>
        <w:w w:val="100"/>
        <w:sz w:val="24"/>
        <w:szCs w:val="24"/>
        <w:lang w:val="en-US" w:eastAsia="zh-CN" w:bidi="ar-SA"/>
      </w:rPr>
    </w:lvl>
    <w:lvl w:ilvl="2" w:tentative="0">
      <w:start w:val="0"/>
      <w:numFmt w:val="bullet"/>
      <w:lvlText w:val="•"/>
      <w:lvlJc w:val="left"/>
      <w:pPr>
        <w:ind w:left="3574" w:hanging="538"/>
      </w:pPr>
      <w:rPr>
        <w:rFonts w:hint="default"/>
        <w:lang w:val="en-US" w:eastAsia="zh-CN" w:bidi="ar-SA"/>
      </w:rPr>
    </w:lvl>
    <w:lvl w:ilvl="3" w:tentative="0">
      <w:start w:val="0"/>
      <w:numFmt w:val="bullet"/>
      <w:lvlText w:val="•"/>
      <w:lvlJc w:val="left"/>
      <w:pPr>
        <w:ind w:left="4411" w:hanging="538"/>
      </w:pPr>
      <w:rPr>
        <w:rFonts w:hint="default"/>
        <w:lang w:val="en-US" w:eastAsia="zh-CN" w:bidi="ar-SA"/>
      </w:rPr>
    </w:lvl>
    <w:lvl w:ilvl="4" w:tentative="0">
      <w:start w:val="0"/>
      <w:numFmt w:val="bullet"/>
      <w:lvlText w:val="•"/>
      <w:lvlJc w:val="left"/>
      <w:pPr>
        <w:ind w:left="5248" w:hanging="538"/>
      </w:pPr>
      <w:rPr>
        <w:rFonts w:hint="default"/>
        <w:lang w:val="en-US" w:eastAsia="zh-CN" w:bidi="ar-SA"/>
      </w:rPr>
    </w:lvl>
    <w:lvl w:ilvl="5" w:tentative="0">
      <w:start w:val="0"/>
      <w:numFmt w:val="bullet"/>
      <w:lvlText w:val="•"/>
      <w:lvlJc w:val="left"/>
      <w:pPr>
        <w:ind w:left="6085" w:hanging="538"/>
      </w:pPr>
      <w:rPr>
        <w:rFonts w:hint="default"/>
        <w:lang w:val="en-US" w:eastAsia="zh-CN" w:bidi="ar-SA"/>
      </w:rPr>
    </w:lvl>
    <w:lvl w:ilvl="6" w:tentative="0">
      <w:start w:val="0"/>
      <w:numFmt w:val="bullet"/>
      <w:lvlText w:val="•"/>
      <w:lvlJc w:val="left"/>
      <w:pPr>
        <w:ind w:left="6922" w:hanging="538"/>
      </w:pPr>
      <w:rPr>
        <w:rFonts w:hint="default"/>
        <w:lang w:val="en-US" w:eastAsia="zh-CN" w:bidi="ar-SA"/>
      </w:rPr>
    </w:lvl>
    <w:lvl w:ilvl="7" w:tentative="0">
      <w:start w:val="0"/>
      <w:numFmt w:val="bullet"/>
      <w:lvlText w:val="•"/>
      <w:lvlJc w:val="left"/>
      <w:pPr>
        <w:ind w:left="7759" w:hanging="538"/>
      </w:pPr>
      <w:rPr>
        <w:rFonts w:hint="default"/>
        <w:lang w:val="en-US" w:eastAsia="zh-CN" w:bidi="ar-SA"/>
      </w:rPr>
    </w:lvl>
    <w:lvl w:ilvl="8" w:tentative="0">
      <w:start w:val="0"/>
      <w:numFmt w:val="bullet"/>
      <w:lvlText w:val="•"/>
      <w:lvlJc w:val="left"/>
      <w:pPr>
        <w:ind w:left="8596" w:hanging="538"/>
      </w:pPr>
      <w:rPr>
        <w:rFonts w:hint="default"/>
        <w:lang w:val="en-US" w:eastAsia="zh-CN" w:bidi="ar-SA"/>
      </w:rPr>
    </w:lvl>
  </w:abstractNum>
  <w:num w:numId="1">
    <w:abstractNumId w:val="22"/>
  </w:num>
  <w:num w:numId="2">
    <w:abstractNumId w:val="14"/>
  </w:num>
  <w:num w:numId="3">
    <w:abstractNumId w:val="44"/>
  </w:num>
  <w:num w:numId="4">
    <w:abstractNumId w:val="12"/>
  </w:num>
  <w:num w:numId="5">
    <w:abstractNumId w:val="8"/>
  </w:num>
  <w:num w:numId="6">
    <w:abstractNumId w:val="23"/>
  </w:num>
  <w:num w:numId="7">
    <w:abstractNumId w:val="32"/>
  </w:num>
  <w:num w:numId="8">
    <w:abstractNumId w:val="51"/>
  </w:num>
  <w:num w:numId="9">
    <w:abstractNumId w:val="33"/>
  </w:num>
  <w:num w:numId="10">
    <w:abstractNumId w:val="45"/>
  </w:num>
  <w:num w:numId="11">
    <w:abstractNumId w:val="13"/>
  </w:num>
  <w:num w:numId="12">
    <w:abstractNumId w:val="41"/>
  </w:num>
  <w:num w:numId="13">
    <w:abstractNumId w:val="20"/>
  </w:num>
  <w:num w:numId="14">
    <w:abstractNumId w:val="31"/>
  </w:num>
  <w:num w:numId="15">
    <w:abstractNumId w:val="17"/>
  </w:num>
  <w:num w:numId="16">
    <w:abstractNumId w:val="16"/>
  </w:num>
  <w:num w:numId="17">
    <w:abstractNumId w:val="5"/>
  </w:num>
  <w:num w:numId="18">
    <w:abstractNumId w:val="40"/>
  </w:num>
  <w:num w:numId="19">
    <w:abstractNumId w:val="48"/>
  </w:num>
  <w:num w:numId="20">
    <w:abstractNumId w:val="26"/>
  </w:num>
  <w:num w:numId="21">
    <w:abstractNumId w:val="39"/>
  </w:num>
  <w:num w:numId="22">
    <w:abstractNumId w:val="6"/>
  </w:num>
  <w:num w:numId="23">
    <w:abstractNumId w:val="54"/>
  </w:num>
  <w:num w:numId="24">
    <w:abstractNumId w:val="52"/>
  </w:num>
  <w:num w:numId="25">
    <w:abstractNumId w:val="11"/>
  </w:num>
  <w:num w:numId="26">
    <w:abstractNumId w:val="49"/>
  </w:num>
  <w:num w:numId="27">
    <w:abstractNumId w:val="4"/>
  </w:num>
  <w:num w:numId="28">
    <w:abstractNumId w:val="37"/>
  </w:num>
  <w:num w:numId="29">
    <w:abstractNumId w:val="1"/>
  </w:num>
  <w:num w:numId="30">
    <w:abstractNumId w:val="43"/>
  </w:num>
  <w:num w:numId="31">
    <w:abstractNumId w:val="55"/>
  </w:num>
  <w:num w:numId="32">
    <w:abstractNumId w:val="0"/>
  </w:num>
  <w:num w:numId="33">
    <w:abstractNumId w:val="30"/>
  </w:num>
  <w:num w:numId="34">
    <w:abstractNumId w:val="42"/>
  </w:num>
  <w:num w:numId="35">
    <w:abstractNumId w:val="21"/>
  </w:num>
  <w:num w:numId="36">
    <w:abstractNumId w:val="18"/>
  </w:num>
  <w:num w:numId="37">
    <w:abstractNumId w:val="34"/>
  </w:num>
  <w:num w:numId="38">
    <w:abstractNumId w:val="53"/>
  </w:num>
  <w:num w:numId="39">
    <w:abstractNumId w:val="10"/>
  </w:num>
  <w:num w:numId="40">
    <w:abstractNumId w:val="3"/>
  </w:num>
  <w:num w:numId="41">
    <w:abstractNumId w:val="9"/>
  </w:num>
  <w:num w:numId="42">
    <w:abstractNumId w:val="46"/>
  </w:num>
  <w:num w:numId="43">
    <w:abstractNumId w:val="2"/>
  </w:num>
  <w:num w:numId="44">
    <w:abstractNumId w:val="47"/>
  </w:num>
  <w:num w:numId="45">
    <w:abstractNumId w:val="50"/>
  </w:num>
  <w:num w:numId="46">
    <w:abstractNumId w:val="24"/>
  </w:num>
  <w:num w:numId="47">
    <w:abstractNumId w:val="25"/>
  </w:num>
  <w:num w:numId="48">
    <w:abstractNumId w:val="15"/>
  </w:num>
  <w:num w:numId="49">
    <w:abstractNumId w:val="35"/>
  </w:num>
  <w:num w:numId="50">
    <w:abstractNumId w:val="28"/>
  </w:num>
  <w:num w:numId="51">
    <w:abstractNumId w:val="19"/>
  </w:num>
  <w:num w:numId="52">
    <w:abstractNumId w:val="29"/>
  </w:num>
  <w:num w:numId="53">
    <w:abstractNumId w:val="7"/>
  </w:num>
  <w:num w:numId="54">
    <w:abstractNumId w:val="38"/>
  </w:num>
  <w:num w:numId="55">
    <w:abstractNumId w:val="27"/>
  </w:num>
  <w:num w:numId="5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r2J2PpOUl2ybbNvcjnskxBadbJs=" w:salt="33lsbZFJhZR60KXOOGEB4w=="/>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k2ZmYzOTA3MThmZmVkM2ViNTBjNjM2NTc3MzcyYzIifQ=="/>
  </w:docVars>
  <w:rsids>
    <w:rsidRoot w:val="00000000"/>
    <w:rsid w:val="05A86320"/>
    <w:rsid w:val="081465CD"/>
    <w:rsid w:val="08A54D99"/>
    <w:rsid w:val="0958005D"/>
    <w:rsid w:val="0A6B04FD"/>
    <w:rsid w:val="0D501777"/>
    <w:rsid w:val="0DC927C9"/>
    <w:rsid w:val="0E4F7C80"/>
    <w:rsid w:val="0EB2020F"/>
    <w:rsid w:val="0F0E3698"/>
    <w:rsid w:val="112B6A46"/>
    <w:rsid w:val="1142587A"/>
    <w:rsid w:val="114C494B"/>
    <w:rsid w:val="11E701D0"/>
    <w:rsid w:val="11EF725A"/>
    <w:rsid w:val="130354DD"/>
    <w:rsid w:val="168D7598"/>
    <w:rsid w:val="1AEE25CF"/>
    <w:rsid w:val="1B1F4E7E"/>
    <w:rsid w:val="1D880AB9"/>
    <w:rsid w:val="21313216"/>
    <w:rsid w:val="22D401B1"/>
    <w:rsid w:val="25163943"/>
    <w:rsid w:val="25551BC9"/>
    <w:rsid w:val="27007912"/>
    <w:rsid w:val="28DF17A9"/>
    <w:rsid w:val="29DA269C"/>
    <w:rsid w:val="2A6428AE"/>
    <w:rsid w:val="2A834B78"/>
    <w:rsid w:val="2B0B0D40"/>
    <w:rsid w:val="2C536736"/>
    <w:rsid w:val="2CB847EB"/>
    <w:rsid w:val="2CF47F19"/>
    <w:rsid w:val="2DEB6D6E"/>
    <w:rsid w:val="2E935461"/>
    <w:rsid w:val="2EDE2C2F"/>
    <w:rsid w:val="2EF826B7"/>
    <w:rsid w:val="30DF2C8E"/>
    <w:rsid w:val="3183186B"/>
    <w:rsid w:val="32333292"/>
    <w:rsid w:val="32384404"/>
    <w:rsid w:val="33C231F5"/>
    <w:rsid w:val="35352E7D"/>
    <w:rsid w:val="36286FF1"/>
    <w:rsid w:val="362F3D70"/>
    <w:rsid w:val="3B203B04"/>
    <w:rsid w:val="3BA448B8"/>
    <w:rsid w:val="3C277297"/>
    <w:rsid w:val="3D1D0E0C"/>
    <w:rsid w:val="3D257C7B"/>
    <w:rsid w:val="3D5440BC"/>
    <w:rsid w:val="3FBF43B6"/>
    <w:rsid w:val="40C81049"/>
    <w:rsid w:val="412D70FE"/>
    <w:rsid w:val="42D33CD5"/>
    <w:rsid w:val="44B6565C"/>
    <w:rsid w:val="44D7199B"/>
    <w:rsid w:val="454D7D6F"/>
    <w:rsid w:val="49603E81"/>
    <w:rsid w:val="4B187071"/>
    <w:rsid w:val="4B957FEE"/>
    <w:rsid w:val="4BBE019B"/>
    <w:rsid w:val="4C404189"/>
    <w:rsid w:val="4DAE15C6"/>
    <w:rsid w:val="4DCE1EB5"/>
    <w:rsid w:val="50A05B3E"/>
    <w:rsid w:val="51CC4711"/>
    <w:rsid w:val="52AF2069"/>
    <w:rsid w:val="537137C2"/>
    <w:rsid w:val="54444A33"/>
    <w:rsid w:val="56B45E9F"/>
    <w:rsid w:val="56C65BD3"/>
    <w:rsid w:val="57EB38BD"/>
    <w:rsid w:val="596671F9"/>
    <w:rsid w:val="5C2C64D8"/>
    <w:rsid w:val="5D504448"/>
    <w:rsid w:val="606C77EB"/>
    <w:rsid w:val="61B50D1E"/>
    <w:rsid w:val="625B3673"/>
    <w:rsid w:val="627806C9"/>
    <w:rsid w:val="62B965EC"/>
    <w:rsid w:val="634A36E8"/>
    <w:rsid w:val="63BA261B"/>
    <w:rsid w:val="64406FC4"/>
    <w:rsid w:val="64524F4A"/>
    <w:rsid w:val="6578453C"/>
    <w:rsid w:val="658E3D60"/>
    <w:rsid w:val="65BC08CD"/>
    <w:rsid w:val="66CC0FE3"/>
    <w:rsid w:val="67E660D5"/>
    <w:rsid w:val="696372B1"/>
    <w:rsid w:val="6A674B7F"/>
    <w:rsid w:val="6C5B705B"/>
    <w:rsid w:val="6E744404"/>
    <w:rsid w:val="72281098"/>
    <w:rsid w:val="745D327B"/>
    <w:rsid w:val="76481D09"/>
    <w:rsid w:val="794A5A72"/>
    <w:rsid w:val="7BCC0CE6"/>
    <w:rsid w:val="7EC16AFC"/>
    <w:rsid w:val="7ED95BF4"/>
    <w:rsid w:val="7F69341C"/>
    <w:rsid w:val="7FC53C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204" w:right="384"/>
      <w:jc w:val="center"/>
      <w:outlineLvl w:val="1"/>
    </w:pPr>
    <w:rPr>
      <w:rFonts w:ascii="宋体" w:hAnsi="宋体" w:eastAsia="宋体" w:cs="宋体"/>
      <w:b/>
      <w:bCs/>
      <w:sz w:val="36"/>
      <w:szCs w:val="36"/>
      <w:lang w:val="en-US" w:eastAsia="zh-CN" w:bidi="ar-SA"/>
    </w:rPr>
  </w:style>
  <w:style w:type="paragraph" w:styleId="3">
    <w:name w:val="heading 2"/>
    <w:basedOn w:val="1"/>
    <w:next w:val="1"/>
    <w:qFormat/>
    <w:uiPriority w:val="1"/>
    <w:pPr>
      <w:ind w:left="204" w:right="391"/>
      <w:jc w:val="center"/>
      <w:outlineLvl w:val="2"/>
    </w:pPr>
    <w:rPr>
      <w:rFonts w:ascii="宋体" w:hAnsi="宋体" w:eastAsia="宋体" w:cs="宋体"/>
      <w:sz w:val="36"/>
      <w:szCs w:val="36"/>
      <w:lang w:val="en-US" w:eastAsia="zh-CN" w:bidi="ar-SA"/>
    </w:rPr>
  </w:style>
  <w:style w:type="paragraph" w:styleId="4">
    <w:name w:val="heading 3"/>
    <w:basedOn w:val="1"/>
    <w:next w:val="1"/>
    <w:qFormat/>
    <w:uiPriority w:val="1"/>
    <w:pPr>
      <w:ind w:left="204" w:right="393"/>
      <w:jc w:val="center"/>
      <w:outlineLvl w:val="3"/>
    </w:pPr>
    <w:rPr>
      <w:rFonts w:ascii="宋体" w:hAnsi="宋体" w:eastAsia="宋体" w:cs="宋体"/>
      <w:b/>
      <w:bCs/>
      <w:sz w:val="32"/>
      <w:szCs w:val="32"/>
      <w:lang w:val="en-US" w:eastAsia="zh-CN" w:bidi="ar-SA"/>
    </w:rPr>
  </w:style>
  <w:style w:type="paragraph" w:styleId="5">
    <w:name w:val="heading 4"/>
    <w:basedOn w:val="1"/>
    <w:next w:val="1"/>
    <w:qFormat/>
    <w:uiPriority w:val="1"/>
    <w:pPr>
      <w:ind w:right="89"/>
      <w:jc w:val="center"/>
      <w:outlineLvl w:val="4"/>
    </w:pPr>
    <w:rPr>
      <w:rFonts w:ascii="宋体" w:hAnsi="宋体" w:eastAsia="宋体" w:cs="宋体"/>
      <w:sz w:val="32"/>
      <w:szCs w:val="32"/>
      <w:lang w:val="en-US" w:eastAsia="zh-CN" w:bidi="ar-SA"/>
    </w:rPr>
  </w:style>
  <w:style w:type="paragraph" w:styleId="6">
    <w:name w:val="heading 5"/>
    <w:basedOn w:val="1"/>
    <w:next w:val="1"/>
    <w:qFormat/>
    <w:uiPriority w:val="1"/>
    <w:pPr>
      <w:ind w:left="894"/>
      <w:outlineLvl w:val="5"/>
    </w:pPr>
    <w:rPr>
      <w:rFonts w:ascii="宋体" w:hAnsi="宋体" w:eastAsia="宋体" w:cs="宋体"/>
      <w:b/>
      <w:bCs/>
      <w:sz w:val="28"/>
      <w:szCs w:val="28"/>
      <w:lang w:val="en-US" w:eastAsia="zh-CN" w:bidi="ar-SA"/>
    </w:rPr>
  </w:style>
  <w:style w:type="paragraph" w:styleId="7">
    <w:name w:val="heading 6"/>
    <w:basedOn w:val="1"/>
    <w:next w:val="1"/>
    <w:qFormat/>
    <w:uiPriority w:val="1"/>
    <w:pPr>
      <w:ind w:left="112"/>
      <w:outlineLvl w:val="6"/>
    </w:pPr>
    <w:rPr>
      <w:rFonts w:ascii="宋体" w:hAnsi="宋体" w:eastAsia="宋体" w:cs="宋体"/>
      <w:sz w:val="28"/>
      <w:szCs w:val="28"/>
      <w:lang w:val="en-US" w:eastAsia="zh-CN" w:bidi="ar-SA"/>
    </w:rPr>
  </w:style>
  <w:style w:type="paragraph" w:styleId="8">
    <w:name w:val="heading 7"/>
    <w:basedOn w:val="1"/>
    <w:next w:val="1"/>
    <w:qFormat/>
    <w:uiPriority w:val="1"/>
    <w:pPr>
      <w:ind w:left="894"/>
      <w:outlineLvl w:val="7"/>
    </w:pPr>
    <w:rPr>
      <w:rFonts w:ascii="宋体" w:hAnsi="宋体" w:eastAsia="宋体" w:cs="宋体"/>
      <w:b/>
      <w:bCs/>
      <w:sz w:val="24"/>
      <w:szCs w:val="24"/>
      <w:lang w:val="en-US" w:eastAsia="zh-CN" w:bidi="ar-SA"/>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9">
    <w:name w:val="Body Text"/>
    <w:basedOn w:val="1"/>
    <w:qFormat/>
    <w:uiPriority w:val="1"/>
    <w:rPr>
      <w:rFonts w:ascii="宋体" w:hAnsi="宋体" w:eastAsia="宋体" w:cs="宋体"/>
      <w:sz w:val="24"/>
      <w:szCs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toc 1"/>
    <w:basedOn w:val="1"/>
    <w:next w:val="1"/>
    <w:qFormat/>
    <w:uiPriority w:val="1"/>
    <w:pPr>
      <w:spacing w:before="361"/>
      <w:ind w:left="109"/>
    </w:pPr>
    <w:rPr>
      <w:rFonts w:ascii="宋体" w:hAnsi="宋体" w:eastAsia="宋体" w:cs="宋体"/>
      <w:b/>
      <w:bCs/>
      <w:sz w:val="28"/>
      <w:szCs w:val="28"/>
      <w:lang w:val="en-US" w:eastAsia="zh-CN" w:bidi="ar-SA"/>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156"/>
      <w:ind w:left="889" w:firstLine="480"/>
    </w:pPr>
    <w:rPr>
      <w:rFonts w:ascii="宋体" w:hAnsi="宋体" w:eastAsia="宋体" w:cs="宋体"/>
      <w:lang w:val="en-US" w:eastAsia="zh-CN" w:bidi="ar-SA"/>
    </w:rPr>
  </w:style>
  <w:style w:type="paragraph" w:customStyle="1" w:styleId="16">
    <w:name w:val="Table Paragraph"/>
    <w:basedOn w:val="1"/>
    <w:qFormat/>
    <w:uiPriority w:val="1"/>
    <w:rPr>
      <w:rFonts w:ascii="宋体" w:hAnsi="宋体" w:eastAsia="宋体" w:cs="宋体"/>
      <w:lang w:val="en-US" w:eastAsia="zh-CN" w:bidi="ar-SA"/>
    </w:rPr>
  </w:style>
  <w:style w:type="paragraph" w:customStyle="1" w:styleId="1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0" Type="http://schemas.openxmlformats.org/officeDocument/2006/relationships/fontTable" Target="fontTable.xml"/><Relationship Id="rId5" Type="http://schemas.openxmlformats.org/officeDocument/2006/relationships/header" Target="head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9.png"/><Relationship Id="rId46" Type="http://schemas.openxmlformats.org/officeDocument/2006/relationships/image" Target="media/image18.png"/><Relationship Id="rId45" Type="http://schemas.openxmlformats.org/officeDocument/2006/relationships/image" Target="media/image17.png"/><Relationship Id="rId44" Type="http://schemas.openxmlformats.org/officeDocument/2006/relationships/image" Target="media/image16.png"/><Relationship Id="rId43" Type="http://schemas.openxmlformats.org/officeDocument/2006/relationships/image" Target="media/image15.png"/><Relationship Id="rId42" Type="http://schemas.openxmlformats.org/officeDocument/2006/relationships/image" Target="media/image14.png"/><Relationship Id="rId41" Type="http://schemas.openxmlformats.org/officeDocument/2006/relationships/image" Target="media/image13.png"/><Relationship Id="rId40" Type="http://schemas.openxmlformats.org/officeDocument/2006/relationships/image" Target="media/image12.png"/><Relationship Id="rId4" Type="http://schemas.openxmlformats.org/officeDocument/2006/relationships/endnotes" Target="endnotes.xml"/><Relationship Id="rId39" Type="http://schemas.openxmlformats.org/officeDocument/2006/relationships/image" Target="media/image11.png"/><Relationship Id="rId38" Type="http://schemas.openxmlformats.org/officeDocument/2006/relationships/image" Target="media/image10.png"/><Relationship Id="rId37" Type="http://schemas.openxmlformats.org/officeDocument/2006/relationships/image" Target="media/image9.png"/><Relationship Id="rId36" Type="http://schemas.openxmlformats.org/officeDocument/2006/relationships/image" Target="media/image8.png"/><Relationship Id="rId35" Type="http://schemas.openxmlformats.org/officeDocument/2006/relationships/image" Target="media/image7.png"/><Relationship Id="rId34" Type="http://schemas.openxmlformats.org/officeDocument/2006/relationships/image" Target="media/image6.png"/><Relationship Id="rId33" Type="http://schemas.openxmlformats.org/officeDocument/2006/relationships/image" Target="media/image5.png"/><Relationship Id="rId32" Type="http://schemas.openxmlformats.org/officeDocument/2006/relationships/image" Target="media/image4.png"/><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footnotes" Target="footnotes.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45445</Words>
  <Characters>46792</Characters>
  <TotalTime>9</TotalTime>
  <ScaleCrop>false</ScaleCrop>
  <LinksUpToDate>false</LinksUpToDate>
  <CharactersWithSpaces>47729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2025-02-11T03:33:00Z</dcterms:created>
  <dc:creator>admin</dc:creator>
  <cp:lastModifiedBy>闾新豪</cp:lastModifiedBy>
  <dcterms:modified xsi:type="dcterms:W3CDTF">2025-03-12T04:33:32Z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WPS 文字</vt:lpwstr>
  </property>
  <property fmtid="{D5CDD505-2E9C-101B-9397-08002B2CF9AE}" pid="4" name="LastSaved">
    <vt:filetime>2025-02-11T00:00:00Z</vt:filetime>
  </property>
  <property fmtid="{D5CDD505-2E9C-101B-9397-08002B2CF9AE}" pid="5" name="SourceModified">
    <vt:lpwstr>D:20250210173443+09'34'</vt:lpwstr>
  </property>
  <property fmtid="{D5CDD505-2E9C-101B-9397-08002B2CF9AE}" pid="6" name="KSOProductBuildVer">
    <vt:lpwstr>2052-12.1.0.16929</vt:lpwstr>
  </property>
  <property fmtid="{D5CDD505-2E9C-101B-9397-08002B2CF9AE}" pid="7" name="ICV">
    <vt:lpwstr>CFD544D266634F8DB73032FCB6A5565C</vt:lpwstr>
  </property>
</Properties>
</file>