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360" w:lineRule="auto"/>
        <w:rPr>
          <w:color w:val="000000" w:themeColor="text1"/>
          <w:sz w:val="28"/>
          <w:szCs w:val="28"/>
          <w:highlight w:val="none"/>
          <w:bdr w:val="single" w:color="auto" w:sz="4" w:space="0"/>
          <w14:textFill>
            <w14:solidFill>
              <w14:schemeClr w14:val="tx1"/>
            </w14:solidFill>
          </w14:textFill>
        </w:rPr>
      </w:pPr>
      <w:r>
        <w:rPr>
          <w:rFonts w:hint="eastAsia"/>
          <w:color w:val="000000" w:themeColor="text1"/>
          <w:sz w:val="28"/>
          <w:szCs w:val="28"/>
          <w:highlight w:val="none"/>
          <w:lang w:val="zh-CN"/>
          <w14:textFill>
            <w14:solidFill>
              <w14:schemeClr w14:val="tx1"/>
            </w14:solidFill>
          </w14:textFill>
        </w:rPr>
        <w:t>招标编号 ：</w:t>
      </w:r>
      <w:r>
        <w:rPr>
          <w:rFonts w:hint="eastAsia"/>
          <w:color w:val="000000" w:themeColor="text1"/>
          <w:sz w:val="28"/>
          <w:szCs w:val="28"/>
          <w:highlight w:val="none"/>
          <w14:textFill>
            <w14:solidFill>
              <w14:schemeClr w14:val="tx1"/>
            </w14:solidFill>
          </w14:textFill>
        </w:rPr>
        <w:t>HLYZB02-2025001</w:t>
      </w:r>
    </w:p>
    <w:p>
      <w:pPr>
        <w:shd w:val="clear"/>
        <w:spacing w:line="360" w:lineRule="auto"/>
        <w:jc w:val="center"/>
        <w:rPr>
          <w:color w:val="000000" w:themeColor="text1"/>
          <w:sz w:val="72"/>
          <w:szCs w:val="72"/>
          <w:highlight w:val="none"/>
          <w14:textFill>
            <w14:solidFill>
              <w14:schemeClr w14:val="tx1"/>
            </w14:solidFill>
          </w14:textFill>
        </w:rPr>
      </w:pPr>
      <w:r>
        <w:rPr>
          <w:rFonts w:hint="eastAsia"/>
          <w:color w:val="000000" w:themeColor="text1"/>
          <w:sz w:val="72"/>
          <w:szCs w:val="72"/>
          <w:highlight w:val="none"/>
          <w14:textFill>
            <w14:solidFill>
              <w14:schemeClr w14:val="tx1"/>
            </w14:solidFill>
          </w14:textFill>
        </w:rPr>
        <w:t xml:space="preserve">     </w:t>
      </w:r>
    </w:p>
    <w:p>
      <w:pPr>
        <w:shd w:val="clear"/>
        <w:spacing w:line="360" w:lineRule="auto"/>
        <w:jc w:val="center"/>
        <w:rPr>
          <w:color w:val="000000" w:themeColor="text1"/>
          <w:sz w:val="72"/>
          <w:szCs w:val="72"/>
          <w:highlight w:val="none"/>
          <w:lang w:val="zh-CN"/>
          <w14:textFill>
            <w14:solidFill>
              <w14:schemeClr w14:val="tx1"/>
            </w14:solidFill>
          </w14:textFill>
        </w:rPr>
      </w:pPr>
      <w:r>
        <w:rPr>
          <w:rFonts w:hint="eastAsia"/>
          <w:color w:val="000000" w:themeColor="text1"/>
          <w:sz w:val="72"/>
          <w:szCs w:val="72"/>
          <w:highlight w:val="none"/>
          <w:lang w:val="zh-CN"/>
          <w14:textFill>
            <w14:solidFill>
              <w14:schemeClr w14:val="tx1"/>
            </w14:solidFill>
          </w14:textFill>
        </w:rPr>
        <w:t>招 标 文 件</w:t>
      </w:r>
    </w:p>
    <w:p>
      <w:pPr>
        <w:shd w:val="clear"/>
        <w:spacing w:line="800" w:lineRule="exact"/>
        <w:rPr>
          <w:color w:val="000000" w:themeColor="text1"/>
          <w:sz w:val="32"/>
          <w:szCs w:val="32"/>
          <w:highlight w:val="none"/>
          <w14:textFill>
            <w14:solidFill>
              <w14:schemeClr w14:val="tx1"/>
            </w14:solidFill>
          </w14:textFill>
        </w:rPr>
      </w:pPr>
    </w:p>
    <w:p>
      <w:pPr>
        <w:shd w:val="clear"/>
        <w:spacing w:line="800" w:lineRule="exact"/>
        <w:ind w:right="-249" w:rightChars="-113"/>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项目名称：</w:t>
      </w:r>
      <w:r>
        <w:rPr>
          <w:rFonts w:hint="eastAsia"/>
          <w:color w:val="000000" w:themeColor="text1"/>
          <w:sz w:val="28"/>
          <w:szCs w:val="28"/>
          <w:highlight w:val="none"/>
          <w:lang w:eastAsia="zh-CN"/>
          <w14:textFill>
            <w14:solidFill>
              <w14:schemeClr w14:val="tx1"/>
            </w14:solidFill>
          </w14:textFill>
        </w:rPr>
        <w:t>新疆农业大学亚心校区葡萄苑餐厅面向社会公开招募餐饮服务团队项目</w:t>
      </w:r>
      <w:r>
        <w:rPr>
          <w:rFonts w:hint="eastAsia"/>
          <w:color w:val="000000" w:themeColor="text1"/>
          <w:sz w:val="28"/>
          <w:szCs w:val="28"/>
          <w:highlight w:val="none"/>
          <w14:textFill>
            <w14:solidFill>
              <w14:schemeClr w14:val="tx1"/>
            </w14:solidFill>
          </w14:textFill>
        </w:rPr>
        <w:t>采 购 人：新疆农业大学</w:t>
      </w:r>
    </w:p>
    <w:p>
      <w:pPr>
        <w:shd w:val="clear"/>
        <w:spacing w:line="800" w:lineRule="exact"/>
        <w:ind w:left="1400" w:hanging="1400" w:hangingChars="5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法定代表人（签章）：</w:t>
      </w:r>
    </w:p>
    <w:p>
      <w:pPr>
        <w:shd w:val="clear"/>
        <w:spacing w:line="800" w:lineRule="exact"/>
        <w:ind w:left="1400" w:hanging="1400" w:hangingChars="5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联系人：王老师</w:t>
      </w:r>
    </w:p>
    <w:p>
      <w:pPr>
        <w:shd w:val="clear"/>
        <w:spacing w:line="800" w:lineRule="exact"/>
        <w:ind w:left="1400" w:hanging="1400" w:hangingChars="5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联系电话：15292426954</w:t>
      </w:r>
    </w:p>
    <w:p>
      <w:pPr>
        <w:shd w:val="clear"/>
        <w:spacing w:line="800" w:lineRule="exact"/>
        <w:ind w:left="1400" w:hanging="1400" w:hangingChars="500"/>
        <w:rPr>
          <w:color w:val="000000" w:themeColor="text1"/>
          <w:sz w:val="28"/>
          <w:szCs w:val="28"/>
          <w:highlight w:val="none"/>
          <w14:textFill>
            <w14:solidFill>
              <w14:schemeClr w14:val="tx1"/>
            </w14:solidFill>
          </w14:textFill>
        </w:rPr>
      </w:pPr>
    </w:p>
    <w:p>
      <w:pPr>
        <w:shd w:val="clear"/>
        <w:spacing w:line="800" w:lineRule="exact"/>
        <w:rPr>
          <w:color w:val="000000" w:themeColor="text1"/>
          <w:w w:val="90"/>
          <w:sz w:val="28"/>
          <w:szCs w:val="28"/>
          <w:highlight w:val="none"/>
          <w14:textFill>
            <w14:solidFill>
              <w14:schemeClr w14:val="tx1"/>
            </w14:solidFill>
          </w14:textFill>
        </w:rPr>
      </w:pPr>
      <w:r>
        <w:rPr>
          <w:rFonts w:hint="eastAsia"/>
          <w:color w:val="000000" w:themeColor="text1"/>
          <w:w w:val="90"/>
          <w:sz w:val="28"/>
          <w:szCs w:val="28"/>
          <w:highlight w:val="none"/>
          <w14:textFill>
            <w14:solidFill>
              <w14:schemeClr w14:val="tx1"/>
            </w14:solidFill>
          </w14:textFill>
        </w:rPr>
        <w:t>招标代理机构：（公章）新疆宏力源工程项目管理有限公司</w:t>
      </w:r>
    </w:p>
    <w:p>
      <w:pPr>
        <w:shd w:val="clear"/>
        <w:spacing w:line="800" w:lineRule="exac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联 系 人：李工</w:t>
      </w:r>
    </w:p>
    <w:p>
      <w:pPr>
        <w:shd w:val="clear"/>
        <w:spacing w:line="800" w:lineRule="exac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联系电话：13579862091</w:t>
      </w:r>
    </w:p>
    <w:p>
      <w:pPr>
        <w:shd w:val="clear"/>
        <w:spacing w:line="800" w:lineRule="exact"/>
        <w:rPr>
          <w:color w:val="000000" w:themeColor="text1"/>
          <w:w w:val="90"/>
          <w:sz w:val="28"/>
          <w:szCs w:val="28"/>
          <w:highlight w:val="none"/>
          <w14:textFill>
            <w14:solidFill>
              <w14:schemeClr w14:val="tx1"/>
            </w14:solidFill>
          </w14:textFill>
        </w:rPr>
      </w:pPr>
      <w:r>
        <w:rPr>
          <w:rFonts w:hint="eastAsia"/>
          <w:color w:val="000000" w:themeColor="text1"/>
          <w:w w:val="90"/>
          <w:sz w:val="28"/>
          <w:szCs w:val="28"/>
          <w:highlight w:val="none"/>
          <w14:textFill>
            <w14:solidFill>
              <w14:schemeClr w14:val="tx1"/>
            </w14:solidFill>
          </w14:textFill>
        </w:rPr>
        <w:t>联系地址：新疆乌鲁木齐高新区（新市区）四平路266号科创花苑B3办公1501</w:t>
      </w:r>
    </w:p>
    <w:p>
      <w:pPr>
        <w:pStyle w:val="4"/>
        <w:shd w:val="clear"/>
        <w:ind w:right="0"/>
        <w:outlineLvl w:val="9"/>
        <w:rPr>
          <w:color w:val="000000" w:themeColor="text1"/>
          <w:sz w:val="28"/>
          <w:szCs w:val="28"/>
          <w:highlight w:val="none"/>
          <w14:textFill>
            <w14:solidFill>
              <w14:schemeClr w14:val="tx1"/>
            </w14:solidFill>
          </w14:textFill>
        </w:rPr>
      </w:pPr>
    </w:p>
    <w:p>
      <w:pPr>
        <w:pStyle w:val="4"/>
        <w:shd w:val="clear"/>
        <w:ind w:right="0"/>
        <w:outlineLvl w:val="9"/>
        <w:rPr>
          <w:color w:val="000000" w:themeColor="text1"/>
          <w:sz w:val="28"/>
          <w:szCs w:val="28"/>
          <w:highlight w:val="none"/>
          <w14:textFill>
            <w14:solidFill>
              <w14:schemeClr w14:val="tx1"/>
            </w14:solidFill>
          </w14:textFill>
        </w:rPr>
      </w:pPr>
    </w:p>
    <w:p>
      <w:pPr>
        <w:shd w:val="clear"/>
        <w:rPr>
          <w:color w:val="000000" w:themeColor="text1"/>
          <w:spacing w:val="-5"/>
          <w:highlight w:val="none"/>
          <w14:textFill>
            <w14:solidFill>
              <w14:schemeClr w14:val="tx1"/>
            </w14:solidFill>
          </w14:textFill>
        </w:rPr>
      </w:pPr>
      <w:r>
        <w:rPr>
          <w:color w:val="000000" w:themeColor="text1"/>
          <w:spacing w:val="-5"/>
          <w:highlight w:val="none"/>
          <w14:textFill>
            <w14:solidFill>
              <w14:schemeClr w14:val="tx1"/>
            </w14:solidFill>
          </w14:textFill>
        </w:rPr>
        <w:br w:type="page"/>
      </w:r>
    </w:p>
    <w:p>
      <w:pPr>
        <w:pStyle w:val="4"/>
        <w:shd w:val="clear"/>
        <w:ind w:right="0"/>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目 录</w:t>
      </w:r>
    </w:p>
    <w:p>
      <w:pPr>
        <w:pStyle w:val="10"/>
        <w:shd w:val="clear"/>
        <w:ind w:left="0"/>
        <w:rPr>
          <w:b/>
          <w:color w:val="000000" w:themeColor="text1"/>
          <w:sz w:val="20"/>
          <w:highlight w:val="none"/>
          <w14:textFill>
            <w14:solidFill>
              <w14:schemeClr w14:val="tx1"/>
            </w14:solidFill>
          </w14:textFill>
        </w:rPr>
      </w:pPr>
    </w:p>
    <w:p>
      <w:pPr>
        <w:pStyle w:val="10"/>
        <w:shd w:val="clear"/>
        <w:ind w:left="0"/>
        <w:rPr>
          <w:b/>
          <w:color w:val="000000" w:themeColor="text1"/>
          <w:sz w:val="20"/>
          <w:highlight w:val="none"/>
          <w14:textFill>
            <w14:solidFill>
              <w14:schemeClr w14:val="tx1"/>
            </w14:solidFill>
          </w14:textFill>
        </w:rPr>
      </w:pPr>
    </w:p>
    <w:p>
      <w:pPr>
        <w:pStyle w:val="10"/>
        <w:shd w:val="clear"/>
        <w:spacing w:before="17"/>
        <w:ind w:left="0"/>
        <w:rPr>
          <w:b/>
          <w:color w:val="000000" w:themeColor="text1"/>
          <w:sz w:val="20"/>
          <w:highlight w:val="none"/>
          <w14:textFill>
            <w14:solidFill>
              <w14:schemeClr w14:val="tx1"/>
            </w14:solidFill>
          </w14:textFill>
        </w:rPr>
      </w:pPr>
    </w:p>
    <w:sdt>
      <w:sdtPr>
        <w:rPr>
          <w:rFonts w:hint="eastAsia" w:ascii="宋体" w:hAnsi="宋体" w:eastAsia="宋体" w:cs="宋体"/>
          <w:color w:val="000000" w:themeColor="text1"/>
          <w:sz w:val="28"/>
          <w:szCs w:val="28"/>
          <w:highlight w:val="none"/>
          <w:lang w:val="en-US" w:eastAsia="zh-CN" w:bidi="ar-SA"/>
          <w14:textFill>
            <w14:solidFill>
              <w14:schemeClr w14:val="tx1"/>
            </w14:solidFill>
          </w14:textFill>
        </w:rPr>
        <w:id w:val="147477553"/>
        <w15:color w:val="DBDBDB"/>
        <w:docPartObj>
          <w:docPartGallery w:val="Table of Contents"/>
          <w:docPartUnique/>
        </w:docPartObj>
      </w:sdtPr>
      <w:sdtEndPr>
        <w:rPr>
          <w:rFonts w:hint="eastAsia" w:ascii="宋体" w:hAnsi="宋体" w:eastAsia="宋体" w:cs="宋体"/>
          <w:color w:val="000000" w:themeColor="text1"/>
          <w:sz w:val="22"/>
          <w:szCs w:val="22"/>
          <w:highlight w:val="none"/>
          <w:lang w:val="en-US" w:eastAsia="zh-CN" w:bidi="ar-SA"/>
          <w14:textFill>
            <w14:solidFill>
              <w14:schemeClr w14:val="tx1"/>
            </w14:solidFill>
          </w14:textFill>
        </w:rPr>
      </w:sdtEndPr>
      <w:sdtContent>
        <w:p>
          <w:pPr>
            <w:pStyle w:val="23"/>
            <w:shd w:val="clear"/>
            <w:tabs>
              <w:tab w:val="right" w:leader="dot" w:pos="9870"/>
            </w:tabs>
            <w:spacing w:line="480" w:lineRule="auto"/>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fldChar w:fldCharType="begin"/>
          </w:r>
          <w:r>
            <w:rPr>
              <w:rFonts w:hint="eastAsia" w:ascii="宋体" w:hAnsi="宋体" w:eastAsia="宋体" w:cs="宋体"/>
              <w:b/>
              <w:bCs/>
              <w:color w:val="000000" w:themeColor="text1"/>
              <w:sz w:val="28"/>
              <w:szCs w:val="28"/>
              <w:highlight w:val="none"/>
              <w14:textFill>
                <w14:solidFill>
                  <w14:schemeClr w14:val="tx1"/>
                </w14:solidFill>
              </w14:textFill>
            </w:rPr>
            <w:instrText xml:space="preserve">TOC \o "1-1" \h \u </w:instrText>
          </w:r>
          <w:r>
            <w:rPr>
              <w:rFonts w:hint="eastAsia" w:ascii="宋体" w:hAnsi="宋体" w:eastAsia="宋体" w:cs="宋体"/>
              <w:b/>
              <w:bCs/>
              <w:color w:val="000000" w:themeColor="text1"/>
              <w:sz w:val="28"/>
              <w:szCs w:val="28"/>
              <w:highlight w:val="none"/>
              <w14:textFill>
                <w14:solidFill>
                  <w14:schemeClr w14:val="tx1"/>
                </w14:solidFill>
              </w14:textFill>
            </w:rPr>
            <w:fldChar w:fldCharType="separate"/>
          </w:r>
          <w:r>
            <w:rPr>
              <w:rFonts w:hint="eastAsia" w:ascii="宋体" w:hAnsi="宋体" w:eastAsia="宋体" w:cs="宋体"/>
              <w:b/>
              <w:bCs/>
              <w:color w:val="000000" w:themeColor="text1"/>
              <w:sz w:val="28"/>
              <w:szCs w:val="28"/>
              <w:highlight w:val="none"/>
              <w14:textFill>
                <w14:solidFill>
                  <w14:schemeClr w14:val="tx1"/>
                </w14:solidFill>
              </w14:textFill>
            </w:rPr>
            <w:fldChar w:fldCharType="begin"/>
          </w:r>
          <w:r>
            <w:rPr>
              <w:rFonts w:hint="eastAsia" w:ascii="宋体" w:hAnsi="宋体" w:eastAsia="宋体" w:cs="宋体"/>
              <w:b/>
              <w:bCs/>
              <w:color w:val="000000" w:themeColor="text1"/>
              <w:sz w:val="28"/>
              <w:szCs w:val="28"/>
              <w:highlight w:val="none"/>
              <w14:textFill>
                <w14:solidFill>
                  <w14:schemeClr w14:val="tx1"/>
                </w14:solidFill>
              </w14:textFill>
            </w:rPr>
            <w:instrText xml:space="preserve"> HYPERLINK \l _Toc14862 </w:instrText>
          </w:r>
          <w:r>
            <w:rPr>
              <w:rFonts w:hint="eastAsia" w:ascii="宋体" w:hAnsi="宋体" w:eastAsia="宋体" w:cs="宋体"/>
              <w:b/>
              <w:bCs/>
              <w:color w:val="000000" w:themeColor="text1"/>
              <w:sz w:val="28"/>
              <w:szCs w:val="28"/>
              <w:highlight w:val="none"/>
              <w14:textFill>
                <w14:solidFill>
                  <w14:schemeClr w14:val="tx1"/>
                </w14:solidFill>
              </w14:textFill>
            </w:rPr>
            <w:fldChar w:fldCharType="separate"/>
          </w:r>
          <w:r>
            <w:rPr>
              <w:rFonts w:hint="eastAsia" w:ascii="宋体" w:hAnsi="宋体" w:eastAsia="宋体" w:cs="宋体"/>
              <w:b/>
              <w:bCs/>
              <w:color w:val="000000" w:themeColor="text1"/>
              <w:spacing w:val="-5"/>
              <w:sz w:val="28"/>
              <w:szCs w:val="28"/>
              <w:highlight w:val="none"/>
              <w14:textFill>
                <w14:solidFill>
                  <w14:schemeClr w14:val="tx1"/>
                </w14:solidFill>
              </w14:textFill>
            </w:rPr>
            <w:t>第一章 招标公告</w:t>
          </w:r>
          <w:r>
            <w:rPr>
              <w:rFonts w:hint="eastAsia" w:ascii="宋体" w:hAnsi="宋体" w:eastAsia="宋体" w:cs="宋体"/>
              <w:b/>
              <w:bCs/>
              <w:color w:val="000000" w:themeColor="text1"/>
              <w:sz w:val="28"/>
              <w:szCs w:val="28"/>
              <w:highlight w:val="none"/>
              <w14:textFill>
                <w14:solidFill>
                  <w14:schemeClr w14:val="tx1"/>
                </w14:solidFill>
              </w14:textFill>
            </w:rPr>
            <w:tab/>
          </w:r>
          <w:r>
            <w:rPr>
              <w:rFonts w:hint="eastAsia" w:ascii="宋体" w:hAnsi="宋体" w:eastAsia="宋体" w:cs="宋体"/>
              <w:b/>
              <w:bCs/>
              <w:color w:val="000000" w:themeColor="text1"/>
              <w:sz w:val="28"/>
              <w:szCs w:val="28"/>
              <w:highlight w:val="none"/>
              <w14:textFill>
                <w14:solidFill>
                  <w14:schemeClr w14:val="tx1"/>
                </w14:solidFill>
              </w14:textFill>
            </w:rPr>
            <w:fldChar w:fldCharType="begin"/>
          </w:r>
          <w:r>
            <w:rPr>
              <w:rFonts w:hint="eastAsia" w:ascii="宋体" w:hAnsi="宋体" w:eastAsia="宋体" w:cs="宋体"/>
              <w:b/>
              <w:bCs/>
              <w:color w:val="000000" w:themeColor="text1"/>
              <w:sz w:val="28"/>
              <w:szCs w:val="28"/>
              <w:highlight w:val="none"/>
              <w14:textFill>
                <w14:solidFill>
                  <w14:schemeClr w14:val="tx1"/>
                </w14:solidFill>
              </w14:textFill>
            </w:rPr>
            <w:instrText xml:space="preserve"> PAGEREF _Toc14862 \h </w:instrText>
          </w:r>
          <w:r>
            <w:rPr>
              <w:rFonts w:hint="eastAsia" w:ascii="宋体" w:hAnsi="宋体" w:eastAsia="宋体" w:cs="宋体"/>
              <w:b/>
              <w:bCs/>
              <w:color w:val="000000" w:themeColor="text1"/>
              <w:sz w:val="28"/>
              <w:szCs w:val="28"/>
              <w:highlight w:val="none"/>
              <w14:textFill>
                <w14:solidFill>
                  <w14:schemeClr w14:val="tx1"/>
                </w14:solidFill>
              </w14:textFill>
            </w:rPr>
            <w:fldChar w:fldCharType="separate"/>
          </w:r>
          <w:r>
            <w:rPr>
              <w:rFonts w:hint="eastAsia" w:ascii="宋体" w:hAnsi="宋体" w:eastAsia="宋体" w:cs="宋体"/>
              <w:b/>
              <w:bCs/>
              <w:color w:val="000000" w:themeColor="text1"/>
              <w:sz w:val="28"/>
              <w:szCs w:val="28"/>
              <w:highlight w:val="none"/>
              <w14:textFill>
                <w14:solidFill>
                  <w14:schemeClr w14:val="tx1"/>
                </w14:solidFill>
              </w14:textFill>
            </w:rPr>
            <w:t>1</w:t>
          </w:r>
          <w:r>
            <w:rPr>
              <w:rFonts w:hint="eastAsia" w:ascii="宋体" w:hAnsi="宋体" w:eastAsia="宋体" w:cs="宋体"/>
              <w:b/>
              <w:bCs/>
              <w:color w:val="000000" w:themeColor="text1"/>
              <w:sz w:val="28"/>
              <w:szCs w:val="28"/>
              <w:highlight w:val="none"/>
              <w14:textFill>
                <w14:solidFill>
                  <w14:schemeClr w14:val="tx1"/>
                </w14:solidFill>
              </w14:textFill>
            </w:rPr>
            <w:fldChar w:fldCharType="end"/>
          </w:r>
          <w:r>
            <w:rPr>
              <w:rFonts w:hint="eastAsia" w:ascii="宋体" w:hAnsi="宋体" w:eastAsia="宋体" w:cs="宋体"/>
              <w:b/>
              <w:bCs/>
              <w:color w:val="000000" w:themeColor="text1"/>
              <w:sz w:val="28"/>
              <w:szCs w:val="28"/>
              <w:highlight w:val="none"/>
              <w14:textFill>
                <w14:solidFill>
                  <w14:schemeClr w14:val="tx1"/>
                </w14:solidFill>
              </w14:textFill>
            </w:rPr>
            <w:fldChar w:fldCharType="end"/>
          </w:r>
        </w:p>
        <w:p>
          <w:pPr>
            <w:pStyle w:val="23"/>
            <w:shd w:val="clear"/>
            <w:tabs>
              <w:tab w:val="right" w:leader="dot" w:pos="9870"/>
            </w:tabs>
            <w:spacing w:line="480" w:lineRule="auto"/>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fldChar w:fldCharType="begin"/>
          </w:r>
          <w:r>
            <w:rPr>
              <w:rFonts w:hint="eastAsia" w:ascii="宋体" w:hAnsi="宋体" w:eastAsia="宋体" w:cs="宋体"/>
              <w:b/>
              <w:bCs/>
              <w:color w:val="000000" w:themeColor="text1"/>
              <w:sz w:val="28"/>
              <w:szCs w:val="28"/>
              <w:highlight w:val="none"/>
              <w14:textFill>
                <w14:solidFill>
                  <w14:schemeClr w14:val="tx1"/>
                </w14:solidFill>
              </w14:textFill>
            </w:rPr>
            <w:instrText xml:space="preserve"> HYPERLINK \l _Toc26123 </w:instrText>
          </w:r>
          <w:r>
            <w:rPr>
              <w:rFonts w:hint="eastAsia" w:ascii="宋体" w:hAnsi="宋体" w:eastAsia="宋体" w:cs="宋体"/>
              <w:b/>
              <w:bCs/>
              <w:color w:val="000000" w:themeColor="text1"/>
              <w:sz w:val="28"/>
              <w:szCs w:val="28"/>
              <w:highlight w:val="none"/>
              <w14:textFill>
                <w14:solidFill>
                  <w14:schemeClr w14:val="tx1"/>
                </w14:solidFill>
              </w14:textFill>
            </w:rPr>
            <w:fldChar w:fldCharType="separate"/>
          </w:r>
          <w:r>
            <w:rPr>
              <w:rFonts w:hint="eastAsia" w:ascii="宋体" w:hAnsi="宋体" w:eastAsia="宋体" w:cs="宋体"/>
              <w:b/>
              <w:bCs/>
              <w:color w:val="000000" w:themeColor="text1"/>
              <w:spacing w:val="-5"/>
              <w:sz w:val="28"/>
              <w:szCs w:val="28"/>
              <w:highlight w:val="none"/>
              <w14:textFill>
                <w14:solidFill>
                  <w14:schemeClr w14:val="tx1"/>
                </w14:solidFill>
              </w14:textFill>
            </w:rPr>
            <w:t>第二章 投标人须知</w:t>
          </w:r>
          <w:r>
            <w:rPr>
              <w:rFonts w:hint="eastAsia" w:ascii="宋体" w:hAnsi="宋体" w:eastAsia="宋体" w:cs="宋体"/>
              <w:b/>
              <w:bCs/>
              <w:color w:val="000000" w:themeColor="text1"/>
              <w:sz w:val="28"/>
              <w:szCs w:val="28"/>
              <w:highlight w:val="none"/>
              <w14:textFill>
                <w14:solidFill>
                  <w14:schemeClr w14:val="tx1"/>
                </w14:solidFill>
              </w14:textFill>
            </w:rPr>
            <w:tab/>
          </w:r>
          <w:r>
            <w:rPr>
              <w:rFonts w:hint="eastAsia" w:ascii="宋体" w:hAnsi="宋体" w:eastAsia="宋体" w:cs="宋体"/>
              <w:b/>
              <w:bCs/>
              <w:color w:val="000000" w:themeColor="text1"/>
              <w:sz w:val="28"/>
              <w:szCs w:val="28"/>
              <w:highlight w:val="none"/>
              <w14:textFill>
                <w14:solidFill>
                  <w14:schemeClr w14:val="tx1"/>
                </w14:solidFill>
              </w14:textFill>
            </w:rPr>
            <w:fldChar w:fldCharType="begin"/>
          </w:r>
          <w:r>
            <w:rPr>
              <w:rFonts w:hint="eastAsia" w:ascii="宋体" w:hAnsi="宋体" w:eastAsia="宋体" w:cs="宋体"/>
              <w:b/>
              <w:bCs/>
              <w:color w:val="000000" w:themeColor="text1"/>
              <w:sz w:val="28"/>
              <w:szCs w:val="28"/>
              <w:highlight w:val="none"/>
              <w14:textFill>
                <w14:solidFill>
                  <w14:schemeClr w14:val="tx1"/>
                </w14:solidFill>
              </w14:textFill>
            </w:rPr>
            <w:instrText xml:space="preserve"> PAGEREF _Toc26123 \h </w:instrText>
          </w:r>
          <w:r>
            <w:rPr>
              <w:rFonts w:hint="eastAsia" w:ascii="宋体" w:hAnsi="宋体" w:eastAsia="宋体" w:cs="宋体"/>
              <w:b/>
              <w:bCs/>
              <w:color w:val="000000" w:themeColor="text1"/>
              <w:sz w:val="28"/>
              <w:szCs w:val="28"/>
              <w:highlight w:val="none"/>
              <w14:textFill>
                <w14:solidFill>
                  <w14:schemeClr w14:val="tx1"/>
                </w14:solidFill>
              </w14:textFill>
            </w:rPr>
            <w:fldChar w:fldCharType="separate"/>
          </w:r>
          <w:r>
            <w:rPr>
              <w:rFonts w:hint="eastAsia" w:ascii="宋体" w:hAnsi="宋体" w:eastAsia="宋体" w:cs="宋体"/>
              <w:b/>
              <w:bCs/>
              <w:color w:val="000000" w:themeColor="text1"/>
              <w:sz w:val="28"/>
              <w:szCs w:val="28"/>
              <w:highlight w:val="none"/>
              <w14:textFill>
                <w14:solidFill>
                  <w14:schemeClr w14:val="tx1"/>
                </w14:solidFill>
              </w14:textFill>
            </w:rPr>
            <w:t>4</w:t>
          </w:r>
          <w:r>
            <w:rPr>
              <w:rFonts w:hint="eastAsia" w:ascii="宋体" w:hAnsi="宋体" w:eastAsia="宋体" w:cs="宋体"/>
              <w:b/>
              <w:bCs/>
              <w:color w:val="000000" w:themeColor="text1"/>
              <w:sz w:val="28"/>
              <w:szCs w:val="28"/>
              <w:highlight w:val="none"/>
              <w14:textFill>
                <w14:solidFill>
                  <w14:schemeClr w14:val="tx1"/>
                </w14:solidFill>
              </w14:textFill>
            </w:rPr>
            <w:fldChar w:fldCharType="end"/>
          </w:r>
          <w:r>
            <w:rPr>
              <w:rFonts w:hint="eastAsia" w:ascii="宋体" w:hAnsi="宋体" w:eastAsia="宋体" w:cs="宋体"/>
              <w:b/>
              <w:bCs/>
              <w:color w:val="000000" w:themeColor="text1"/>
              <w:sz w:val="28"/>
              <w:szCs w:val="28"/>
              <w:highlight w:val="none"/>
              <w14:textFill>
                <w14:solidFill>
                  <w14:schemeClr w14:val="tx1"/>
                </w14:solidFill>
              </w14:textFill>
            </w:rPr>
            <w:fldChar w:fldCharType="end"/>
          </w:r>
        </w:p>
        <w:p>
          <w:pPr>
            <w:pStyle w:val="23"/>
            <w:shd w:val="clear"/>
            <w:tabs>
              <w:tab w:val="right" w:leader="dot" w:pos="9870"/>
            </w:tabs>
            <w:spacing w:line="480" w:lineRule="auto"/>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fldChar w:fldCharType="begin"/>
          </w:r>
          <w:r>
            <w:rPr>
              <w:rFonts w:hint="eastAsia" w:ascii="宋体" w:hAnsi="宋体" w:eastAsia="宋体" w:cs="宋体"/>
              <w:b/>
              <w:bCs/>
              <w:color w:val="000000" w:themeColor="text1"/>
              <w:sz w:val="28"/>
              <w:szCs w:val="28"/>
              <w:highlight w:val="none"/>
              <w14:textFill>
                <w14:solidFill>
                  <w14:schemeClr w14:val="tx1"/>
                </w14:solidFill>
              </w14:textFill>
            </w:rPr>
            <w:instrText xml:space="preserve"> HYPERLINK \l _Toc9340 </w:instrText>
          </w:r>
          <w:r>
            <w:rPr>
              <w:rFonts w:hint="eastAsia" w:ascii="宋体" w:hAnsi="宋体" w:eastAsia="宋体" w:cs="宋体"/>
              <w:b/>
              <w:bCs/>
              <w:color w:val="000000" w:themeColor="text1"/>
              <w:sz w:val="28"/>
              <w:szCs w:val="28"/>
              <w:highlight w:val="none"/>
              <w14:textFill>
                <w14:solidFill>
                  <w14:schemeClr w14:val="tx1"/>
                </w14:solidFill>
              </w14:textFill>
            </w:rPr>
            <w:fldChar w:fldCharType="separate"/>
          </w:r>
          <w:r>
            <w:rPr>
              <w:rFonts w:hint="eastAsia" w:ascii="宋体" w:hAnsi="宋体" w:eastAsia="宋体" w:cs="宋体"/>
              <w:b/>
              <w:bCs/>
              <w:color w:val="000000" w:themeColor="text1"/>
              <w:spacing w:val="-5"/>
              <w:sz w:val="28"/>
              <w:szCs w:val="28"/>
              <w:highlight w:val="none"/>
              <w14:textFill>
                <w14:solidFill>
                  <w14:schemeClr w14:val="tx1"/>
                </w14:solidFill>
              </w14:textFill>
            </w:rPr>
            <w:t>第三章 采购需求</w:t>
          </w:r>
          <w:r>
            <w:rPr>
              <w:rFonts w:hint="eastAsia" w:ascii="宋体" w:hAnsi="宋体" w:eastAsia="宋体" w:cs="宋体"/>
              <w:b/>
              <w:bCs/>
              <w:color w:val="000000" w:themeColor="text1"/>
              <w:sz w:val="28"/>
              <w:szCs w:val="28"/>
              <w:highlight w:val="none"/>
              <w14:textFill>
                <w14:solidFill>
                  <w14:schemeClr w14:val="tx1"/>
                </w14:solidFill>
              </w14:textFill>
            </w:rPr>
            <w:tab/>
          </w:r>
          <w:r>
            <w:rPr>
              <w:rFonts w:hint="eastAsia" w:ascii="宋体" w:hAnsi="宋体" w:eastAsia="宋体" w:cs="宋体"/>
              <w:b/>
              <w:bCs/>
              <w:color w:val="000000" w:themeColor="text1"/>
              <w:sz w:val="28"/>
              <w:szCs w:val="28"/>
              <w:highlight w:val="none"/>
              <w14:textFill>
                <w14:solidFill>
                  <w14:schemeClr w14:val="tx1"/>
                </w14:solidFill>
              </w14:textFill>
            </w:rPr>
            <w:fldChar w:fldCharType="begin"/>
          </w:r>
          <w:r>
            <w:rPr>
              <w:rFonts w:hint="eastAsia" w:ascii="宋体" w:hAnsi="宋体" w:eastAsia="宋体" w:cs="宋体"/>
              <w:b/>
              <w:bCs/>
              <w:color w:val="000000" w:themeColor="text1"/>
              <w:sz w:val="28"/>
              <w:szCs w:val="28"/>
              <w:highlight w:val="none"/>
              <w14:textFill>
                <w14:solidFill>
                  <w14:schemeClr w14:val="tx1"/>
                </w14:solidFill>
              </w14:textFill>
            </w:rPr>
            <w:instrText xml:space="preserve"> PAGEREF _Toc9340 \h </w:instrText>
          </w:r>
          <w:r>
            <w:rPr>
              <w:rFonts w:hint="eastAsia" w:ascii="宋体" w:hAnsi="宋体" w:eastAsia="宋体" w:cs="宋体"/>
              <w:b/>
              <w:bCs/>
              <w:color w:val="000000" w:themeColor="text1"/>
              <w:sz w:val="28"/>
              <w:szCs w:val="28"/>
              <w:highlight w:val="none"/>
              <w14:textFill>
                <w14:solidFill>
                  <w14:schemeClr w14:val="tx1"/>
                </w14:solidFill>
              </w14:textFill>
            </w:rPr>
            <w:fldChar w:fldCharType="separate"/>
          </w:r>
          <w:r>
            <w:rPr>
              <w:rFonts w:hint="eastAsia" w:ascii="宋体" w:hAnsi="宋体" w:eastAsia="宋体" w:cs="宋体"/>
              <w:b/>
              <w:bCs/>
              <w:color w:val="000000" w:themeColor="text1"/>
              <w:sz w:val="28"/>
              <w:szCs w:val="28"/>
              <w:highlight w:val="none"/>
              <w14:textFill>
                <w14:solidFill>
                  <w14:schemeClr w14:val="tx1"/>
                </w14:solidFill>
              </w14:textFill>
            </w:rPr>
            <w:t>31</w:t>
          </w:r>
          <w:r>
            <w:rPr>
              <w:rFonts w:hint="eastAsia" w:ascii="宋体" w:hAnsi="宋体" w:eastAsia="宋体" w:cs="宋体"/>
              <w:b/>
              <w:bCs/>
              <w:color w:val="000000" w:themeColor="text1"/>
              <w:sz w:val="28"/>
              <w:szCs w:val="28"/>
              <w:highlight w:val="none"/>
              <w14:textFill>
                <w14:solidFill>
                  <w14:schemeClr w14:val="tx1"/>
                </w14:solidFill>
              </w14:textFill>
            </w:rPr>
            <w:fldChar w:fldCharType="end"/>
          </w:r>
          <w:r>
            <w:rPr>
              <w:rFonts w:hint="eastAsia" w:ascii="宋体" w:hAnsi="宋体" w:eastAsia="宋体" w:cs="宋体"/>
              <w:b/>
              <w:bCs/>
              <w:color w:val="000000" w:themeColor="text1"/>
              <w:sz w:val="28"/>
              <w:szCs w:val="28"/>
              <w:highlight w:val="none"/>
              <w14:textFill>
                <w14:solidFill>
                  <w14:schemeClr w14:val="tx1"/>
                </w14:solidFill>
              </w14:textFill>
            </w:rPr>
            <w:fldChar w:fldCharType="end"/>
          </w:r>
        </w:p>
        <w:p>
          <w:pPr>
            <w:pStyle w:val="23"/>
            <w:shd w:val="clear"/>
            <w:tabs>
              <w:tab w:val="right" w:leader="dot" w:pos="9870"/>
            </w:tabs>
            <w:spacing w:line="480" w:lineRule="auto"/>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fldChar w:fldCharType="begin"/>
          </w:r>
          <w:r>
            <w:rPr>
              <w:rFonts w:hint="eastAsia" w:ascii="宋体" w:hAnsi="宋体" w:eastAsia="宋体" w:cs="宋体"/>
              <w:b/>
              <w:bCs/>
              <w:color w:val="000000" w:themeColor="text1"/>
              <w:sz w:val="28"/>
              <w:szCs w:val="28"/>
              <w:highlight w:val="none"/>
              <w14:textFill>
                <w14:solidFill>
                  <w14:schemeClr w14:val="tx1"/>
                </w14:solidFill>
              </w14:textFill>
            </w:rPr>
            <w:instrText xml:space="preserve"> HYPERLINK \l _Toc31586 </w:instrText>
          </w:r>
          <w:r>
            <w:rPr>
              <w:rFonts w:hint="eastAsia" w:ascii="宋体" w:hAnsi="宋体" w:eastAsia="宋体" w:cs="宋体"/>
              <w:b/>
              <w:bCs/>
              <w:color w:val="000000" w:themeColor="text1"/>
              <w:sz w:val="28"/>
              <w:szCs w:val="28"/>
              <w:highlight w:val="none"/>
              <w14:textFill>
                <w14:solidFill>
                  <w14:schemeClr w14:val="tx1"/>
                </w14:solidFill>
              </w14:textFill>
            </w:rPr>
            <w:fldChar w:fldCharType="separate"/>
          </w:r>
          <w:r>
            <w:rPr>
              <w:rFonts w:hint="eastAsia" w:ascii="宋体" w:hAnsi="宋体" w:eastAsia="宋体" w:cs="宋体"/>
              <w:b/>
              <w:bCs/>
              <w:color w:val="000000" w:themeColor="text1"/>
              <w:spacing w:val="-5"/>
              <w:sz w:val="28"/>
              <w:szCs w:val="28"/>
              <w:highlight w:val="none"/>
              <w14:textFill>
                <w14:solidFill>
                  <w14:schemeClr w14:val="tx1"/>
                </w14:solidFill>
              </w14:textFill>
            </w:rPr>
            <w:t>第四章 资格审查</w:t>
          </w:r>
          <w:r>
            <w:rPr>
              <w:rFonts w:hint="eastAsia" w:ascii="宋体" w:hAnsi="宋体" w:eastAsia="宋体" w:cs="宋体"/>
              <w:b/>
              <w:bCs/>
              <w:color w:val="000000" w:themeColor="text1"/>
              <w:sz w:val="28"/>
              <w:szCs w:val="28"/>
              <w:highlight w:val="none"/>
              <w14:textFill>
                <w14:solidFill>
                  <w14:schemeClr w14:val="tx1"/>
                </w14:solidFill>
              </w14:textFill>
            </w:rPr>
            <w:tab/>
          </w:r>
          <w:r>
            <w:rPr>
              <w:rFonts w:hint="eastAsia" w:ascii="宋体" w:hAnsi="宋体" w:eastAsia="宋体" w:cs="宋体"/>
              <w:b/>
              <w:bCs/>
              <w:color w:val="000000" w:themeColor="text1"/>
              <w:sz w:val="28"/>
              <w:szCs w:val="28"/>
              <w:highlight w:val="none"/>
              <w14:textFill>
                <w14:solidFill>
                  <w14:schemeClr w14:val="tx1"/>
                </w14:solidFill>
              </w14:textFill>
            </w:rPr>
            <w:fldChar w:fldCharType="begin"/>
          </w:r>
          <w:r>
            <w:rPr>
              <w:rFonts w:hint="eastAsia" w:ascii="宋体" w:hAnsi="宋体" w:eastAsia="宋体" w:cs="宋体"/>
              <w:b/>
              <w:bCs/>
              <w:color w:val="000000" w:themeColor="text1"/>
              <w:sz w:val="28"/>
              <w:szCs w:val="28"/>
              <w:highlight w:val="none"/>
              <w14:textFill>
                <w14:solidFill>
                  <w14:schemeClr w14:val="tx1"/>
                </w14:solidFill>
              </w14:textFill>
            </w:rPr>
            <w:instrText xml:space="preserve"> PAGEREF _Toc31586 \h </w:instrText>
          </w:r>
          <w:r>
            <w:rPr>
              <w:rFonts w:hint="eastAsia" w:ascii="宋体" w:hAnsi="宋体" w:eastAsia="宋体" w:cs="宋体"/>
              <w:b/>
              <w:bCs/>
              <w:color w:val="000000" w:themeColor="text1"/>
              <w:sz w:val="28"/>
              <w:szCs w:val="28"/>
              <w:highlight w:val="none"/>
              <w14:textFill>
                <w14:solidFill>
                  <w14:schemeClr w14:val="tx1"/>
                </w14:solidFill>
              </w14:textFill>
            </w:rPr>
            <w:fldChar w:fldCharType="separate"/>
          </w:r>
          <w:r>
            <w:rPr>
              <w:rFonts w:hint="eastAsia" w:ascii="宋体" w:hAnsi="宋体" w:eastAsia="宋体" w:cs="宋体"/>
              <w:b/>
              <w:bCs/>
              <w:color w:val="000000" w:themeColor="text1"/>
              <w:sz w:val="28"/>
              <w:szCs w:val="28"/>
              <w:highlight w:val="none"/>
              <w14:textFill>
                <w14:solidFill>
                  <w14:schemeClr w14:val="tx1"/>
                </w14:solidFill>
              </w14:textFill>
            </w:rPr>
            <w:t>34</w:t>
          </w:r>
          <w:r>
            <w:rPr>
              <w:rFonts w:hint="eastAsia" w:ascii="宋体" w:hAnsi="宋体" w:eastAsia="宋体" w:cs="宋体"/>
              <w:b/>
              <w:bCs/>
              <w:color w:val="000000" w:themeColor="text1"/>
              <w:sz w:val="28"/>
              <w:szCs w:val="28"/>
              <w:highlight w:val="none"/>
              <w14:textFill>
                <w14:solidFill>
                  <w14:schemeClr w14:val="tx1"/>
                </w14:solidFill>
              </w14:textFill>
            </w:rPr>
            <w:fldChar w:fldCharType="end"/>
          </w:r>
          <w:r>
            <w:rPr>
              <w:rFonts w:hint="eastAsia" w:ascii="宋体" w:hAnsi="宋体" w:eastAsia="宋体" w:cs="宋体"/>
              <w:b/>
              <w:bCs/>
              <w:color w:val="000000" w:themeColor="text1"/>
              <w:sz w:val="28"/>
              <w:szCs w:val="28"/>
              <w:highlight w:val="none"/>
              <w14:textFill>
                <w14:solidFill>
                  <w14:schemeClr w14:val="tx1"/>
                </w14:solidFill>
              </w14:textFill>
            </w:rPr>
            <w:fldChar w:fldCharType="end"/>
          </w:r>
        </w:p>
        <w:p>
          <w:pPr>
            <w:pStyle w:val="23"/>
            <w:shd w:val="clear"/>
            <w:tabs>
              <w:tab w:val="right" w:leader="dot" w:pos="9870"/>
            </w:tabs>
            <w:spacing w:line="480" w:lineRule="auto"/>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fldChar w:fldCharType="begin"/>
          </w:r>
          <w:r>
            <w:rPr>
              <w:rFonts w:hint="eastAsia" w:ascii="宋体" w:hAnsi="宋体" w:eastAsia="宋体" w:cs="宋体"/>
              <w:b/>
              <w:bCs/>
              <w:color w:val="000000" w:themeColor="text1"/>
              <w:sz w:val="28"/>
              <w:szCs w:val="28"/>
              <w:highlight w:val="none"/>
              <w14:textFill>
                <w14:solidFill>
                  <w14:schemeClr w14:val="tx1"/>
                </w14:solidFill>
              </w14:textFill>
            </w:rPr>
            <w:instrText xml:space="preserve"> HYPERLINK \l _Toc29620 </w:instrText>
          </w:r>
          <w:r>
            <w:rPr>
              <w:rFonts w:hint="eastAsia" w:ascii="宋体" w:hAnsi="宋体" w:eastAsia="宋体" w:cs="宋体"/>
              <w:b/>
              <w:bCs/>
              <w:color w:val="000000" w:themeColor="text1"/>
              <w:sz w:val="28"/>
              <w:szCs w:val="28"/>
              <w:highlight w:val="none"/>
              <w14:textFill>
                <w14:solidFill>
                  <w14:schemeClr w14:val="tx1"/>
                </w14:solidFill>
              </w14:textFill>
            </w:rPr>
            <w:fldChar w:fldCharType="separate"/>
          </w:r>
          <w:r>
            <w:rPr>
              <w:rFonts w:hint="eastAsia" w:ascii="宋体" w:hAnsi="宋体" w:eastAsia="宋体" w:cs="宋体"/>
              <w:b/>
              <w:bCs/>
              <w:color w:val="000000" w:themeColor="text1"/>
              <w:spacing w:val="-7"/>
              <w:sz w:val="28"/>
              <w:szCs w:val="28"/>
              <w:highlight w:val="none"/>
              <w14:textFill>
                <w14:solidFill>
                  <w14:schemeClr w14:val="tx1"/>
                </w14:solidFill>
              </w14:textFill>
            </w:rPr>
            <w:t>第五章 评标方法及标准(综合评分法)</w:t>
          </w:r>
          <w:r>
            <w:rPr>
              <w:rFonts w:hint="eastAsia" w:ascii="宋体" w:hAnsi="宋体" w:eastAsia="宋体" w:cs="宋体"/>
              <w:b/>
              <w:bCs/>
              <w:color w:val="000000" w:themeColor="text1"/>
              <w:sz w:val="28"/>
              <w:szCs w:val="28"/>
              <w:highlight w:val="none"/>
              <w14:textFill>
                <w14:solidFill>
                  <w14:schemeClr w14:val="tx1"/>
                </w14:solidFill>
              </w14:textFill>
            </w:rPr>
            <w:tab/>
          </w:r>
          <w:r>
            <w:rPr>
              <w:rFonts w:hint="eastAsia" w:ascii="宋体" w:hAnsi="宋体" w:eastAsia="宋体" w:cs="宋体"/>
              <w:b/>
              <w:bCs/>
              <w:color w:val="000000" w:themeColor="text1"/>
              <w:sz w:val="28"/>
              <w:szCs w:val="28"/>
              <w:highlight w:val="none"/>
              <w14:textFill>
                <w14:solidFill>
                  <w14:schemeClr w14:val="tx1"/>
                </w14:solidFill>
              </w14:textFill>
            </w:rPr>
            <w:fldChar w:fldCharType="begin"/>
          </w:r>
          <w:r>
            <w:rPr>
              <w:rFonts w:hint="eastAsia" w:ascii="宋体" w:hAnsi="宋体" w:eastAsia="宋体" w:cs="宋体"/>
              <w:b/>
              <w:bCs/>
              <w:color w:val="000000" w:themeColor="text1"/>
              <w:sz w:val="28"/>
              <w:szCs w:val="28"/>
              <w:highlight w:val="none"/>
              <w14:textFill>
                <w14:solidFill>
                  <w14:schemeClr w14:val="tx1"/>
                </w14:solidFill>
              </w14:textFill>
            </w:rPr>
            <w:instrText xml:space="preserve"> PAGEREF _Toc29620 \h </w:instrText>
          </w:r>
          <w:r>
            <w:rPr>
              <w:rFonts w:hint="eastAsia" w:ascii="宋体" w:hAnsi="宋体" w:eastAsia="宋体" w:cs="宋体"/>
              <w:b/>
              <w:bCs/>
              <w:color w:val="000000" w:themeColor="text1"/>
              <w:sz w:val="28"/>
              <w:szCs w:val="28"/>
              <w:highlight w:val="none"/>
              <w14:textFill>
                <w14:solidFill>
                  <w14:schemeClr w14:val="tx1"/>
                </w14:solidFill>
              </w14:textFill>
            </w:rPr>
            <w:fldChar w:fldCharType="separate"/>
          </w:r>
          <w:r>
            <w:rPr>
              <w:rFonts w:hint="eastAsia" w:ascii="宋体" w:hAnsi="宋体" w:eastAsia="宋体" w:cs="宋体"/>
              <w:b/>
              <w:bCs/>
              <w:color w:val="000000" w:themeColor="text1"/>
              <w:sz w:val="28"/>
              <w:szCs w:val="28"/>
              <w:highlight w:val="none"/>
              <w14:textFill>
                <w14:solidFill>
                  <w14:schemeClr w14:val="tx1"/>
                </w14:solidFill>
              </w14:textFill>
            </w:rPr>
            <w:t>36</w:t>
          </w:r>
          <w:r>
            <w:rPr>
              <w:rFonts w:hint="eastAsia" w:ascii="宋体" w:hAnsi="宋体" w:eastAsia="宋体" w:cs="宋体"/>
              <w:b/>
              <w:bCs/>
              <w:color w:val="000000" w:themeColor="text1"/>
              <w:sz w:val="28"/>
              <w:szCs w:val="28"/>
              <w:highlight w:val="none"/>
              <w14:textFill>
                <w14:solidFill>
                  <w14:schemeClr w14:val="tx1"/>
                </w14:solidFill>
              </w14:textFill>
            </w:rPr>
            <w:fldChar w:fldCharType="end"/>
          </w:r>
          <w:r>
            <w:rPr>
              <w:rFonts w:hint="eastAsia" w:ascii="宋体" w:hAnsi="宋体" w:eastAsia="宋体" w:cs="宋体"/>
              <w:b/>
              <w:bCs/>
              <w:color w:val="000000" w:themeColor="text1"/>
              <w:sz w:val="28"/>
              <w:szCs w:val="28"/>
              <w:highlight w:val="none"/>
              <w14:textFill>
                <w14:solidFill>
                  <w14:schemeClr w14:val="tx1"/>
                </w14:solidFill>
              </w14:textFill>
            </w:rPr>
            <w:fldChar w:fldCharType="end"/>
          </w:r>
        </w:p>
        <w:p>
          <w:pPr>
            <w:pStyle w:val="23"/>
            <w:shd w:val="clear"/>
            <w:tabs>
              <w:tab w:val="right" w:leader="dot" w:pos="9870"/>
            </w:tabs>
            <w:spacing w:line="480" w:lineRule="auto"/>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fldChar w:fldCharType="begin"/>
          </w:r>
          <w:r>
            <w:rPr>
              <w:rFonts w:hint="eastAsia" w:ascii="宋体" w:hAnsi="宋体" w:eastAsia="宋体" w:cs="宋体"/>
              <w:b/>
              <w:bCs/>
              <w:color w:val="000000" w:themeColor="text1"/>
              <w:sz w:val="28"/>
              <w:szCs w:val="28"/>
              <w:highlight w:val="none"/>
              <w14:textFill>
                <w14:solidFill>
                  <w14:schemeClr w14:val="tx1"/>
                </w14:solidFill>
              </w14:textFill>
            </w:rPr>
            <w:instrText xml:space="preserve"> HYPERLINK \l _Toc14496 </w:instrText>
          </w:r>
          <w:r>
            <w:rPr>
              <w:rFonts w:hint="eastAsia" w:ascii="宋体" w:hAnsi="宋体" w:eastAsia="宋体" w:cs="宋体"/>
              <w:b/>
              <w:bCs/>
              <w:color w:val="000000" w:themeColor="text1"/>
              <w:sz w:val="28"/>
              <w:szCs w:val="28"/>
              <w:highlight w:val="none"/>
              <w14:textFill>
                <w14:solidFill>
                  <w14:schemeClr w14:val="tx1"/>
                </w14:solidFill>
              </w14:textFill>
            </w:rPr>
            <w:fldChar w:fldCharType="separate"/>
          </w:r>
          <w:r>
            <w:rPr>
              <w:rFonts w:hint="eastAsia" w:ascii="宋体" w:hAnsi="宋体" w:eastAsia="宋体" w:cs="宋体"/>
              <w:b/>
              <w:bCs/>
              <w:color w:val="000000" w:themeColor="text1"/>
              <w:spacing w:val="-5"/>
              <w:sz w:val="28"/>
              <w:szCs w:val="28"/>
              <w:highlight w:val="none"/>
              <w14:textFill>
                <w14:solidFill>
                  <w14:schemeClr w14:val="tx1"/>
                </w14:solidFill>
              </w14:textFill>
            </w:rPr>
            <w:t>第六章 合同草案</w:t>
          </w:r>
          <w:r>
            <w:rPr>
              <w:rFonts w:hint="eastAsia" w:ascii="宋体" w:hAnsi="宋体" w:eastAsia="宋体" w:cs="宋体"/>
              <w:b/>
              <w:bCs/>
              <w:color w:val="000000" w:themeColor="text1"/>
              <w:sz w:val="28"/>
              <w:szCs w:val="28"/>
              <w:highlight w:val="none"/>
              <w14:textFill>
                <w14:solidFill>
                  <w14:schemeClr w14:val="tx1"/>
                </w14:solidFill>
              </w14:textFill>
            </w:rPr>
            <w:tab/>
          </w:r>
          <w:r>
            <w:rPr>
              <w:rFonts w:hint="eastAsia" w:ascii="宋体" w:hAnsi="宋体" w:eastAsia="宋体" w:cs="宋体"/>
              <w:b/>
              <w:bCs/>
              <w:color w:val="000000" w:themeColor="text1"/>
              <w:sz w:val="28"/>
              <w:szCs w:val="28"/>
              <w:highlight w:val="none"/>
              <w14:textFill>
                <w14:solidFill>
                  <w14:schemeClr w14:val="tx1"/>
                </w14:solidFill>
              </w14:textFill>
            </w:rPr>
            <w:fldChar w:fldCharType="begin"/>
          </w:r>
          <w:r>
            <w:rPr>
              <w:rFonts w:hint="eastAsia" w:ascii="宋体" w:hAnsi="宋体" w:eastAsia="宋体" w:cs="宋体"/>
              <w:b/>
              <w:bCs/>
              <w:color w:val="000000" w:themeColor="text1"/>
              <w:sz w:val="28"/>
              <w:szCs w:val="28"/>
              <w:highlight w:val="none"/>
              <w14:textFill>
                <w14:solidFill>
                  <w14:schemeClr w14:val="tx1"/>
                </w14:solidFill>
              </w14:textFill>
            </w:rPr>
            <w:instrText xml:space="preserve"> PAGEREF _Toc14496 \h </w:instrText>
          </w:r>
          <w:r>
            <w:rPr>
              <w:rFonts w:hint="eastAsia" w:ascii="宋体" w:hAnsi="宋体" w:eastAsia="宋体" w:cs="宋体"/>
              <w:b/>
              <w:bCs/>
              <w:color w:val="000000" w:themeColor="text1"/>
              <w:sz w:val="28"/>
              <w:szCs w:val="28"/>
              <w:highlight w:val="none"/>
              <w14:textFill>
                <w14:solidFill>
                  <w14:schemeClr w14:val="tx1"/>
                </w14:solidFill>
              </w14:textFill>
            </w:rPr>
            <w:fldChar w:fldCharType="separate"/>
          </w:r>
          <w:r>
            <w:rPr>
              <w:rFonts w:hint="eastAsia" w:ascii="宋体" w:hAnsi="宋体" w:eastAsia="宋体" w:cs="宋体"/>
              <w:b/>
              <w:bCs/>
              <w:color w:val="000000" w:themeColor="text1"/>
              <w:sz w:val="28"/>
              <w:szCs w:val="28"/>
              <w:highlight w:val="none"/>
              <w14:textFill>
                <w14:solidFill>
                  <w14:schemeClr w14:val="tx1"/>
                </w14:solidFill>
              </w14:textFill>
            </w:rPr>
            <w:t>48</w:t>
          </w:r>
          <w:r>
            <w:rPr>
              <w:rFonts w:hint="eastAsia" w:ascii="宋体" w:hAnsi="宋体" w:eastAsia="宋体" w:cs="宋体"/>
              <w:b/>
              <w:bCs/>
              <w:color w:val="000000" w:themeColor="text1"/>
              <w:sz w:val="28"/>
              <w:szCs w:val="28"/>
              <w:highlight w:val="none"/>
              <w14:textFill>
                <w14:solidFill>
                  <w14:schemeClr w14:val="tx1"/>
                </w14:solidFill>
              </w14:textFill>
            </w:rPr>
            <w:fldChar w:fldCharType="end"/>
          </w:r>
          <w:r>
            <w:rPr>
              <w:rFonts w:hint="eastAsia" w:ascii="宋体" w:hAnsi="宋体" w:eastAsia="宋体" w:cs="宋体"/>
              <w:b/>
              <w:bCs/>
              <w:color w:val="000000" w:themeColor="text1"/>
              <w:sz w:val="28"/>
              <w:szCs w:val="28"/>
              <w:highlight w:val="none"/>
              <w14:textFill>
                <w14:solidFill>
                  <w14:schemeClr w14:val="tx1"/>
                </w14:solidFill>
              </w14:textFill>
            </w:rPr>
            <w:fldChar w:fldCharType="end"/>
          </w:r>
        </w:p>
        <w:p>
          <w:pPr>
            <w:pStyle w:val="23"/>
            <w:shd w:val="clear"/>
            <w:tabs>
              <w:tab w:val="right" w:leader="dot" w:pos="9870"/>
            </w:tabs>
            <w:spacing w:line="480" w:lineRule="auto"/>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fldChar w:fldCharType="begin"/>
          </w:r>
          <w:r>
            <w:rPr>
              <w:rFonts w:hint="eastAsia" w:ascii="宋体" w:hAnsi="宋体" w:eastAsia="宋体" w:cs="宋体"/>
              <w:b/>
              <w:bCs/>
              <w:color w:val="000000" w:themeColor="text1"/>
              <w:sz w:val="28"/>
              <w:szCs w:val="28"/>
              <w:highlight w:val="none"/>
              <w14:textFill>
                <w14:solidFill>
                  <w14:schemeClr w14:val="tx1"/>
                </w14:solidFill>
              </w14:textFill>
            </w:rPr>
            <w:instrText xml:space="preserve"> HYPERLINK \l _Toc12644 </w:instrText>
          </w:r>
          <w:r>
            <w:rPr>
              <w:rFonts w:hint="eastAsia" w:ascii="宋体" w:hAnsi="宋体" w:eastAsia="宋体" w:cs="宋体"/>
              <w:b/>
              <w:bCs/>
              <w:color w:val="000000" w:themeColor="text1"/>
              <w:sz w:val="28"/>
              <w:szCs w:val="28"/>
              <w:highlight w:val="none"/>
              <w14:textFill>
                <w14:solidFill>
                  <w14:schemeClr w14:val="tx1"/>
                </w14:solidFill>
              </w14:textFill>
            </w:rPr>
            <w:fldChar w:fldCharType="separate"/>
          </w:r>
          <w:r>
            <w:rPr>
              <w:rFonts w:hint="eastAsia" w:ascii="宋体" w:hAnsi="宋体" w:eastAsia="宋体" w:cs="宋体"/>
              <w:b/>
              <w:bCs/>
              <w:color w:val="000000" w:themeColor="text1"/>
              <w:spacing w:val="-5"/>
              <w:sz w:val="28"/>
              <w:szCs w:val="28"/>
              <w:highlight w:val="none"/>
              <w14:textFill>
                <w14:solidFill>
                  <w14:schemeClr w14:val="tx1"/>
                </w14:solidFill>
              </w14:textFill>
            </w:rPr>
            <w:t>第七章 投标文件格式</w:t>
          </w:r>
          <w:r>
            <w:rPr>
              <w:rFonts w:hint="eastAsia" w:ascii="宋体" w:hAnsi="宋体" w:eastAsia="宋体" w:cs="宋体"/>
              <w:b/>
              <w:bCs/>
              <w:color w:val="000000" w:themeColor="text1"/>
              <w:sz w:val="28"/>
              <w:szCs w:val="28"/>
              <w:highlight w:val="none"/>
              <w14:textFill>
                <w14:solidFill>
                  <w14:schemeClr w14:val="tx1"/>
                </w14:solidFill>
              </w14:textFill>
            </w:rPr>
            <w:tab/>
          </w:r>
          <w:r>
            <w:rPr>
              <w:rFonts w:hint="eastAsia" w:ascii="宋体" w:hAnsi="宋体" w:eastAsia="宋体" w:cs="宋体"/>
              <w:b/>
              <w:bCs/>
              <w:color w:val="000000" w:themeColor="text1"/>
              <w:sz w:val="28"/>
              <w:szCs w:val="28"/>
              <w:highlight w:val="none"/>
              <w14:textFill>
                <w14:solidFill>
                  <w14:schemeClr w14:val="tx1"/>
                </w14:solidFill>
              </w14:textFill>
            </w:rPr>
            <w:fldChar w:fldCharType="begin"/>
          </w:r>
          <w:r>
            <w:rPr>
              <w:rFonts w:hint="eastAsia" w:ascii="宋体" w:hAnsi="宋体" w:eastAsia="宋体" w:cs="宋体"/>
              <w:b/>
              <w:bCs/>
              <w:color w:val="000000" w:themeColor="text1"/>
              <w:sz w:val="28"/>
              <w:szCs w:val="28"/>
              <w:highlight w:val="none"/>
              <w14:textFill>
                <w14:solidFill>
                  <w14:schemeClr w14:val="tx1"/>
                </w14:solidFill>
              </w14:textFill>
            </w:rPr>
            <w:instrText xml:space="preserve"> PAGEREF _Toc12644 \h </w:instrText>
          </w:r>
          <w:r>
            <w:rPr>
              <w:rFonts w:hint="eastAsia" w:ascii="宋体" w:hAnsi="宋体" w:eastAsia="宋体" w:cs="宋体"/>
              <w:b/>
              <w:bCs/>
              <w:color w:val="000000" w:themeColor="text1"/>
              <w:sz w:val="28"/>
              <w:szCs w:val="28"/>
              <w:highlight w:val="none"/>
              <w14:textFill>
                <w14:solidFill>
                  <w14:schemeClr w14:val="tx1"/>
                </w14:solidFill>
              </w14:textFill>
            </w:rPr>
            <w:fldChar w:fldCharType="separate"/>
          </w:r>
          <w:r>
            <w:rPr>
              <w:rFonts w:hint="eastAsia" w:ascii="宋体" w:hAnsi="宋体" w:eastAsia="宋体" w:cs="宋体"/>
              <w:b/>
              <w:bCs/>
              <w:color w:val="000000" w:themeColor="text1"/>
              <w:sz w:val="28"/>
              <w:szCs w:val="28"/>
              <w:highlight w:val="none"/>
              <w14:textFill>
                <w14:solidFill>
                  <w14:schemeClr w14:val="tx1"/>
                </w14:solidFill>
              </w14:textFill>
            </w:rPr>
            <w:t>57</w:t>
          </w:r>
          <w:r>
            <w:rPr>
              <w:rFonts w:hint="eastAsia" w:ascii="宋体" w:hAnsi="宋体" w:eastAsia="宋体" w:cs="宋体"/>
              <w:b/>
              <w:bCs/>
              <w:color w:val="000000" w:themeColor="text1"/>
              <w:sz w:val="28"/>
              <w:szCs w:val="28"/>
              <w:highlight w:val="none"/>
              <w14:textFill>
                <w14:solidFill>
                  <w14:schemeClr w14:val="tx1"/>
                </w14:solidFill>
              </w14:textFill>
            </w:rPr>
            <w:fldChar w:fldCharType="end"/>
          </w:r>
          <w:r>
            <w:rPr>
              <w:rFonts w:hint="eastAsia" w:ascii="宋体" w:hAnsi="宋体" w:eastAsia="宋体" w:cs="宋体"/>
              <w:b/>
              <w:bCs/>
              <w:color w:val="000000" w:themeColor="text1"/>
              <w:sz w:val="28"/>
              <w:szCs w:val="28"/>
              <w:highlight w:val="none"/>
              <w14:textFill>
                <w14:solidFill>
                  <w14:schemeClr w14:val="tx1"/>
                </w14:solidFill>
              </w14:textFill>
            </w:rPr>
            <w:fldChar w:fldCharType="end"/>
          </w:r>
        </w:p>
        <w:p>
          <w:pPr>
            <w:shd w:val="clear"/>
            <w:spacing w:line="480" w:lineRule="auto"/>
            <w:rPr>
              <w:color w:val="000000" w:themeColor="text1"/>
              <w:highlight w:val="none"/>
              <w14:textFill>
                <w14:solidFill>
                  <w14:schemeClr w14:val="tx1"/>
                </w14:solidFill>
              </w14:textFill>
            </w:rPr>
            <w:sectPr>
              <w:headerReference r:id="rId3" w:type="default"/>
              <w:pgSz w:w="11910" w:h="16840"/>
              <w:pgMar w:top="1380" w:right="1020" w:bottom="280" w:left="1020" w:header="878" w:footer="0" w:gutter="0"/>
              <w:cols w:space="720" w:num="1"/>
            </w:sectPr>
          </w:pPr>
          <w:r>
            <w:rPr>
              <w:rFonts w:hint="eastAsia" w:ascii="宋体" w:hAnsi="宋体" w:eastAsia="宋体" w:cs="宋体"/>
              <w:b/>
              <w:bCs/>
              <w:color w:val="000000" w:themeColor="text1"/>
              <w:sz w:val="28"/>
              <w:szCs w:val="28"/>
              <w:highlight w:val="none"/>
              <w14:textFill>
                <w14:solidFill>
                  <w14:schemeClr w14:val="tx1"/>
                </w14:solidFill>
              </w14:textFill>
            </w:rPr>
            <w:fldChar w:fldCharType="end"/>
          </w:r>
        </w:p>
      </w:sdtContent>
    </w:sdt>
    <w:p>
      <w:pPr>
        <w:shd w:val="clear"/>
        <w:spacing w:before="130"/>
        <w:ind w:right="2"/>
        <w:jc w:val="center"/>
        <w:outlineLvl w:val="0"/>
        <w:rPr>
          <w:b/>
          <w:color w:val="000000" w:themeColor="text1"/>
          <w:sz w:val="36"/>
          <w:highlight w:val="none"/>
          <w14:textFill>
            <w14:solidFill>
              <w14:schemeClr w14:val="tx1"/>
            </w14:solidFill>
          </w14:textFill>
        </w:rPr>
      </w:pPr>
      <w:bookmarkStart w:id="0" w:name="_bookmark0"/>
      <w:bookmarkEnd w:id="0"/>
      <w:bookmarkStart w:id="1" w:name="第一章_招标公告"/>
      <w:bookmarkEnd w:id="1"/>
      <w:bookmarkStart w:id="2" w:name="_Toc14862"/>
      <w:r>
        <w:rPr>
          <w:b/>
          <w:color w:val="000000" w:themeColor="text1"/>
          <w:spacing w:val="-5"/>
          <w:sz w:val="36"/>
          <w:highlight w:val="none"/>
          <w14:textFill>
            <w14:solidFill>
              <w14:schemeClr w14:val="tx1"/>
            </w14:solidFill>
          </w14:textFill>
        </w:rPr>
        <w:t>第一章 招标公告</w:t>
      </w:r>
      <w:bookmarkEnd w:id="2"/>
    </w:p>
    <w:p>
      <w:pPr>
        <w:pStyle w:val="10"/>
        <w:shd w:val="clear"/>
        <w:spacing w:before="19"/>
        <w:ind w:left="0"/>
        <w:rPr>
          <w:b/>
          <w:color w:val="000000" w:themeColor="text1"/>
          <w:sz w:val="20"/>
          <w:highlight w:val="none"/>
          <w14:textFill>
            <w14:solidFill>
              <w14:schemeClr w14:val="tx1"/>
            </w14:solidFill>
          </w14:textFill>
        </w:rPr>
      </w:pPr>
    </w:p>
    <w:p>
      <w:pPr>
        <w:pStyle w:val="7"/>
        <w:shd w:val="clear"/>
        <w:spacing w:before="233"/>
        <w:rPr>
          <w:color w:val="000000" w:themeColor="text1"/>
          <w:highlight w:val="none"/>
          <w14:textFill>
            <w14:solidFill>
              <w14:schemeClr w14:val="tx1"/>
            </w14:solidFill>
          </w14:textFill>
        </w:rPr>
      </w:pPr>
      <w:bookmarkStart w:id="3" w:name="一、项目基本情况"/>
      <w:bookmarkEnd w:id="3"/>
      <w:bookmarkStart w:id="4" w:name="_bookmark1"/>
      <w:bookmarkEnd w:id="4"/>
      <w:r>
        <w:rPr>
          <w:color w:val="000000" w:themeColor="text1"/>
          <w:highlight w:val="none"/>
          <w14:textFill>
            <w14:solidFill>
              <w14:schemeClr w14:val="tx1"/>
            </w14:solidFill>
          </w14:textFill>
        </w:rPr>
        <mc:AlternateContent>
          <mc:Choice Requires="wpg">
            <w:drawing>
              <wp:anchor distT="0" distB="0" distL="0" distR="0" simplePos="0" relativeHeight="251665408" behindDoc="1" locked="0" layoutInCell="1" allowOverlap="1">
                <wp:simplePos x="0" y="0"/>
                <wp:positionH relativeFrom="page">
                  <wp:posOffset>1074420</wp:posOffset>
                </wp:positionH>
                <wp:positionV relativeFrom="paragraph">
                  <wp:posOffset>18415</wp:posOffset>
                </wp:positionV>
                <wp:extent cx="5842635" cy="1405890"/>
                <wp:effectExtent l="5080" t="4445" r="4445" b="6985"/>
                <wp:wrapTopAndBottom/>
                <wp:docPr id="6" name="Group 6"/>
                <wp:cNvGraphicFramePr/>
                <a:graphic xmlns:a="http://schemas.openxmlformats.org/drawingml/2006/main">
                  <a:graphicData uri="http://schemas.microsoft.com/office/word/2010/wordprocessingGroup">
                    <wpg:wgp>
                      <wpg:cNvGrpSpPr/>
                      <wpg:grpSpPr>
                        <a:xfrm>
                          <a:off x="0" y="0"/>
                          <a:ext cx="5842635" cy="1405890"/>
                          <a:chOff x="3175" y="3175"/>
                          <a:chExt cx="5842635" cy="1405890"/>
                        </a:xfrm>
                      </wpg:grpSpPr>
                      <wps:wsp>
                        <wps:cNvPr id="7" name="Graphic 7"/>
                        <wps:cNvSpPr/>
                        <wps:spPr>
                          <a:xfrm>
                            <a:off x="3119627" y="652780"/>
                            <a:ext cx="467359" cy="1270"/>
                          </a:xfrm>
                          <a:custGeom>
                            <a:avLst/>
                            <a:gdLst/>
                            <a:ahLst/>
                            <a:cxnLst/>
                            <a:rect l="l" t="t" r="r" b="b"/>
                            <a:pathLst>
                              <a:path w="467359">
                                <a:moveTo>
                                  <a:pt x="0" y="0"/>
                                </a:moveTo>
                                <a:lnTo>
                                  <a:pt x="467360" y="0"/>
                                </a:lnTo>
                              </a:path>
                            </a:pathLst>
                          </a:custGeom>
                          <a:ln w="7620">
                            <a:solidFill>
                              <a:srgbClr val="000000"/>
                            </a:solidFill>
                            <a:prstDash val="solid"/>
                          </a:ln>
                        </wps:spPr>
                        <wps:bodyPr wrap="square" lIns="0" tIns="0" rIns="0" bIns="0" rtlCol="0">
                          <a:noAutofit/>
                        </wps:bodyPr>
                      </wps:wsp>
                      <wps:wsp>
                        <wps:cNvPr id="8" name="Textbox 8"/>
                        <wps:cNvSpPr txBox="1"/>
                        <wps:spPr>
                          <a:xfrm>
                            <a:off x="3175" y="3175"/>
                            <a:ext cx="5842635" cy="1405890"/>
                          </a:xfrm>
                          <a:prstGeom prst="rect">
                            <a:avLst/>
                          </a:prstGeom>
                          <a:ln w="6096">
                            <a:solidFill>
                              <a:srgbClr val="000000"/>
                            </a:solidFill>
                            <a:prstDash val="solid"/>
                          </a:ln>
                        </wps:spPr>
                        <wps:txbx>
                          <w:txbxContent>
                            <w:p>
                              <w:pPr>
                                <w:spacing w:before="177"/>
                                <w:ind w:left="103"/>
                                <w:rPr>
                                  <w:b/>
                                  <w:sz w:val="24"/>
                                </w:rPr>
                              </w:pPr>
                              <w:bookmarkStart w:id="208" w:name="项目概况："/>
                              <w:bookmarkEnd w:id="208"/>
                              <w:r>
                                <w:rPr>
                                  <w:b/>
                                  <w:spacing w:val="-4"/>
                                  <w:sz w:val="24"/>
                                </w:rPr>
                                <w:t>项目概况：</w:t>
                              </w:r>
                            </w:p>
                            <w:p>
                              <w:pPr>
                                <w:tabs>
                                  <w:tab w:val="left" w:pos="823"/>
                                  <w:tab w:val="left" w:pos="1543"/>
                                  <w:tab w:val="left" w:pos="8169"/>
                                </w:tabs>
                                <w:spacing w:before="96" w:line="470" w:lineRule="atLeast"/>
                                <w:ind w:left="103" w:right="100" w:firstLine="480"/>
                                <w:rPr>
                                  <w:sz w:val="24"/>
                                </w:rPr>
                              </w:pPr>
                              <w:r>
                                <w:rPr>
                                  <w:rFonts w:ascii="Times New Roman" w:eastAsia="Times New Roman"/>
                                  <w:spacing w:val="40"/>
                                  <w:sz w:val="24"/>
                                  <w:u w:val="single"/>
                                </w:rPr>
                                <w:t xml:space="preserve"> </w:t>
                              </w:r>
                              <w:r>
                                <w:rPr>
                                  <w:rFonts w:hint="eastAsia" w:eastAsia="宋体"/>
                                  <w:sz w:val="24"/>
                                  <w:u w:val="single"/>
                                  <w:lang w:eastAsia="zh-CN"/>
                                </w:rPr>
                                <w:t>新疆农业大学亚心校区葡萄苑餐厅面向社会公开招募餐饮服务团队项目</w:t>
                              </w:r>
                              <w:r>
                                <w:rPr>
                                  <w:sz w:val="24"/>
                                  <w:u w:val="single"/>
                                </w:rPr>
                                <w:t xml:space="preserve"> </w:t>
                              </w:r>
                              <w:r>
                                <w:rPr>
                                  <w:sz w:val="24"/>
                                </w:rPr>
                                <w:t>招标项目的潜在投标人应</w:t>
                              </w:r>
                              <w:r>
                                <w:rPr>
                                  <w:spacing w:val="-111"/>
                                  <w:sz w:val="24"/>
                                </w:rPr>
                                <w:t>在</w:t>
                              </w:r>
                              <w:r>
                                <w:rPr>
                                  <w:sz w:val="24"/>
                                </w:rPr>
                                <w:t>（</w:t>
                              </w:r>
                              <w:r>
                                <w:rPr>
                                  <w:rFonts w:hint="eastAsia"/>
                                  <w:sz w:val="24"/>
                                </w:rPr>
                                <w:t>政采云平台（https://www.zcygov.cn/）</w:t>
                              </w:r>
                              <w:r>
                                <w:rPr>
                                  <w:spacing w:val="-111"/>
                                  <w:sz w:val="24"/>
                                </w:rPr>
                                <w:t>）</w:t>
                              </w:r>
                              <w:r>
                                <w:rPr>
                                  <w:sz w:val="24"/>
                                </w:rPr>
                                <w:t>获取招标文件</w:t>
                              </w:r>
                              <w:r>
                                <w:rPr>
                                  <w:spacing w:val="-111"/>
                                  <w:sz w:val="24"/>
                                </w:rPr>
                                <w:t>，</w:t>
                              </w:r>
                              <w:r>
                                <w:rPr>
                                  <w:sz w:val="24"/>
                                </w:rPr>
                                <w:t>并于</w:t>
                              </w:r>
                              <w:r>
                                <w:rPr>
                                  <w:rFonts w:hint="eastAsia"/>
                                  <w:sz w:val="24"/>
                                  <w:u w:val="single"/>
                                </w:rPr>
                                <w:t xml:space="preserve"> </w:t>
                              </w:r>
                              <w:r>
                                <w:rPr>
                                  <w:rFonts w:hint="eastAsia"/>
                                  <w:sz w:val="24"/>
                                  <w:u w:val="single"/>
                                  <w:lang w:eastAsia="zh-CN"/>
                                </w:rPr>
                                <w:t>2025年2月7日11时00分</w:t>
                              </w:r>
                              <w:r>
                                <w:rPr>
                                  <w:rFonts w:hint="eastAsia"/>
                                  <w:spacing w:val="-2"/>
                                  <w:sz w:val="24"/>
                                  <w:u w:val="single"/>
                                </w:rPr>
                                <w:t xml:space="preserve"> </w:t>
                              </w:r>
                              <w:r>
                                <w:rPr>
                                  <w:spacing w:val="-2"/>
                                  <w:sz w:val="24"/>
                                </w:rPr>
                                <w:t>（北京时间）前递交投标文件。</w:t>
                              </w:r>
                            </w:p>
                          </w:txbxContent>
                        </wps:txbx>
                        <wps:bodyPr wrap="square" lIns="0" tIns="0" rIns="0" bIns="0" rtlCol="0">
                          <a:noAutofit/>
                        </wps:bodyPr>
                      </wps:wsp>
                    </wpg:wgp>
                  </a:graphicData>
                </a:graphic>
              </wp:anchor>
            </w:drawing>
          </mc:Choice>
          <mc:Fallback>
            <w:pict>
              <v:group id="Group 6" o:spid="_x0000_s1026" o:spt="203" style="position:absolute;left:0pt;margin-left:84.6pt;margin-top:1.45pt;height:110.7pt;width:460.05pt;mso-position-horizontal-relative:page;mso-wrap-distance-bottom:0pt;mso-wrap-distance-top:0pt;z-index:-251651072;mso-width-relative:page;mso-height-relative:page;" coordorigin="3175,3175" coordsize="5842635,1405890" o:gfxdata="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BqIq7LaAAAACgEAAA8AAAAAAAAAAQAgAAAAIgAAAGRycy9kb3ducmV2LnhtbFBLAQIU&#10;ABQAAAAIAIdO4kC5EFma1QIAALgHAAAOAAAAAAAAAAEAIAAAACkBAABkcnMvZTJvRG9jLnhtbFBL&#10;BQYAAAAABgAGAFkBAABwBgAAAAA=&#10;">
                <o:lock v:ext="edit" aspectratio="f"/>
                <v:shape id="Graphic 7" o:spid="_x0000_s1026" o:spt="100" style="position:absolute;left:3119627;top:652780;height:1270;width:467359;" filled="f" stroked="t" coordsize="467359,1" o:gfxdata="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w9vtvQAA&#10;ANoAAAAPAAAAAAAAAAEAIAAAACIAAABkcnMvZG93bnJldi54bWxQSwECFAAUAAAACACHTuJAMy8F&#10;njsAAAA5AAAAEAAAAAAAAAABACAAAAAMAQAAZHJzL3NoYXBleG1sLnhtbFBLBQYAAAAABgAGAFsB&#10;AAC2AwAAAAA=&#10;" path="m0,0l467360,0e">
                  <v:fill on="f" focussize="0,0"/>
                  <v:stroke weight="0.6pt" color="#000000" joinstyle="round"/>
                  <v:imagedata o:title=""/>
                  <o:lock v:ext="edit" aspectratio="f"/>
                  <v:textbox inset="0mm,0mm,0mm,0mm"/>
                </v:shape>
                <v:shape id="Textbox 8" o:spid="_x0000_s1026" o:spt="202" type="#_x0000_t202" style="position:absolute;left:3175;top:3175;height:1405890;width:5842635;" filled="f" stroked="t" coordsize="21600,21600" o:gfxdata="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4foXxbUAAADaAAAADwAA&#10;AAAAAAABACAAAAAiAAAAZHJzL2Rvd25yZXYueG1sUEsBAhQAFAAAAAgAh07iQDMvBZ47AAAAOQAA&#10;ABAAAAAAAAAAAQAgAAAABAEAAGRycy9zaGFwZXhtbC54bWxQSwUGAAAAAAYABgBbAQAArgMAAAAA&#10;">
                  <v:fill on="f" focussize="0,0"/>
                  <v:stroke weight="0.48pt" color="#000000" joinstyle="round"/>
                  <v:imagedata o:title=""/>
                  <o:lock v:ext="edit" aspectratio="f"/>
                  <v:textbox inset="0mm,0mm,0mm,0mm">
                    <w:txbxContent>
                      <w:p>
                        <w:pPr>
                          <w:spacing w:before="177"/>
                          <w:ind w:left="103"/>
                          <w:rPr>
                            <w:b/>
                            <w:sz w:val="24"/>
                          </w:rPr>
                        </w:pPr>
                        <w:bookmarkStart w:id="208" w:name="项目概况："/>
                        <w:bookmarkEnd w:id="208"/>
                        <w:r>
                          <w:rPr>
                            <w:b/>
                            <w:spacing w:val="-4"/>
                            <w:sz w:val="24"/>
                          </w:rPr>
                          <w:t>项目概况：</w:t>
                        </w:r>
                      </w:p>
                      <w:p>
                        <w:pPr>
                          <w:tabs>
                            <w:tab w:val="left" w:pos="823"/>
                            <w:tab w:val="left" w:pos="1543"/>
                            <w:tab w:val="left" w:pos="8169"/>
                          </w:tabs>
                          <w:spacing w:before="96" w:line="470" w:lineRule="atLeast"/>
                          <w:ind w:left="103" w:right="100" w:firstLine="480"/>
                          <w:rPr>
                            <w:sz w:val="24"/>
                          </w:rPr>
                        </w:pPr>
                        <w:r>
                          <w:rPr>
                            <w:rFonts w:ascii="Times New Roman" w:eastAsia="Times New Roman"/>
                            <w:spacing w:val="40"/>
                            <w:sz w:val="24"/>
                            <w:u w:val="single"/>
                          </w:rPr>
                          <w:t xml:space="preserve"> </w:t>
                        </w:r>
                        <w:r>
                          <w:rPr>
                            <w:rFonts w:hint="eastAsia" w:eastAsia="宋体"/>
                            <w:sz w:val="24"/>
                            <w:u w:val="single"/>
                            <w:lang w:eastAsia="zh-CN"/>
                          </w:rPr>
                          <w:t>新疆农业大学亚心校区葡萄苑餐厅面向社会公开招募餐饮服务团队项目</w:t>
                        </w:r>
                        <w:r>
                          <w:rPr>
                            <w:sz w:val="24"/>
                            <w:u w:val="single"/>
                          </w:rPr>
                          <w:t xml:space="preserve"> </w:t>
                        </w:r>
                        <w:r>
                          <w:rPr>
                            <w:sz w:val="24"/>
                          </w:rPr>
                          <w:t>招标项目的潜在投标人应</w:t>
                        </w:r>
                        <w:r>
                          <w:rPr>
                            <w:spacing w:val="-111"/>
                            <w:sz w:val="24"/>
                          </w:rPr>
                          <w:t>在</w:t>
                        </w:r>
                        <w:r>
                          <w:rPr>
                            <w:sz w:val="24"/>
                          </w:rPr>
                          <w:t>（</w:t>
                        </w:r>
                        <w:r>
                          <w:rPr>
                            <w:rFonts w:hint="eastAsia"/>
                            <w:sz w:val="24"/>
                          </w:rPr>
                          <w:t>政采云平台（https://www.zcygov.cn/）</w:t>
                        </w:r>
                        <w:r>
                          <w:rPr>
                            <w:spacing w:val="-111"/>
                            <w:sz w:val="24"/>
                          </w:rPr>
                          <w:t>）</w:t>
                        </w:r>
                        <w:r>
                          <w:rPr>
                            <w:sz w:val="24"/>
                          </w:rPr>
                          <w:t>获取招标文件</w:t>
                        </w:r>
                        <w:r>
                          <w:rPr>
                            <w:spacing w:val="-111"/>
                            <w:sz w:val="24"/>
                          </w:rPr>
                          <w:t>，</w:t>
                        </w:r>
                        <w:r>
                          <w:rPr>
                            <w:sz w:val="24"/>
                          </w:rPr>
                          <w:t>并于</w:t>
                        </w:r>
                        <w:r>
                          <w:rPr>
                            <w:rFonts w:hint="eastAsia"/>
                            <w:sz w:val="24"/>
                            <w:u w:val="single"/>
                          </w:rPr>
                          <w:t xml:space="preserve"> </w:t>
                        </w:r>
                        <w:r>
                          <w:rPr>
                            <w:rFonts w:hint="eastAsia"/>
                            <w:sz w:val="24"/>
                            <w:u w:val="single"/>
                            <w:lang w:eastAsia="zh-CN"/>
                          </w:rPr>
                          <w:t>2025年2月7日11时00分</w:t>
                        </w:r>
                        <w:r>
                          <w:rPr>
                            <w:rFonts w:hint="eastAsia"/>
                            <w:spacing w:val="-2"/>
                            <w:sz w:val="24"/>
                            <w:u w:val="single"/>
                          </w:rPr>
                          <w:t xml:space="preserve"> </w:t>
                        </w:r>
                        <w:r>
                          <w:rPr>
                            <w:spacing w:val="-2"/>
                            <w:sz w:val="24"/>
                          </w:rPr>
                          <w:t>（北京时间）前递交投标文件。</w:t>
                        </w:r>
                      </w:p>
                    </w:txbxContent>
                  </v:textbox>
                </v:shape>
                <w10:wrap type="topAndBottom"/>
              </v:group>
            </w:pict>
          </mc:Fallback>
        </mc:AlternateContent>
      </w:r>
      <w:r>
        <w:rPr>
          <w:color w:val="000000" w:themeColor="text1"/>
          <w:spacing w:val="-4"/>
          <w:highlight w:val="none"/>
          <w14:textFill>
            <w14:solidFill>
              <w14:schemeClr w14:val="tx1"/>
            </w14:solidFill>
          </w14:textFill>
        </w:rPr>
        <w:t>一、项目基本情况</w:t>
      </w:r>
    </w:p>
    <w:p>
      <w:pPr>
        <w:pStyle w:val="10"/>
        <w:shd w:val="clear"/>
        <w:ind w:left="0"/>
        <w:rPr>
          <w:b/>
          <w:color w:val="000000" w:themeColor="text1"/>
          <w:highlight w:val="none"/>
          <w14:textFill>
            <w14:solidFill>
              <w14:schemeClr w14:val="tx1"/>
            </w14:solidFill>
          </w14:textFill>
        </w:rPr>
      </w:pPr>
    </w:p>
    <w:p>
      <w:pPr>
        <w:pStyle w:val="19"/>
        <w:numPr>
          <w:ilvl w:val="0"/>
          <w:numId w:val="1"/>
        </w:numPr>
        <w:shd w:val="clear"/>
        <w:tabs>
          <w:tab w:val="left" w:pos="1500"/>
          <w:tab w:val="left" w:pos="6599"/>
        </w:tabs>
        <w:ind w:left="1500" w:hanging="240"/>
        <w:rPr>
          <w:rFonts w:ascii="Times New Roman" w:eastAsia="Times New Roman"/>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pacing w:val="-10"/>
          <w:sz w:val="24"/>
          <w:highlight w:val="none"/>
          <w14:textFill>
            <w14:solidFill>
              <w14:schemeClr w14:val="tx1"/>
            </w14:solidFill>
          </w14:textFill>
        </w:rPr>
        <w:t>：</w:t>
      </w:r>
      <w:r>
        <w:rPr>
          <w:rFonts w:hint="eastAsia"/>
          <w:color w:val="000000" w:themeColor="text1"/>
          <w:spacing w:val="-10"/>
          <w:sz w:val="24"/>
          <w:highlight w:val="none"/>
          <w14:textFill>
            <w14:solidFill>
              <w14:schemeClr w14:val="tx1"/>
            </w14:solidFill>
          </w14:textFill>
        </w:rPr>
        <w:t>HLYZB02-2025001</w:t>
      </w:r>
    </w:p>
    <w:p>
      <w:pPr>
        <w:pStyle w:val="19"/>
        <w:numPr>
          <w:ilvl w:val="0"/>
          <w:numId w:val="1"/>
        </w:numPr>
        <w:shd w:val="clear"/>
        <w:tabs>
          <w:tab w:val="left" w:pos="1500"/>
          <w:tab w:val="left" w:pos="6599"/>
        </w:tabs>
        <w:spacing w:before="156"/>
        <w:ind w:left="1500" w:hanging="240"/>
        <w:rPr>
          <w:rFonts w:ascii="Times New Roman" w:eastAsia="Times New Roman"/>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pacing w:val="-10"/>
          <w:sz w:val="24"/>
          <w:highlight w:val="none"/>
          <w14:textFill>
            <w14:solidFill>
              <w14:schemeClr w14:val="tx1"/>
            </w14:solidFill>
          </w14:textFill>
        </w:rPr>
        <w:t>：</w:t>
      </w:r>
      <w:r>
        <w:rPr>
          <w:rFonts w:hint="eastAsia"/>
          <w:color w:val="000000" w:themeColor="text1"/>
          <w:spacing w:val="-10"/>
          <w:sz w:val="24"/>
          <w:highlight w:val="none"/>
          <w:u w:val="single"/>
          <w14:textFill>
            <w14:solidFill>
              <w14:schemeClr w14:val="tx1"/>
            </w14:solidFill>
          </w14:textFill>
        </w:rPr>
        <w:t>新疆农业大学亚心校区葡萄苑餐厅面向社会公开招募餐饮服务团队项目</w:t>
      </w:r>
    </w:p>
    <w:p>
      <w:pPr>
        <w:pStyle w:val="19"/>
        <w:numPr>
          <w:ilvl w:val="0"/>
          <w:numId w:val="1"/>
        </w:numPr>
        <w:shd w:val="clear"/>
        <w:tabs>
          <w:tab w:val="left" w:pos="1500"/>
        </w:tabs>
        <w:spacing w:before="156"/>
        <w:ind w:left="1500" w:hanging="24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采购方式：公开招标</w:t>
      </w:r>
    </w:p>
    <w:p>
      <w:pPr>
        <w:pStyle w:val="19"/>
        <w:numPr>
          <w:ilvl w:val="0"/>
          <w:numId w:val="1"/>
        </w:numPr>
        <w:shd w:val="clear"/>
        <w:tabs>
          <w:tab w:val="left" w:pos="1500"/>
          <w:tab w:val="left" w:pos="4259"/>
        </w:tabs>
        <w:spacing w:before="156"/>
        <w:ind w:left="1500" w:hanging="24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项目预算金额</w:t>
      </w:r>
      <w:r>
        <w:rPr>
          <w:color w:val="000000" w:themeColor="text1"/>
          <w:spacing w:val="-10"/>
          <w:sz w:val="24"/>
          <w:highlight w:val="none"/>
          <w14:textFill>
            <w14:solidFill>
              <w14:schemeClr w14:val="tx1"/>
            </w14:solidFill>
          </w14:textFill>
        </w:rPr>
        <w:t>：</w:t>
      </w:r>
      <w:r>
        <w:rPr>
          <w:rFonts w:hint="eastAsia" w:ascii="Times New Roman"/>
          <w:color w:val="000000" w:themeColor="text1"/>
          <w:sz w:val="24"/>
          <w:highlight w:val="none"/>
          <w:u w:val="single"/>
          <w14:textFill>
            <w14:solidFill>
              <w14:schemeClr w14:val="tx1"/>
            </w14:solidFill>
          </w14:textFill>
        </w:rPr>
        <w:t>600</w:t>
      </w:r>
      <w:r>
        <w:rPr>
          <w:color w:val="000000" w:themeColor="text1"/>
          <w:sz w:val="24"/>
          <w:highlight w:val="none"/>
          <w14:textFill>
            <w14:solidFill>
              <w14:schemeClr w14:val="tx1"/>
            </w14:solidFill>
          </w14:textFill>
        </w:rPr>
        <w:t>万</w:t>
      </w:r>
      <w:r>
        <w:rPr>
          <w:color w:val="000000" w:themeColor="text1"/>
          <w:spacing w:val="-10"/>
          <w:sz w:val="24"/>
          <w:highlight w:val="none"/>
          <w14:textFill>
            <w14:solidFill>
              <w14:schemeClr w14:val="tx1"/>
            </w14:solidFill>
          </w14:textFill>
        </w:rPr>
        <w:t>元</w:t>
      </w:r>
    </w:p>
    <w:p>
      <w:pPr>
        <w:pStyle w:val="19"/>
        <w:numPr>
          <w:ilvl w:val="0"/>
          <w:numId w:val="1"/>
        </w:numPr>
        <w:shd w:val="clear"/>
        <w:tabs>
          <w:tab w:val="left" w:pos="1500"/>
          <w:tab w:val="left" w:pos="4739"/>
        </w:tabs>
        <w:spacing w:before="156"/>
        <w:ind w:left="1500" w:hanging="24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最高限价</w:t>
      </w:r>
      <w:r>
        <w:rPr>
          <w:color w:val="000000" w:themeColor="text1"/>
          <w:spacing w:val="-10"/>
          <w:sz w:val="24"/>
          <w:highlight w:val="none"/>
          <w14:textFill>
            <w14:solidFill>
              <w14:schemeClr w14:val="tx1"/>
            </w14:solidFill>
          </w14:textFill>
        </w:rPr>
        <w:t>：</w:t>
      </w:r>
      <w:r>
        <w:rPr>
          <w:rFonts w:hint="eastAsia" w:ascii="Times New Roman"/>
          <w:color w:val="000000" w:themeColor="text1"/>
          <w:sz w:val="24"/>
          <w:highlight w:val="none"/>
          <w:u w:val="single"/>
          <w14:textFill>
            <w14:solidFill>
              <w14:schemeClr w14:val="tx1"/>
            </w14:solidFill>
          </w14:textFill>
        </w:rPr>
        <w:t>600</w:t>
      </w:r>
      <w:r>
        <w:rPr>
          <w:color w:val="000000" w:themeColor="text1"/>
          <w:sz w:val="24"/>
          <w:highlight w:val="none"/>
          <w14:textFill>
            <w14:solidFill>
              <w14:schemeClr w14:val="tx1"/>
            </w14:solidFill>
          </w14:textFill>
        </w:rPr>
        <w:t>万</w:t>
      </w:r>
      <w:r>
        <w:rPr>
          <w:color w:val="000000" w:themeColor="text1"/>
          <w:spacing w:val="-10"/>
          <w:sz w:val="24"/>
          <w:highlight w:val="none"/>
          <w14:textFill>
            <w14:solidFill>
              <w14:schemeClr w14:val="tx1"/>
            </w14:solidFill>
          </w14:textFill>
        </w:rPr>
        <w:t>元</w:t>
      </w:r>
    </w:p>
    <w:p>
      <w:pPr>
        <w:pStyle w:val="19"/>
        <w:numPr>
          <w:ilvl w:val="0"/>
          <w:numId w:val="1"/>
        </w:numPr>
        <w:shd w:val="clear"/>
        <w:tabs>
          <w:tab w:val="left" w:pos="1500"/>
        </w:tabs>
        <w:spacing w:before="156"/>
        <w:ind w:left="1500" w:hanging="24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采购需求：</w:t>
      </w:r>
      <w:r>
        <w:rPr>
          <w:rFonts w:hint="eastAsia"/>
          <w:color w:val="000000" w:themeColor="text1"/>
          <w:spacing w:val="-1"/>
          <w:sz w:val="24"/>
          <w:highlight w:val="none"/>
          <w:u w:val="single"/>
          <w14:textFill>
            <w14:solidFill>
              <w14:schemeClr w14:val="tx1"/>
            </w14:solidFill>
          </w14:textFill>
        </w:rPr>
        <w:t>亚心校区葡萄苑一至三楼餐厅面向社会公开招募餐饮服务团队</w:t>
      </w:r>
    </w:p>
    <w:p>
      <w:pPr>
        <w:pStyle w:val="19"/>
        <w:shd w:val="clear"/>
        <w:tabs>
          <w:tab w:val="left" w:pos="1500"/>
        </w:tabs>
        <w:spacing w:before="156"/>
        <w:ind w:left="1260" w:firstLine="0"/>
        <w:rPr>
          <w:color w:val="000000" w:themeColor="text1"/>
          <w:sz w:val="24"/>
          <w:highlight w:val="none"/>
          <w14:textFill>
            <w14:solidFill>
              <w14:schemeClr w14:val="tx1"/>
            </w14:solidFill>
          </w14:textFill>
        </w:rPr>
      </w:pPr>
    </w:p>
    <w:p>
      <w:pPr>
        <w:shd w:val="clear"/>
        <w:kinsoku w:val="0"/>
        <w:adjustRightInd w:val="0"/>
        <w:snapToGrid w:val="0"/>
        <w:spacing w:before="79"/>
        <w:ind w:left="579" w:leftChars="263" w:firstLine="739" w:firstLineChars="308"/>
        <w:textAlignment w:val="baseline"/>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标项一</w:t>
      </w:r>
    </w:p>
    <w:p>
      <w:pPr>
        <w:shd w:val="clear"/>
        <w:kinsoku w:val="0"/>
        <w:adjustRightInd w:val="0"/>
        <w:snapToGrid w:val="0"/>
        <w:spacing w:before="153"/>
        <w:ind w:left="579" w:leftChars="263" w:firstLine="726" w:firstLineChars="308"/>
        <w:textAlignment w:val="baseline"/>
        <w:rPr>
          <w:color w:val="000000" w:themeColor="text1"/>
          <w:sz w:val="24"/>
          <w:szCs w:val="24"/>
          <w:highlight w:val="none"/>
          <w14:textFill>
            <w14:solidFill>
              <w14:schemeClr w14:val="tx1"/>
            </w14:solidFill>
          </w14:textFill>
        </w:rPr>
      </w:pPr>
      <w:r>
        <w:rPr>
          <w:color w:val="000000" w:themeColor="text1"/>
          <w:spacing w:val="-2"/>
          <w:position w:val="14"/>
          <w:sz w:val="24"/>
          <w:szCs w:val="24"/>
          <w:highlight w:val="none"/>
          <w14:textFill>
            <w14:solidFill>
              <w14:schemeClr w14:val="tx1"/>
            </w14:solidFill>
          </w14:textFill>
        </w:rPr>
        <w:t>标项名称:</w:t>
      </w:r>
      <w:r>
        <w:rPr>
          <w:rFonts w:hint="eastAsia"/>
          <w:color w:val="000000" w:themeColor="text1"/>
          <w:spacing w:val="-2"/>
          <w:position w:val="14"/>
          <w:sz w:val="24"/>
          <w:szCs w:val="24"/>
          <w:highlight w:val="none"/>
          <w14:textFill>
            <w14:solidFill>
              <w14:schemeClr w14:val="tx1"/>
            </w14:solidFill>
          </w14:textFill>
        </w:rPr>
        <w:t>一楼和二楼餐厅面向社会公开招募餐饮服务团队项目</w:t>
      </w:r>
    </w:p>
    <w:p>
      <w:pPr>
        <w:shd w:val="clear"/>
        <w:kinsoku w:val="0"/>
        <w:adjustRightInd w:val="0"/>
        <w:snapToGrid w:val="0"/>
        <w:ind w:left="579" w:leftChars="263" w:firstLine="720" w:firstLineChars="308"/>
        <w:textAlignment w:val="baseline"/>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数量:1</w:t>
      </w:r>
    </w:p>
    <w:p>
      <w:pPr>
        <w:shd w:val="clear"/>
        <w:kinsoku w:val="0"/>
        <w:adjustRightInd w:val="0"/>
        <w:snapToGrid w:val="0"/>
        <w:spacing w:before="152"/>
        <w:ind w:left="579" w:leftChars="263" w:firstLine="726" w:firstLineChars="308"/>
        <w:textAlignment w:val="baseline"/>
        <w:rPr>
          <w:color w:val="000000" w:themeColor="text1"/>
          <w:sz w:val="24"/>
          <w:szCs w:val="24"/>
          <w:highlight w:val="none"/>
          <w14:textFill>
            <w14:solidFill>
              <w14:schemeClr w14:val="tx1"/>
            </w14:solidFill>
          </w14:textFill>
        </w:rPr>
      </w:pPr>
      <w:r>
        <w:rPr>
          <w:color w:val="000000" w:themeColor="text1"/>
          <w:spacing w:val="-2"/>
          <w:position w:val="14"/>
          <w:sz w:val="24"/>
          <w:szCs w:val="24"/>
          <w:highlight w:val="none"/>
          <w14:textFill>
            <w14:solidFill>
              <w14:schemeClr w14:val="tx1"/>
            </w14:solidFill>
          </w14:textFill>
        </w:rPr>
        <w:t>预算金额（元</w:t>
      </w:r>
      <w:r>
        <w:rPr>
          <w:color w:val="000000" w:themeColor="text1"/>
          <w:spacing w:val="6"/>
          <w:position w:val="14"/>
          <w:sz w:val="24"/>
          <w:szCs w:val="24"/>
          <w:highlight w:val="none"/>
          <w14:textFill>
            <w14:solidFill>
              <w14:schemeClr w14:val="tx1"/>
            </w14:solidFill>
          </w14:textFill>
        </w:rPr>
        <w:t>）：</w:t>
      </w:r>
      <w:r>
        <w:rPr>
          <w:rFonts w:hint="eastAsia"/>
          <w:color w:val="000000" w:themeColor="text1"/>
          <w:spacing w:val="-2"/>
          <w:position w:val="14"/>
          <w:sz w:val="24"/>
          <w:szCs w:val="24"/>
          <w:highlight w:val="none"/>
          <w14:textFill>
            <w14:solidFill>
              <w14:schemeClr w14:val="tx1"/>
            </w14:solidFill>
          </w14:textFill>
        </w:rPr>
        <w:t>3500000</w:t>
      </w:r>
    </w:p>
    <w:p>
      <w:pPr>
        <w:shd w:val="clear"/>
        <w:kinsoku w:val="0"/>
        <w:adjustRightInd w:val="0"/>
        <w:snapToGrid w:val="0"/>
        <w:spacing w:before="1"/>
        <w:ind w:left="579" w:leftChars="263" w:firstLine="733" w:firstLineChars="308"/>
        <w:textAlignment w:val="baseline"/>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单位：</w:t>
      </w:r>
      <w:r>
        <w:rPr>
          <w:rFonts w:hint="eastAsia"/>
          <w:color w:val="000000" w:themeColor="text1"/>
          <w:spacing w:val="-1"/>
          <w:sz w:val="24"/>
          <w:szCs w:val="24"/>
          <w:highlight w:val="none"/>
          <w14:textFill>
            <w14:solidFill>
              <w14:schemeClr w14:val="tx1"/>
            </w14:solidFill>
          </w14:textFill>
        </w:rPr>
        <w:t>个</w:t>
      </w:r>
    </w:p>
    <w:p>
      <w:pPr>
        <w:shd w:val="clear"/>
        <w:kinsoku w:val="0"/>
        <w:adjustRightInd w:val="0"/>
        <w:snapToGrid w:val="0"/>
        <w:spacing w:before="150"/>
        <w:ind w:left="579" w:leftChars="263" w:firstLine="733" w:firstLineChars="308"/>
        <w:textAlignment w:val="baseline"/>
        <w:rPr>
          <w:color w:val="000000" w:themeColor="text1"/>
          <w:sz w:val="24"/>
          <w:szCs w:val="24"/>
          <w:highlight w:val="none"/>
          <w14:textFill>
            <w14:solidFill>
              <w14:schemeClr w14:val="tx1"/>
            </w14:solidFill>
          </w14:textFill>
        </w:rPr>
      </w:pPr>
      <w:r>
        <w:rPr>
          <w:color w:val="000000" w:themeColor="text1"/>
          <w:spacing w:val="-1"/>
          <w:position w:val="15"/>
          <w:sz w:val="24"/>
          <w:szCs w:val="24"/>
          <w:highlight w:val="none"/>
          <w14:textFill>
            <w14:solidFill>
              <w14:schemeClr w14:val="tx1"/>
            </w14:solidFill>
          </w14:textFill>
        </w:rPr>
        <w:t>简要规格描述：包括</w:t>
      </w:r>
      <w:r>
        <w:rPr>
          <w:rFonts w:hint="eastAsia"/>
          <w:color w:val="000000" w:themeColor="text1"/>
          <w:spacing w:val="-2"/>
          <w:position w:val="14"/>
          <w:sz w:val="24"/>
          <w:szCs w:val="24"/>
          <w:highlight w:val="none"/>
          <w14:textFill>
            <w14:solidFill>
              <w14:schemeClr w14:val="tx1"/>
            </w14:solidFill>
          </w14:textFill>
        </w:rPr>
        <w:t>一楼和二楼餐厅招募餐饮服务团队</w:t>
      </w:r>
      <w:r>
        <w:rPr>
          <w:color w:val="000000" w:themeColor="text1"/>
          <w:spacing w:val="-1"/>
          <w:position w:val="15"/>
          <w:sz w:val="24"/>
          <w:szCs w:val="24"/>
          <w:highlight w:val="none"/>
          <w14:textFill>
            <w14:solidFill>
              <w14:schemeClr w14:val="tx1"/>
            </w14:solidFill>
          </w14:textFill>
        </w:rPr>
        <w:t>，具体要求详见招标文件；</w:t>
      </w:r>
    </w:p>
    <w:p>
      <w:pPr>
        <w:shd w:val="clear"/>
        <w:kinsoku w:val="0"/>
        <w:adjustRightInd w:val="0"/>
        <w:snapToGrid w:val="0"/>
        <w:spacing w:before="1"/>
        <w:ind w:left="579" w:leftChars="263" w:firstLine="733" w:firstLineChars="308"/>
        <w:textAlignment w:val="baseline"/>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备注：无</w:t>
      </w:r>
    </w:p>
    <w:p>
      <w:pPr>
        <w:pStyle w:val="10"/>
        <w:shd w:val="clear"/>
        <w:kinsoku w:val="0"/>
        <w:adjustRightInd w:val="0"/>
        <w:snapToGrid w:val="0"/>
        <w:ind w:left="579" w:leftChars="263" w:firstLine="739" w:firstLineChars="308"/>
        <w:textAlignment w:val="baseline"/>
        <w:rPr>
          <w:color w:val="000000" w:themeColor="text1"/>
          <w:highlight w:val="none"/>
          <w14:textFill>
            <w14:solidFill>
              <w14:schemeClr w14:val="tx1"/>
            </w14:solidFill>
          </w14:textFill>
        </w:rPr>
      </w:pPr>
    </w:p>
    <w:p>
      <w:pPr>
        <w:shd w:val="clear"/>
        <w:kinsoku w:val="0"/>
        <w:adjustRightInd w:val="0"/>
        <w:snapToGrid w:val="0"/>
        <w:spacing w:before="79"/>
        <w:ind w:left="579" w:leftChars="263" w:firstLine="739" w:firstLineChars="308"/>
        <w:textAlignment w:val="baseline"/>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标项</w:t>
      </w:r>
      <w:r>
        <w:rPr>
          <w:rFonts w:hint="eastAsia"/>
          <w:color w:val="000000" w:themeColor="text1"/>
          <w:sz w:val="24"/>
          <w:szCs w:val="24"/>
          <w:highlight w:val="none"/>
          <w14:textFill>
            <w14:solidFill>
              <w14:schemeClr w14:val="tx1"/>
            </w14:solidFill>
          </w14:textFill>
        </w:rPr>
        <w:t>二</w:t>
      </w:r>
    </w:p>
    <w:p>
      <w:pPr>
        <w:shd w:val="clear"/>
        <w:kinsoku w:val="0"/>
        <w:adjustRightInd w:val="0"/>
        <w:snapToGrid w:val="0"/>
        <w:spacing w:before="153"/>
        <w:ind w:left="579" w:leftChars="263" w:firstLine="726" w:firstLineChars="308"/>
        <w:textAlignment w:val="baseline"/>
        <w:rPr>
          <w:color w:val="000000" w:themeColor="text1"/>
          <w:sz w:val="24"/>
          <w:szCs w:val="24"/>
          <w:highlight w:val="none"/>
          <w14:textFill>
            <w14:solidFill>
              <w14:schemeClr w14:val="tx1"/>
            </w14:solidFill>
          </w14:textFill>
        </w:rPr>
      </w:pPr>
      <w:r>
        <w:rPr>
          <w:color w:val="000000" w:themeColor="text1"/>
          <w:spacing w:val="-2"/>
          <w:position w:val="14"/>
          <w:sz w:val="24"/>
          <w:szCs w:val="24"/>
          <w:highlight w:val="none"/>
          <w14:textFill>
            <w14:solidFill>
              <w14:schemeClr w14:val="tx1"/>
            </w14:solidFill>
          </w14:textFill>
        </w:rPr>
        <w:t>标项名称:</w:t>
      </w:r>
      <w:r>
        <w:rPr>
          <w:rFonts w:hint="eastAsia"/>
          <w:color w:val="000000" w:themeColor="text1"/>
          <w:spacing w:val="-2"/>
          <w:position w:val="14"/>
          <w:sz w:val="24"/>
          <w:szCs w:val="24"/>
          <w:highlight w:val="none"/>
          <w:lang w:eastAsia="zh-CN"/>
          <w14:textFill>
            <w14:solidFill>
              <w14:schemeClr w14:val="tx1"/>
            </w14:solidFill>
          </w14:textFill>
        </w:rPr>
        <w:t>三</w:t>
      </w:r>
      <w:r>
        <w:rPr>
          <w:rFonts w:hint="eastAsia"/>
          <w:color w:val="000000" w:themeColor="text1"/>
          <w:spacing w:val="-2"/>
          <w:position w:val="14"/>
          <w:sz w:val="24"/>
          <w:szCs w:val="24"/>
          <w:highlight w:val="none"/>
          <w14:textFill>
            <w14:solidFill>
              <w14:schemeClr w14:val="tx1"/>
            </w14:solidFill>
          </w14:textFill>
        </w:rPr>
        <w:t>楼餐厅面向社会公开招募餐饮服务团队项目</w:t>
      </w:r>
    </w:p>
    <w:p>
      <w:pPr>
        <w:shd w:val="clear"/>
        <w:kinsoku w:val="0"/>
        <w:adjustRightInd w:val="0"/>
        <w:snapToGrid w:val="0"/>
        <w:ind w:left="579" w:leftChars="263" w:firstLine="720" w:firstLineChars="308"/>
        <w:textAlignment w:val="baseline"/>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数量:1</w:t>
      </w:r>
    </w:p>
    <w:p>
      <w:pPr>
        <w:shd w:val="clear"/>
        <w:kinsoku w:val="0"/>
        <w:adjustRightInd w:val="0"/>
        <w:snapToGrid w:val="0"/>
        <w:spacing w:before="152"/>
        <w:ind w:left="579" w:leftChars="263" w:firstLine="726" w:firstLineChars="308"/>
        <w:textAlignment w:val="baseline"/>
        <w:rPr>
          <w:color w:val="000000" w:themeColor="text1"/>
          <w:sz w:val="24"/>
          <w:szCs w:val="24"/>
          <w:highlight w:val="none"/>
          <w14:textFill>
            <w14:solidFill>
              <w14:schemeClr w14:val="tx1"/>
            </w14:solidFill>
          </w14:textFill>
        </w:rPr>
      </w:pPr>
      <w:r>
        <w:rPr>
          <w:color w:val="000000" w:themeColor="text1"/>
          <w:spacing w:val="-2"/>
          <w:position w:val="14"/>
          <w:sz w:val="24"/>
          <w:szCs w:val="24"/>
          <w:highlight w:val="none"/>
          <w14:textFill>
            <w14:solidFill>
              <w14:schemeClr w14:val="tx1"/>
            </w14:solidFill>
          </w14:textFill>
        </w:rPr>
        <w:t>预算金额（元</w:t>
      </w:r>
      <w:r>
        <w:rPr>
          <w:color w:val="000000" w:themeColor="text1"/>
          <w:spacing w:val="6"/>
          <w:position w:val="14"/>
          <w:sz w:val="24"/>
          <w:szCs w:val="24"/>
          <w:highlight w:val="none"/>
          <w14:textFill>
            <w14:solidFill>
              <w14:schemeClr w14:val="tx1"/>
            </w14:solidFill>
          </w14:textFill>
        </w:rPr>
        <w:t>）：</w:t>
      </w:r>
      <w:r>
        <w:rPr>
          <w:rFonts w:hint="eastAsia"/>
          <w:color w:val="000000" w:themeColor="text1"/>
          <w:spacing w:val="-2"/>
          <w:position w:val="14"/>
          <w:sz w:val="24"/>
          <w:szCs w:val="24"/>
          <w:highlight w:val="none"/>
          <w14:textFill>
            <w14:solidFill>
              <w14:schemeClr w14:val="tx1"/>
            </w14:solidFill>
          </w14:textFill>
        </w:rPr>
        <w:t>2500000</w:t>
      </w:r>
    </w:p>
    <w:p>
      <w:pPr>
        <w:shd w:val="clear"/>
        <w:kinsoku w:val="0"/>
        <w:adjustRightInd w:val="0"/>
        <w:snapToGrid w:val="0"/>
        <w:spacing w:before="1"/>
        <w:ind w:left="579" w:leftChars="263" w:firstLine="733" w:firstLineChars="308"/>
        <w:textAlignment w:val="baseline"/>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单位：</w:t>
      </w:r>
      <w:r>
        <w:rPr>
          <w:rFonts w:hint="eastAsia"/>
          <w:color w:val="000000" w:themeColor="text1"/>
          <w:spacing w:val="-1"/>
          <w:sz w:val="24"/>
          <w:szCs w:val="24"/>
          <w:highlight w:val="none"/>
          <w14:textFill>
            <w14:solidFill>
              <w14:schemeClr w14:val="tx1"/>
            </w14:solidFill>
          </w14:textFill>
        </w:rPr>
        <w:t>个</w:t>
      </w:r>
    </w:p>
    <w:p>
      <w:pPr>
        <w:shd w:val="clear"/>
        <w:kinsoku w:val="0"/>
        <w:adjustRightInd w:val="0"/>
        <w:snapToGrid w:val="0"/>
        <w:spacing w:before="150"/>
        <w:ind w:left="579" w:leftChars="263" w:firstLine="733" w:firstLineChars="308"/>
        <w:textAlignment w:val="baseline"/>
        <w:rPr>
          <w:color w:val="000000" w:themeColor="text1"/>
          <w:sz w:val="24"/>
          <w:szCs w:val="24"/>
          <w:highlight w:val="none"/>
          <w14:textFill>
            <w14:solidFill>
              <w14:schemeClr w14:val="tx1"/>
            </w14:solidFill>
          </w14:textFill>
        </w:rPr>
      </w:pPr>
      <w:r>
        <w:rPr>
          <w:color w:val="000000" w:themeColor="text1"/>
          <w:spacing w:val="-1"/>
          <w:position w:val="15"/>
          <w:sz w:val="24"/>
          <w:szCs w:val="24"/>
          <w:highlight w:val="none"/>
          <w14:textFill>
            <w14:solidFill>
              <w14:schemeClr w14:val="tx1"/>
            </w14:solidFill>
          </w14:textFill>
        </w:rPr>
        <w:t>简要规格描述：包括</w:t>
      </w:r>
      <w:r>
        <w:rPr>
          <w:rFonts w:hint="eastAsia"/>
          <w:color w:val="000000" w:themeColor="text1"/>
          <w:spacing w:val="-1"/>
          <w:position w:val="15"/>
          <w:sz w:val="24"/>
          <w:szCs w:val="24"/>
          <w:highlight w:val="none"/>
          <w14:textFill>
            <w14:solidFill>
              <w14:schemeClr w14:val="tx1"/>
            </w14:solidFill>
          </w14:textFill>
        </w:rPr>
        <w:t>三楼餐厅招募餐饮服务团队</w:t>
      </w:r>
      <w:r>
        <w:rPr>
          <w:color w:val="000000" w:themeColor="text1"/>
          <w:spacing w:val="-1"/>
          <w:position w:val="15"/>
          <w:sz w:val="24"/>
          <w:szCs w:val="24"/>
          <w:highlight w:val="none"/>
          <w14:textFill>
            <w14:solidFill>
              <w14:schemeClr w14:val="tx1"/>
            </w14:solidFill>
          </w14:textFill>
        </w:rPr>
        <w:t>，具体要求详见招标文件；</w:t>
      </w:r>
    </w:p>
    <w:p>
      <w:pPr>
        <w:shd w:val="clear"/>
        <w:kinsoku w:val="0"/>
        <w:adjustRightInd w:val="0"/>
        <w:snapToGrid w:val="0"/>
        <w:spacing w:before="1"/>
        <w:ind w:left="579" w:leftChars="263" w:firstLine="733" w:firstLineChars="308"/>
        <w:textAlignment w:val="baseline"/>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备注：无</w:t>
      </w:r>
    </w:p>
    <w:p>
      <w:pPr>
        <w:pStyle w:val="19"/>
        <w:numPr>
          <w:ilvl w:val="0"/>
          <w:numId w:val="1"/>
        </w:numPr>
        <w:shd w:val="clear"/>
        <w:tabs>
          <w:tab w:val="left" w:pos="1502"/>
          <w:tab w:val="left" w:pos="7081"/>
        </w:tabs>
        <w:spacing w:before="156"/>
        <w:ind w:left="1502" w:hanging="240"/>
        <w:rPr>
          <w:rFonts w:ascii="Times New Roman" w:eastAsia="Times New Roman"/>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合同服务履行期限</w:t>
      </w:r>
      <w:r>
        <w:rPr>
          <w:color w:val="000000" w:themeColor="text1"/>
          <w:spacing w:val="-10"/>
          <w:sz w:val="24"/>
          <w:highlight w:val="none"/>
          <w14:textFill>
            <w14:solidFill>
              <w14:schemeClr w14:val="tx1"/>
            </w14:solidFill>
          </w14:textFill>
        </w:rPr>
        <w:t>：</w:t>
      </w:r>
      <w:r>
        <w:rPr>
          <w:rFonts w:hint="eastAsia" w:ascii="Times New Roman"/>
          <w:color w:val="000000" w:themeColor="text1"/>
          <w:sz w:val="24"/>
          <w:highlight w:val="none"/>
          <w:u w:val="single"/>
          <w14:textFill>
            <w14:solidFill>
              <w14:schemeClr w14:val="tx1"/>
            </w14:solidFill>
          </w14:textFill>
        </w:rPr>
        <w:t>3年</w:t>
      </w:r>
    </w:p>
    <w:p>
      <w:pPr>
        <w:pStyle w:val="19"/>
        <w:numPr>
          <w:ilvl w:val="0"/>
          <w:numId w:val="1"/>
        </w:numPr>
        <w:shd w:val="clear"/>
        <w:tabs>
          <w:tab w:val="left" w:pos="1500"/>
          <w:tab w:val="left" w:pos="5459"/>
        </w:tabs>
        <w:spacing w:before="156"/>
        <w:ind w:left="780" w:right="3925" w:firstLine="480"/>
        <w:rPr>
          <w:b/>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本项目是否接受联合体投标：□是</w:t>
      </w:r>
      <w:r>
        <w:rPr>
          <w:color w:val="000000" w:themeColor="text1"/>
          <w:sz w:val="24"/>
          <w:highlight w:val="none"/>
          <w14:textFill>
            <w14:solidFill>
              <w14:schemeClr w14:val="tx1"/>
            </w14:solidFill>
          </w14:textFill>
        </w:rPr>
        <w:tab/>
      </w:r>
      <w:r>
        <w:rPr>
          <w:color w:val="000000" w:themeColor="text1"/>
          <w:spacing w:val="-6"/>
          <w:sz w:val="24"/>
          <w:highlight w:val="none"/>
          <w14:textFill>
            <w14:solidFill>
              <w14:schemeClr w14:val="tx1"/>
            </w14:solidFill>
          </w14:textFill>
        </w:rPr>
        <w:sym w:font="Wingdings 2" w:char="0052"/>
      </w:r>
      <w:r>
        <w:rPr>
          <w:color w:val="000000" w:themeColor="text1"/>
          <w:spacing w:val="-6"/>
          <w:sz w:val="24"/>
          <w:highlight w:val="none"/>
          <w14:textFill>
            <w14:solidFill>
              <w14:schemeClr w14:val="tx1"/>
            </w14:solidFill>
          </w14:textFill>
        </w:rPr>
        <w:t>否</w:t>
      </w:r>
      <w:bookmarkStart w:id="5" w:name="二、申请人的资格要求"/>
      <w:bookmarkEnd w:id="5"/>
      <w:bookmarkStart w:id="6" w:name="_bookmark2"/>
      <w:bookmarkEnd w:id="6"/>
      <w:r>
        <w:rPr>
          <w:b/>
          <w:color w:val="000000" w:themeColor="text1"/>
          <w:spacing w:val="-2"/>
          <w:sz w:val="24"/>
          <w:highlight w:val="none"/>
          <w14:textFill>
            <w14:solidFill>
              <w14:schemeClr w14:val="tx1"/>
            </w14:solidFill>
          </w14:textFill>
        </w:rPr>
        <w:t>二、申请人的资格要求</w:t>
      </w:r>
    </w:p>
    <w:p>
      <w:pPr>
        <w:pStyle w:val="19"/>
        <w:numPr>
          <w:ilvl w:val="0"/>
          <w:numId w:val="2"/>
        </w:numPr>
        <w:shd w:val="clear"/>
        <w:tabs>
          <w:tab w:val="left" w:pos="1500"/>
        </w:tabs>
        <w:ind w:left="1500" w:hanging="240"/>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满足《中华人民共和国政府采购法》第二十二条规定；</w:t>
      </w:r>
    </w:p>
    <w:p>
      <w:pPr>
        <w:pStyle w:val="19"/>
        <w:numPr>
          <w:ilvl w:val="0"/>
          <w:numId w:val="2"/>
        </w:numPr>
        <w:shd w:val="clear"/>
        <w:tabs>
          <w:tab w:val="left" w:pos="1500"/>
        </w:tabs>
        <w:spacing w:before="156"/>
        <w:ind w:left="780" w:right="777" w:firstLine="480"/>
        <w:rPr>
          <w:color w:val="000000" w:themeColor="text1"/>
          <w:sz w:val="24"/>
          <w:highlight w:val="none"/>
          <w14:textFill>
            <w14:solidFill>
              <w14:schemeClr w14:val="tx1"/>
            </w14:solidFill>
          </w14:textFill>
        </w:rPr>
      </w:pPr>
      <w:r>
        <w:rPr>
          <w:color w:val="000000" w:themeColor="text1"/>
          <w:spacing w:val="-8"/>
          <w:sz w:val="24"/>
          <w:highlight w:val="none"/>
          <w14:textFill>
            <w14:solidFill>
              <w14:schemeClr w14:val="tx1"/>
            </w14:solidFill>
          </w14:textFill>
        </w:rPr>
        <w:t>落实政府采购政策需满足的资格要求：</w:t>
      </w:r>
      <w:r>
        <w:rPr>
          <w:rFonts w:hint="eastAsia"/>
          <w:color w:val="000000" w:themeColor="text1"/>
          <w:spacing w:val="-8"/>
          <w:sz w:val="24"/>
          <w:highlight w:val="none"/>
          <w14:textFill>
            <w14:solidFill>
              <w14:schemeClr w14:val="tx1"/>
            </w14:solidFill>
          </w14:textFill>
        </w:rPr>
        <w:t>本项目为</w:t>
      </w:r>
      <w:r>
        <w:rPr>
          <w:color w:val="000000" w:themeColor="text1"/>
          <w:spacing w:val="-8"/>
          <w:sz w:val="24"/>
          <w:highlight w:val="none"/>
          <w14:textFill>
            <w14:solidFill>
              <w14:schemeClr w14:val="tx1"/>
            </w14:solidFill>
          </w14:textFill>
        </w:rPr>
        <w:t>专门面向</w:t>
      </w:r>
      <w:r>
        <w:rPr>
          <w:rFonts w:hint="eastAsia"/>
          <w:color w:val="000000" w:themeColor="text1"/>
          <w:spacing w:val="-8"/>
          <w:sz w:val="24"/>
          <w:highlight w:val="none"/>
          <w14:textFill>
            <w14:solidFill>
              <w14:schemeClr w14:val="tx1"/>
            </w14:solidFill>
          </w14:textFill>
        </w:rPr>
        <w:t>小微</w:t>
      </w:r>
      <w:r>
        <w:rPr>
          <w:color w:val="000000" w:themeColor="text1"/>
          <w:spacing w:val="-8"/>
          <w:sz w:val="24"/>
          <w:highlight w:val="none"/>
          <w14:textFill>
            <w14:solidFill>
              <w14:schemeClr w14:val="tx1"/>
            </w14:solidFill>
          </w14:textFill>
        </w:rPr>
        <w:t>企业采购的</w:t>
      </w:r>
      <w:r>
        <w:rPr>
          <w:color w:val="000000" w:themeColor="text1"/>
          <w:spacing w:val="-2"/>
          <w:sz w:val="24"/>
          <w:highlight w:val="none"/>
          <w14:textFill>
            <w14:solidFill>
              <w14:schemeClr w14:val="tx1"/>
            </w14:solidFill>
          </w14:textFill>
        </w:rPr>
        <w:t>项目</w:t>
      </w:r>
      <w:r>
        <w:rPr>
          <w:rFonts w:hint="eastAsia"/>
          <w:color w:val="000000" w:themeColor="text1"/>
          <w:spacing w:val="-2"/>
          <w:sz w:val="24"/>
          <w:highlight w:val="none"/>
          <w:lang w:eastAsia="zh-CN"/>
          <w14:textFill>
            <w14:solidFill>
              <w14:schemeClr w14:val="tx1"/>
            </w14:solidFill>
          </w14:textFill>
        </w:rPr>
        <w:t>，供应商须为小型或微型企业（监狱企业或残疾人福利性单位视同小微企业）。</w:t>
      </w:r>
    </w:p>
    <w:p>
      <w:pPr>
        <w:pStyle w:val="19"/>
        <w:numPr>
          <w:ilvl w:val="0"/>
          <w:numId w:val="2"/>
        </w:numPr>
        <w:shd w:val="clear"/>
        <w:tabs>
          <w:tab w:val="left" w:pos="1500"/>
        </w:tabs>
        <w:ind w:left="780" w:right="781" w:firstLine="480"/>
        <w:rPr>
          <w:color w:val="000000" w:themeColor="text1"/>
          <w:sz w:val="24"/>
          <w:highlight w:val="none"/>
          <w14:textFill>
            <w14:solidFill>
              <w14:schemeClr w14:val="tx1"/>
            </w14:solidFill>
          </w14:textFill>
        </w:rPr>
      </w:pPr>
      <w:r>
        <w:rPr>
          <w:color w:val="000000" w:themeColor="text1"/>
          <w:spacing w:val="-8"/>
          <w:sz w:val="24"/>
          <w:highlight w:val="none"/>
          <w14:textFill>
            <w14:solidFill>
              <w14:schemeClr w14:val="tx1"/>
            </w14:solidFill>
          </w14:textFill>
        </w:rPr>
        <w:t>本项目的特定资格要求：</w:t>
      </w:r>
    </w:p>
    <w:p>
      <w:pPr>
        <w:pStyle w:val="19"/>
        <w:numPr>
          <w:ilvl w:val="0"/>
          <w:numId w:val="3"/>
        </w:numPr>
        <w:shd w:val="clear"/>
        <w:tabs>
          <w:tab w:val="left" w:pos="1860"/>
        </w:tabs>
        <w:spacing w:before="156"/>
        <w:ind w:right="805" w:firstLine="480"/>
        <w:rPr>
          <w:color w:val="000000" w:themeColor="text1"/>
          <w:spacing w:val="-2"/>
          <w:sz w:val="24"/>
          <w:highlight w:val="none"/>
          <w14:textFill>
            <w14:solidFill>
              <w14:schemeClr w14:val="tx1"/>
            </w14:solidFill>
          </w14:textFill>
        </w:rPr>
      </w:pPr>
      <w:r>
        <w:rPr>
          <w:rFonts w:hint="eastAsia"/>
          <w:color w:val="000000" w:themeColor="text1"/>
          <w:spacing w:val="-2"/>
          <w:sz w:val="24"/>
          <w:highlight w:val="none"/>
          <w14:textFill>
            <w14:solidFill>
              <w14:schemeClr w14:val="tx1"/>
            </w14:solidFill>
          </w14:textFill>
        </w:rPr>
        <w:t>须具备有效的《餐饮服务许可证》或《食品经营许可证》；</w:t>
      </w:r>
    </w:p>
    <w:p>
      <w:pPr>
        <w:pStyle w:val="19"/>
        <w:numPr>
          <w:ilvl w:val="0"/>
          <w:numId w:val="3"/>
        </w:numPr>
        <w:shd w:val="clear"/>
        <w:tabs>
          <w:tab w:val="left" w:pos="1860"/>
        </w:tabs>
        <w:spacing w:before="156"/>
        <w:ind w:right="805" w:firstLine="48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法定代表人或单位负责人为同一人或者存在直接控股、管理关系的不同供应商，不得参加同一合同项下的政府采购活动。</w:t>
      </w:r>
    </w:p>
    <w:p>
      <w:pPr>
        <w:pStyle w:val="19"/>
        <w:numPr>
          <w:ilvl w:val="0"/>
          <w:numId w:val="3"/>
        </w:numPr>
        <w:shd w:val="clear"/>
        <w:tabs>
          <w:tab w:val="left" w:pos="1860"/>
        </w:tabs>
        <w:ind w:right="685" w:firstLine="48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除单一来源采购项目外，为采购项目提供整体设计、规范编制或者项目管理、监理、检测等服务的供应商，不得再参加该采购项目的其他采购活动。</w:t>
      </w:r>
    </w:p>
    <w:p>
      <w:pPr>
        <w:pStyle w:val="19"/>
        <w:numPr>
          <w:ilvl w:val="0"/>
          <w:numId w:val="3"/>
        </w:numPr>
        <w:shd w:val="clear"/>
        <w:tabs>
          <w:tab w:val="left" w:pos="1860"/>
        </w:tabs>
        <w:ind w:right="777" w:firstLine="480"/>
        <w:jc w:val="both"/>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供应商的信用行为：在资格审查阶段经查询，未被列入“失信被执行</w:t>
      </w:r>
      <w:r>
        <w:rPr>
          <w:color w:val="000000" w:themeColor="text1"/>
          <w:spacing w:val="-4"/>
          <w:sz w:val="24"/>
          <w:highlight w:val="none"/>
          <w14:textFill>
            <w14:solidFill>
              <w14:schemeClr w14:val="tx1"/>
            </w14:solidFill>
          </w14:textFill>
        </w:rPr>
        <w:t>人”、“重大税收违法失信主体”、“政府采购严重违法失信行为记录名单”其</w:t>
      </w:r>
      <w:r>
        <w:rPr>
          <w:color w:val="000000" w:themeColor="text1"/>
          <w:spacing w:val="-2"/>
          <w:sz w:val="24"/>
          <w:highlight w:val="none"/>
          <w14:textFill>
            <w14:solidFill>
              <w14:schemeClr w14:val="tx1"/>
            </w14:solidFill>
          </w14:textFill>
        </w:rPr>
        <w:t>中之一。如有以上不良信用记录之一的，其</w:t>
      </w:r>
      <w:r>
        <w:rPr>
          <w:b/>
          <w:color w:val="000000" w:themeColor="text1"/>
          <w:spacing w:val="-2"/>
          <w:sz w:val="24"/>
          <w:highlight w:val="none"/>
          <w14:textFill>
            <w14:solidFill>
              <w14:schemeClr w14:val="tx1"/>
            </w14:solidFill>
          </w14:textFill>
        </w:rPr>
        <w:t>投标无效</w:t>
      </w:r>
      <w:r>
        <w:rPr>
          <w:color w:val="000000" w:themeColor="text1"/>
          <w:spacing w:val="-2"/>
          <w:sz w:val="24"/>
          <w:highlight w:val="none"/>
          <w14:textFill>
            <w14:solidFill>
              <w14:schemeClr w14:val="tx1"/>
            </w14:solidFill>
          </w14:textFill>
        </w:rPr>
        <w:t>。</w:t>
      </w:r>
    </w:p>
    <w:p>
      <w:pPr>
        <w:pStyle w:val="7"/>
        <w:shd w:val="clear"/>
        <w:spacing w:before="133"/>
        <w:rPr>
          <w:color w:val="000000" w:themeColor="text1"/>
          <w:highlight w:val="none"/>
          <w14:textFill>
            <w14:solidFill>
              <w14:schemeClr w14:val="tx1"/>
            </w14:solidFill>
          </w14:textFill>
        </w:rPr>
      </w:pPr>
      <w:bookmarkStart w:id="7" w:name="_bookmark3"/>
      <w:bookmarkEnd w:id="7"/>
      <w:bookmarkStart w:id="8" w:name="三、获取招标文件_"/>
      <w:bookmarkEnd w:id="8"/>
      <w:r>
        <w:rPr>
          <w:color w:val="000000" w:themeColor="text1"/>
          <w:spacing w:val="-4"/>
          <w:highlight w:val="none"/>
          <w14:textFill>
            <w14:solidFill>
              <w14:schemeClr w14:val="tx1"/>
            </w14:solidFill>
          </w14:textFill>
        </w:rPr>
        <w:t>三、获取招标文件</w:t>
      </w:r>
    </w:p>
    <w:p>
      <w:pPr>
        <w:pStyle w:val="19"/>
        <w:numPr>
          <w:ilvl w:val="0"/>
          <w:numId w:val="4"/>
        </w:numPr>
        <w:shd w:val="clear"/>
        <w:tabs>
          <w:tab w:val="left" w:pos="1860"/>
        </w:tabs>
        <w:ind w:right="685" w:firstLine="480"/>
        <w:rPr>
          <w:color w:val="000000" w:themeColor="text1"/>
          <w:spacing w:val="-2"/>
          <w:sz w:val="24"/>
          <w:highlight w:val="none"/>
          <w14:textFill>
            <w14:solidFill>
              <w14:schemeClr w14:val="tx1"/>
            </w14:solidFill>
          </w14:textFill>
        </w:rPr>
      </w:pPr>
      <w:bookmarkStart w:id="9" w:name="_bookmark4"/>
      <w:bookmarkEnd w:id="9"/>
      <w:bookmarkStart w:id="10" w:name="四、提交投标文件截止时间/开标时间、递交方式和开标地点"/>
      <w:bookmarkEnd w:id="10"/>
      <w:r>
        <w:rPr>
          <w:rFonts w:hint="eastAsia"/>
          <w:color w:val="000000" w:themeColor="text1"/>
          <w:spacing w:val="-2"/>
          <w:sz w:val="24"/>
          <w:highlight w:val="none"/>
          <w14:textFill>
            <w14:solidFill>
              <w14:schemeClr w14:val="tx1"/>
            </w14:solidFill>
          </w14:textFill>
        </w:rPr>
        <w:t>时间：</w:t>
      </w:r>
      <w:r>
        <w:rPr>
          <w:rFonts w:hint="eastAsia"/>
          <w:color w:val="000000" w:themeColor="text1"/>
          <w:spacing w:val="-2"/>
          <w:sz w:val="24"/>
          <w:highlight w:val="none"/>
          <w:lang w:eastAsia="zh-CN"/>
          <w14:textFill>
            <w14:solidFill>
              <w14:schemeClr w14:val="tx1"/>
            </w14:solidFill>
          </w14:textFill>
        </w:rPr>
        <w:t>2025年1月1</w:t>
      </w:r>
      <w:r>
        <w:rPr>
          <w:rFonts w:hint="eastAsia"/>
          <w:color w:val="000000" w:themeColor="text1"/>
          <w:spacing w:val="-2"/>
          <w:sz w:val="24"/>
          <w:highlight w:val="none"/>
          <w:lang w:val="en-US" w:eastAsia="zh-CN"/>
          <w14:textFill>
            <w14:solidFill>
              <w14:schemeClr w14:val="tx1"/>
            </w14:solidFill>
          </w14:textFill>
        </w:rPr>
        <w:t>6</w:t>
      </w:r>
      <w:r>
        <w:rPr>
          <w:rFonts w:hint="eastAsia"/>
          <w:color w:val="000000" w:themeColor="text1"/>
          <w:spacing w:val="-2"/>
          <w:sz w:val="24"/>
          <w:highlight w:val="none"/>
          <w:lang w:eastAsia="zh-CN"/>
          <w14:textFill>
            <w14:solidFill>
              <w14:schemeClr w14:val="tx1"/>
            </w14:solidFill>
          </w14:textFill>
        </w:rPr>
        <w:t>日</w:t>
      </w:r>
      <w:r>
        <w:rPr>
          <w:rFonts w:hint="eastAsia"/>
          <w:color w:val="000000" w:themeColor="text1"/>
          <w:spacing w:val="-2"/>
          <w:sz w:val="24"/>
          <w:highlight w:val="none"/>
          <w14:textFill>
            <w14:solidFill>
              <w14:schemeClr w14:val="tx1"/>
            </w14:solidFill>
          </w14:textFill>
        </w:rPr>
        <w:t>至</w:t>
      </w:r>
      <w:r>
        <w:rPr>
          <w:rFonts w:hint="eastAsia"/>
          <w:color w:val="000000" w:themeColor="text1"/>
          <w:spacing w:val="-2"/>
          <w:sz w:val="24"/>
          <w:highlight w:val="none"/>
          <w:lang w:eastAsia="zh-CN"/>
          <w14:textFill>
            <w14:solidFill>
              <w14:schemeClr w14:val="tx1"/>
            </w14:solidFill>
          </w14:textFill>
        </w:rPr>
        <w:t>2025年1月2</w:t>
      </w:r>
      <w:r>
        <w:rPr>
          <w:rFonts w:hint="eastAsia"/>
          <w:color w:val="000000" w:themeColor="text1"/>
          <w:spacing w:val="-2"/>
          <w:sz w:val="24"/>
          <w:highlight w:val="none"/>
          <w:lang w:val="en-US" w:eastAsia="zh-CN"/>
          <w14:textFill>
            <w14:solidFill>
              <w14:schemeClr w14:val="tx1"/>
            </w14:solidFill>
          </w14:textFill>
        </w:rPr>
        <w:t>3</w:t>
      </w:r>
      <w:r>
        <w:rPr>
          <w:rFonts w:hint="eastAsia"/>
          <w:color w:val="000000" w:themeColor="text1"/>
          <w:spacing w:val="-2"/>
          <w:sz w:val="24"/>
          <w:highlight w:val="none"/>
          <w:lang w:eastAsia="zh-CN"/>
          <w14:textFill>
            <w14:solidFill>
              <w14:schemeClr w14:val="tx1"/>
            </w14:solidFill>
          </w14:textFill>
        </w:rPr>
        <w:t>日</w:t>
      </w:r>
      <w:r>
        <w:rPr>
          <w:rFonts w:hint="eastAsia"/>
          <w:color w:val="000000" w:themeColor="text1"/>
          <w:spacing w:val="-2"/>
          <w:sz w:val="24"/>
          <w:highlight w:val="none"/>
          <w14:textFill>
            <w14:solidFill>
              <w14:schemeClr w14:val="tx1"/>
            </w14:solidFill>
          </w14:textFill>
        </w:rPr>
        <w:t>，每天上午 00:00 至 14:00，下午 14:00 至 23:59（北京时间，法定节假日除外）</w:t>
      </w:r>
    </w:p>
    <w:p>
      <w:pPr>
        <w:pStyle w:val="19"/>
        <w:numPr>
          <w:ilvl w:val="0"/>
          <w:numId w:val="4"/>
        </w:numPr>
        <w:shd w:val="clear"/>
        <w:tabs>
          <w:tab w:val="left" w:pos="1860"/>
        </w:tabs>
        <w:ind w:right="685" w:firstLine="480"/>
        <w:rPr>
          <w:color w:val="000000" w:themeColor="text1"/>
          <w:spacing w:val="-2"/>
          <w:sz w:val="24"/>
          <w:highlight w:val="none"/>
          <w14:textFill>
            <w14:solidFill>
              <w14:schemeClr w14:val="tx1"/>
            </w14:solidFill>
          </w14:textFill>
        </w:rPr>
      </w:pPr>
      <w:r>
        <w:rPr>
          <w:rFonts w:hint="eastAsia"/>
          <w:color w:val="000000" w:themeColor="text1"/>
          <w:spacing w:val="-2"/>
          <w:sz w:val="24"/>
          <w:highlight w:val="none"/>
          <w14:textFill>
            <w14:solidFill>
              <w14:schemeClr w14:val="tx1"/>
            </w14:solidFill>
          </w14:textFill>
        </w:rPr>
        <w:t>地点：新疆政府采购网政采云平台（www.zcygov.cn）。</w:t>
      </w:r>
    </w:p>
    <w:p>
      <w:pPr>
        <w:pStyle w:val="19"/>
        <w:numPr>
          <w:ilvl w:val="0"/>
          <w:numId w:val="4"/>
        </w:numPr>
        <w:shd w:val="clear"/>
        <w:tabs>
          <w:tab w:val="left" w:pos="1860"/>
        </w:tabs>
        <w:ind w:right="685" w:firstLine="480"/>
        <w:rPr>
          <w:color w:val="000000" w:themeColor="text1"/>
          <w:spacing w:val="-2"/>
          <w:sz w:val="24"/>
          <w:highlight w:val="none"/>
          <w14:textFill>
            <w14:solidFill>
              <w14:schemeClr w14:val="tx1"/>
            </w14:solidFill>
          </w14:textFill>
        </w:rPr>
      </w:pPr>
      <w:r>
        <w:rPr>
          <w:rFonts w:hint="eastAsia"/>
          <w:color w:val="000000" w:themeColor="text1"/>
          <w:spacing w:val="-2"/>
          <w:sz w:val="24"/>
          <w:highlight w:val="none"/>
          <w14:textFill>
            <w14:solidFill>
              <w14:schemeClr w14:val="tx1"/>
            </w14:solidFill>
          </w14:textFill>
        </w:rPr>
        <w:t>方式：供应商登录政采云平台 https://www.zcygov.cn/在线申请获取采购文件（进入“项目采购 ”应用，在获取采购文件菜单中选择项目，申请获取采购文件）</w:t>
      </w:r>
    </w:p>
    <w:p>
      <w:pPr>
        <w:pStyle w:val="19"/>
        <w:numPr>
          <w:ilvl w:val="0"/>
          <w:numId w:val="4"/>
        </w:numPr>
        <w:shd w:val="clear"/>
        <w:tabs>
          <w:tab w:val="left" w:pos="1860"/>
        </w:tabs>
        <w:ind w:right="685" w:firstLine="480"/>
        <w:rPr>
          <w:color w:val="000000" w:themeColor="text1"/>
          <w:highlight w:val="none"/>
          <w14:textFill>
            <w14:solidFill>
              <w14:schemeClr w14:val="tx1"/>
            </w14:solidFill>
          </w14:textFill>
        </w:rPr>
      </w:pPr>
      <w:r>
        <w:rPr>
          <w:rFonts w:hint="eastAsia"/>
          <w:color w:val="000000" w:themeColor="text1"/>
          <w:spacing w:val="-2"/>
          <w:sz w:val="24"/>
          <w:highlight w:val="none"/>
          <w14:textFill>
            <w14:solidFill>
              <w14:schemeClr w14:val="tx1"/>
            </w14:solidFill>
          </w14:textFill>
        </w:rPr>
        <w:t>售价（元）：0</w:t>
      </w:r>
    </w:p>
    <w:p>
      <w:pPr>
        <w:pStyle w:val="7"/>
        <w:shd w:val="clear"/>
        <w:spacing w:before="133"/>
        <w:rPr>
          <w:color w:val="000000" w:themeColor="text1"/>
          <w:spacing w:val="-4"/>
          <w:highlight w:val="none"/>
          <w14:textFill>
            <w14:solidFill>
              <w14:schemeClr w14:val="tx1"/>
            </w14:solidFill>
          </w14:textFill>
        </w:rPr>
      </w:pPr>
      <w:r>
        <w:rPr>
          <w:color w:val="000000" w:themeColor="text1"/>
          <w:spacing w:val="-4"/>
          <w:highlight w:val="none"/>
          <w14:textFill>
            <w14:solidFill>
              <w14:schemeClr w14:val="tx1"/>
            </w14:solidFill>
          </w14:textFill>
        </w:rPr>
        <w:t>四、提交投标文件截止时间/开标时间、递交方式和开标地点</w:t>
      </w:r>
    </w:p>
    <w:p>
      <w:pPr>
        <w:pStyle w:val="19"/>
        <w:numPr>
          <w:ilvl w:val="0"/>
          <w:numId w:val="5"/>
        </w:numPr>
        <w:shd w:val="clear"/>
        <w:tabs>
          <w:tab w:val="left" w:pos="1860"/>
        </w:tabs>
        <w:ind w:right="685" w:firstLine="480"/>
        <w:rPr>
          <w:color w:val="000000" w:themeColor="text1"/>
          <w:spacing w:val="-2"/>
          <w:sz w:val="24"/>
          <w:highlight w:val="none"/>
          <w14:textFill>
            <w14:solidFill>
              <w14:schemeClr w14:val="tx1"/>
            </w14:solidFill>
          </w14:textFill>
        </w:rPr>
      </w:pPr>
      <w:bookmarkStart w:id="11" w:name="五、公告期限"/>
      <w:bookmarkEnd w:id="11"/>
      <w:bookmarkStart w:id="12" w:name="_bookmark5"/>
      <w:bookmarkEnd w:id="12"/>
      <w:r>
        <w:rPr>
          <w:rFonts w:hint="eastAsia"/>
          <w:color w:val="000000" w:themeColor="text1"/>
          <w:spacing w:val="-2"/>
          <w:sz w:val="24"/>
          <w:highlight w:val="none"/>
          <w14:textFill>
            <w14:solidFill>
              <w14:schemeClr w14:val="tx1"/>
            </w14:solidFill>
          </w14:textFill>
        </w:rPr>
        <w:t>提交投标文件截止时间：</w:t>
      </w:r>
      <w:r>
        <w:rPr>
          <w:rFonts w:hint="eastAsia"/>
          <w:color w:val="000000" w:themeColor="text1"/>
          <w:spacing w:val="-2"/>
          <w:sz w:val="24"/>
          <w:highlight w:val="none"/>
          <w:lang w:eastAsia="zh-CN"/>
          <w14:textFill>
            <w14:solidFill>
              <w14:schemeClr w14:val="tx1"/>
            </w14:solidFill>
          </w14:textFill>
        </w:rPr>
        <w:t>2025年2月7日</w:t>
      </w:r>
      <w:r>
        <w:rPr>
          <w:rFonts w:hint="eastAsia"/>
          <w:color w:val="000000" w:themeColor="text1"/>
          <w:spacing w:val="-2"/>
          <w:sz w:val="24"/>
          <w:highlight w:val="none"/>
          <w14:textFill>
            <w14:solidFill>
              <w14:schemeClr w14:val="tx1"/>
            </w14:solidFill>
          </w14:textFill>
        </w:rPr>
        <w:t xml:space="preserve"> 11:00（北京时间）</w:t>
      </w:r>
    </w:p>
    <w:p>
      <w:pPr>
        <w:pStyle w:val="19"/>
        <w:numPr>
          <w:ilvl w:val="0"/>
          <w:numId w:val="5"/>
        </w:numPr>
        <w:shd w:val="clear"/>
        <w:tabs>
          <w:tab w:val="left" w:pos="1860"/>
        </w:tabs>
        <w:ind w:right="685" w:firstLine="480"/>
        <w:rPr>
          <w:color w:val="000000" w:themeColor="text1"/>
          <w:spacing w:val="-2"/>
          <w:sz w:val="24"/>
          <w:highlight w:val="none"/>
          <w14:textFill>
            <w14:solidFill>
              <w14:schemeClr w14:val="tx1"/>
            </w14:solidFill>
          </w14:textFill>
        </w:rPr>
      </w:pPr>
      <w:r>
        <w:rPr>
          <w:rFonts w:hint="eastAsia"/>
          <w:color w:val="000000" w:themeColor="text1"/>
          <w:spacing w:val="-2"/>
          <w:sz w:val="24"/>
          <w:highlight w:val="none"/>
          <w14:textFill>
            <w14:solidFill>
              <w14:schemeClr w14:val="tx1"/>
            </w14:solidFill>
          </w14:textFill>
        </w:rPr>
        <w:t>投标地点：请登录政采云投标客户端投标</w:t>
      </w:r>
    </w:p>
    <w:p>
      <w:pPr>
        <w:pStyle w:val="19"/>
        <w:numPr>
          <w:ilvl w:val="0"/>
          <w:numId w:val="5"/>
        </w:numPr>
        <w:shd w:val="clear"/>
        <w:tabs>
          <w:tab w:val="left" w:pos="1860"/>
        </w:tabs>
        <w:ind w:right="685" w:firstLine="480"/>
        <w:rPr>
          <w:color w:val="000000" w:themeColor="text1"/>
          <w:spacing w:val="-2"/>
          <w:sz w:val="24"/>
          <w:highlight w:val="none"/>
          <w14:textFill>
            <w14:solidFill>
              <w14:schemeClr w14:val="tx1"/>
            </w14:solidFill>
          </w14:textFill>
        </w:rPr>
      </w:pPr>
      <w:r>
        <w:rPr>
          <w:rFonts w:hint="eastAsia"/>
          <w:color w:val="000000" w:themeColor="text1"/>
          <w:spacing w:val="-2"/>
          <w:sz w:val="24"/>
          <w:highlight w:val="none"/>
          <w14:textFill>
            <w14:solidFill>
              <w14:schemeClr w14:val="tx1"/>
            </w14:solidFill>
          </w14:textFill>
        </w:rPr>
        <w:t>开标时间：</w:t>
      </w:r>
      <w:r>
        <w:rPr>
          <w:rFonts w:hint="eastAsia"/>
          <w:color w:val="000000" w:themeColor="text1"/>
          <w:spacing w:val="-2"/>
          <w:sz w:val="24"/>
          <w:highlight w:val="none"/>
          <w:lang w:eastAsia="zh-CN"/>
          <w14:textFill>
            <w14:solidFill>
              <w14:schemeClr w14:val="tx1"/>
            </w14:solidFill>
          </w14:textFill>
        </w:rPr>
        <w:t>2025年2月7日</w:t>
      </w:r>
      <w:r>
        <w:rPr>
          <w:rFonts w:hint="eastAsia"/>
          <w:color w:val="000000" w:themeColor="text1"/>
          <w:spacing w:val="-2"/>
          <w:sz w:val="24"/>
          <w:highlight w:val="none"/>
          <w14:textFill>
            <w14:solidFill>
              <w14:schemeClr w14:val="tx1"/>
            </w14:solidFill>
          </w14:textFill>
        </w:rPr>
        <w:t xml:space="preserve"> 11:00（北京时间）</w:t>
      </w:r>
    </w:p>
    <w:p>
      <w:pPr>
        <w:pStyle w:val="19"/>
        <w:numPr>
          <w:ilvl w:val="0"/>
          <w:numId w:val="5"/>
        </w:numPr>
        <w:shd w:val="clear"/>
        <w:tabs>
          <w:tab w:val="left" w:pos="1860"/>
        </w:tabs>
        <w:ind w:right="685" w:firstLine="480"/>
        <w:rPr>
          <w:color w:val="000000" w:themeColor="text1"/>
          <w:spacing w:val="-2"/>
          <w:sz w:val="24"/>
          <w:highlight w:val="none"/>
          <w14:textFill>
            <w14:solidFill>
              <w14:schemeClr w14:val="tx1"/>
            </w14:solidFill>
          </w14:textFill>
        </w:rPr>
      </w:pPr>
      <w:r>
        <w:rPr>
          <w:rFonts w:hint="eastAsia"/>
          <w:color w:val="000000" w:themeColor="text1"/>
          <w:spacing w:val="-2"/>
          <w:sz w:val="24"/>
          <w:highlight w:val="none"/>
          <w14:textFill>
            <w14:solidFill>
              <w14:schemeClr w14:val="tx1"/>
            </w14:solidFill>
          </w14:textFill>
        </w:rPr>
        <w:t>开标地点：投标人登录政采云平台https://www.zcygov.cn/，进入“项目采购-开标评标-右边选择对应项目点击“进入项目”进入开标大厅。</w:t>
      </w:r>
    </w:p>
    <w:p>
      <w:pPr>
        <w:pStyle w:val="10"/>
        <w:shd w:val="clear"/>
        <w:ind w:right="1885"/>
        <w:rPr>
          <w:b/>
          <w:color w:val="000000" w:themeColor="text1"/>
          <w:highlight w:val="none"/>
          <w14:textFill>
            <w14:solidFill>
              <w14:schemeClr w14:val="tx1"/>
            </w14:solidFill>
          </w14:textFill>
        </w:rPr>
      </w:pPr>
      <w:r>
        <w:rPr>
          <w:b/>
          <w:color w:val="000000" w:themeColor="text1"/>
          <w:spacing w:val="-2"/>
          <w:highlight w:val="none"/>
          <w14:textFill>
            <w14:solidFill>
              <w14:schemeClr w14:val="tx1"/>
            </w14:solidFill>
          </w14:textFill>
        </w:rPr>
        <w:t>五、公告期限</w:t>
      </w:r>
    </w:p>
    <w:p>
      <w:pPr>
        <w:pStyle w:val="10"/>
        <w:shd w:val="clear"/>
        <w:ind w:left="1260"/>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 xml:space="preserve">自招标公告发布之日起 </w:t>
      </w:r>
      <w:r>
        <w:rPr>
          <w:color w:val="000000" w:themeColor="text1"/>
          <w:highlight w:val="none"/>
          <w14:textFill>
            <w14:solidFill>
              <w14:schemeClr w14:val="tx1"/>
            </w14:solidFill>
          </w14:textFill>
        </w:rPr>
        <w:t>5</w:t>
      </w:r>
      <w:r>
        <w:rPr>
          <w:color w:val="000000" w:themeColor="text1"/>
          <w:spacing w:val="-12"/>
          <w:highlight w:val="none"/>
          <w14:textFill>
            <w14:solidFill>
              <w14:schemeClr w14:val="tx1"/>
            </w14:solidFill>
          </w14:textFill>
        </w:rPr>
        <w:t xml:space="preserve"> 个工作日。</w:t>
      </w:r>
    </w:p>
    <w:p>
      <w:pPr>
        <w:numPr>
          <w:ilvl w:val="0"/>
          <w:numId w:val="6"/>
        </w:numPr>
        <w:shd w:val="clear"/>
        <w:spacing w:before="4"/>
        <w:ind w:left="1260" w:right="850" w:hanging="480"/>
        <w:rPr>
          <w:b/>
          <w:color w:val="000000" w:themeColor="text1"/>
          <w:spacing w:val="-2"/>
          <w:sz w:val="24"/>
          <w:highlight w:val="none"/>
          <w14:textFill>
            <w14:solidFill>
              <w14:schemeClr w14:val="tx1"/>
            </w14:solidFill>
          </w14:textFill>
        </w:rPr>
      </w:pPr>
      <w:bookmarkStart w:id="13" w:name="六、其他补充事宜【如政采云平台信息内容更新，按最新内容自行修改】"/>
      <w:bookmarkEnd w:id="13"/>
      <w:bookmarkStart w:id="14" w:name="_bookmark6"/>
      <w:bookmarkEnd w:id="14"/>
      <w:r>
        <w:rPr>
          <w:b/>
          <w:color w:val="000000" w:themeColor="text1"/>
          <w:spacing w:val="-2"/>
          <w:sz w:val="24"/>
          <w:highlight w:val="none"/>
          <w14:textFill>
            <w14:solidFill>
              <w14:schemeClr w14:val="tx1"/>
            </w14:solidFill>
          </w14:textFill>
        </w:rPr>
        <w:t xml:space="preserve">其他补充事宜 </w:t>
      </w:r>
    </w:p>
    <w:p>
      <w:pPr>
        <w:pStyle w:val="10"/>
        <w:shd w:val="clear"/>
        <w:spacing w:before="160"/>
        <w:ind w:left="1260"/>
        <w:jc w:val="both"/>
        <w:rPr>
          <w:color w:val="000000" w:themeColor="text1"/>
          <w:spacing w:val="-4"/>
          <w:highlight w:val="none"/>
          <w14:textFill>
            <w14:solidFill>
              <w14:schemeClr w14:val="tx1"/>
            </w14:solidFill>
          </w14:textFill>
        </w:rPr>
      </w:pPr>
      <w:r>
        <w:rPr>
          <w:color w:val="000000" w:themeColor="text1"/>
          <w:spacing w:val="-4"/>
          <w:highlight w:val="none"/>
          <w14:textFill>
            <w14:solidFill>
              <w14:schemeClr w14:val="tx1"/>
            </w14:solidFill>
          </w14:textFill>
        </w:rPr>
        <w:t>1、本项目实行网上投标，采用电子投标文件</w:t>
      </w:r>
      <w:r>
        <w:rPr>
          <w:rFonts w:hint="eastAsia"/>
          <w:color w:val="000000" w:themeColor="text1"/>
          <w:spacing w:val="-4"/>
          <w:highlight w:val="none"/>
          <w14:textFill>
            <w14:solidFill>
              <w14:schemeClr w14:val="tx1"/>
            </w14:solidFill>
          </w14:textFill>
        </w:rPr>
        <w:t>，公告在新疆政府采购网发布</w:t>
      </w:r>
      <w:r>
        <w:rPr>
          <w:color w:val="000000" w:themeColor="text1"/>
          <w:spacing w:val="-4"/>
          <w:highlight w:val="none"/>
          <w14:textFill>
            <w14:solidFill>
              <w14:schemeClr w14:val="tx1"/>
            </w14:solidFill>
          </w14:textFill>
        </w:rPr>
        <w:t>；</w:t>
      </w:r>
    </w:p>
    <w:p>
      <w:pPr>
        <w:pStyle w:val="10"/>
        <w:shd w:val="clear"/>
        <w:spacing w:before="160"/>
        <w:ind w:left="880" w:firstLine="378" w:firstLineChars="163"/>
        <w:jc w:val="both"/>
        <w:rPr>
          <w:color w:val="000000" w:themeColor="text1"/>
          <w:spacing w:val="-4"/>
          <w:highlight w:val="none"/>
          <w14:textFill>
            <w14:solidFill>
              <w14:schemeClr w14:val="tx1"/>
            </w14:solidFill>
          </w14:textFill>
        </w:rPr>
      </w:pPr>
      <w:r>
        <w:rPr>
          <w:color w:val="000000" w:themeColor="text1"/>
          <w:spacing w:val="-4"/>
          <w:highlight w:val="none"/>
          <w14:textFill>
            <w14:solidFill>
              <w14:schemeClr w14:val="tx1"/>
            </w14:solidFill>
          </w14:textFill>
        </w:rPr>
        <w:t>2、请投标单位随时关注本项目的澄清、答疑、变更事项。</w:t>
      </w:r>
    </w:p>
    <w:p>
      <w:pPr>
        <w:pStyle w:val="10"/>
        <w:shd w:val="clear"/>
        <w:spacing w:before="160"/>
        <w:ind w:left="880" w:firstLine="378" w:firstLineChars="163"/>
        <w:jc w:val="both"/>
        <w:rPr>
          <w:color w:val="000000" w:themeColor="text1"/>
          <w:spacing w:val="-4"/>
          <w:highlight w:val="none"/>
          <w14:textFill>
            <w14:solidFill>
              <w14:schemeClr w14:val="tx1"/>
            </w14:solidFill>
          </w14:textFill>
        </w:rPr>
      </w:pPr>
      <w:r>
        <w:rPr>
          <w:rFonts w:hint="eastAsia"/>
          <w:color w:val="000000" w:themeColor="text1"/>
          <w:spacing w:val="-4"/>
          <w:highlight w:val="none"/>
          <w14:textFill>
            <w14:solidFill>
              <w14:schemeClr w14:val="tx1"/>
            </w14:solidFill>
          </w14:textFill>
        </w:rPr>
        <w:t>3、本项目实行电子招投标，供应商须登录政采云平台申请获取招标文件，并通过政采云电子投标客户端制作响应文件，同时自行承担与投标有关的一切费用。</w:t>
      </w:r>
    </w:p>
    <w:p>
      <w:pPr>
        <w:pStyle w:val="10"/>
        <w:shd w:val="clear"/>
        <w:spacing w:before="160"/>
        <w:ind w:left="880" w:firstLine="378" w:firstLineChars="163"/>
        <w:jc w:val="both"/>
        <w:rPr>
          <w:color w:val="000000" w:themeColor="text1"/>
          <w:spacing w:val="-4"/>
          <w:highlight w:val="none"/>
          <w14:textFill>
            <w14:solidFill>
              <w14:schemeClr w14:val="tx1"/>
            </w14:solidFill>
          </w14:textFill>
        </w:rPr>
      </w:pPr>
      <w:r>
        <w:rPr>
          <w:rFonts w:hint="eastAsia"/>
          <w:color w:val="000000" w:themeColor="text1"/>
          <w:spacing w:val="-4"/>
          <w:highlight w:val="none"/>
          <w14:textFill>
            <w14:solidFill>
              <w14:schemeClr w14:val="tx1"/>
            </w14:solidFill>
          </w14:textFill>
        </w:rPr>
        <w:t>4、各供应商应在开标前确保成为新疆维吾尔自治区政府采购网正式注册入库供应商，并完成CA数字证书申领。因未注册入库、未办理CA数字证书等原因造成无法投标或投标失败等后果由供应商自行承担。</w:t>
      </w:r>
    </w:p>
    <w:p>
      <w:pPr>
        <w:pStyle w:val="10"/>
        <w:shd w:val="clear"/>
        <w:spacing w:before="160"/>
        <w:ind w:left="880" w:firstLine="378" w:firstLineChars="163"/>
        <w:jc w:val="both"/>
        <w:rPr>
          <w:color w:val="000000" w:themeColor="text1"/>
          <w:spacing w:val="-4"/>
          <w:highlight w:val="none"/>
          <w14:textFill>
            <w14:solidFill>
              <w14:schemeClr w14:val="tx1"/>
            </w14:solidFill>
          </w14:textFill>
        </w:rPr>
      </w:pPr>
      <w:r>
        <w:rPr>
          <w:rFonts w:hint="eastAsia"/>
          <w:color w:val="000000" w:themeColor="text1"/>
          <w:spacing w:val="-4"/>
          <w:highlight w:val="none"/>
          <w14:textFill>
            <w14:solidFill>
              <w14:schemeClr w14:val="tx1"/>
            </w14:solidFill>
          </w14:textFill>
        </w:rPr>
        <w:t>5、有意向参与新疆区域电子开评标的供应商，可访问新疆数字证书认证中心官方网站（https://www.xjca.com.cn/）或下载“新疆政务通”APP自行进行申领。如需咨询，请联系新疆CA服务热线0991-2819290。</w:t>
      </w:r>
    </w:p>
    <w:p>
      <w:pPr>
        <w:pStyle w:val="10"/>
        <w:shd w:val="clear"/>
        <w:spacing w:before="160"/>
        <w:ind w:left="880" w:firstLine="378" w:firstLineChars="163"/>
        <w:jc w:val="both"/>
        <w:rPr>
          <w:color w:val="000000" w:themeColor="text1"/>
          <w:spacing w:val="-4"/>
          <w:highlight w:val="none"/>
          <w14:textFill>
            <w14:solidFill>
              <w14:schemeClr w14:val="tx1"/>
            </w14:solidFill>
          </w14:textFill>
        </w:rPr>
      </w:pPr>
      <w:r>
        <w:rPr>
          <w:rFonts w:hint="eastAsia"/>
          <w:color w:val="000000" w:themeColor="text1"/>
          <w:spacing w:val="-4"/>
          <w:highlight w:val="none"/>
          <w14:textFill>
            <w14:solidFill>
              <w14:schemeClr w14:val="tx1"/>
            </w14:solidFill>
          </w14:textFill>
        </w:rPr>
        <w:t>6、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p>
    <w:p>
      <w:pPr>
        <w:pStyle w:val="10"/>
        <w:shd w:val="clear"/>
        <w:spacing w:before="160"/>
        <w:ind w:left="880" w:firstLine="378" w:firstLineChars="163"/>
        <w:jc w:val="both"/>
        <w:rPr>
          <w:color w:val="000000" w:themeColor="text1"/>
          <w:spacing w:val="-4"/>
          <w:highlight w:val="none"/>
          <w14:textFill>
            <w14:solidFill>
              <w14:schemeClr w14:val="tx1"/>
            </w14:solidFill>
          </w14:textFill>
        </w:rPr>
      </w:pPr>
      <w:r>
        <w:rPr>
          <w:rFonts w:hint="eastAsia"/>
          <w:color w:val="000000" w:themeColor="text1"/>
          <w:spacing w:val="-4"/>
          <w:highlight w:val="none"/>
          <w14:textFill>
            <w14:solidFill>
              <w14:schemeClr w14:val="tx1"/>
            </w14:solidFill>
          </w14:textFill>
        </w:rPr>
        <w:t>7、本项目采用不见面开标，供应商须在投标截止时间前通过CA在政采云平台上传加密的电子响应文件。</w:t>
      </w:r>
    </w:p>
    <w:p>
      <w:pPr>
        <w:pStyle w:val="10"/>
        <w:shd w:val="clear"/>
        <w:spacing w:before="160"/>
        <w:ind w:left="880" w:firstLine="378" w:firstLineChars="163"/>
        <w:jc w:val="both"/>
        <w:rPr>
          <w:color w:val="000000" w:themeColor="text1"/>
          <w:spacing w:val="-4"/>
          <w:highlight w:val="none"/>
          <w14:textFill>
            <w14:solidFill>
              <w14:schemeClr w14:val="tx1"/>
            </w14:solidFill>
          </w14:textFill>
        </w:rPr>
      </w:pPr>
      <w:r>
        <w:rPr>
          <w:rFonts w:hint="eastAsia"/>
          <w:color w:val="000000" w:themeColor="text1"/>
          <w:spacing w:val="-4"/>
          <w:highlight w:val="none"/>
          <w14:textFill>
            <w14:solidFill>
              <w14:schemeClr w14:val="tx1"/>
            </w14:solidFill>
          </w14:textFill>
        </w:rPr>
        <w:t>8、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 </w:t>
      </w:r>
    </w:p>
    <w:p>
      <w:pPr>
        <w:shd w:val="clear"/>
        <w:spacing w:before="4"/>
        <w:ind w:left="1262" w:right="4267" w:hanging="483"/>
        <w:rPr>
          <w:color w:val="000000" w:themeColor="text1"/>
          <w:sz w:val="24"/>
          <w:highlight w:val="none"/>
          <w14:textFill>
            <w14:solidFill>
              <w14:schemeClr w14:val="tx1"/>
            </w14:solidFill>
          </w14:textFill>
        </w:rPr>
      </w:pPr>
      <w:bookmarkStart w:id="15" w:name="_bookmark7"/>
      <w:bookmarkEnd w:id="15"/>
      <w:bookmarkStart w:id="16" w:name="七、对本次招标提出询问，请按以下方式联系"/>
      <w:bookmarkEnd w:id="16"/>
      <w:r>
        <w:rPr>
          <w:b/>
          <w:color w:val="000000" w:themeColor="text1"/>
          <w:spacing w:val="-2"/>
          <w:sz w:val="24"/>
          <w:highlight w:val="none"/>
          <w14:textFill>
            <w14:solidFill>
              <w14:schemeClr w14:val="tx1"/>
            </w14:solidFill>
          </w14:textFill>
        </w:rPr>
        <w:t xml:space="preserve">七、对本次招标提出询问，请按以下方式联系 </w:t>
      </w:r>
      <w:r>
        <w:rPr>
          <w:color w:val="000000" w:themeColor="text1"/>
          <w:spacing w:val="-2"/>
          <w:sz w:val="24"/>
          <w:highlight w:val="none"/>
          <w14:textFill>
            <w14:solidFill>
              <w14:schemeClr w14:val="tx1"/>
            </w14:solidFill>
          </w14:textFill>
        </w:rPr>
        <w:t>1.采购人信息</w:t>
      </w:r>
    </w:p>
    <w:p>
      <w:pPr>
        <w:pStyle w:val="10"/>
        <w:shd w:val="clear"/>
        <w:tabs>
          <w:tab w:val="left" w:pos="4081"/>
        </w:tabs>
        <w:spacing w:before="160"/>
        <w:ind w:left="1262" w:right="5782"/>
        <w:jc w:val="both"/>
        <w:rPr>
          <w:color w:val="000000" w:themeColor="text1"/>
          <w:spacing w:val="-2"/>
          <w:highlight w:val="none"/>
          <w14:textFill>
            <w14:solidFill>
              <w14:schemeClr w14:val="tx1"/>
            </w14:solidFill>
          </w14:textFill>
        </w:rPr>
      </w:pPr>
      <w:r>
        <w:rPr>
          <w:rFonts w:hint="eastAsia"/>
          <w:color w:val="000000" w:themeColor="text1"/>
          <w:spacing w:val="-2"/>
          <w:highlight w:val="none"/>
          <w14:textFill>
            <w14:solidFill>
              <w14:schemeClr w14:val="tx1"/>
            </w14:solidFill>
          </w14:textFill>
        </w:rPr>
        <w:t>名    称：新疆农业大学　　　　　</w:t>
      </w:r>
    </w:p>
    <w:p>
      <w:pPr>
        <w:pStyle w:val="10"/>
        <w:shd w:val="clear"/>
        <w:tabs>
          <w:tab w:val="left" w:pos="4081"/>
        </w:tabs>
        <w:spacing w:before="160"/>
        <w:ind w:left="1262" w:right="-30"/>
        <w:jc w:val="both"/>
        <w:rPr>
          <w:color w:val="000000" w:themeColor="text1"/>
          <w:spacing w:val="-2"/>
          <w:highlight w:val="none"/>
          <w14:textFill>
            <w14:solidFill>
              <w14:schemeClr w14:val="tx1"/>
            </w14:solidFill>
          </w14:textFill>
        </w:rPr>
      </w:pPr>
      <w:r>
        <w:rPr>
          <w:rFonts w:hint="eastAsia"/>
          <w:color w:val="000000" w:themeColor="text1"/>
          <w:spacing w:val="-2"/>
          <w:highlight w:val="none"/>
          <w14:textFill>
            <w14:solidFill>
              <w14:schemeClr w14:val="tx1"/>
            </w14:solidFill>
          </w14:textFill>
        </w:rPr>
        <w:t>地    址：新疆乌鲁木齐市沙依巴克区农大东路311号　　　　　　　　</w:t>
      </w:r>
    </w:p>
    <w:p>
      <w:pPr>
        <w:pStyle w:val="10"/>
        <w:shd w:val="clear"/>
        <w:tabs>
          <w:tab w:val="left" w:pos="5940"/>
        </w:tabs>
        <w:spacing w:before="160"/>
        <w:ind w:left="6155" w:leftChars="573" w:right="2830" w:hanging="4894" w:hangingChars="2074"/>
        <w:jc w:val="both"/>
        <w:rPr>
          <w:color w:val="000000" w:themeColor="text1"/>
          <w:spacing w:val="-2"/>
          <w:highlight w:val="none"/>
          <w14:textFill>
            <w14:solidFill>
              <w14:schemeClr w14:val="tx1"/>
            </w14:solidFill>
          </w14:textFill>
        </w:rPr>
      </w:pPr>
      <w:r>
        <w:rPr>
          <w:rFonts w:hint="eastAsia"/>
          <w:color w:val="000000" w:themeColor="text1"/>
          <w:spacing w:val="-2"/>
          <w:highlight w:val="none"/>
          <w14:textFill>
            <w14:solidFill>
              <w14:schemeClr w14:val="tx1"/>
            </w14:solidFill>
          </w14:textFill>
        </w:rPr>
        <w:t>联系方式：18001103117</w:t>
      </w:r>
    </w:p>
    <w:p>
      <w:pPr>
        <w:pStyle w:val="10"/>
        <w:shd w:val="clear"/>
        <w:tabs>
          <w:tab w:val="left" w:pos="4081"/>
        </w:tabs>
        <w:spacing w:before="160"/>
        <w:ind w:left="3857" w:leftChars="573" w:right="5782" w:hanging="2596" w:hangingChars="1100"/>
        <w:jc w:val="both"/>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2.采购代理机构信息</w:t>
      </w:r>
    </w:p>
    <w:p>
      <w:pPr>
        <w:pStyle w:val="10"/>
        <w:shd w:val="clear"/>
        <w:tabs>
          <w:tab w:val="left" w:pos="4081"/>
        </w:tabs>
        <w:spacing w:before="160"/>
        <w:ind w:left="1262" w:right="-30"/>
        <w:jc w:val="both"/>
        <w:rPr>
          <w:color w:val="000000" w:themeColor="text1"/>
          <w:spacing w:val="-2"/>
          <w:highlight w:val="none"/>
          <w14:textFill>
            <w14:solidFill>
              <w14:schemeClr w14:val="tx1"/>
            </w14:solidFill>
          </w14:textFill>
        </w:rPr>
      </w:pPr>
      <w:r>
        <w:rPr>
          <w:rFonts w:hint="eastAsia"/>
          <w:color w:val="000000" w:themeColor="text1"/>
          <w:spacing w:val="-2"/>
          <w:highlight w:val="none"/>
          <w14:textFill>
            <w14:solidFill>
              <w14:schemeClr w14:val="tx1"/>
            </w14:solidFill>
          </w14:textFill>
        </w:rPr>
        <w:t>名    称：新疆宏力源工程项目管理有限公司　　　　　　　　　　　　</w:t>
      </w:r>
    </w:p>
    <w:p>
      <w:pPr>
        <w:pStyle w:val="10"/>
        <w:shd w:val="clear"/>
        <w:tabs>
          <w:tab w:val="left" w:pos="4081"/>
        </w:tabs>
        <w:spacing w:before="160"/>
        <w:ind w:left="1262" w:right="-30"/>
        <w:jc w:val="both"/>
        <w:rPr>
          <w:color w:val="000000" w:themeColor="text1"/>
          <w:spacing w:val="-2"/>
          <w:highlight w:val="none"/>
          <w14:textFill>
            <w14:solidFill>
              <w14:schemeClr w14:val="tx1"/>
            </w14:solidFill>
          </w14:textFill>
        </w:rPr>
      </w:pPr>
      <w:r>
        <w:rPr>
          <w:rFonts w:hint="eastAsia"/>
          <w:color w:val="000000" w:themeColor="text1"/>
          <w:spacing w:val="-2"/>
          <w:highlight w:val="none"/>
          <w14:textFill>
            <w14:solidFill>
              <w14:schemeClr w14:val="tx1"/>
            </w14:solidFill>
          </w14:textFill>
        </w:rPr>
        <w:t>地　  址：新疆乌鲁木齐高新区（新市区）四平路266号科创花苑B3办公1501　　　　　　　　　　　</w:t>
      </w:r>
    </w:p>
    <w:p>
      <w:pPr>
        <w:pStyle w:val="10"/>
        <w:shd w:val="clear"/>
        <w:tabs>
          <w:tab w:val="left" w:pos="4081"/>
        </w:tabs>
        <w:spacing w:before="160"/>
        <w:ind w:left="1262" w:right="-30"/>
        <w:jc w:val="both"/>
        <w:rPr>
          <w:color w:val="000000" w:themeColor="text1"/>
          <w:highlight w:val="none"/>
          <w:shd w:val="clear" w:color="auto" w:fill="FFFFFF"/>
          <w14:textFill>
            <w14:solidFill>
              <w14:schemeClr w14:val="tx1"/>
            </w14:solidFill>
          </w14:textFill>
        </w:rPr>
      </w:pPr>
      <w:r>
        <w:rPr>
          <w:rFonts w:hint="eastAsia"/>
          <w:color w:val="000000" w:themeColor="text1"/>
          <w:spacing w:val="-2"/>
          <w:highlight w:val="none"/>
          <w14:textFill>
            <w14:solidFill>
              <w14:schemeClr w14:val="tx1"/>
            </w14:solidFill>
          </w14:textFill>
        </w:rPr>
        <w:t xml:space="preserve">联系方式：李工 </w:t>
      </w:r>
      <w:r>
        <w:rPr>
          <w:color w:val="000000" w:themeColor="text1"/>
          <w:highlight w:val="none"/>
          <w:shd w:val="clear" w:color="auto" w:fill="FFFFFF"/>
          <w14:textFill>
            <w14:solidFill>
              <w14:schemeClr w14:val="tx1"/>
            </w14:solidFill>
          </w14:textFill>
        </w:rPr>
        <w:t>13579862091</w:t>
      </w:r>
    </w:p>
    <w:p>
      <w:pPr>
        <w:pStyle w:val="10"/>
        <w:shd w:val="clear"/>
        <w:tabs>
          <w:tab w:val="left" w:pos="4081"/>
        </w:tabs>
        <w:spacing w:before="160"/>
        <w:ind w:left="1262" w:right="-30"/>
        <w:jc w:val="both"/>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3.项目联系方式</w:t>
      </w:r>
    </w:p>
    <w:p>
      <w:pPr>
        <w:pStyle w:val="10"/>
        <w:shd w:val="clear"/>
        <w:tabs>
          <w:tab w:val="left" w:pos="4081"/>
        </w:tabs>
        <w:spacing w:before="160"/>
        <w:ind w:left="1262" w:right="-30"/>
        <w:jc w:val="both"/>
        <w:rPr>
          <w:color w:val="000000" w:themeColor="text1"/>
          <w:spacing w:val="-2"/>
          <w:highlight w:val="none"/>
          <w14:textFill>
            <w14:solidFill>
              <w14:schemeClr w14:val="tx1"/>
            </w14:solidFill>
          </w14:textFill>
        </w:rPr>
      </w:pPr>
      <w:r>
        <w:rPr>
          <w:rFonts w:hint="eastAsia"/>
          <w:color w:val="000000" w:themeColor="text1"/>
          <w:spacing w:val="-2"/>
          <w:highlight w:val="none"/>
          <w14:textFill>
            <w14:solidFill>
              <w14:schemeClr w14:val="tx1"/>
            </w14:solidFill>
          </w14:textFill>
        </w:rPr>
        <w:t>项目联系人：李工</w:t>
      </w:r>
    </w:p>
    <w:p>
      <w:pPr>
        <w:pStyle w:val="10"/>
        <w:shd w:val="clear"/>
        <w:tabs>
          <w:tab w:val="left" w:pos="4081"/>
        </w:tabs>
        <w:spacing w:before="160"/>
        <w:ind w:left="1262" w:right="-30"/>
        <w:jc w:val="both"/>
        <w:rPr>
          <w:color w:val="000000" w:themeColor="text1"/>
          <w:spacing w:val="-2"/>
          <w:highlight w:val="none"/>
          <w14:textFill>
            <w14:solidFill>
              <w14:schemeClr w14:val="tx1"/>
            </w14:solidFill>
          </w14:textFill>
        </w:rPr>
      </w:pPr>
      <w:r>
        <w:rPr>
          <w:rFonts w:hint="eastAsia"/>
          <w:color w:val="000000" w:themeColor="text1"/>
          <w:spacing w:val="-2"/>
          <w:highlight w:val="none"/>
          <w14:textFill>
            <w14:solidFill>
              <w14:schemeClr w14:val="tx1"/>
            </w14:solidFill>
          </w14:textFill>
        </w:rPr>
        <w:t>电    　话：13579862091</w:t>
      </w:r>
    </w:p>
    <w:p>
      <w:pPr>
        <w:shd w:val="clear"/>
        <w:rPr>
          <w:rFonts w:ascii="Times New Roman" w:eastAsia="Times New Roman"/>
          <w:color w:val="000000" w:themeColor="text1"/>
          <w:highlight w:val="none"/>
          <w14:textFill>
            <w14:solidFill>
              <w14:schemeClr w14:val="tx1"/>
            </w14:solidFill>
          </w14:textFill>
        </w:rPr>
        <w:sectPr>
          <w:headerReference r:id="rId4" w:type="default"/>
          <w:footerReference r:id="rId5" w:type="default"/>
          <w:pgSz w:w="11910" w:h="16840"/>
          <w:pgMar w:top="1380" w:right="1020" w:bottom="1180" w:left="1020" w:header="878" w:footer="989" w:gutter="0"/>
          <w:pgNumType w:start="1"/>
          <w:cols w:space="720" w:num="1"/>
        </w:sectPr>
      </w:pPr>
    </w:p>
    <w:p>
      <w:pPr>
        <w:pStyle w:val="4"/>
        <w:shd w:val="clear"/>
        <w:spacing w:before="351"/>
        <w:outlineLvl w:val="0"/>
        <w:rPr>
          <w:color w:val="000000" w:themeColor="text1"/>
          <w:highlight w:val="none"/>
          <w14:textFill>
            <w14:solidFill>
              <w14:schemeClr w14:val="tx1"/>
            </w14:solidFill>
          </w14:textFill>
        </w:rPr>
      </w:pPr>
      <w:bookmarkStart w:id="17" w:name="_bookmark8"/>
      <w:bookmarkEnd w:id="17"/>
      <w:bookmarkStart w:id="18" w:name="第二章_投标人须知"/>
      <w:bookmarkEnd w:id="18"/>
      <w:bookmarkStart w:id="19" w:name="_Toc26123"/>
      <w:r>
        <w:rPr>
          <w:color w:val="000000" w:themeColor="text1"/>
          <w:spacing w:val="-5"/>
          <w:highlight w:val="none"/>
          <w14:textFill>
            <w14:solidFill>
              <w14:schemeClr w14:val="tx1"/>
            </w14:solidFill>
          </w14:textFill>
        </w:rPr>
        <w:t>第二章 投标人须知</w:t>
      </w:r>
      <w:bookmarkEnd w:id="19"/>
    </w:p>
    <w:p>
      <w:pPr>
        <w:pStyle w:val="6"/>
        <w:shd w:val="clear"/>
        <w:spacing w:before="430"/>
        <w:rPr>
          <w:color w:val="000000" w:themeColor="text1"/>
          <w:highlight w:val="none"/>
          <w14:textFill>
            <w14:solidFill>
              <w14:schemeClr w14:val="tx1"/>
            </w14:solidFill>
          </w14:textFill>
        </w:rPr>
      </w:pPr>
      <w:bookmarkStart w:id="20" w:name="一、投标人须知前附表"/>
      <w:bookmarkEnd w:id="20"/>
      <w:bookmarkStart w:id="21" w:name="_bookmark9"/>
      <w:bookmarkEnd w:id="21"/>
      <w:r>
        <w:rPr>
          <w:color w:val="000000" w:themeColor="text1"/>
          <w:spacing w:val="-5"/>
          <w:highlight w:val="none"/>
          <w14:textFill>
            <w14:solidFill>
              <w14:schemeClr w14:val="tx1"/>
            </w14:solidFill>
          </w14:textFill>
        </w:rPr>
        <w:t>一、投标人须知前附表</w:t>
      </w:r>
    </w:p>
    <w:p>
      <w:pPr>
        <w:pStyle w:val="10"/>
        <w:shd w:val="clear"/>
        <w:spacing w:before="288"/>
        <w:ind w:right="781" w:firstLine="480"/>
        <w:jc w:val="both"/>
        <w:rPr>
          <w:color w:val="000000" w:themeColor="text1"/>
          <w:spacing w:val="-2"/>
          <w:highlight w:val="none"/>
          <w14:textFill>
            <w14:solidFill>
              <w14:schemeClr w14:val="tx1"/>
            </w14:solidFill>
          </w14:textFill>
        </w:rPr>
      </w:pPr>
      <w:r>
        <w:rPr>
          <w:color w:val="000000" w:themeColor="text1"/>
          <w:spacing w:val="-4"/>
          <w:highlight w:val="none"/>
          <w14:textFill>
            <w14:solidFill>
              <w14:schemeClr w14:val="tx1"/>
            </w14:solidFill>
          </w14:textFill>
        </w:rPr>
        <w:t xml:space="preserve">投标人应仔细阅读本招标文件的第二章“投标人须知”，下面所列资料是对 </w:t>
      </w:r>
      <w:r>
        <w:rPr>
          <w:color w:val="000000" w:themeColor="text1"/>
          <w:spacing w:val="-2"/>
          <w:highlight w:val="none"/>
          <w14:textFill>
            <w14:solidFill>
              <w14:schemeClr w14:val="tx1"/>
            </w14:solidFill>
          </w14:textFill>
        </w:rPr>
        <w:t>“投标人须知”的具体补充和说明，如有矛盾，应以本表为准。标记“</w:t>
      </w:r>
      <w:r>
        <w:rPr>
          <w:rFonts w:ascii="Segoe UI Symbol" w:hAnsi="Segoe UI Symbol" w:eastAsia="Segoe UI Symbol"/>
          <w:color w:val="000000" w:themeColor="text1"/>
          <w:spacing w:val="-2"/>
          <w:highlight w:val="none"/>
          <w14:textFill>
            <w14:solidFill>
              <w14:schemeClr w14:val="tx1"/>
            </w14:solidFill>
          </w14:textFill>
        </w:rPr>
        <w:t>☑</w:t>
      </w:r>
      <w:r>
        <w:rPr>
          <w:color w:val="000000" w:themeColor="text1"/>
          <w:spacing w:val="-2"/>
          <w:highlight w:val="none"/>
          <w14:textFill>
            <w14:solidFill>
              <w14:schemeClr w14:val="tx1"/>
            </w14:solidFill>
          </w14:textFill>
        </w:rPr>
        <w:t>”的选项意为适用于本项目，标记“□”的选项意为不适用于本项目。</w:t>
      </w:r>
    </w:p>
    <w:tbl>
      <w:tblPr>
        <w:tblStyle w:val="14"/>
        <w:tblW w:w="9519" w:type="dxa"/>
        <w:tblInd w:w="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7"/>
        <w:gridCol w:w="1696"/>
        <w:gridCol w:w="68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947" w:type="dxa"/>
            <w:shd w:val="clear" w:color="auto" w:fill="D7D7D7"/>
          </w:tcPr>
          <w:p>
            <w:pPr>
              <w:pStyle w:val="20"/>
              <w:keepNext w:val="0"/>
              <w:keepLines w:val="0"/>
              <w:suppressLineNumbers w:val="0"/>
              <w:shd w:val="clear"/>
              <w:spacing w:before="0" w:beforeAutospacing="0" w:after="0" w:afterAutospacing="0" w:line="300" w:lineRule="exact"/>
              <w:ind w:left="9" w:right="0"/>
              <w:rPr>
                <w:rFonts w:hint="default" w:asciiTheme="minorEastAsia" w:hAnsiTheme="minorEastAsia" w:eastAsiaTheme="minorEastAsia"/>
                <w:b/>
                <w:color w:val="000000" w:themeColor="text1"/>
                <w:sz w:val="21"/>
                <w:szCs w:val="21"/>
                <w:highlight w:val="none"/>
                <w14:textFill>
                  <w14:solidFill>
                    <w14:schemeClr w14:val="tx1"/>
                  </w14:solidFill>
                </w14:textFill>
              </w:rPr>
            </w:pPr>
            <w:r>
              <w:rPr>
                <w:rFonts w:hint="default" w:asciiTheme="minorEastAsia" w:hAnsiTheme="minorEastAsia" w:eastAsiaTheme="minorEastAsia"/>
                <w:b/>
                <w:color w:val="000000" w:themeColor="text1"/>
                <w:spacing w:val="-5"/>
                <w:sz w:val="21"/>
                <w:szCs w:val="21"/>
                <w:highlight w:val="none"/>
                <w14:textFill>
                  <w14:solidFill>
                    <w14:schemeClr w14:val="tx1"/>
                  </w14:solidFill>
                </w14:textFill>
              </w:rPr>
              <w:t>条款号</w:t>
            </w:r>
          </w:p>
        </w:tc>
        <w:tc>
          <w:tcPr>
            <w:tcW w:w="1696" w:type="dxa"/>
            <w:shd w:val="clear" w:color="auto" w:fill="D7D7D7"/>
          </w:tcPr>
          <w:p>
            <w:pPr>
              <w:pStyle w:val="20"/>
              <w:keepNext w:val="0"/>
              <w:keepLines w:val="0"/>
              <w:suppressLineNumbers w:val="0"/>
              <w:shd w:val="clear"/>
              <w:spacing w:before="0" w:beforeAutospacing="0" w:after="0" w:afterAutospacing="0" w:line="300" w:lineRule="exact"/>
              <w:ind w:left="387" w:right="0"/>
              <w:rPr>
                <w:rFonts w:hint="default" w:asciiTheme="minorEastAsia" w:hAnsiTheme="minorEastAsia" w:eastAsiaTheme="minorEastAsia"/>
                <w:b/>
                <w:color w:val="000000" w:themeColor="text1"/>
                <w:sz w:val="21"/>
                <w:szCs w:val="21"/>
                <w:highlight w:val="none"/>
                <w14:textFill>
                  <w14:solidFill>
                    <w14:schemeClr w14:val="tx1"/>
                  </w14:solidFill>
                </w14:textFill>
              </w:rPr>
            </w:pPr>
            <w:r>
              <w:rPr>
                <w:rFonts w:hint="default" w:asciiTheme="minorEastAsia" w:hAnsiTheme="minorEastAsia" w:eastAsiaTheme="minorEastAsia"/>
                <w:b/>
                <w:color w:val="000000" w:themeColor="text1"/>
                <w:spacing w:val="-4"/>
                <w:sz w:val="21"/>
                <w:szCs w:val="21"/>
                <w:highlight w:val="none"/>
                <w14:textFill>
                  <w14:solidFill>
                    <w14:schemeClr w14:val="tx1"/>
                  </w14:solidFill>
                </w14:textFill>
              </w:rPr>
              <w:t>条款名称</w:t>
            </w:r>
          </w:p>
        </w:tc>
        <w:tc>
          <w:tcPr>
            <w:tcW w:w="6876" w:type="dxa"/>
            <w:shd w:val="clear" w:color="auto" w:fill="D7D7D7"/>
          </w:tcPr>
          <w:p>
            <w:pPr>
              <w:pStyle w:val="20"/>
              <w:keepNext w:val="0"/>
              <w:keepLines w:val="0"/>
              <w:suppressLineNumbers w:val="0"/>
              <w:shd w:val="clear"/>
              <w:spacing w:before="0" w:beforeAutospacing="0" w:after="0" w:afterAutospacing="0" w:line="300" w:lineRule="exact"/>
              <w:ind w:left="7" w:right="0"/>
              <w:rPr>
                <w:rFonts w:hint="default" w:asciiTheme="minorEastAsia" w:hAnsiTheme="minorEastAsia" w:eastAsiaTheme="minorEastAsia"/>
                <w:b/>
                <w:color w:val="000000" w:themeColor="text1"/>
                <w:sz w:val="21"/>
                <w:szCs w:val="21"/>
                <w:highlight w:val="none"/>
                <w14:textFill>
                  <w14:solidFill>
                    <w14:schemeClr w14:val="tx1"/>
                  </w14:solidFill>
                </w14:textFill>
              </w:rPr>
            </w:pPr>
            <w:r>
              <w:rPr>
                <w:rFonts w:hint="default" w:asciiTheme="minorEastAsia" w:hAnsiTheme="minorEastAsia" w:eastAsiaTheme="minorEastAsia"/>
                <w:b/>
                <w:color w:val="000000" w:themeColor="text1"/>
                <w:sz w:val="21"/>
                <w:szCs w:val="21"/>
                <w:highlight w:val="none"/>
                <w14:textFill>
                  <w14:solidFill>
                    <w14:schemeClr w14:val="tx1"/>
                  </w14:solidFill>
                </w14:textFill>
              </w:rPr>
              <w:t>内</w:t>
            </w:r>
            <w:r>
              <w:rPr>
                <w:rFonts w:hint="default" w:asciiTheme="minorEastAsia" w:hAnsiTheme="minorEastAsia" w:eastAsiaTheme="minorEastAsia"/>
                <w:b/>
                <w:color w:val="000000" w:themeColor="text1"/>
                <w:spacing w:val="55"/>
                <w:w w:val="150"/>
                <w:sz w:val="21"/>
                <w:szCs w:val="21"/>
                <w:highlight w:val="none"/>
                <w14:textFill>
                  <w14:solidFill>
                    <w14:schemeClr w14:val="tx1"/>
                  </w14:solidFill>
                </w14:textFill>
              </w:rPr>
              <w:t xml:space="preserve"> </w:t>
            </w:r>
            <w:r>
              <w:rPr>
                <w:rFonts w:hint="default" w:asciiTheme="minorEastAsia" w:hAnsiTheme="minorEastAsia" w:eastAsiaTheme="minorEastAsia"/>
                <w:b/>
                <w:color w:val="000000" w:themeColor="text1"/>
                <w:spacing w:val="-10"/>
                <w:sz w:val="21"/>
                <w:szCs w:val="21"/>
                <w:highlight w:val="none"/>
                <w14:textFill>
                  <w14:solidFill>
                    <w14:schemeClr w14:val="tx1"/>
                  </w14:solidFill>
                </w14:textFill>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947" w:type="dxa"/>
            <w:tcBorders>
              <w:left w:val="single" w:color="000000" w:sz="2" w:space="0"/>
              <w:bottom w:val="single" w:color="000000" w:sz="2" w:space="0"/>
              <w:right w:val="single" w:color="000000" w:sz="2" w:space="0"/>
            </w:tcBorders>
          </w:tcPr>
          <w:p>
            <w:pPr>
              <w:pStyle w:val="20"/>
              <w:keepNext w:val="0"/>
              <w:keepLines w:val="0"/>
              <w:suppressLineNumbers w:val="0"/>
              <w:shd w:val="clear"/>
              <w:spacing w:before="0" w:beforeAutospacing="0" w:after="0" w:afterAutospacing="0" w:line="300" w:lineRule="exact"/>
              <w:ind w:left="7" w:right="0"/>
              <w:rPr>
                <w:rFonts w:hint="default" w:asciiTheme="minorEastAsia" w:hAnsiTheme="minorEastAsia" w:eastAsiaTheme="minorEastAsia"/>
                <w:color w:val="000000" w:themeColor="text1"/>
                <w:sz w:val="21"/>
                <w:szCs w:val="21"/>
                <w:highlight w:val="none"/>
                <w14:textFill>
                  <w14:solidFill>
                    <w14:schemeClr w14:val="tx1"/>
                  </w14:solidFill>
                </w14:textFill>
              </w:rPr>
            </w:pPr>
            <w:r>
              <w:rPr>
                <w:rFonts w:hint="default" w:asciiTheme="minorEastAsia" w:hAnsiTheme="minorEastAsia" w:eastAsiaTheme="minorEastAsia"/>
                <w:color w:val="000000" w:themeColor="text1"/>
                <w:spacing w:val="-5"/>
                <w:sz w:val="21"/>
                <w:szCs w:val="21"/>
                <w:highlight w:val="none"/>
                <w14:textFill>
                  <w14:solidFill>
                    <w14:schemeClr w14:val="tx1"/>
                  </w14:solidFill>
                </w14:textFill>
              </w:rPr>
              <w:t>2.5</w:t>
            </w:r>
          </w:p>
        </w:tc>
        <w:tc>
          <w:tcPr>
            <w:tcW w:w="1696" w:type="dxa"/>
            <w:tcBorders>
              <w:left w:val="single" w:color="000000" w:sz="2" w:space="0"/>
              <w:bottom w:val="single" w:color="000000" w:sz="2" w:space="0"/>
              <w:right w:val="single" w:color="000000" w:sz="2" w:space="0"/>
            </w:tcBorders>
          </w:tcPr>
          <w:p>
            <w:pPr>
              <w:pStyle w:val="20"/>
              <w:keepNext w:val="0"/>
              <w:keepLines w:val="0"/>
              <w:suppressLineNumbers w:val="0"/>
              <w:shd w:val="clear"/>
              <w:spacing w:before="0" w:beforeAutospacing="0" w:after="0" w:afterAutospacing="0" w:line="300" w:lineRule="exact"/>
              <w:ind w:left="109" w:right="181"/>
              <w:rPr>
                <w:rFonts w:hint="default" w:asciiTheme="minorEastAsia" w:hAnsiTheme="minorEastAsia" w:eastAsiaTheme="minorEastAsia"/>
                <w:color w:val="000000" w:themeColor="text1"/>
                <w:sz w:val="21"/>
                <w:szCs w:val="21"/>
                <w:highlight w:val="none"/>
                <w14:textFill>
                  <w14:solidFill>
                    <w14:schemeClr w14:val="tx1"/>
                  </w14:solidFill>
                </w14:textFill>
              </w:rPr>
            </w:pPr>
            <w:r>
              <w:rPr>
                <w:rFonts w:hint="default" w:asciiTheme="minorEastAsia" w:hAnsiTheme="minorEastAsia" w:eastAsiaTheme="minorEastAsia"/>
                <w:color w:val="000000" w:themeColor="text1"/>
                <w:spacing w:val="-2"/>
                <w:sz w:val="21"/>
                <w:szCs w:val="21"/>
                <w:highlight w:val="none"/>
                <w14:textFill>
                  <w14:solidFill>
                    <w14:schemeClr w14:val="tx1"/>
                  </w14:solidFill>
                </w14:textFill>
              </w:rPr>
              <w:t>服务包含的内</w:t>
            </w:r>
            <w:r>
              <w:rPr>
                <w:rFonts w:hint="default" w:asciiTheme="minorEastAsia" w:hAnsiTheme="minorEastAsia" w:eastAsiaTheme="minorEastAsia"/>
                <w:color w:val="000000" w:themeColor="text1"/>
                <w:spacing w:val="-10"/>
                <w:sz w:val="21"/>
                <w:szCs w:val="21"/>
                <w:highlight w:val="none"/>
                <w14:textFill>
                  <w14:solidFill>
                    <w14:schemeClr w14:val="tx1"/>
                  </w14:solidFill>
                </w14:textFill>
              </w:rPr>
              <w:t>容</w:t>
            </w:r>
          </w:p>
        </w:tc>
        <w:tc>
          <w:tcPr>
            <w:tcW w:w="6876" w:type="dxa"/>
            <w:tcBorders>
              <w:left w:val="single" w:color="000000" w:sz="2" w:space="0"/>
              <w:bottom w:val="single" w:color="000000" w:sz="2" w:space="0"/>
              <w:right w:val="single" w:color="000000" w:sz="2" w:space="0"/>
            </w:tcBorders>
          </w:tcPr>
          <w:p>
            <w:pPr>
              <w:pStyle w:val="20"/>
              <w:keepNext w:val="0"/>
              <w:keepLines w:val="0"/>
              <w:suppressLineNumbers w:val="0"/>
              <w:shd w:val="clear"/>
              <w:tabs>
                <w:tab w:val="left" w:pos="4671"/>
              </w:tabs>
              <w:spacing w:before="0" w:beforeAutospacing="0" w:after="0" w:afterAutospacing="0" w:line="300" w:lineRule="exact"/>
              <w:ind w:left="111" w:right="0"/>
              <w:rPr>
                <w:rFonts w:hint="default"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基本概况：</w:t>
            </w:r>
          </w:p>
          <w:p>
            <w:pPr>
              <w:pStyle w:val="20"/>
              <w:keepNext w:val="0"/>
              <w:keepLines w:val="0"/>
              <w:suppressLineNumbers w:val="0"/>
              <w:shd w:val="clear"/>
              <w:tabs>
                <w:tab w:val="left" w:pos="4671"/>
              </w:tabs>
              <w:spacing w:before="0" w:beforeAutospacing="0" w:after="0" w:afterAutospacing="0" w:line="300" w:lineRule="exact"/>
              <w:ind w:left="111" w:right="0"/>
              <w:rPr>
                <w:rFonts w:hint="default"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第一标段：葡萄苑餐厅一楼、二楼,服务范围为餐饮服务（早、中、晚餐等），每层面积均为1386.82平方米，预算金额350万元，</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供应商以</w:t>
            </w:r>
            <w:r>
              <w:rPr>
                <w:rFonts w:hint="eastAsia" w:asciiTheme="minorEastAsia" w:hAnsiTheme="minorEastAsia" w:eastAsiaTheme="minorEastAsia"/>
                <w:color w:val="000000" w:themeColor="text1"/>
                <w:sz w:val="21"/>
                <w:szCs w:val="21"/>
                <w:highlight w:val="none"/>
                <w14:textFill>
                  <w14:solidFill>
                    <w14:schemeClr w14:val="tx1"/>
                  </w14:solidFill>
                </w14:textFill>
              </w:rPr>
              <w:t>餐饮服务团队</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方式</w:t>
            </w:r>
            <w:r>
              <w:rPr>
                <w:rFonts w:hint="eastAsia" w:asciiTheme="minorEastAsia" w:hAnsiTheme="minorEastAsia" w:eastAsiaTheme="minorEastAsia"/>
                <w:color w:val="000000" w:themeColor="text1"/>
                <w:sz w:val="21"/>
                <w:szCs w:val="21"/>
                <w:highlight w:val="none"/>
                <w14:textFill>
                  <w14:solidFill>
                    <w14:schemeClr w14:val="tx1"/>
                  </w14:solidFill>
                </w14:textFill>
              </w:rPr>
              <w:t>提供一日三餐中华传统美食服务，主要提供基本保障餐和教职工午餐。</w:t>
            </w:r>
          </w:p>
          <w:p>
            <w:pPr>
              <w:pStyle w:val="20"/>
              <w:keepNext w:val="0"/>
              <w:keepLines w:val="0"/>
              <w:suppressLineNumbers w:val="0"/>
              <w:shd w:val="clear"/>
              <w:tabs>
                <w:tab w:val="left" w:pos="4671"/>
              </w:tabs>
              <w:spacing w:before="0" w:beforeAutospacing="0" w:after="0" w:afterAutospacing="0" w:line="300" w:lineRule="exact"/>
              <w:ind w:left="111" w:right="0"/>
              <w:rPr>
                <w:rFonts w:hint="default"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第二标段：葡萄苑餐厅三楼,服务范围为餐饮服务（早、中、晚餐等），每层面积均为1386.82平方米，预算金额250万元，</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 w:val="21"/>
                <w:szCs w:val="21"/>
                <w:highlight w:val="none"/>
                <w14:textFill>
                  <w14:solidFill>
                    <w14:schemeClr w14:val="tx1"/>
                  </w14:solidFill>
                </w14:textFill>
              </w:rPr>
              <w:t>以餐饮服务团队方式提供一日三餐中华传统美食服务，要求餐厅窗口数量不得低于10个。</w:t>
            </w:r>
          </w:p>
          <w:p>
            <w:pPr>
              <w:pStyle w:val="20"/>
              <w:keepNext w:val="0"/>
              <w:keepLines w:val="0"/>
              <w:suppressLineNumbers w:val="0"/>
              <w:shd w:val="clear"/>
              <w:tabs>
                <w:tab w:val="left" w:pos="4671"/>
              </w:tabs>
              <w:spacing w:before="0" w:beforeAutospacing="0" w:after="0" w:afterAutospacing="0" w:line="300" w:lineRule="exact"/>
              <w:ind w:left="111" w:right="0"/>
              <w:rPr>
                <w:rFonts w:hint="default"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服务地点：新疆农业大学亚心校区葡萄苑餐厅。</w:t>
            </w:r>
          </w:p>
          <w:p>
            <w:pPr>
              <w:pStyle w:val="20"/>
              <w:keepNext w:val="0"/>
              <w:keepLines w:val="0"/>
              <w:suppressLineNumbers w:val="0"/>
              <w:shd w:val="clear"/>
              <w:tabs>
                <w:tab w:val="left" w:pos="4671"/>
              </w:tabs>
              <w:spacing w:before="0" w:beforeAutospacing="0" w:after="0" w:afterAutospacing="0" w:line="300" w:lineRule="exact"/>
              <w:ind w:left="111" w:right="0"/>
              <w:rPr>
                <w:rFonts w:hint="default" w:asciiTheme="minorEastAsia" w:hAnsiTheme="minorEastAsia" w:eastAsiaTheme="minorEastAsia"/>
                <w:color w:val="000000" w:themeColor="text1"/>
                <w:sz w:val="21"/>
                <w:szCs w:val="21"/>
                <w:highlight w:val="none"/>
                <w14:textFill>
                  <w14:solidFill>
                    <w14:schemeClr w14:val="tx1"/>
                  </w14:solidFill>
                </w14:textFill>
              </w:rPr>
            </w:pPr>
            <w:r>
              <w:rPr>
                <w:rFonts w:hint="default" w:asciiTheme="minorEastAsia" w:hAnsiTheme="minorEastAsia" w:eastAsiaTheme="minorEastAsia"/>
                <w:color w:val="000000" w:themeColor="text1"/>
                <w:spacing w:val="-2"/>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经营管理模式：</w:t>
            </w:r>
          </w:p>
          <w:p>
            <w:pPr>
              <w:pStyle w:val="20"/>
              <w:keepNext w:val="0"/>
              <w:keepLines w:val="0"/>
              <w:suppressLineNumbers w:val="0"/>
              <w:shd w:val="clear"/>
              <w:tabs>
                <w:tab w:val="left" w:pos="4671"/>
              </w:tabs>
              <w:spacing w:before="0" w:beforeAutospacing="0" w:after="0" w:afterAutospacing="0" w:line="300" w:lineRule="exact"/>
              <w:ind w:left="111" w:right="0"/>
              <w:rPr>
                <w:rFonts w:hint="default"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1.学校授权后勤服务处饮食中心履行监督管理职能。</w:t>
            </w:r>
          </w:p>
          <w:p>
            <w:pPr>
              <w:pStyle w:val="20"/>
              <w:keepNext w:val="0"/>
              <w:keepLines w:val="0"/>
              <w:suppressLineNumbers w:val="0"/>
              <w:shd w:val="clear"/>
              <w:tabs>
                <w:tab w:val="left" w:pos="4671"/>
              </w:tabs>
              <w:spacing w:before="0" w:beforeAutospacing="0" w:after="0" w:afterAutospacing="0" w:line="300" w:lineRule="exact"/>
              <w:ind w:left="111" w:right="0"/>
              <w:rPr>
                <w:rFonts w:hint="default"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2.学校提供经营所需基本条件，除供水、供电、供气、供暖正常检修或相关设备出现意外等情况外，确保水、电、天然气及暖气的供应。</w:t>
            </w:r>
          </w:p>
          <w:p>
            <w:pPr>
              <w:pStyle w:val="20"/>
              <w:keepNext w:val="0"/>
              <w:keepLines w:val="0"/>
              <w:suppressLineNumbers w:val="0"/>
              <w:shd w:val="clear"/>
              <w:tabs>
                <w:tab w:val="left" w:pos="4671"/>
              </w:tabs>
              <w:spacing w:before="0" w:beforeAutospacing="0" w:after="0" w:afterAutospacing="0" w:line="300" w:lineRule="exact"/>
              <w:ind w:left="111" w:right="0"/>
              <w:rPr>
                <w:rFonts w:hint="default"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3.在经营期间，餐饮服务团队承担设备设施故障维修的经费。</w:t>
            </w:r>
          </w:p>
          <w:p>
            <w:pPr>
              <w:pStyle w:val="20"/>
              <w:keepNext w:val="0"/>
              <w:keepLines w:val="0"/>
              <w:suppressLineNumbers w:val="0"/>
              <w:shd w:val="clear"/>
              <w:tabs>
                <w:tab w:val="left" w:pos="4671"/>
              </w:tabs>
              <w:spacing w:before="0" w:beforeAutospacing="0" w:after="0" w:afterAutospacing="0" w:line="300" w:lineRule="exact"/>
              <w:ind w:left="111" w:right="0"/>
              <w:rPr>
                <w:rFonts w:hint="default"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4.餐饮服务团队需要执行学校统一采购、统一配送、统一核算，严禁自行购买食材。</w:t>
            </w:r>
          </w:p>
          <w:p>
            <w:pPr>
              <w:pStyle w:val="20"/>
              <w:keepNext w:val="0"/>
              <w:keepLines w:val="0"/>
              <w:suppressLineNumbers w:val="0"/>
              <w:shd w:val="clear"/>
              <w:tabs>
                <w:tab w:val="left" w:pos="4671"/>
              </w:tabs>
              <w:spacing w:before="0" w:beforeAutospacing="0" w:after="0" w:afterAutospacing="0" w:line="300" w:lineRule="exact"/>
              <w:ind w:left="111" w:right="0"/>
              <w:rPr>
                <w:rFonts w:hint="default"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5.餐饮服务团队遵守学校财务管理关于校园托管餐厅的统一规定，使用校园一卡通收费系统，结算/核算工作要求内容真实合法，程序符合规定，不得使用其他未经允许的收款方式。</w:t>
            </w:r>
          </w:p>
          <w:p>
            <w:pPr>
              <w:pStyle w:val="20"/>
              <w:keepNext w:val="0"/>
              <w:keepLines w:val="0"/>
              <w:suppressLineNumbers w:val="0"/>
              <w:shd w:val="clear"/>
              <w:tabs>
                <w:tab w:val="left" w:pos="4671"/>
              </w:tabs>
              <w:spacing w:before="0" w:beforeAutospacing="0" w:after="0" w:afterAutospacing="0" w:line="300" w:lineRule="exact"/>
              <w:ind w:left="111" w:right="0"/>
              <w:rPr>
                <w:rFonts w:hint="default" w:asciiTheme="minorEastAsia" w:hAnsiTheme="minorEastAsia" w:eastAsiaTheme="minorEastAsia"/>
                <w:color w:val="000000" w:themeColor="text1"/>
                <w:sz w:val="21"/>
                <w:szCs w:val="21"/>
                <w:highlight w:val="none"/>
                <w14:textFill>
                  <w14:solidFill>
                    <w14:schemeClr w14:val="tx1"/>
                  </w14:solidFill>
                </w14:textFill>
              </w:rPr>
            </w:pPr>
            <w:r>
              <w:rPr>
                <w:rFonts w:hint="default" w:asciiTheme="minorEastAsia" w:hAnsiTheme="minorEastAsia" w:eastAsiaTheme="minorEastAsia"/>
                <w:color w:val="000000" w:themeColor="text1"/>
                <w:spacing w:val="-2"/>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团队配置要求：</w:t>
            </w:r>
          </w:p>
          <w:p>
            <w:pPr>
              <w:pStyle w:val="20"/>
              <w:keepNext w:val="0"/>
              <w:keepLines w:val="0"/>
              <w:suppressLineNumbers w:val="0"/>
              <w:shd w:val="clear"/>
              <w:tabs>
                <w:tab w:val="left" w:pos="4671"/>
              </w:tabs>
              <w:spacing w:before="0" w:beforeAutospacing="0" w:after="0" w:afterAutospacing="0" w:line="300" w:lineRule="exact"/>
              <w:ind w:left="111" w:right="0"/>
              <w:rPr>
                <w:rFonts w:hint="default"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第一标段（葡萄苑餐厅一楼和二楼项目）工作人员不得超于45人，岗位职数可根据餐厅实际经营项目情况调整，</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男性</w:t>
            </w:r>
            <w:r>
              <w:rPr>
                <w:rFonts w:hint="eastAsia" w:asciiTheme="minorEastAsia" w:hAnsiTheme="minorEastAsia" w:eastAsiaTheme="minorEastAsia"/>
                <w:color w:val="000000" w:themeColor="text1"/>
                <w:sz w:val="21"/>
                <w:szCs w:val="21"/>
                <w:highlight w:val="none"/>
                <w14:textFill>
                  <w14:solidFill>
                    <w14:schemeClr w14:val="tx1"/>
                  </w14:solidFill>
                </w14:textFill>
              </w:rPr>
              <w:t>年龄5</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5</w:t>
            </w:r>
            <w:r>
              <w:rPr>
                <w:rFonts w:hint="eastAsia" w:asciiTheme="minorEastAsia" w:hAnsiTheme="minorEastAsia" w:eastAsiaTheme="minorEastAsia"/>
                <w:color w:val="000000" w:themeColor="text1"/>
                <w:sz w:val="21"/>
                <w:szCs w:val="21"/>
                <w:highlight w:val="none"/>
                <w14:textFill>
                  <w14:solidFill>
                    <w14:schemeClr w14:val="tx1"/>
                  </w14:solidFill>
                </w14:textFill>
              </w:rPr>
              <w:t>周岁以下</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女性</w:t>
            </w:r>
            <w:r>
              <w:rPr>
                <w:rFonts w:hint="eastAsia" w:asciiTheme="minorEastAsia" w:hAnsiTheme="minorEastAsia" w:eastAsiaTheme="minorEastAsia"/>
                <w:color w:val="000000" w:themeColor="text1"/>
                <w:sz w:val="21"/>
                <w:szCs w:val="21"/>
                <w:highlight w:val="none"/>
                <w14:textFill>
                  <w14:solidFill>
                    <w14:schemeClr w14:val="tx1"/>
                  </w14:solidFill>
                </w14:textFill>
              </w:rPr>
              <w:t>年龄</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50</w:t>
            </w:r>
            <w:r>
              <w:rPr>
                <w:rFonts w:hint="eastAsia" w:asciiTheme="minorEastAsia" w:hAnsiTheme="minorEastAsia" w:eastAsiaTheme="minorEastAsia"/>
                <w:color w:val="000000" w:themeColor="text1"/>
                <w:sz w:val="21"/>
                <w:szCs w:val="21"/>
                <w:highlight w:val="none"/>
                <w14:textFill>
                  <w14:solidFill>
                    <w14:schemeClr w14:val="tx1"/>
                  </w14:solidFill>
                </w14:textFill>
              </w:rPr>
              <w:t>周岁以下；要求厨师不少于10人，其中具备高级（国家职业资格三级）及以上（含三级）不少于2名；具备中级（国家职业资格四级）及以上（含四级）不少于4名。并提供人员配置清单及有效的身份证、健康证扫描件、健康体检报告。对无健康证或健康检测不合格者严禁使用。</w:t>
            </w:r>
          </w:p>
          <w:p>
            <w:pPr>
              <w:pStyle w:val="20"/>
              <w:keepNext w:val="0"/>
              <w:keepLines w:val="0"/>
              <w:suppressLineNumbers w:val="0"/>
              <w:shd w:val="clear"/>
              <w:tabs>
                <w:tab w:val="left" w:pos="4671"/>
              </w:tabs>
              <w:spacing w:before="0" w:beforeAutospacing="0" w:after="0" w:afterAutospacing="0" w:line="300" w:lineRule="exact"/>
              <w:ind w:left="111" w:right="0"/>
              <w:rPr>
                <w:rFonts w:hint="default"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第二标段（葡萄苑餐厅三楼项目）工作人员不得超于30人，岗位职数可根据餐厅实际经营项目情况调整，</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男性</w:t>
            </w:r>
            <w:r>
              <w:rPr>
                <w:rFonts w:hint="eastAsia" w:asciiTheme="minorEastAsia" w:hAnsiTheme="minorEastAsia" w:eastAsiaTheme="minorEastAsia"/>
                <w:color w:val="000000" w:themeColor="text1"/>
                <w:sz w:val="21"/>
                <w:szCs w:val="21"/>
                <w:highlight w:val="none"/>
                <w14:textFill>
                  <w14:solidFill>
                    <w14:schemeClr w14:val="tx1"/>
                  </w14:solidFill>
                </w14:textFill>
              </w:rPr>
              <w:t>年龄5</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5</w:t>
            </w:r>
            <w:r>
              <w:rPr>
                <w:rFonts w:hint="eastAsia" w:asciiTheme="minorEastAsia" w:hAnsiTheme="minorEastAsia" w:eastAsiaTheme="minorEastAsia"/>
                <w:color w:val="000000" w:themeColor="text1"/>
                <w:sz w:val="21"/>
                <w:szCs w:val="21"/>
                <w:highlight w:val="none"/>
                <w14:textFill>
                  <w14:solidFill>
                    <w14:schemeClr w14:val="tx1"/>
                  </w14:solidFill>
                </w14:textFill>
              </w:rPr>
              <w:t>周岁以下</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女性</w:t>
            </w:r>
            <w:r>
              <w:rPr>
                <w:rFonts w:hint="eastAsia" w:asciiTheme="minorEastAsia" w:hAnsiTheme="minorEastAsia" w:eastAsiaTheme="minorEastAsia"/>
                <w:color w:val="000000" w:themeColor="text1"/>
                <w:sz w:val="21"/>
                <w:szCs w:val="21"/>
                <w:highlight w:val="none"/>
                <w14:textFill>
                  <w14:solidFill>
                    <w14:schemeClr w14:val="tx1"/>
                  </w14:solidFill>
                </w14:textFill>
              </w:rPr>
              <w:t>年龄</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50</w:t>
            </w:r>
            <w:r>
              <w:rPr>
                <w:rFonts w:hint="eastAsia" w:asciiTheme="minorEastAsia" w:hAnsiTheme="minorEastAsia" w:eastAsiaTheme="minorEastAsia"/>
                <w:color w:val="000000" w:themeColor="text1"/>
                <w:sz w:val="21"/>
                <w:szCs w:val="21"/>
                <w:highlight w:val="none"/>
                <w14:textFill>
                  <w14:solidFill>
                    <w14:schemeClr w14:val="tx1"/>
                  </w14:solidFill>
                </w14:textFill>
              </w:rPr>
              <w:t>周岁以下；要求厨师不少于5人，其中具备高级（国家职业资格三级）及以上（含三级）不少于1名；具备中级（国家职业资格四级）及以上（含四级）不少于1名。并提供人员配置清单及有效的身份证、健康证扫描件、健康体检报告。对无健康证或健康检测不合格者严禁使用。</w:t>
            </w:r>
          </w:p>
          <w:p>
            <w:pPr>
              <w:pStyle w:val="20"/>
              <w:keepNext w:val="0"/>
              <w:keepLines w:val="0"/>
              <w:suppressLineNumbers w:val="0"/>
              <w:shd w:val="clear"/>
              <w:tabs>
                <w:tab w:val="left" w:pos="4671"/>
              </w:tabs>
              <w:spacing w:before="0" w:beforeAutospacing="0" w:after="0" w:afterAutospacing="0" w:line="300" w:lineRule="exact"/>
              <w:ind w:left="111" w:right="0"/>
              <w:rPr>
                <w:rFonts w:hint="default" w:asciiTheme="minorEastAsia" w:hAnsiTheme="minorEastAsia" w:eastAsiaTheme="minorEastAsia"/>
                <w:color w:val="000000" w:themeColor="text1"/>
                <w:sz w:val="21"/>
                <w:szCs w:val="21"/>
                <w:highlight w:val="none"/>
                <w14:textFill>
                  <w14:solidFill>
                    <w14:schemeClr w14:val="tx1"/>
                  </w14:solidFill>
                </w14:textFill>
              </w:rPr>
            </w:pPr>
            <w:r>
              <w:rPr>
                <w:rFonts w:hint="default" w:asciiTheme="minorEastAsia" w:hAnsiTheme="minorEastAsia" w:eastAsiaTheme="minorEastAsia"/>
                <w:color w:val="000000" w:themeColor="text1"/>
                <w:spacing w:val="-2"/>
                <w:sz w:val="21"/>
                <w:szCs w:val="21"/>
                <w:highlight w:val="none"/>
                <w14:textFill>
                  <w14:solidFill>
                    <w14:schemeClr w14:val="tx1"/>
                  </w14:solidFill>
                </w14:textFill>
              </w:rPr>
              <w:t>★</w:t>
            </w:r>
            <w:r>
              <w:rPr>
                <w:rFonts w:hint="eastAsia" w:asciiTheme="minorEastAsia" w:hAnsiTheme="minorEastAsia" w:eastAsiaTheme="minorEastAsia"/>
                <w:color w:val="000000" w:themeColor="text1"/>
                <w:spacing w:val="-2"/>
                <w:sz w:val="21"/>
                <w:szCs w:val="21"/>
                <w:highlight w:val="none"/>
                <w14:textFill>
                  <w14:solidFill>
                    <w14:schemeClr w14:val="tx1"/>
                  </w14:solidFill>
                </w14:textFill>
              </w:rPr>
              <w:t>服务</w:t>
            </w:r>
            <w:r>
              <w:rPr>
                <w:rFonts w:hint="eastAsia" w:asciiTheme="minorEastAsia" w:hAnsiTheme="minorEastAsia" w:eastAsiaTheme="minorEastAsia"/>
                <w:color w:val="000000" w:themeColor="text1"/>
                <w:sz w:val="21"/>
                <w:szCs w:val="21"/>
                <w:highlight w:val="none"/>
                <w14:textFill>
                  <w14:solidFill>
                    <w14:schemeClr w14:val="tx1"/>
                  </w14:solidFill>
                </w14:textFill>
              </w:rPr>
              <w:t>期限：餐饮服务期限3年。</w:t>
            </w:r>
          </w:p>
          <w:p>
            <w:pPr>
              <w:pStyle w:val="20"/>
              <w:keepNext w:val="0"/>
              <w:keepLines w:val="0"/>
              <w:suppressLineNumbers w:val="0"/>
              <w:shd w:val="clear"/>
              <w:tabs>
                <w:tab w:val="left" w:pos="4671"/>
              </w:tabs>
              <w:spacing w:before="0" w:beforeAutospacing="0" w:after="0" w:afterAutospacing="0" w:line="300" w:lineRule="exact"/>
              <w:ind w:left="111" w:right="0"/>
              <w:rPr>
                <w:rFonts w:hint="default"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采用固定周期和不定期考核相结合，一年一综合考核。如无违法、违规、违约行为和安全责任事故，且每年综合管理考核及满意度调查都达80分以上，方可继续履行下一年度合同，否则采购人有权终止合同并重新选择服务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47" w:type="dxa"/>
            <w:tcBorders>
              <w:top w:val="single" w:color="000000" w:sz="2" w:space="0"/>
              <w:left w:val="single" w:color="000000" w:sz="2" w:space="0"/>
              <w:bottom w:val="single" w:color="000000" w:sz="2" w:space="0"/>
              <w:right w:val="single" w:color="000000" w:sz="2" w:space="0"/>
            </w:tcBorders>
          </w:tcPr>
          <w:p>
            <w:pPr>
              <w:pStyle w:val="20"/>
              <w:keepNext w:val="0"/>
              <w:keepLines w:val="0"/>
              <w:suppressLineNumbers w:val="0"/>
              <w:shd w:val="clear"/>
              <w:spacing w:before="0" w:beforeAutospacing="0" w:after="0" w:afterAutospacing="0" w:line="300" w:lineRule="exact"/>
              <w:ind w:left="0" w:right="0"/>
              <w:rPr>
                <w:rFonts w:hint="default" w:asciiTheme="minorEastAsia" w:hAnsiTheme="minorEastAsia" w:eastAsiaTheme="minorEastAsia"/>
                <w:color w:val="000000" w:themeColor="text1"/>
                <w:sz w:val="21"/>
                <w:szCs w:val="21"/>
                <w:highlight w:val="none"/>
                <w14:textFill>
                  <w14:solidFill>
                    <w14:schemeClr w14:val="tx1"/>
                  </w14:solidFill>
                </w14:textFill>
              </w:rPr>
            </w:pPr>
          </w:p>
          <w:p>
            <w:pPr>
              <w:pStyle w:val="20"/>
              <w:keepNext w:val="0"/>
              <w:keepLines w:val="0"/>
              <w:suppressLineNumbers w:val="0"/>
              <w:shd w:val="clear"/>
              <w:spacing w:before="0" w:beforeAutospacing="0" w:after="0" w:afterAutospacing="0" w:line="300" w:lineRule="exact"/>
              <w:ind w:left="7" w:right="0"/>
              <w:rPr>
                <w:rFonts w:hint="default" w:asciiTheme="minorEastAsia" w:hAnsiTheme="minorEastAsia" w:eastAsiaTheme="minorEastAsia"/>
                <w:color w:val="000000" w:themeColor="text1"/>
                <w:sz w:val="21"/>
                <w:szCs w:val="21"/>
                <w:highlight w:val="none"/>
                <w14:textFill>
                  <w14:solidFill>
                    <w14:schemeClr w14:val="tx1"/>
                  </w14:solidFill>
                </w14:textFill>
              </w:rPr>
            </w:pPr>
            <w:r>
              <w:rPr>
                <w:rFonts w:hint="default" w:asciiTheme="minorEastAsia" w:hAnsiTheme="minorEastAsia" w:eastAsiaTheme="minorEastAsia"/>
                <w:color w:val="000000" w:themeColor="text1"/>
                <w:spacing w:val="-5"/>
                <w:sz w:val="21"/>
                <w:szCs w:val="21"/>
                <w:highlight w:val="none"/>
                <w14:textFill>
                  <w14:solidFill>
                    <w14:schemeClr w14:val="tx1"/>
                  </w14:solidFill>
                </w14:textFill>
              </w:rPr>
              <w:t>9.1</w:t>
            </w:r>
          </w:p>
        </w:tc>
        <w:tc>
          <w:tcPr>
            <w:tcW w:w="1696" w:type="dxa"/>
            <w:tcBorders>
              <w:top w:val="single" w:color="000000" w:sz="2" w:space="0"/>
              <w:left w:val="single" w:color="000000" w:sz="2" w:space="0"/>
              <w:bottom w:val="single" w:color="000000" w:sz="2" w:space="0"/>
              <w:right w:val="single" w:color="000000" w:sz="2" w:space="0"/>
            </w:tcBorders>
          </w:tcPr>
          <w:p>
            <w:pPr>
              <w:pStyle w:val="20"/>
              <w:keepNext w:val="0"/>
              <w:keepLines w:val="0"/>
              <w:suppressLineNumbers w:val="0"/>
              <w:shd w:val="clear"/>
              <w:spacing w:before="0" w:beforeAutospacing="0" w:after="0" w:afterAutospacing="0" w:line="300" w:lineRule="exact"/>
              <w:ind w:left="0" w:right="0"/>
              <w:rPr>
                <w:rFonts w:hint="default" w:asciiTheme="minorEastAsia" w:hAnsiTheme="minorEastAsia" w:eastAsiaTheme="minorEastAsia"/>
                <w:color w:val="000000" w:themeColor="text1"/>
                <w:sz w:val="21"/>
                <w:szCs w:val="21"/>
                <w:highlight w:val="none"/>
                <w14:textFill>
                  <w14:solidFill>
                    <w14:schemeClr w14:val="tx1"/>
                  </w14:solidFill>
                </w14:textFill>
              </w:rPr>
            </w:pPr>
          </w:p>
          <w:p>
            <w:pPr>
              <w:pStyle w:val="20"/>
              <w:keepNext w:val="0"/>
              <w:keepLines w:val="0"/>
              <w:suppressLineNumbers w:val="0"/>
              <w:shd w:val="clear"/>
              <w:spacing w:before="0" w:beforeAutospacing="0" w:after="0" w:afterAutospacing="0" w:line="300" w:lineRule="exact"/>
              <w:ind w:left="109" w:right="0"/>
              <w:rPr>
                <w:rFonts w:hint="default" w:asciiTheme="minorEastAsia" w:hAnsiTheme="minorEastAsia" w:eastAsiaTheme="minorEastAsia"/>
                <w:color w:val="000000" w:themeColor="text1"/>
                <w:sz w:val="21"/>
                <w:szCs w:val="21"/>
                <w:highlight w:val="none"/>
                <w14:textFill>
                  <w14:solidFill>
                    <w14:schemeClr w14:val="tx1"/>
                  </w14:solidFill>
                </w14:textFill>
              </w:rPr>
            </w:pPr>
            <w:r>
              <w:rPr>
                <w:rFonts w:hint="default" w:asciiTheme="minorEastAsia" w:hAnsiTheme="minorEastAsia" w:eastAsiaTheme="minorEastAsia"/>
                <w:color w:val="000000" w:themeColor="text1"/>
                <w:spacing w:val="-3"/>
                <w:sz w:val="21"/>
                <w:szCs w:val="21"/>
                <w:highlight w:val="none"/>
                <w14:textFill>
                  <w14:solidFill>
                    <w14:schemeClr w14:val="tx1"/>
                  </w14:solidFill>
                </w14:textFill>
              </w:rPr>
              <w:t>现场考察</w:t>
            </w:r>
          </w:p>
        </w:tc>
        <w:tc>
          <w:tcPr>
            <w:tcW w:w="6876" w:type="dxa"/>
            <w:tcBorders>
              <w:top w:val="single" w:color="000000" w:sz="2" w:space="0"/>
              <w:left w:val="single" w:color="000000" w:sz="2" w:space="0"/>
              <w:bottom w:val="single" w:color="000000" w:sz="2" w:space="0"/>
              <w:right w:val="single" w:color="000000" w:sz="2" w:space="0"/>
            </w:tcBorders>
          </w:tcPr>
          <w:p>
            <w:pPr>
              <w:pStyle w:val="20"/>
              <w:keepNext w:val="0"/>
              <w:keepLines w:val="0"/>
              <w:suppressLineNumbers w:val="0"/>
              <w:shd w:val="clear"/>
              <w:spacing w:before="0" w:beforeAutospacing="0" w:after="0" w:afterAutospacing="0" w:line="300" w:lineRule="exact"/>
              <w:ind w:left="111" w:right="0"/>
              <w:rPr>
                <w:rFonts w:hint="default" w:asciiTheme="minorEastAsia" w:hAnsiTheme="minorEastAsia" w:eastAsiaTheme="minorEastAsia"/>
                <w:color w:val="000000" w:themeColor="text1"/>
                <w:sz w:val="21"/>
                <w:szCs w:val="21"/>
                <w:highlight w:val="none"/>
                <w14:textFill>
                  <w14:solidFill>
                    <w14:schemeClr w14:val="tx1"/>
                  </w14:solidFill>
                </w14:textFill>
              </w:rPr>
            </w:pPr>
            <w:r>
              <w:rPr>
                <w:rFonts w:hint="default" w:asciiTheme="minorEastAsia" w:hAnsiTheme="minorEastAsia" w:eastAsiaTheme="minorEastAsia"/>
                <w:color w:val="000000" w:themeColor="text1"/>
                <w:spacing w:val="-2"/>
                <w:sz w:val="21"/>
                <w:szCs w:val="21"/>
                <w:highlight w:val="none"/>
                <w14:textFill>
                  <w14:solidFill>
                    <w14:schemeClr w14:val="tx1"/>
                  </w14:solidFill>
                </w14:textFill>
              </w:rPr>
              <w:sym w:font="Wingdings" w:char="00A8"/>
            </w:r>
            <w:r>
              <w:rPr>
                <w:rFonts w:hint="default" w:asciiTheme="minorEastAsia" w:hAnsiTheme="minorEastAsia" w:eastAsiaTheme="minorEastAsia"/>
                <w:color w:val="000000" w:themeColor="text1"/>
                <w:spacing w:val="-3"/>
                <w:sz w:val="21"/>
                <w:szCs w:val="21"/>
                <w:highlight w:val="none"/>
                <w14:textFill>
                  <w14:solidFill>
                    <w14:schemeClr w14:val="tx1"/>
                  </w14:solidFill>
                </w14:textFill>
              </w:rPr>
              <w:t>不组织，投标人自行前往。</w:t>
            </w:r>
          </w:p>
          <w:p>
            <w:pPr>
              <w:pStyle w:val="20"/>
              <w:keepNext w:val="0"/>
              <w:keepLines w:val="0"/>
              <w:suppressLineNumbers w:val="0"/>
              <w:shd w:val="clear"/>
              <w:spacing w:before="0" w:beforeAutospacing="0" w:after="0" w:afterAutospacing="0" w:line="300" w:lineRule="exact"/>
              <w:ind w:left="111" w:right="0"/>
              <w:rPr>
                <w:rFonts w:hint="default" w:asciiTheme="minorEastAsia" w:hAnsiTheme="minorEastAsia" w:eastAsiaTheme="minorEastAsia"/>
                <w:color w:val="000000" w:themeColor="text1"/>
                <w:sz w:val="21"/>
                <w:szCs w:val="21"/>
                <w:highlight w:val="none"/>
                <w14:textFill>
                  <w14:solidFill>
                    <w14:schemeClr w14:val="tx1"/>
                  </w14:solidFill>
                </w14:textFill>
              </w:rPr>
            </w:pPr>
            <w:r>
              <w:rPr>
                <w:rFonts w:hint="default" w:asciiTheme="minorEastAsia" w:hAnsiTheme="minorEastAsia" w:eastAsiaTheme="minorEastAsia"/>
                <w:color w:val="000000" w:themeColor="text1"/>
                <w:spacing w:val="-2"/>
                <w:sz w:val="21"/>
                <w:szCs w:val="21"/>
                <w:highlight w:val="none"/>
                <w14:textFill>
                  <w14:solidFill>
                    <w14:schemeClr w14:val="tx1"/>
                  </w14:solidFill>
                </w14:textFill>
              </w:rPr>
              <w:sym w:font="Wingdings" w:char="00FE"/>
            </w:r>
            <w:r>
              <w:rPr>
                <w:rFonts w:hint="default" w:asciiTheme="minorEastAsia" w:hAnsiTheme="minorEastAsia" w:eastAsiaTheme="minorEastAsia"/>
                <w:color w:val="000000" w:themeColor="text1"/>
                <w:spacing w:val="-6"/>
                <w:sz w:val="21"/>
                <w:szCs w:val="21"/>
                <w:highlight w:val="none"/>
                <w14:textFill>
                  <w14:solidFill>
                    <w14:schemeClr w14:val="tx1"/>
                  </w14:solidFill>
                </w14:textFill>
              </w:rPr>
              <w:t>组织</w:t>
            </w:r>
          </w:p>
          <w:p>
            <w:pPr>
              <w:pStyle w:val="20"/>
              <w:keepNext w:val="0"/>
              <w:keepLines w:val="0"/>
              <w:suppressLineNumbers w:val="0"/>
              <w:shd w:val="clear"/>
              <w:tabs>
                <w:tab w:val="left" w:pos="0"/>
                <w:tab w:val="left" w:pos="3591"/>
              </w:tabs>
              <w:spacing w:before="0" w:beforeAutospacing="0" w:after="0" w:afterAutospacing="0" w:line="300" w:lineRule="exact"/>
              <w:ind w:left="8" w:right="52" w:firstLine="181" w:firstLineChars="90"/>
              <w:rPr>
                <w:rFonts w:hint="default" w:asciiTheme="minorEastAsia" w:hAnsiTheme="minorEastAsia" w:eastAsiaTheme="minorEastAsia"/>
                <w:color w:val="000000" w:themeColor="text1"/>
                <w:spacing w:val="-4"/>
                <w:sz w:val="21"/>
                <w:szCs w:val="21"/>
                <w:highlight w:val="none"/>
                <w14:textFill>
                  <w14:solidFill>
                    <w14:schemeClr w14:val="tx1"/>
                  </w14:solidFill>
                </w14:textFill>
              </w:rPr>
            </w:pPr>
            <w:r>
              <w:rPr>
                <w:rFonts w:hint="default" w:asciiTheme="minorEastAsia" w:hAnsiTheme="minorEastAsia" w:eastAsiaTheme="minorEastAsia"/>
                <w:color w:val="000000" w:themeColor="text1"/>
                <w:spacing w:val="-4"/>
                <w:sz w:val="21"/>
                <w:szCs w:val="21"/>
                <w:highlight w:val="none"/>
                <w14:textFill>
                  <w14:solidFill>
                    <w14:schemeClr w14:val="tx1"/>
                  </w14:solidFill>
                </w14:textFill>
              </w:rPr>
              <w:t>时间：</w:t>
            </w:r>
            <w:bookmarkStart w:id="209" w:name="_GoBack"/>
            <w:r>
              <w:rPr>
                <w:rFonts w:hint="eastAsia" w:asciiTheme="minorEastAsia" w:hAnsiTheme="minorEastAsia" w:eastAsiaTheme="minorEastAsia"/>
                <w:color w:val="000000" w:themeColor="text1"/>
                <w:spacing w:val="-4"/>
                <w:sz w:val="21"/>
                <w:szCs w:val="21"/>
                <w:highlight w:val="none"/>
                <w14:textFill>
                  <w14:solidFill>
                    <w14:schemeClr w14:val="tx1"/>
                  </w14:solidFill>
                </w14:textFill>
              </w:rPr>
              <w:t>2025年1月</w:t>
            </w:r>
            <w:bookmarkEnd w:id="209"/>
            <w:r>
              <w:rPr>
                <w:rFonts w:hint="eastAsia" w:asciiTheme="minorEastAsia" w:hAnsiTheme="minorEastAsia" w:eastAsiaTheme="minorEastAsia"/>
                <w:color w:val="000000" w:themeColor="text1"/>
                <w:spacing w:val="-4"/>
                <w:sz w:val="21"/>
                <w:szCs w:val="21"/>
                <w:highlight w:val="none"/>
                <w14:textFill>
                  <w14:solidFill>
                    <w14:schemeClr w14:val="tx1"/>
                  </w14:solidFill>
                </w14:textFill>
              </w:rPr>
              <w:t>2</w:t>
            </w:r>
            <w:r>
              <w:rPr>
                <w:rFonts w:hint="eastAsia" w:asciiTheme="minorEastAsia" w:hAnsiTheme="minorEastAsia" w:eastAsiaTheme="minorEastAsia"/>
                <w:color w:val="000000" w:themeColor="text1"/>
                <w:spacing w:val="-4"/>
                <w:sz w:val="21"/>
                <w:szCs w:val="21"/>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spacing w:val="-4"/>
                <w:sz w:val="21"/>
                <w:szCs w:val="21"/>
                <w:highlight w:val="none"/>
                <w14:textFill>
                  <w14:solidFill>
                    <w14:schemeClr w14:val="tx1"/>
                  </w14:solidFill>
                </w14:textFill>
              </w:rPr>
              <w:t>日12点现场踏勘</w:t>
            </w:r>
          </w:p>
          <w:p>
            <w:pPr>
              <w:pStyle w:val="20"/>
              <w:keepNext w:val="0"/>
              <w:keepLines w:val="0"/>
              <w:suppressLineNumbers w:val="0"/>
              <w:shd w:val="clear"/>
              <w:tabs>
                <w:tab w:val="left" w:pos="0"/>
                <w:tab w:val="left" w:pos="3591"/>
              </w:tabs>
              <w:spacing w:before="0" w:beforeAutospacing="0" w:after="0" w:afterAutospacing="0" w:line="300" w:lineRule="exact"/>
              <w:ind w:left="8" w:right="272" w:firstLine="189" w:firstLineChars="90"/>
              <w:rPr>
                <w:rFonts w:hint="default" w:asciiTheme="minorEastAsia" w:hAnsiTheme="minorEastAsia" w:eastAsiaTheme="minorEastAsia"/>
                <w:color w:val="000000" w:themeColor="text1"/>
                <w:sz w:val="21"/>
                <w:szCs w:val="21"/>
                <w:highlight w:val="none"/>
                <w14:textFill>
                  <w14:solidFill>
                    <w14:schemeClr w14:val="tx1"/>
                  </w14:solidFill>
                </w14:textFill>
              </w:rPr>
            </w:pPr>
            <w:r>
              <w:rPr>
                <w:rFonts w:hint="default" w:asciiTheme="minorEastAsia" w:hAnsiTheme="minorEastAsia" w:eastAsiaTheme="minorEastAsia"/>
                <w:color w:val="000000" w:themeColor="text1"/>
                <w:sz w:val="21"/>
                <w:szCs w:val="21"/>
                <w:highlight w:val="none"/>
                <w14:textFill>
                  <w14:solidFill>
                    <w14:schemeClr w14:val="tx1"/>
                  </w14:solidFill>
                </w14:textFill>
              </w:rPr>
              <w:t>地点</w:t>
            </w:r>
            <w:r>
              <w:rPr>
                <w:rFonts w:hint="default" w:asciiTheme="minorEastAsia" w:hAnsiTheme="minorEastAsia" w:eastAsiaTheme="minorEastAsia"/>
                <w:color w:val="000000" w:themeColor="text1"/>
                <w:spacing w:val="-10"/>
                <w:sz w:val="21"/>
                <w:szCs w:val="21"/>
                <w:highlight w:val="none"/>
                <w14:textFill>
                  <w14:solidFill>
                    <w14:schemeClr w14:val="tx1"/>
                  </w14:solidFill>
                </w14:textFill>
              </w:rPr>
              <w:t>：</w:t>
            </w:r>
            <w:r>
              <w:rPr>
                <w:rFonts w:hint="eastAsia" w:asciiTheme="minorEastAsia" w:hAnsiTheme="minorEastAsia" w:eastAsiaTheme="minorEastAsia"/>
                <w:color w:val="000000" w:themeColor="text1"/>
                <w:spacing w:val="-10"/>
                <w:sz w:val="21"/>
                <w:szCs w:val="21"/>
                <w:highlight w:val="none"/>
                <w14:textFill>
                  <w14:solidFill>
                    <w14:schemeClr w14:val="tx1"/>
                  </w14:solidFill>
                </w14:textFill>
              </w:rPr>
              <w:t>供应商须在此之前，将踏勘人员信息发送至3762040205@qq.com 踏勘人员信息包含：踏勘人员姓名、联系方式、身份</w:t>
            </w:r>
            <w:r>
              <w:rPr>
                <w:rFonts w:hint="eastAsia" w:asciiTheme="minorEastAsia" w:hAnsiTheme="minorEastAsia" w:eastAsiaTheme="minorEastAsia"/>
                <w:color w:val="000000" w:themeColor="text1"/>
                <w:sz w:val="21"/>
                <w:szCs w:val="21"/>
                <w:highlight w:val="none"/>
                <w14:textFill>
                  <w14:solidFill>
                    <w14:schemeClr w14:val="tx1"/>
                  </w14:solidFill>
                </w14:textFill>
              </w:rPr>
              <w:t>证正反面图片、车牌号（若有）</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，并致电</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13579862091</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pPr>
              <w:pStyle w:val="20"/>
              <w:keepNext w:val="0"/>
              <w:keepLines w:val="0"/>
              <w:suppressLineNumbers w:val="0"/>
              <w:shd w:val="clear"/>
              <w:tabs>
                <w:tab w:val="left" w:pos="0"/>
                <w:tab w:val="left" w:pos="3591"/>
              </w:tabs>
              <w:spacing w:before="0" w:beforeAutospacing="0" w:after="0" w:afterAutospacing="0" w:line="300" w:lineRule="exact"/>
              <w:ind w:left="8" w:right="52" w:firstLine="189" w:firstLineChars="90"/>
              <w:rPr>
                <w:rFonts w:hint="default"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未勘察现场或勘察工作不详细的投标方中标后，不得以不完全了解现场情况为理由而向采购人提出任何索赔或其他要求，对此采购人不承担任何责任并将不作任何答复。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8" w:hRule="atLeast"/>
        </w:trPr>
        <w:tc>
          <w:tcPr>
            <w:tcW w:w="947" w:type="dxa"/>
            <w:tcBorders>
              <w:top w:val="single" w:color="000000" w:sz="2" w:space="0"/>
              <w:left w:val="single" w:color="000000" w:sz="2" w:space="0"/>
              <w:bottom w:val="single" w:color="000000" w:sz="2" w:space="0"/>
              <w:right w:val="single" w:color="000000" w:sz="2" w:space="0"/>
            </w:tcBorders>
          </w:tcPr>
          <w:p>
            <w:pPr>
              <w:pStyle w:val="20"/>
              <w:keepNext w:val="0"/>
              <w:keepLines w:val="0"/>
              <w:suppressLineNumbers w:val="0"/>
              <w:shd w:val="clear"/>
              <w:spacing w:before="0" w:beforeAutospacing="0" w:after="0" w:afterAutospacing="0" w:line="300" w:lineRule="exact"/>
              <w:ind w:left="0" w:right="0"/>
              <w:rPr>
                <w:rFonts w:hint="default" w:asciiTheme="minorEastAsia" w:hAnsiTheme="minorEastAsia" w:eastAsiaTheme="minorEastAsia"/>
                <w:color w:val="000000" w:themeColor="text1"/>
                <w:sz w:val="21"/>
                <w:szCs w:val="21"/>
                <w:highlight w:val="none"/>
                <w14:textFill>
                  <w14:solidFill>
                    <w14:schemeClr w14:val="tx1"/>
                  </w14:solidFill>
                </w14:textFill>
              </w:rPr>
            </w:pPr>
          </w:p>
          <w:p>
            <w:pPr>
              <w:pStyle w:val="20"/>
              <w:keepNext w:val="0"/>
              <w:keepLines w:val="0"/>
              <w:suppressLineNumbers w:val="0"/>
              <w:shd w:val="clear"/>
              <w:spacing w:before="0" w:beforeAutospacing="0" w:after="0" w:afterAutospacing="0" w:line="300" w:lineRule="exact"/>
              <w:ind w:left="7" w:right="0"/>
              <w:rPr>
                <w:rFonts w:hint="default" w:asciiTheme="minorEastAsia" w:hAnsiTheme="minorEastAsia" w:eastAsiaTheme="minorEastAsia"/>
                <w:color w:val="000000" w:themeColor="text1"/>
                <w:sz w:val="21"/>
                <w:szCs w:val="21"/>
                <w:highlight w:val="none"/>
                <w14:textFill>
                  <w14:solidFill>
                    <w14:schemeClr w14:val="tx1"/>
                  </w14:solidFill>
                </w14:textFill>
              </w:rPr>
            </w:pPr>
            <w:r>
              <w:rPr>
                <w:rFonts w:hint="default" w:asciiTheme="minorEastAsia" w:hAnsiTheme="minorEastAsia" w:eastAsiaTheme="minorEastAsia"/>
                <w:color w:val="000000" w:themeColor="text1"/>
                <w:spacing w:val="-5"/>
                <w:sz w:val="21"/>
                <w:szCs w:val="21"/>
                <w:highlight w:val="none"/>
                <w14:textFill>
                  <w14:solidFill>
                    <w14:schemeClr w14:val="tx1"/>
                  </w14:solidFill>
                </w14:textFill>
              </w:rPr>
              <w:t>9.5</w:t>
            </w:r>
          </w:p>
        </w:tc>
        <w:tc>
          <w:tcPr>
            <w:tcW w:w="1696" w:type="dxa"/>
            <w:tcBorders>
              <w:top w:val="single" w:color="000000" w:sz="2" w:space="0"/>
              <w:left w:val="single" w:color="000000" w:sz="2" w:space="0"/>
              <w:bottom w:val="single" w:color="000000" w:sz="2" w:space="0"/>
              <w:right w:val="single" w:color="000000" w:sz="2" w:space="0"/>
            </w:tcBorders>
          </w:tcPr>
          <w:p>
            <w:pPr>
              <w:pStyle w:val="20"/>
              <w:keepNext w:val="0"/>
              <w:keepLines w:val="0"/>
              <w:suppressLineNumbers w:val="0"/>
              <w:shd w:val="clear"/>
              <w:spacing w:before="0" w:beforeAutospacing="0" w:after="0" w:afterAutospacing="0" w:line="300" w:lineRule="exact"/>
              <w:ind w:left="0" w:right="0"/>
              <w:rPr>
                <w:rFonts w:hint="default" w:asciiTheme="minorEastAsia" w:hAnsiTheme="minorEastAsia" w:eastAsiaTheme="minorEastAsia"/>
                <w:color w:val="000000" w:themeColor="text1"/>
                <w:sz w:val="21"/>
                <w:szCs w:val="21"/>
                <w:highlight w:val="none"/>
                <w14:textFill>
                  <w14:solidFill>
                    <w14:schemeClr w14:val="tx1"/>
                  </w14:solidFill>
                </w14:textFill>
              </w:rPr>
            </w:pPr>
          </w:p>
          <w:p>
            <w:pPr>
              <w:pStyle w:val="20"/>
              <w:keepNext w:val="0"/>
              <w:keepLines w:val="0"/>
              <w:suppressLineNumbers w:val="0"/>
              <w:shd w:val="clear"/>
              <w:spacing w:before="0" w:beforeAutospacing="0" w:after="0" w:afterAutospacing="0" w:line="300" w:lineRule="exact"/>
              <w:ind w:left="109" w:right="0"/>
              <w:rPr>
                <w:rFonts w:hint="default" w:asciiTheme="minorEastAsia" w:hAnsiTheme="minorEastAsia" w:eastAsiaTheme="minorEastAsia"/>
                <w:color w:val="000000" w:themeColor="text1"/>
                <w:sz w:val="21"/>
                <w:szCs w:val="21"/>
                <w:highlight w:val="none"/>
                <w14:textFill>
                  <w14:solidFill>
                    <w14:schemeClr w14:val="tx1"/>
                  </w14:solidFill>
                </w14:textFill>
              </w:rPr>
            </w:pPr>
            <w:r>
              <w:rPr>
                <w:rFonts w:hint="default" w:asciiTheme="minorEastAsia" w:hAnsiTheme="minorEastAsia" w:eastAsiaTheme="minorEastAsia"/>
                <w:color w:val="000000" w:themeColor="text1"/>
                <w:spacing w:val="-4"/>
                <w:sz w:val="21"/>
                <w:szCs w:val="21"/>
                <w:highlight w:val="none"/>
                <w14:textFill>
                  <w14:solidFill>
                    <w14:schemeClr w14:val="tx1"/>
                  </w14:solidFill>
                </w14:textFill>
              </w:rPr>
              <w:t>答疑会</w:t>
            </w:r>
          </w:p>
        </w:tc>
        <w:tc>
          <w:tcPr>
            <w:tcW w:w="6876" w:type="dxa"/>
            <w:tcBorders>
              <w:top w:val="single" w:color="000000" w:sz="2" w:space="0"/>
              <w:left w:val="single" w:color="000000" w:sz="2" w:space="0"/>
              <w:bottom w:val="single" w:color="000000" w:sz="2" w:space="0"/>
              <w:right w:val="single" w:color="000000" w:sz="2" w:space="0"/>
            </w:tcBorders>
          </w:tcPr>
          <w:p>
            <w:pPr>
              <w:pStyle w:val="20"/>
              <w:keepNext w:val="0"/>
              <w:keepLines w:val="0"/>
              <w:suppressLineNumbers w:val="0"/>
              <w:shd w:val="clear"/>
              <w:spacing w:before="0" w:beforeAutospacing="0" w:after="0" w:afterAutospacing="0" w:line="300" w:lineRule="exact"/>
              <w:ind w:left="111" w:right="0"/>
              <w:rPr>
                <w:rFonts w:hint="default" w:asciiTheme="minorEastAsia" w:hAnsiTheme="minorEastAsia" w:eastAsiaTheme="minorEastAsia"/>
                <w:color w:val="000000" w:themeColor="text1"/>
                <w:sz w:val="21"/>
                <w:szCs w:val="21"/>
                <w:highlight w:val="none"/>
                <w14:textFill>
                  <w14:solidFill>
                    <w14:schemeClr w14:val="tx1"/>
                  </w14:solidFill>
                </w14:textFill>
              </w:rPr>
            </w:pPr>
            <w:r>
              <w:rPr>
                <w:rFonts w:hint="default" w:asciiTheme="minorEastAsia" w:hAnsiTheme="minorEastAsia" w:eastAsiaTheme="minorEastAsia"/>
                <w:color w:val="000000" w:themeColor="text1"/>
                <w:spacing w:val="-2"/>
                <w:sz w:val="21"/>
                <w:szCs w:val="21"/>
                <w:highlight w:val="none"/>
                <w14:textFill>
                  <w14:solidFill>
                    <w14:schemeClr w14:val="tx1"/>
                  </w14:solidFill>
                </w14:textFill>
              </w:rPr>
              <w:sym w:font="Wingdings" w:char="00FE"/>
            </w:r>
            <w:r>
              <w:rPr>
                <w:rFonts w:hint="default" w:asciiTheme="minorEastAsia" w:hAnsiTheme="minorEastAsia" w:eastAsiaTheme="minorEastAsia"/>
                <w:color w:val="000000" w:themeColor="text1"/>
                <w:spacing w:val="-5"/>
                <w:sz w:val="21"/>
                <w:szCs w:val="21"/>
                <w:highlight w:val="none"/>
                <w14:textFill>
                  <w14:solidFill>
                    <w14:schemeClr w14:val="tx1"/>
                  </w14:solidFill>
                </w14:textFill>
              </w:rPr>
              <w:t>不组织</w:t>
            </w:r>
          </w:p>
          <w:p>
            <w:pPr>
              <w:pStyle w:val="20"/>
              <w:keepNext w:val="0"/>
              <w:keepLines w:val="0"/>
              <w:suppressLineNumbers w:val="0"/>
              <w:shd w:val="clear"/>
              <w:spacing w:before="0" w:beforeAutospacing="0" w:after="0" w:afterAutospacing="0" w:line="300" w:lineRule="exact"/>
              <w:ind w:left="111" w:right="0"/>
              <w:rPr>
                <w:rFonts w:hint="default" w:asciiTheme="minorEastAsia" w:hAnsiTheme="minorEastAsia" w:eastAsiaTheme="minorEastAsia"/>
                <w:color w:val="000000" w:themeColor="text1"/>
                <w:sz w:val="21"/>
                <w:szCs w:val="21"/>
                <w:highlight w:val="none"/>
                <w14:textFill>
                  <w14:solidFill>
                    <w14:schemeClr w14:val="tx1"/>
                  </w14:solidFill>
                </w14:textFill>
              </w:rPr>
            </w:pPr>
            <w:r>
              <w:rPr>
                <w:rFonts w:hint="default" w:asciiTheme="minorEastAsia" w:hAnsiTheme="minorEastAsia" w:eastAsiaTheme="minorEastAsia"/>
                <w:color w:val="000000" w:themeColor="text1"/>
                <w:spacing w:val="-2"/>
                <w:sz w:val="21"/>
                <w:szCs w:val="21"/>
                <w:highlight w:val="none"/>
                <w14:textFill>
                  <w14:solidFill>
                    <w14:schemeClr w14:val="tx1"/>
                  </w14:solidFill>
                </w14:textFill>
              </w:rPr>
              <w:t></w:t>
            </w:r>
            <w:r>
              <w:rPr>
                <w:rFonts w:hint="default" w:asciiTheme="minorEastAsia" w:hAnsiTheme="minorEastAsia" w:eastAsiaTheme="minorEastAsia"/>
                <w:color w:val="000000" w:themeColor="text1"/>
                <w:spacing w:val="-6"/>
                <w:sz w:val="21"/>
                <w:szCs w:val="21"/>
                <w:highlight w:val="none"/>
                <w14:textFill>
                  <w14:solidFill>
                    <w14:schemeClr w14:val="tx1"/>
                  </w14:solidFill>
                </w14:textFill>
              </w:rPr>
              <w:t>组织</w:t>
            </w:r>
          </w:p>
          <w:p>
            <w:pPr>
              <w:pStyle w:val="20"/>
              <w:keepNext w:val="0"/>
              <w:keepLines w:val="0"/>
              <w:suppressLineNumbers w:val="0"/>
              <w:shd w:val="clear"/>
              <w:tabs>
                <w:tab w:val="left" w:pos="3591"/>
              </w:tabs>
              <w:spacing w:before="0" w:beforeAutospacing="0" w:after="0" w:afterAutospacing="0" w:line="300" w:lineRule="exact"/>
              <w:ind w:left="351" w:right="2861"/>
              <w:rPr>
                <w:rFonts w:hint="default" w:asciiTheme="minorEastAsia" w:hAnsiTheme="minorEastAsia" w:eastAsiaTheme="minorEastAsia"/>
                <w:color w:val="000000" w:themeColor="text1"/>
                <w:spacing w:val="-10"/>
                <w:sz w:val="21"/>
                <w:szCs w:val="21"/>
                <w:highlight w:val="none"/>
                <w14:textFill>
                  <w14:solidFill>
                    <w14:schemeClr w14:val="tx1"/>
                  </w14:solidFill>
                </w14:textFill>
              </w:rPr>
            </w:pPr>
            <w:r>
              <w:rPr>
                <w:rFonts w:hint="default" w:asciiTheme="minorEastAsia" w:hAnsiTheme="minorEastAsia" w:eastAsiaTheme="minorEastAsia"/>
                <w:color w:val="000000" w:themeColor="text1"/>
                <w:spacing w:val="-4"/>
                <w:sz w:val="21"/>
                <w:szCs w:val="21"/>
                <w:highlight w:val="none"/>
                <w14:textFill>
                  <w14:solidFill>
                    <w14:schemeClr w14:val="tx1"/>
                  </w14:solidFill>
                </w14:textFill>
              </w:rPr>
              <w:t>时间：</w:t>
            </w:r>
            <w:r>
              <w:rPr>
                <w:rFonts w:hint="eastAsia" w:asciiTheme="minorEastAsia" w:hAnsiTheme="minorEastAsia" w:eastAsiaTheme="minorEastAsia"/>
                <w:color w:val="000000" w:themeColor="text1"/>
                <w:spacing w:val="-4"/>
                <w:sz w:val="21"/>
                <w:szCs w:val="21"/>
                <w:highlight w:val="none"/>
                <w14:textFill>
                  <w14:solidFill>
                    <w14:schemeClr w14:val="tx1"/>
                  </w14:solidFill>
                </w14:textFill>
              </w:rPr>
              <w:t>/</w:t>
            </w:r>
            <w:r>
              <w:rPr>
                <w:rFonts w:hint="default" w:asciiTheme="minorEastAsia" w:hAnsiTheme="minorEastAsia" w:eastAsiaTheme="minorEastAsia"/>
                <w:color w:val="000000" w:themeColor="text1"/>
                <w:spacing w:val="-10"/>
                <w:sz w:val="21"/>
                <w:szCs w:val="21"/>
                <w:highlight w:val="none"/>
                <w14:textFill>
                  <w14:solidFill>
                    <w14:schemeClr w14:val="tx1"/>
                  </w14:solidFill>
                </w14:textFill>
              </w:rPr>
              <w:t>。</w:t>
            </w:r>
          </w:p>
          <w:p>
            <w:pPr>
              <w:pStyle w:val="20"/>
              <w:keepNext w:val="0"/>
              <w:keepLines w:val="0"/>
              <w:suppressLineNumbers w:val="0"/>
              <w:shd w:val="clear"/>
              <w:tabs>
                <w:tab w:val="left" w:pos="3591"/>
              </w:tabs>
              <w:spacing w:before="0" w:beforeAutospacing="0" w:after="0" w:afterAutospacing="0" w:line="300" w:lineRule="exact"/>
              <w:ind w:left="351" w:right="2861"/>
              <w:rPr>
                <w:rFonts w:hint="default" w:asciiTheme="minorEastAsia" w:hAnsiTheme="minorEastAsia" w:eastAsiaTheme="minorEastAsia"/>
                <w:color w:val="000000" w:themeColor="text1"/>
                <w:sz w:val="21"/>
                <w:szCs w:val="21"/>
                <w:highlight w:val="none"/>
                <w14:textFill>
                  <w14:solidFill>
                    <w14:schemeClr w14:val="tx1"/>
                  </w14:solidFill>
                </w14:textFill>
              </w:rPr>
            </w:pPr>
            <w:r>
              <w:rPr>
                <w:rFonts w:hint="default" w:asciiTheme="minorEastAsia" w:hAnsiTheme="minorEastAsia" w:eastAsiaTheme="minorEastAsia"/>
                <w:color w:val="000000" w:themeColor="text1"/>
                <w:sz w:val="21"/>
                <w:szCs w:val="21"/>
                <w:highlight w:val="none"/>
                <w14:textFill>
                  <w14:solidFill>
                    <w14:schemeClr w14:val="tx1"/>
                  </w14:solidFill>
                </w14:textFill>
              </w:rPr>
              <w:t>地点</w:t>
            </w:r>
            <w:r>
              <w:rPr>
                <w:rFonts w:hint="default" w:asciiTheme="minorEastAsia" w:hAnsiTheme="minorEastAsia" w:eastAsiaTheme="minorEastAsia"/>
                <w:color w:val="000000" w:themeColor="text1"/>
                <w:spacing w:val="-10"/>
                <w:sz w:val="21"/>
                <w:szCs w:val="21"/>
                <w:highlight w:val="none"/>
                <w14:textFill>
                  <w14:solidFill>
                    <w14:schemeClr w14:val="tx1"/>
                  </w14:solidFill>
                </w14:textFill>
              </w:rPr>
              <w:t>：</w:t>
            </w:r>
            <w:r>
              <w:rPr>
                <w:rFonts w:hint="eastAsia" w:asciiTheme="minorEastAsia" w:hAnsiTheme="minorEastAsia" w:eastAsiaTheme="minorEastAsia"/>
                <w:color w:val="000000" w:themeColor="text1"/>
                <w:spacing w:val="-10"/>
                <w:sz w:val="21"/>
                <w:szCs w:val="21"/>
                <w:highlight w:val="none"/>
                <w14:textFill>
                  <w14:solidFill>
                    <w14:schemeClr w14:val="tx1"/>
                  </w14:solidFill>
                </w14:textFill>
              </w:rPr>
              <w:t>/</w:t>
            </w:r>
            <w:r>
              <w:rPr>
                <w:rFonts w:hint="default" w:asciiTheme="minorEastAsia" w:hAnsiTheme="minorEastAsia" w:eastAsiaTheme="minorEastAsia"/>
                <w:color w:val="000000" w:themeColor="text1"/>
                <w:spacing w:val="-10"/>
                <w:sz w:val="21"/>
                <w:szCs w:val="2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0" w:hRule="atLeast"/>
        </w:trPr>
        <w:tc>
          <w:tcPr>
            <w:tcW w:w="947" w:type="dxa"/>
            <w:tcBorders>
              <w:top w:val="single" w:color="000000" w:sz="2" w:space="0"/>
              <w:left w:val="single" w:color="000000" w:sz="2" w:space="0"/>
              <w:bottom w:val="single" w:color="000000" w:sz="2" w:space="0"/>
              <w:right w:val="single" w:color="000000" w:sz="2" w:space="0"/>
            </w:tcBorders>
          </w:tcPr>
          <w:p>
            <w:pPr>
              <w:pStyle w:val="20"/>
              <w:keepNext w:val="0"/>
              <w:keepLines w:val="0"/>
              <w:suppressLineNumbers w:val="0"/>
              <w:shd w:val="clear"/>
              <w:spacing w:before="0" w:beforeAutospacing="0" w:after="0" w:afterAutospacing="0" w:line="300" w:lineRule="exact"/>
              <w:ind w:left="0" w:right="0"/>
              <w:rPr>
                <w:rFonts w:hint="default" w:asciiTheme="minorEastAsia" w:hAnsiTheme="minorEastAsia" w:eastAsiaTheme="minorEastAsia"/>
                <w:color w:val="000000" w:themeColor="text1"/>
                <w:sz w:val="21"/>
                <w:szCs w:val="21"/>
                <w:highlight w:val="none"/>
                <w14:textFill>
                  <w14:solidFill>
                    <w14:schemeClr w14:val="tx1"/>
                  </w14:solidFill>
                </w14:textFill>
              </w:rPr>
            </w:pPr>
          </w:p>
          <w:p>
            <w:pPr>
              <w:pStyle w:val="20"/>
              <w:keepNext w:val="0"/>
              <w:keepLines w:val="0"/>
              <w:suppressLineNumbers w:val="0"/>
              <w:shd w:val="clear"/>
              <w:spacing w:before="0" w:beforeAutospacing="0" w:after="0" w:afterAutospacing="0" w:line="300" w:lineRule="exact"/>
              <w:ind w:left="7" w:right="0"/>
              <w:rPr>
                <w:rFonts w:hint="default" w:asciiTheme="minorEastAsia" w:hAnsiTheme="minorEastAsia" w:eastAsiaTheme="minorEastAsia"/>
                <w:color w:val="000000" w:themeColor="text1"/>
                <w:sz w:val="21"/>
                <w:szCs w:val="21"/>
                <w:highlight w:val="none"/>
                <w14:textFill>
                  <w14:solidFill>
                    <w14:schemeClr w14:val="tx1"/>
                  </w14:solidFill>
                </w14:textFill>
              </w:rPr>
            </w:pPr>
            <w:r>
              <w:rPr>
                <w:rFonts w:hint="default" w:asciiTheme="minorEastAsia" w:hAnsiTheme="minorEastAsia" w:eastAsiaTheme="minorEastAsia"/>
                <w:color w:val="000000" w:themeColor="text1"/>
                <w:spacing w:val="-4"/>
                <w:sz w:val="21"/>
                <w:szCs w:val="21"/>
                <w:highlight w:val="none"/>
                <w14:textFill>
                  <w14:solidFill>
                    <w14:schemeClr w14:val="tx1"/>
                  </w14:solidFill>
                </w14:textFill>
              </w:rPr>
              <w:t>12.1</w:t>
            </w:r>
          </w:p>
        </w:tc>
        <w:tc>
          <w:tcPr>
            <w:tcW w:w="1696" w:type="dxa"/>
            <w:tcBorders>
              <w:top w:val="single" w:color="000000" w:sz="2" w:space="0"/>
              <w:left w:val="single" w:color="000000" w:sz="2" w:space="0"/>
              <w:bottom w:val="single" w:color="000000" w:sz="2" w:space="0"/>
              <w:right w:val="single" w:color="000000" w:sz="2" w:space="0"/>
            </w:tcBorders>
          </w:tcPr>
          <w:p>
            <w:pPr>
              <w:pStyle w:val="20"/>
              <w:keepNext w:val="0"/>
              <w:keepLines w:val="0"/>
              <w:suppressLineNumbers w:val="0"/>
              <w:shd w:val="clear"/>
              <w:spacing w:before="0" w:beforeAutospacing="0" w:after="0" w:afterAutospacing="0" w:line="300" w:lineRule="exact"/>
              <w:ind w:left="0" w:right="0"/>
              <w:rPr>
                <w:rFonts w:hint="default" w:asciiTheme="minorEastAsia" w:hAnsiTheme="minorEastAsia" w:eastAsiaTheme="minorEastAsia"/>
                <w:color w:val="000000" w:themeColor="text1"/>
                <w:sz w:val="21"/>
                <w:szCs w:val="21"/>
                <w:highlight w:val="none"/>
                <w14:textFill>
                  <w14:solidFill>
                    <w14:schemeClr w14:val="tx1"/>
                  </w14:solidFill>
                </w14:textFill>
              </w:rPr>
            </w:pPr>
          </w:p>
          <w:p>
            <w:pPr>
              <w:pStyle w:val="20"/>
              <w:keepNext w:val="0"/>
              <w:keepLines w:val="0"/>
              <w:suppressLineNumbers w:val="0"/>
              <w:shd w:val="clear"/>
              <w:spacing w:before="0" w:beforeAutospacing="0" w:after="0" w:afterAutospacing="0" w:line="300" w:lineRule="exact"/>
              <w:ind w:left="109" w:right="0"/>
              <w:rPr>
                <w:rFonts w:hint="default" w:asciiTheme="minorEastAsia" w:hAnsiTheme="minorEastAsia" w:eastAsiaTheme="minorEastAsia"/>
                <w:color w:val="000000" w:themeColor="text1"/>
                <w:sz w:val="21"/>
                <w:szCs w:val="21"/>
                <w:highlight w:val="none"/>
                <w14:textFill>
                  <w14:solidFill>
                    <w14:schemeClr w14:val="tx1"/>
                  </w14:solidFill>
                </w14:textFill>
              </w:rPr>
            </w:pPr>
            <w:r>
              <w:rPr>
                <w:rFonts w:hint="default" w:asciiTheme="minorEastAsia" w:hAnsiTheme="minorEastAsia" w:eastAsiaTheme="minorEastAsia"/>
                <w:color w:val="000000" w:themeColor="text1"/>
                <w:spacing w:val="-5"/>
                <w:sz w:val="21"/>
                <w:szCs w:val="21"/>
                <w:highlight w:val="none"/>
                <w14:textFill>
                  <w14:solidFill>
                    <w14:schemeClr w14:val="tx1"/>
                  </w14:solidFill>
                </w14:textFill>
              </w:rPr>
              <w:t>询问</w:t>
            </w:r>
          </w:p>
        </w:tc>
        <w:tc>
          <w:tcPr>
            <w:tcW w:w="6876" w:type="dxa"/>
            <w:tcBorders>
              <w:top w:val="single" w:color="000000" w:sz="2" w:space="0"/>
              <w:left w:val="single" w:color="000000" w:sz="2" w:space="0"/>
              <w:bottom w:val="single" w:color="000000" w:sz="2" w:space="0"/>
              <w:right w:val="single" w:color="000000" w:sz="2" w:space="0"/>
            </w:tcBorders>
          </w:tcPr>
          <w:p>
            <w:pPr>
              <w:pStyle w:val="20"/>
              <w:keepNext w:val="0"/>
              <w:keepLines w:val="0"/>
              <w:numPr>
                <w:ilvl w:val="0"/>
                <w:numId w:val="7"/>
              </w:numPr>
              <w:suppressLineNumbers w:val="0"/>
              <w:shd w:val="clear"/>
              <w:tabs>
                <w:tab w:val="left" w:pos="351"/>
              </w:tabs>
              <w:spacing w:before="0" w:beforeAutospacing="0" w:after="0" w:afterAutospacing="0" w:line="300" w:lineRule="exact"/>
              <w:ind w:left="351" w:right="0" w:hanging="240"/>
              <w:rPr>
                <w:rFonts w:hint="default" w:asciiTheme="minorEastAsia" w:hAnsiTheme="minorEastAsia" w:eastAsiaTheme="minorEastAsia"/>
                <w:color w:val="000000" w:themeColor="text1"/>
                <w:sz w:val="21"/>
                <w:szCs w:val="21"/>
                <w:highlight w:val="none"/>
                <w14:textFill>
                  <w14:solidFill>
                    <w14:schemeClr w14:val="tx1"/>
                  </w14:solidFill>
                </w14:textFill>
              </w:rPr>
            </w:pPr>
            <w:r>
              <w:rPr>
                <w:rFonts w:hint="default" w:asciiTheme="minorEastAsia" w:hAnsiTheme="minorEastAsia" w:eastAsiaTheme="minorEastAsia"/>
                <w:color w:val="000000" w:themeColor="text1"/>
                <w:spacing w:val="-4"/>
                <w:sz w:val="21"/>
                <w:szCs w:val="21"/>
                <w:highlight w:val="none"/>
                <w14:textFill>
                  <w14:solidFill>
                    <w14:schemeClr w14:val="tx1"/>
                  </w14:solidFill>
                </w14:textFill>
              </w:rPr>
              <w:t>方式：</w:t>
            </w:r>
          </w:p>
          <w:p>
            <w:pPr>
              <w:pStyle w:val="20"/>
              <w:keepNext w:val="0"/>
              <w:keepLines w:val="0"/>
              <w:suppressLineNumbers w:val="0"/>
              <w:shd w:val="clear"/>
              <w:tabs>
                <w:tab w:val="left" w:pos="5271"/>
              </w:tabs>
              <w:spacing w:before="0" w:beforeAutospacing="0" w:after="0" w:afterAutospacing="0" w:line="300" w:lineRule="exact"/>
              <w:ind w:left="0" w:right="101"/>
              <w:rPr>
                <w:rFonts w:hint="default" w:asciiTheme="minorEastAsia" w:hAnsiTheme="minorEastAsia" w:eastAsiaTheme="minorEastAsia"/>
                <w:color w:val="000000" w:themeColor="text1"/>
                <w:spacing w:val="-2"/>
                <w:sz w:val="21"/>
                <w:szCs w:val="21"/>
                <w:highlight w:val="none"/>
                <w14:textFill>
                  <w14:solidFill>
                    <w14:schemeClr w14:val="tx1"/>
                  </w14:solidFill>
                </w14:textFill>
              </w:rPr>
            </w:pPr>
            <w:r>
              <w:rPr>
                <w:rFonts w:hint="default" w:asciiTheme="minorEastAsia" w:hAnsiTheme="minorEastAsia" w:eastAsiaTheme="minorEastAsia"/>
                <w:color w:val="000000" w:themeColor="text1"/>
                <w:spacing w:val="-2"/>
                <w:sz w:val="21"/>
                <w:szCs w:val="21"/>
                <w:highlight w:val="none"/>
                <w14:textFill>
                  <w14:solidFill>
                    <w14:schemeClr w14:val="tx1"/>
                  </w14:solidFill>
                </w14:textFill>
              </w:rPr>
              <w:t>在供应商客户端中按照格式填写询问函，并在生成询问函后加盖电子印章提交；</w:t>
            </w:r>
          </w:p>
          <w:p>
            <w:pPr>
              <w:pStyle w:val="20"/>
              <w:keepNext w:val="0"/>
              <w:keepLines w:val="0"/>
              <w:suppressLineNumbers w:val="0"/>
              <w:shd w:val="clear"/>
              <w:tabs>
                <w:tab w:val="left" w:pos="5271"/>
              </w:tabs>
              <w:spacing w:before="0" w:beforeAutospacing="0" w:after="0" w:afterAutospacing="0" w:line="300" w:lineRule="exact"/>
              <w:ind w:left="0" w:right="101"/>
              <w:rPr>
                <w:rFonts w:hint="default" w:asciiTheme="minorEastAsia" w:hAnsiTheme="minorEastAsia" w:eastAsiaTheme="minorEastAsia"/>
                <w:color w:val="000000" w:themeColor="text1"/>
                <w:sz w:val="21"/>
                <w:szCs w:val="21"/>
                <w:highlight w:val="none"/>
                <w14:textFill>
                  <w14:solidFill>
                    <w14:schemeClr w14:val="tx1"/>
                  </w14:solidFill>
                </w14:textFill>
              </w:rPr>
            </w:pPr>
            <w:r>
              <w:rPr>
                <w:rFonts w:hint="default" w:asciiTheme="minorEastAsia" w:hAnsiTheme="minorEastAsia" w:eastAsiaTheme="minorEastAsia"/>
                <w:color w:val="000000" w:themeColor="text1"/>
                <w:spacing w:val="-2"/>
                <w:sz w:val="21"/>
                <w:szCs w:val="21"/>
                <w:highlight w:val="none"/>
                <w14:textFill>
                  <w14:solidFill>
                    <w14:schemeClr w14:val="tx1"/>
                  </w14:solidFill>
                </w14:textFill>
              </w:rPr>
              <w:t>其他询问方式：</w:t>
            </w:r>
            <w:r>
              <w:rPr>
                <w:rFonts w:hint="eastAsia" w:asciiTheme="minorEastAsia" w:hAnsiTheme="minorEastAsia" w:eastAsiaTheme="minorEastAsia"/>
                <w:color w:val="000000" w:themeColor="text1"/>
                <w:spacing w:val="-2"/>
                <w:sz w:val="21"/>
                <w:szCs w:val="21"/>
                <w:highlight w:val="none"/>
                <w14:textFill>
                  <w14:solidFill>
                    <w14:schemeClr w14:val="tx1"/>
                  </w14:solidFill>
                </w14:textFill>
              </w:rPr>
              <w:t>发送</w:t>
            </w:r>
            <w:r>
              <w:rPr>
                <w:rFonts w:hint="eastAsia" w:asciiTheme="minorEastAsia" w:hAnsiTheme="minorEastAsia" w:eastAsiaTheme="minorEastAsia"/>
                <w:color w:val="000000" w:themeColor="text1"/>
                <w:sz w:val="21"/>
                <w:szCs w:val="21"/>
                <w:highlight w:val="none"/>
                <w:u w:val="single"/>
                <w14:textFill>
                  <w14:solidFill>
                    <w14:schemeClr w14:val="tx1"/>
                  </w14:solidFill>
                </w14:textFill>
              </w:rPr>
              <w:t>至</w:t>
            </w:r>
            <w:r>
              <w:rPr>
                <w:rFonts w:hint="eastAsia" w:asciiTheme="minorEastAsia" w:hAnsiTheme="minorEastAsia" w:eastAsiaTheme="minorEastAsia"/>
                <w:color w:val="000000" w:themeColor="text1"/>
                <w:spacing w:val="-2"/>
                <w:sz w:val="21"/>
                <w:szCs w:val="21"/>
                <w:highlight w:val="none"/>
                <w14:textFill>
                  <w14:solidFill>
                    <w14:schemeClr w14:val="tx1"/>
                  </w14:solidFill>
                </w14:textFill>
              </w:rPr>
              <w:t>邮箱</w:t>
            </w:r>
            <w:r>
              <w:rPr>
                <w:rFonts w:hint="eastAsia" w:asciiTheme="minorEastAsia" w:hAnsiTheme="minorEastAsia" w:eastAsiaTheme="minorEastAsia"/>
                <w:color w:val="000000" w:themeColor="text1"/>
                <w:sz w:val="21"/>
                <w:szCs w:val="21"/>
                <w:highlight w:val="none"/>
                <w:u w:val="single"/>
                <w14:textFill>
                  <w14:solidFill>
                    <w14:schemeClr w14:val="tx1"/>
                  </w14:solidFill>
                </w14:textFill>
              </w:rPr>
              <w:t>3762040205@qq.com，并致电13579862091</w:t>
            </w:r>
            <w:r>
              <w:rPr>
                <w:rFonts w:hint="default" w:asciiTheme="minorEastAsia" w:hAnsiTheme="minorEastAsia" w:eastAsiaTheme="minorEastAsia"/>
                <w:color w:val="000000" w:themeColor="text1"/>
                <w:spacing w:val="-10"/>
                <w:sz w:val="21"/>
                <w:szCs w:val="21"/>
                <w:highlight w:val="none"/>
                <w14:textFill>
                  <w14:solidFill>
                    <w14:schemeClr w14:val="tx1"/>
                  </w14:solidFill>
                </w14:textFill>
              </w:rPr>
              <w:t>。</w:t>
            </w:r>
          </w:p>
          <w:p>
            <w:pPr>
              <w:pStyle w:val="20"/>
              <w:keepNext w:val="0"/>
              <w:keepLines w:val="0"/>
              <w:numPr>
                <w:ilvl w:val="0"/>
                <w:numId w:val="7"/>
              </w:numPr>
              <w:suppressLineNumbers w:val="0"/>
              <w:shd w:val="clear"/>
              <w:tabs>
                <w:tab w:val="left" w:pos="351"/>
                <w:tab w:val="left" w:pos="2871"/>
              </w:tabs>
              <w:spacing w:before="0" w:beforeAutospacing="0" w:after="0" w:afterAutospacing="0" w:line="300" w:lineRule="exact"/>
              <w:ind w:left="351" w:right="0" w:hanging="240"/>
              <w:rPr>
                <w:rFonts w:hint="default" w:asciiTheme="minorEastAsia" w:hAnsiTheme="minorEastAsia" w:eastAsiaTheme="minorEastAsia"/>
                <w:color w:val="000000" w:themeColor="text1"/>
                <w:sz w:val="21"/>
                <w:szCs w:val="21"/>
                <w:highlight w:val="none"/>
                <w14:textFill>
                  <w14:solidFill>
                    <w14:schemeClr w14:val="tx1"/>
                  </w14:solidFill>
                </w14:textFill>
              </w:rPr>
            </w:pPr>
            <w:r>
              <w:rPr>
                <w:rFonts w:hint="default" w:asciiTheme="minorEastAsia" w:hAnsiTheme="minorEastAsia" w:eastAsiaTheme="minorEastAsia"/>
                <w:color w:val="000000" w:themeColor="text1"/>
                <w:sz w:val="21"/>
                <w:szCs w:val="21"/>
                <w:highlight w:val="none"/>
                <w14:textFill>
                  <w14:solidFill>
                    <w14:schemeClr w14:val="tx1"/>
                  </w14:solidFill>
                </w14:textFill>
              </w:rPr>
              <w:t>时间要求</w:t>
            </w:r>
            <w:r>
              <w:rPr>
                <w:rFonts w:hint="default" w:asciiTheme="minorEastAsia" w:hAnsiTheme="minorEastAsia" w:eastAsiaTheme="minorEastAsia"/>
                <w:color w:val="000000" w:themeColor="text1"/>
                <w:spacing w:val="-10"/>
                <w:sz w:val="21"/>
                <w:szCs w:val="21"/>
                <w:highlight w:val="none"/>
                <w14:textFill>
                  <w14:solidFill>
                    <w14:schemeClr w14:val="tx1"/>
                  </w14:solidFill>
                </w14:textFill>
              </w:rPr>
              <w:t>：</w:t>
            </w:r>
            <w:r>
              <w:rPr>
                <w:rFonts w:hint="eastAsia" w:asciiTheme="minorEastAsia" w:hAnsiTheme="minorEastAsia" w:eastAsiaTheme="minorEastAsia"/>
                <w:color w:val="000000" w:themeColor="text1"/>
                <w:spacing w:val="-10"/>
                <w:sz w:val="21"/>
                <w:szCs w:val="21"/>
                <w:highlight w:val="none"/>
                <w14:textFill>
                  <w14:solidFill>
                    <w14:schemeClr w14:val="tx1"/>
                  </w14:solidFill>
                </w14:textFill>
              </w:rPr>
              <w:t>根据《中华人民共和国财政部令第94号文件》接受投标人疑问或澄清要求（逾期不予受理）</w:t>
            </w:r>
            <w:r>
              <w:rPr>
                <w:rFonts w:hint="default" w:asciiTheme="minorEastAsia" w:hAnsiTheme="minorEastAsia" w:eastAsiaTheme="minorEastAsia"/>
                <w:color w:val="000000" w:themeColor="text1"/>
                <w:spacing w:val="-10"/>
                <w:sz w:val="21"/>
                <w:szCs w:val="2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0" w:hRule="atLeast"/>
        </w:trPr>
        <w:tc>
          <w:tcPr>
            <w:tcW w:w="947" w:type="dxa"/>
            <w:tcBorders>
              <w:top w:val="single" w:color="000000" w:sz="2" w:space="0"/>
              <w:left w:val="single" w:color="000000" w:sz="2" w:space="0"/>
              <w:bottom w:val="single" w:color="000000" w:sz="2" w:space="0"/>
              <w:right w:val="single" w:color="000000" w:sz="2" w:space="0"/>
            </w:tcBorders>
          </w:tcPr>
          <w:p>
            <w:pPr>
              <w:pStyle w:val="20"/>
              <w:keepNext w:val="0"/>
              <w:keepLines w:val="0"/>
              <w:suppressLineNumbers w:val="0"/>
              <w:shd w:val="clear"/>
              <w:spacing w:before="0" w:beforeAutospacing="0" w:after="0" w:afterAutospacing="0" w:line="300" w:lineRule="exact"/>
              <w:ind w:left="7" w:right="0"/>
              <w:rPr>
                <w:rFonts w:hint="default" w:asciiTheme="minorEastAsia" w:hAnsiTheme="minorEastAsia" w:eastAsiaTheme="minorEastAsia"/>
                <w:color w:val="000000" w:themeColor="text1"/>
                <w:spacing w:val="-4"/>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pacing w:val="-4"/>
                <w:sz w:val="21"/>
                <w:szCs w:val="21"/>
                <w:highlight w:val="none"/>
                <w:lang w:val="en-US" w:eastAsia="zh-CN"/>
                <w14:textFill>
                  <w14:solidFill>
                    <w14:schemeClr w14:val="tx1"/>
                  </w14:solidFill>
                </w14:textFill>
              </w:rPr>
              <w:t>14.1</w:t>
            </w:r>
          </w:p>
        </w:tc>
        <w:tc>
          <w:tcPr>
            <w:tcW w:w="1696" w:type="dxa"/>
            <w:tcBorders>
              <w:top w:val="single" w:color="000000" w:sz="2" w:space="0"/>
              <w:left w:val="single" w:color="000000" w:sz="2" w:space="0"/>
              <w:bottom w:val="single" w:color="000000" w:sz="2" w:space="0"/>
              <w:right w:val="single" w:color="000000" w:sz="2" w:space="0"/>
            </w:tcBorders>
          </w:tcPr>
          <w:p>
            <w:pPr>
              <w:pStyle w:val="20"/>
              <w:keepNext w:val="0"/>
              <w:keepLines w:val="0"/>
              <w:suppressLineNumbers w:val="0"/>
              <w:shd w:val="clear"/>
              <w:spacing w:before="0" w:beforeAutospacing="0" w:after="0" w:afterAutospacing="0" w:line="300" w:lineRule="exact"/>
              <w:ind w:left="109" w:right="0"/>
              <w:rPr>
                <w:rFonts w:hint="eastAsia" w:asciiTheme="minorEastAsia" w:hAnsiTheme="minorEastAsia" w:eastAsiaTheme="minorEastAsia"/>
                <w:color w:val="000000" w:themeColor="text1"/>
                <w:spacing w:val="-5"/>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pacing w:val="-5"/>
                <w:sz w:val="21"/>
                <w:szCs w:val="21"/>
                <w:highlight w:val="none"/>
                <w:lang w:eastAsia="zh-CN"/>
                <w14:textFill>
                  <w14:solidFill>
                    <w14:schemeClr w14:val="tx1"/>
                  </w14:solidFill>
                </w14:textFill>
              </w:rPr>
              <w:t>报价方式</w:t>
            </w:r>
          </w:p>
        </w:tc>
        <w:tc>
          <w:tcPr>
            <w:tcW w:w="6876" w:type="dxa"/>
            <w:tcBorders>
              <w:top w:val="single" w:color="000000" w:sz="2" w:space="0"/>
              <w:left w:val="single" w:color="000000" w:sz="2" w:space="0"/>
              <w:bottom w:val="single" w:color="000000" w:sz="2" w:space="0"/>
              <w:right w:val="single" w:color="000000" w:sz="2" w:space="0"/>
            </w:tcBorders>
          </w:tcPr>
          <w:p>
            <w:pPr>
              <w:pStyle w:val="20"/>
              <w:keepNext w:val="0"/>
              <w:keepLines w:val="0"/>
              <w:numPr>
                <w:ilvl w:val="0"/>
                <w:numId w:val="0"/>
              </w:numPr>
              <w:suppressLineNumbers w:val="0"/>
              <w:shd w:val="clear"/>
              <w:tabs>
                <w:tab w:val="left" w:pos="351"/>
                <w:tab w:val="left" w:pos="2871"/>
              </w:tabs>
              <w:spacing w:before="0" w:beforeAutospacing="0" w:after="0" w:afterAutospacing="0" w:line="300" w:lineRule="exact"/>
              <w:ind w:left="111" w:leftChars="0" w:right="0"/>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1、报价方式；自主报价。</w:t>
            </w:r>
          </w:p>
          <w:p>
            <w:pPr>
              <w:pStyle w:val="20"/>
              <w:keepNext w:val="0"/>
              <w:keepLines w:val="0"/>
              <w:numPr>
                <w:ilvl w:val="0"/>
                <w:numId w:val="0"/>
              </w:numPr>
              <w:suppressLineNumbers w:val="0"/>
              <w:shd w:val="clear"/>
              <w:tabs>
                <w:tab w:val="left" w:pos="351"/>
                <w:tab w:val="left" w:pos="2871"/>
              </w:tabs>
              <w:spacing w:before="0" w:beforeAutospacing="0" w:after="0" w:afterAutospacing="0" w:line="300" w:lineRule="exact"/>
              <w:ind w:left="111" w:leftChars="0" w:right="0"/>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2、报价要求：餐饮服务费支付比例；</w:t>
            </w:r>
          </w:p>
          <w:p>
            <w:pPr>
              <w:pStyle w:val="20"/>
              <w:keepNext w:val="0"/>
              <w:keepLines w:val="0"/>
              <w:numPr>
                <w:ilvl w:val="0"/>
                <w:numId w:val="0"/>
              </w:numPr>
              <w:suppressLineNumbers w:val="0"/>
              <w:shd w:val="clear"/>
              <w:tabs>
                <w:tab w:val="left" w:pos="351"/>
                <w:tab w:val="left" w:pos="2871"/>
              </w:tabs>
              <w:spacing w:before="0" w:beforeAutospacing="0" w:after="0" w:afterAutospacing="0" w:line="300" w:lineRule="exact"/>
              <w:ind w:left="111" w:leftChars="0" w:right="0"/>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3、餐饮服务费支付：</w:t>
            </w:r>
          </w:p>
          <w:p>
            <w:pPr>
              <w:pStyle w:val="20"/>
              <w:keepNext w:val="0"/>
              <w:keepLines w:val="0"/>
              <w:numPr>
                <w:ilvl w:val="0"/>
                <w:numId w:val="0"/>
              </w:numPr>
              <w:suppressLineNumbers w:val="0"/>
              <w:shd w:val="clear"/>
              <w:tabs>
                <w:tab w:val="left" w:pos="351"/>
                <w:tab w:val="left" w:pos="2871"/>
              </w:tabs>
              <w:spacing w:before="0" w:beforeAutospacing="0" w:after="0" w:afterAutospacing="0" w:line="300" w:lineRule="exact"/>
              <w:ind w:left="111" w:leftChars="0" w:right="0"/>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第一标段：餐饮服务支付比例</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不得高于占每期收入的57%</w:t>
            </w:r>
            <w:r>
              <w:rPr>
                <w:rFonts w:hint="eastAsia" w:asciiTheme="minorEastAsia" w:hAnsiTheme="minorEastAsia" w:eastAsiaTheme="minorEastAsia"/>
                <w:color w:val="000000" w:themeColor="text1"/>
                <w:sz w:val="21"/>
                <w:szCs w:val="21"/>
                <w:highlight w:val="none"/>
                <w14:textFill>
                  <w14:solidFill>
                    <w14:schemeClr w14:val="tx1"/>
                  </w14:solidFill>
                </w14:textFill>
              </w:rPr>
              <w:t>（根据实际报价执行）；</w:t>
            </w:r>
          </w:p>
          <w:p>
            <w:pPr>
              <w:pStyle w:val="20"/>
              <w:keepNext w:val="0"/>
              <w:keepLines w:val="0"/>
              <w:numPr>
                <w:ilvl w:val="0"/>
                <w:numId w:val="0"/>
              </w:numPr>
              <w:suppressLineNumbers w:val="0"/>
              <w:shd w:val="clear"/>
              <w:tabs>
                <w:tab w:val="left" w:pos="351"/>
                <w:tab w:val="left" w:pos="2871"/>
              </w:tabs>
              <w:spacing w:before="0" w:beforeAutospacing="0" w:after="0" w:afterAutospacing="0" w:line="300" w:lineRule="exact"/>
              <w:ind w:left="111" w:leftChars="0" w:right="0"/>
              <w:rPr>
                <w:rFonts w:hint="default"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第二标段：餐饮服务支付比例占</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不得高于占每期收入的65%</w:t>
            </w:r>
            <w:r>
              <w:rPr>
                <w:rFonts w:hint="eastAsia" w:asciiTheme="minorEastAsia" w:hAnsiTheme="minorEastAsia" w:eastAsiaTheme="minorEastAsia"/>
                <w:color w:val="000000" w:themeColor="text1"/>
                <w:sz w:val="21"/>
                <w:szCs w:val="21"/>
                <w:highlight w:val="none"/>
                <w14:textFill>
                  <w14:solidFill>
                    <w14:schemeClr w14:val="tx1"/>
                  </w14:solidFill>
                </w14:textFill>
              </w:rPr>
              <w:t>（根据实际报价执行）。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947" w:type="dxa"/>
            <w:tcBorders>
              <w:top w:val="single" w:color="000000" w:sz="2" w:space="0"/>
              <w:left w:val="single" w:color="000000" w:sz="2" w:space="0"/>
              <w:bottom w:val="single" w:color="000000" w:sz="2" w:space="0"/>
              <w:right w:val="single" w:color="000000" w:sz="2" w:space="0"/>
            </w:tcBorders>
          </w:tcPr>
          <w:p>
            <w:pPr>
              <w:pStyle w:val="20"/>
              <w:keepNext w:val="0"/>
              <w:keepLines w:val="0"/>
              <w:suppressLineNumbers w:val="0"/>
              <w:shd w:val="clear"/>
              <w:spacing w:before="0" w:beforeAutospacing="0" w:after="0" w:afterAutospacing="0" w:line="300" w:lineRule="exact"/>
              <w:ind w:left="7" w:right="0"/>
              <w:rPr>
                <w:rFonts w:hint="default" w:asciiTheme="minorEastAsia" w:hAnsiTheme="minorEastAsia" w:eastAsiaTheme="minorEastAsia"/>
                <w:color w:val="000000" w:themeColor="text1"/>
                <w:sz w:val="21"/>
                <w:szCs w:val="21"/>
                <w:highlight w:val="none"/>
                <w14:textFill>
                  <w14:solidFill>
                    <w14:schemeClr w14:val="tx1"/>
                  </w14:solidFill>
                </w14:textFill>
              </w:rPr>
            </w:pPr>
            <w:r>
              <w:rPr>
                <w:rFonts w:hint="default" w:asciiTheme="minorEastAsia" w:hAnsiTheme="minorEastAsia" w:eastAsiaTheme="minorEastAsia"/>
                <w:color w:val="000000" w:themeColor="text1"/>
                <w:spacing w:val="-4"/>
                <w:sz w:val="21"/>
                <w:szCs w:val="21"/>
                <w:highlight w:val="none"/>
                <w14:textFill>
                  <w14:solidFill>
                    <w14:schemeClr w14:val="tx1"/>
                  </w14:solidFill>
                </w14:textFill>
              </w:rPr>
              <w:t>15.1</w:t>
            </w:r>
          </w:p>
        </w:tc>
        <w:tc>
          <w:tcPr>
            <w:tcW w:w="1696" w:type="dxa"/>
            <w:tcBorders>
              <w:top w:val="single" w:color="000000" w:sz="2" w:space="0"/>
              <w:left w:val="single" w:color="000000" w:sz="2" w:space="0"/>
              <w:bottom w:val="single" w:color="000000" w:sz="2" w:space="0"/>
              <w:right w:val="single" w:color="000000" w:sz="2" w:space="0"/>
            </w:tcBorders>
          </w:tcPr>
          <w:p>
            <w:pPr>
              <w:pStyle w:val="20"/>
              <w:keepNext w:val="0"/>
              <w:keepLines w:val="0"/>
              <w:suppressLineNumbers w:val="0"/>
              <w:shd w:val="clear"/>
              <w:spacing w:before="0" w:beforeAutospacing="0" w:after="0" w:afterAutospacing="0" w:line="300" w:lineRule="exact"/>
              <w:ind w:left="109" w:right="0"/>
              <w:rPr>
                <w:rFonts w:hint="default" w:asciiTheme="minorEastAsia" w:hAnsiTheme="minorEastAsia" w:eastAsiaTheme="minorEastAsia"/>
                <w:color w:val="000000" w:themeColor="text1"/>
                <w:sz w:val="21"/>
                <w:szCs w:val="21"/>
                <w:highlight w:val="none"/>
                <w14:textFill>
                  <w14:solidFill>
                    <w14:schemeClr w14:val="tx1"/>
                  </w14:solidFill>
                </w14:textFill>
              </w:rPr>
            </w:pPr>
            <w:r>
              <w:rPr>
                <w:rFonts w:hint="default" w:asciiTheme="minorEastAsia" w:hAnsiTheme="minorEastAsia" w:eastAsiaTheme="minorEastAsia"/>
                <w:color w:val="000000" w:themeColor="text1"/>
                <w:spacing w:val="-2"/>
                <w:sz w:val="21"/>
                <w:szCs w:val="21"/>
                <w:highlight w:val="none"/>
                <w14:textFill>
                  <w14:solidFill>
                    <w14:schemeClr w14:val="tx1"/>
                  </w14:solidFill>
                </w14:textFill>
              </w:rPr>
              <w:t>投标有效期</w:t>
            </w:r>
          </w:p>
        </w:tc>
        <w:tc>
          <w:tcPr>
            <w:tcW w:w="6876" w:type="dxa"/>
            <w:tcBorders>
              <w:top w:val="single" w:color="000000" w:sz="2" w:space="0"/>
              <w:left w:val="single" w:color="000000" w:sz="2" w:space="0"/>
              <w:bottom w:val="single" w:color="000000" w:sz="2" w:space="0"/>
              <w:right w:val="single" w:color="000000" w:sz="2" w:space="0"/>
            </w:tcBorders>
          </w:tcPr>
          <w:p>
            <w:pPr>
              <w:pStyle w:val="20"/>
              <w:keepNext w:val="0"/>
              <w:keepLines w:val="0"/>
              <w:suppressLineNumbers w:val="0"/>
              <w:shd w:val="clear"/>
              <w:spacing w:before="0" w:beforeAutospacing="0" w:after="0" w:afterAutospacing="0" w:line="300" w:lineRule="exact"/>
              <w:ind w:left="111" w:right="0"/>
              <w:rPr>
                <w:rFonts w:hint="default" w:asciiTheme="minorEastAsia" w:hAnsiTheme="minorEastAsia" w:eastAsiaTheme="minorEastAsia"/>
                <w:color w:val="000000" w:themeColor="text1"/>
                <w:sz w:val="21"/>
                <w:szCs w:val="21"/>
                <w:highlight w:val="none"/>
                <w14:textFill>
                  <w14:solidFill>
                    <w14:schemeClr w14:val="tx1"/>
                  </w14:solidFill>
                </w14:textFill>
              </w:rPr>
            </w:pPr>
            <w:r>
              <w:rPr>
                <w:rFonts w:hint="default" w:asciiTheme="minorEastAsia" w:hAnsiTheme="minorEastAsia" w:eastAsiaTheme="minorEastAsia"/>
                <w:color w:val="000000" w:themeColor="text1"/>
                <w:spacing w:val="-8"/>
                <w:sz w:val="21"/>
                <w:szCs w:val="21"/>
                <w:highlight w:val="none"/>
                <w14:textFill>
                  <w14:solidFill>
                    <w14:schemeClr w14:val="tx1"/>
                  </w14:solidFill>
                </w14:textFill>
              </w:rPr>
              <w:t xml:space="preserve">投标截止时间后 </w:t>
            </w:r>
            <w:r>
              <w:rPr>
                <w:rFonts w:hint="default" w:asciiTheme="minorEastAsia" w:hAnsiTheme="minorEastAsia" w:eastAsiaTheme="minorEastAsia"/>
                <w:color w:val="000000" w:themeColor="text1"/>
                <w:sz w:val="21"/>
                <w:szCs w:val="21"/>
                <w:highlight w:val="none"/>
                <w:u w:val="single"/>
                <w14:textFill>
                  <w14:solidFill>
                    <w14:schemeClr w14:val="tx1"/>
                  </w14:solidFill>
                </w14:textFill>
              </w:rPr>
              <w:t>90</w:t>
            </w:r>
            <w:r>
              <w:rPr>
                <w:rFonts w:hint="default" w:asciiTheme="minorEastAsia" w:hAnsiTheme="minorEastAsia" w:eastAsiaTheme="minorEastAsia"/>
                <w:color w:val="000000" w:themeColor="text1"/>
                <w:spacing w:val="-14"/>
                <w:sz w:val="21"/>
                <w:szCs w:val="21"/>
                <w:highlight w:val="none"/>
                <w14:textFill>
                  <w14:solidFill>
                    <w14:schemeClr w14:val="tx1"/>
                  </w14:solidFill>
                </w14:textFill>
              </w:rPr>
              <w:t xml:space="preserve"> 日历日。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47" w:type="dxa"/>
            <w:tcBorders>
              <w:top w:val="single" w:color="000000" w:sz="2" w:space="0"/>
              <w:left w:val="single" w:color="000000" w:sz="2" w:space="0"/>
              <w:bottom w:val="single" w:color="000000" w:sz="2" w:space="0"/>
              <w:right w:val="single" w:color="000000" w:sz="2" w:space="0"/>
            </w:tcBorders>
          </w:tcPr>
          <w:p>
            <w:pPr>
              <w:pStyle w:val="20"/>
              <w:keepNext w:val="0"/>
              <w:keepLines w:val="0"/>
              <w:suppressLineNumbers w:val="0"/>
              <w:shd w:val="clear"/>
              <w:spacing w:before="0" w:beforeAutospacing="0" w:after="0" w:afterAutospacing="0" w:line="300" w:lineRule="exact"/>
              <w:ind w:left="0" w:right="0"/>
              <w:rPr>
                <w:rFonts w:hint="default" w:asciiTheme="minorEastAsia" w:hAnsiTheme="minorEastAsia" w:eastAsiaTheme="minorEastAsia"/>
                <w:color w:val="000000" w:themeColor="text1"/>
                <w:sz w:val="21"/>
                <w:szCs w:val="21"/>
                <w:highlight w:val="none"/>
                <w14:textFill>
                  <w14:solidFill>
                    <w14:schemeClr w14:val="tx1"/>
                  </w14:solidFill>
                </w14:textFill>
              </w:rPr>
            </w:pPr>
          </w:p>
          <w:p>
            <w:pPr>
              <w:pStyle w:val="20"/>
              <w:keepNext w:val="0"/>
              <w:keepLines w:val="0"/>
              <w:suppressLineNumbers w:val="0"/>
              <w:shd w:val="clear"/>
              <w:spacing w:before="0" w:beforeAutospacing="0" w:after="0" w:afterAutospacing="0" w:line="300" w:lineRule="exact"/>
              <w:ind w:left="0" w:right="0"/>
              <w:rPr>
                <w:rFonts w:hint="default" w:asciiTheme="minorEastAsia" w:hAnsiTheme="minorEastAsia" w:eastAsiaTheme="minorEastAsia"/>
                <w:color w:val="000000" w:themeColor="text1"/>
                <w:sz w:val="21"/>
                <w:szCs w:val="21"/>
                <w:highlight w:val="none"/>
                <w14:textFill>
                  <w14:solidFill>
                    <w14:schemeClr w14:val="tx1"/>
                  </w14:solidFill>
                </w14:textFill>
              </w:rPr>
            </w:pPr>
          </w:p>
          <w:p>
            <w:pPr>
              <w:pStyle w:val="20"/>
              <w:keepNext w:val="0"/>
              <w:keepLines w:val="0"/>
              <w:suppressLineNumbers w:val="0"/>
              <w:shd w:val="clear"/>
              <w:spacing w:before="0" w:beforeAutospacing="0" w:after="0" w:afterAutospacing="0" w:line="300" w:lineRule="exact"/>
              <w:ind w:left="0" w:right="0"/>
              <w:rPr>
                <w:rFonts w:hint="default" w:asciiTheme="minorEastAsia" w:hAnsiTheme="minorEastAsia" w:eastAsiaTheme="minorEastAsia"/>
                <w:color w:val="000000" w:themeColor="text1"/>
                <w:sz w:val="21"/>
                <w:szCs w:val="21"/>
                <w:highlight w:val="none"/>
                <w14:textFill>
                  <w14:solidFill>
                    <w14:schemeClr w14:val="tx1"/>
                  </w14:solidFill>
                </w14:textFill>
              </w:rPr>
            </w:pPr>
          </w:p>
          <w:p>
            <w:pPr>
              <w:pStyle w:val="20"/>
              <w:keepNext w:val="0"/>
              <w:keepLines w:val="0"/>
              <w:suppressLineNumbers w:val="0"/>
              <w:shd w:val="clear"/>
              <w:spacing w:before="0" w:beforeAutospacing="0" w:after="0" w:afterAutospacing="0" w:line="300" w:lineRule="exact"/>
              <w:ind w:left="0" w:right="0"/>
              <w:rPr>
                <w:rFonts w:hint="default" w:asciiTheme="minorEastAsia" w:hAnsiTheme="minorEastAsia" w:eastAsiaTheme="minorEastAsia"/>
                <w:color w:val="000000" w:themeColor="text1"/>
                <w:sz w:val="21"/>
                <w:szCs w:val="21"/>
                <w:highlight w:val="none"/>
                <w14:textFill>
                  <w14:solidFill>
                    <w14:schemeClr w14:val="tx1"/>
                  </w14:solidFill>
                </w14:textFill>
              </w:rPr>
            </w:pPr>
          </w:p>
          <w:p>
            <w:pPr>
              <w:pStyle w:val="20"/>
              <w:keepNext w:val="0"/>
              <w:keepLines w:val="0"/>
              <w:suppressLineNumbers w:val="0"/>
              <w:shd w:val="clear"/>
              <w:spacing w:before="0" w:beforeAutospacing="0" w:after="0" w:afterAutospacing="0" w:line="300" w:lineRule="exact"/>
              <w:ind w:left="0" w:right="0"/>
              <w:rPr>
                <w:rFonts w:hint="default" w:asciiTheme="minorEastAsia" w:hAnsiTheme="minorEastAsia" w:eastAsiaTheme="minorEastAsia"/>
                <w:color w:val="000000" w:themeColor="text1"/>
                <w:sz w:val="21"/>
                <w:szCs w:val="21"/>
                <w:highlight w:val="none"/>
                <w14:textFill>
                  <w14:solidFill>
                    <w14:schemeClr w14:val="tx1"/>
                  </w14:solidFill>
                </w14:textFill>
              </w:rPr>
            </w:pPr>
          </w:p>
          <w:p>
            <w:pPr>
              <w:pStyle w:val="20"/>
              <w:keepNext w:val="0"/>
              <w:keepLines w:val="0"/>
              <w:suppressLineNumbers w:val="0"/>
              <w:shd w:val="clear"/>
              <w:spacing w:before="0" w:beforeAutospacing="0" w:after="0" w:afterAutospacing="0" w:line="300" w:lineRule="exact"/>
              <w:ind w:left="0" w:right="0"/>
              <w:rPr>
                <w:rFonts w:hint="default" w:asciiTheme="minorEastAsia" w:hAnsiTheme="minorEastAsia" w:eastAsiaTheme="minorEastAsia"/>
                <w:color w:val="000000" w:themeColor="text1"/>
                <w:sz w:val="21"/>
                <w:szCs w:val="21"/>
                <w:highlight w:val="none"/>
                <w14:textFill>
                  <w14:solidFill>
                    <w14:schemeClr w14:val="tx1"/>
                  </w14:solidFill>
                </w14:textFill>
              </w:rPr>
            </w:pPr>
          </w:p>
          <w:p>
            <w:pPr>
              <w:pStyle w:val="20"/>
              <w:keepNext w:val="0"/>
              <w:keepLines w:val="0"/>
              <w:suppressLineNumbers w:val="0"/>
              <w:shd w:val="clear"/>
              <w:spacing w:before="0" w:beforeAutospacing="0" w:after="0" w:afterAutospacing="0" w:line="300" w:lineRule="exact"/>
              <w:ind w:left="7" w:right="0"/>
              <w:rPr>
                <w:rFonts w:hint="default" w:asciiTheme="minorEastAsia" w:hAnsiTheme="minorEastAsia" w:eastAsiaTheme="minorEastAsia"/>
                <w:color w:val="000000" w:themeColor="text1"/>
                <w:sz w:val="21"/>
                <w:szCs w:val="21"/>
                <w:highlight w:val="none"/>
                <w14:textFill>
                  <w14:solidFill>
                    <w14:schemeClr w14:val="tx1"/>
                  </w14:solidFill>
                </w14:textFill>
              </w:rPr>
            </w:pPr>
            <w:r>
              <w:rPr>
                <w:rFonts w:hint="default" w:asciiTheme="minorEastAsia" w:hAnsiTheme="minorEastAsia" w:eastAsiaTheme="minorEastAsia"/>
                <w:color w:val="000000" w:themeColor="text1"/>
                <w:spacing w:val="-4"/>
                <w:sz w:val="21"/>
                <w:szCs w:val="21"/>
                <w:highlight w:val="none"/>
                <w14:textFill>
                  <w14:solidFill>
                    <w14:schemeClr w14:val="tx1"/>
                  </w14:solidFill>
                </w14:textFill>
              </w:rPr>
              <w:t>17.1</w:t>
            </w:r>
          </w:p>
        </w:tc>
        <w:tc>
          <w:tcPr>
            <w:tcW w:w="1696" w:type="dxa"/>
            <w:tcBorders>
              <w:top w:val="single" w:color="000000" w:sz="2" w:space="0"/>
              <w:left w:val="single" w:color="000000" w:sz="2" w:space="0"/>
              <w:bottom w:val="single" w:color="000000" w:sz="2" w:space="0"/>
              <w:right w:val="single" w:color="000000" w:sz="2" w:space="0"/>
            </w:tcBorders>
          </w:tcPr>
          <w:p>
            <w:pPr>
              <w:pStyle w:val="20"/>
              <w:keepNext w:val="0"/>
              <w:keepLines w:val="0"/>
              <w:suppressLineNumbers w:val="0"/>
              <w:shd w:val="clear"/>
              <w:spacing w:before="0" w:beforeAutospacing="0" w:after="0" w:afterAutospacing="0" w:line="300" w:lineRule="exact"/>
              <w:ind w:left="0" w:right="0"/>
              <w:rPr>
                <w:rFonts w:hint="default" w:asciiTheme="minorEastAsia" w:hAnsiTheme="minorEastAsia" w:eastAsiaTheme="minorEastAsia"/>
                <w:color w:val="000000" w:themeColor="text1"/>
                <w:sz w:val="21"/>
                <w:szCs w:val="21"/>
                <w:highlight w:val="none"/>
                <w14:textFill>
                  <w14:solidFill>
                    <w14:schemeClr w14:val="tx1"/>
                  </w14:solidFill>
                </w14:textFill>
              </w:rPr>
            </w:pPr>
          </w:p>
          <w:p>
            <w:pPr>
              <w:pStyle w:val="20"/>
              <w:keepNext w:val="0"/>
              <w:keepLines w:val="0"/>
              <w:suppressLineNumbers w:val="0"/>
              <w:shd w:val="clear"/>
              <w:spacing w:before="0" w:beforeAutospacing="0" w:after="0" w:afterAutospacing="0" w:line="300" w:lineRule="exact"/>
              <w:ind w:left="0" w:right="0"/>
              <w:rPr>
                <w:rFonts w:hint="default" w:asciiTheme="minorEastAsia" w:hAnsiTheme="minorEastAsia" w:eastAsiaTheme="minorEastAsia"/>
                <w:color w:val="000000" w:themeColor="text1"/>
                <w:sz w:val="21"/>
                <w:szCs w:val="21"/>
                <w:highlight w:val="none"/>
                <w14:textFill>
                  <w14:solidFill>
                    <w14:schemeClr w14:val="tx1"/>
                  </w14:solidFill>
                </w14:textFill>
              </w:rPr>
            </w:pPr>
          </w:p>
          <w:p>
            <w:pPr>
              <w:pStyle w:val="20"/>
              <w:keepNext w:val="0"/>
              <w:keepLines w:val="0"/>
              <w:suppressLineNumbers w:val="0"/>
              <w:shd w:val="clear"/>
              <w:spacing w:before="0" w:beforeAutospacing="0" w:after="0" w:afterAutospacing="0" w:line="300" w:lineRule="exact"/>
              <w:ind w:left="0" w:right="0"/>
              <w:rPr>
                <w:rFonts w:hint="default" w:asciiTheme="minorEastAsia" w:hAnsiTheme="minorEastAsia" w:eastAsiaTheme="minorEastAsia"/>
                <w:color w:val="000000" w:themeColor="text1"/>
                <w:sz w:val="21"/>
                <w:szCs w:val="21"/>
                <w:highlight w:val="none"/>
                <w14:textFill>
                  <w14:solidFill>
                    <w14:schemeClr w14:val="tx1"/>
                  </w14:solidFill>
                </w14:textFill>
              </w:rPr>
            </w:pPr>
          </w:p>
          <w:p>
            <w:pPr>
              <w:pStyle w:val="20"/>
              <w:keepNext w:val="0"/>
              <w:keepLines w:val="0"/>
              <w:suppressLineNumbers w:val="0"/>
              <w:shd w:val="clear"/>
              <w:spacing w:before="0" w:beforeAutospacing="0" w:after="0" w:afterAutospacing="0" w:line="300" w:lineRule="exact"/>
              <w:ind w:left="0" w:right="0"/>
              <w:rPr>
                <w:rFonts w:hint="default" w:asciiTheme="minorEastAsia" w:hAnsiTheme="minorEastAsia" w:eastAsiaTheme="minorEastAsia"/>
                <w:color w:val="000000" w:themeColor="text1"/>
                <w:sz w:val="21"/>
                <w:szCs w:val="21"/>
                <w:highlight w:val="none"/>
                <w14:textFill>
                  <w14:solidFill>
                    <w14:schemeClr w14:val="tx1"/>
                  </w14:solidFill>
                </w14:textFill>
              </w:rPr>
            </w:pPr>
          </w:p>
          <w:p>
            <w:pPr>
              <w:pStyle w:val="20"/>
              <w:keepNext w:val="0"/>
              <w:keepLines w:val="0"/>
              <w:suppressLineNumbers w:val="0"/>
              <w:shd w:val="clear"/>
              <w:spacing w:before="0" w:beforeAutospacing="0" w:after="0" w:afterAutospacing="0" w:line="300" w:lineRule="exact"/>
              <w:ind w:left="0" w:right="0"/>
              <w:rPr>
                <w:rFonts w:hint="default" w:asciiTheme="minorEastAsia" w:hAnsiTheme="minorEastAsia" w:eastAsiaTheme="minorEastAsia"/>
                <w:color w:val="000000" w:themeColor="text1"/>
                <w:sz w:val="21"/>
                <w:szCs w:val="21"/>
                <w:highlight w:val="none"/>
                <w14:textFill>
                  <w14:solidFill>
                    <w14:schemeClr w14:val="tx1"/>
                  </w14:solidFill>
                </w14:textFill>
              </w:rPr>
            </w:pPr>
          </w:p>
          <w:p>
            <w:pPr>
              <w:pStyle w:val="20"/>
              <w:keepNext w:val="0"/>
              <w:keepLines w:val="0"/>
              <w:suppressLineNumbers w:val="0"/>
              <w:shd w:val="clear"/>
              <w:spacing w:before="0" w:beforeAutospacing="0" w:after="0" w:afterAutospacing="0" w:line="300" w:lineRule="exact"/>
              <w:ind w:left="0" w:right="0"/>
              <w:rPr>
                <w:rFonts w:hint="default" w:asciiTheme="minorEastAsia" w:hAnsiTheme="minorEastAsia" w:eastAsiaTheme="minorEastAsia"/>
                <w:color w:val="000000" w:themeColor="text1"/>
                <w:sz w:val="21"/>
                <w:szCs w:val="21"/>
                <w:highlight w:val="none"/>
                <w14:textFill>
                  <w14:solidFill>
                    <w14:schemeClr w14:val="tx1"/>
                  </w14:solidFill>
                </w14:textFill>
              </w:rPr>
            </w:pPr>
          </w:p>
          <w:p>
            <w:pPr>
              <w:pStyle w:val="20"/>
              <w:keepNext w:val="0"/>
              <w:keepLines w:val="0"/>
              <w:suppressLineNumbers w:val="0"/>
              <w:shd w:val="clear"/>
              <w:spacing w:before="0" w:beforeAutospacing="0" w:after="0" w:afterAutospacing="0" w:line="300" w:lineRule="exact"/>
              <w:ind w:left="109" w:right="0"/>
              <w:rPr>
                <w:rFonts w:hint="default" w:asciiTheme="minorEastAsia" w:hAnsiTheme="minorEastAsia" w:eastAsiaTheme="minorEastAsia"/>
                <w:color w:val="000000" w:themeColor="text1"/>
                <w:sz w:val="21"/>
                <w:szCs w:val="21"/>
                <w:highlight w:val="none"/>
                <w14:textFill>
                  <w14:solidFill>
                    <w14:schemeClr w14:val="tx1"/>
                  </w14:solidFill>
                </w14:textFill>
              </w:rPr>
            </w:pPr>
            <w:r>
              <w:rPr>
                <w:rFonts w:hint="default" w:asciiTheme="minorEastAsia" w:hAnsiTheme="minorEastAsia" w:eastAsiaTheme="minorEastAsia"/>
                <w:color w:val="000000" w:themeColor="text1"/>
                <w:spacing w:val="-2"/>
                <w:sz w:val="21"/>
                <w:szCs w:val="21"/>
                <w:highlight w:val="none"/>
                <w14:textFill>
                  <w14:solidFill>
                    <w14:schemeClr w14:val="tx1"/>
                  </w14:solidFill>
                </w14:textFill>
              </w:rPr>
              <w:t>投标保证金</w:t>
            </w:r>
          </w:p>
        </w:tc>
        <w:tc>
          <w:tcPr>
            <w:tcW w:w="6876" w:type="dxa"/>
            <w:tcBorders>
              <w:top w:val="single" w:color="000000" w:sz="2" w:space="0"/>
              <w:left w:val="single" w:color="000000" w:sz="2" w:space="0"/>
              <w:bottom w:val="single" w:color="000000" w:sz="2" w:space="0"/>
              <w:right w:val="single" w:color="000000" w:sz="2" w:space="0"/>
            </w:tcBorders>
          </w:tcPr>
          <w:p>
            <w:pPr>
              <w:pStyle w:val="20"/>
              <w:keepNext w:val="0"/>
              <w:keepLines w:val="0"/>
              <w:numPr>
                <w:ilvl w:val="0"/>
                <w:numId w:val="8"/>
              </w:numPr>
              <w:suppressLineNumbers w:val="0"/>
              <w:shd w:val="clear"/>
              <w:tabs>
                <w:tab w:val="left" w:pos="351"/>
              </w:tabs>
              <w:spacing w:before="0" w:beforeAutospacing="0" w:after="0" w:afterAutospacing="0" w:line="300" w:lineRule="exact"/>
              <w:ind w:left="351" w:right="0" w:hanging="240"/>
              <w:rPr>
                <w:rFonts w:hint="default" w:asciiTheme="minorEastAsia" w:hAnsiTheme="minorEastAsia" w:eastAsiaTheme="minorEastAsia"/>
                <w:color w:val="000000" w:themeColor="text1"/>
                <w:sz w:val="21"/>
                <w:szCs w:val="21"/>
                <w:highlight w:val="none"/>
                <w14:textFill>
                  <w14:solidFill>
                    <w14:schemeClr w14:val="tx1"/>
                  </w14:solidFill>
                </w14:textFill>
              </w:rPr>
            </w:pPr>
            <w:r>
              <w:rPr>
                <w:rFonts w:hint="default" w:asciiTheme="minorEastAsia" w:hAnsiTheme="minorEastAsia" w:eastAsiaTheme="minorEastAsia"/>
                <w:color w:val="000000" w:themeColor="text1"/>
                <w:spacing w:val="-4"/>
                <w:sz w:val="21"/>
                <w:szCs w:val="21"/>
                <w:highlight w:val="none"/>
                <w14:textFill>
                  <w14:solidFill>
                    <w14:schemeClr w14:val="tx1"/>
                  </w14:solidFill>
                </w14:textFill>
              </w:rPr>
              <w:t>金额：</w:t>
            </w:r>
          </w:p>
          <w:p>
            <w:pPr>
              <w:pStyle w:val="20"/>
              <w:keepNext w:val="0"/>
              <w:keepLines w:val="0"/>
              <w:suppressLineNumbers w:val="0"/>
              <w:shd w:val="clear"/>
              <w:tabs>
                <w:tab w:val="left" w:pos="3591"/>
              </w:tabs>
              <w:spacing w:before="0" w:beforeAutospacing="0" w:after="0" w:afterAutospacing="0" w:line="300" w:lineRule="exact"/>
              <w:ind w:left="0" w:right="96" w:firstLine="420" w:firstLineChars="200"/>
              <w:rPr>
                <w:rFonts w:hint="default"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标项一小写：60000.00元 大写：陆万元整</w:t>
            </w:r>
          </w:p>
          <w:p>
            <w:pPr>
              <w:pStyle w:val="20"/>
              <w:keepNext w:val="0"/>
              <w:keepLines w:val="0"/>
              <w:suppressLineNumbers w:val="0"/>
              <w:shd w:val="clear"/>
              <w:tabs>
                <w:tab w:val="left" w:pos="3591"/>
              </w:tabs>
              <w:spacing w:before="0" w:beforeAutospacing="0" w:after="0" w:afterAutospacing="0" w:line="300" w:lineRule="exact"/>
              <w:ind w:left="0" w:right="96" w:firstLine="420" w:firstLineChars="200"/>
              <w:rPr>
                <w:rFonts w:hint="default" w:asciiTheme="minorEastAsia" w:hAnsiTheme="minorEastAsia" w:eastAsiaTheme="minorEastAsia"/>
                <w:color w:val="000000" w:themeColor="text1"/>
                <w:spacing w:val="-6"/>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标项二小写：40000.00元 大写：肆万元整</w:t>
            </w:r>
            <w:r>
              <w:rPr>
                <w:rFonts w:hint="default" w:asciiTheme="minorEastAsia" w:hAnsiTheme="minorEastAsia" w:eastAsiaTheme="minorEastAsia"/>
                <w:color w:val="000000" w:themeColor="text1"/>
                <w:spacing w:val="-6"/>
                <w:sz w:val="21"/>
                <w:szCs w:val="21"/>
                <w:highlight w:val="none"/>
                <w14:textFill>
                  <w14:solidFill>
                    <w14:schemeClr w14:val="tx1"/>
                  </w14:solidFill>
                </w14:textFill>
              </w:rPr>
              <w:t xml:space="preserve"> </w:t>
            </w:r>
          </w:p>
          <w:p>
            <w:pPr>
              <w:pStyle w:val="20"/>
              <w:keepNext w:val="0"/>
              <w:keepLines w:val="0"/>
              <w:numPr>
                <w:ilvl w:val="0"/>
                <w:numId w:val="8"/>
              </w:numPr>
              <w:suppressLineNumbers w:val="0"/>
              <w:shd w:val="clear"/>
              <w:tabs>
                <w:tab w:val="left" w:pos="0"/>
                <w:tab w:val="left" w:pos="440"/>
              </w:tabs>
              <w:spacing w:before="0" w:beforeAutospacing="0" w:after="0" w:afterAutospacing="0" w:line="300" w:lineRule="exact"/>
              <w:ind w:left="11" w:right="0" w:firstLine="100"/>
              <w:rPr>
                <w:rFonts w:hint="default" w:asciiTheme="minorEastAsia" w:hAnsiTheme="minorEastAsia" w:eastAsiaTheme="minorEastAsia"/>
                <w:color w:val="000000" w:themeColor="text1"/>
                <w:spacing w:val="-2"/>
                <w:sz w:val="21"/>
                <w:szCs w:val="21"/>
                <w:highlight w:val="none"/>
                <w14:textFill>
                  <w14:solidFill>
                    <w14:schemeClr w14:val="tx1"/>
                  </w14:solidFill>
                </w14:textFill>
              </w:rPr>
            </w:pPr>
            <w:r>
              <w:rPr>
                <w:rFonts w:hint="default" w:asciiTheme="minorEastAsia" w:hAnsiTheme="minorEastAsia" w:eastAsiaTheme="minorEastAsia"/>
                <w:color w:val="000000" w:themeColor="text1"/>
                <w:spacing w:val="-2"/>
                <w:sz w:val="21"/>
                <w:szCs w:val="21"/>
                <w:highlight w:val="none"/>
                <w14:textFill>
                  <w14:solidFill>
                    <w14:schemeClr w14:val="tx1"/>
                  </w14:solidFill>
                </w14:textFill>
              </w:rPr>
              <w:t>支付方式：投标人可自主选择以支票、汇票、本票、电汇、转账、网银、保函等非现金形式缴纳或提交保证金</w:t>
            </w:r>
            <w:r>
              <w:rPr>
                <w:rFonts w:hint="eastAsia" w:asciiTheme="minorEastAsia" w:hAnsiTheme="minorEastAsia" w:eastAsiaTheme="minorEastAsia"/>
                <w:color w:val="000000" w:themeColor="text1"/>
                <w:spacing w:val="-2"/>
                <w:sz w:val="21"/>
                <w:szCs w:val="21"/>
                <w:highlight w:val="none"/>
                <w14:textFill>
                  <w14:solidFill>
                    <w14:schemeClr w14:val="tx1"/>
                  </w14:solidFill>
                </w14:textFill>
              </w:rPr>
              <w:t>，投标人未按照招标文件要求提交投标保证金的，投标无效。</w:t>
            </w:r>
          </w:p>
          <w:p>
            <w:pPr>
              <w:pStyle w:val="20"/>
              <w:keepNext w:val="0"/>
              <w:keepLines w:val="0"/>
              <w:numPr>
                <w:ilvl w:val="0"/>
                <w:numId w:val="8"/>
              </w:numPr>
              <w:suppressLineNumbers w:val="0"/>
              <w:shd w:val="clear"/>
              <w:tabs>
                <w:tab w:val="left" w:pos="0"/>
                <w:tab w:val="left" w:pos="440"/>
              </w:tabs>
              <w:spacing w:before="0" w:beforeAutospacing="0" w:after="0" w:afterAutospacing="0" w:line="300" w:lineRule="exact"/>
              <w:ind w:left="11" w:right="0" w:firstLine="100"/>
              <w:rPr>
                <w:rFonts w:hint="default" w:asciiTheme="minorEastAsia" w:hAnsiTheme="minorEastAsia" w:eastAsiaTheme="minorEastAsia"/>
                <w:color w:val="000000" w:themeColor="text1"/>
                <w:spacing w:val="-2"/>
                <w:sz w:val="21"/>
                <w:szCs w:val="21"/>
                <w:highlight w:val="none"/>
                <w14:textFill>
                  <w14:solidFill>
                    <w14:schemeClr w14:val="tx1"/>
                  </w14:solidFill>
                </w14:textFill>
              </w:rPr>
            </w:pPr>
            <w:r>
              <w:rPr>
                <w:rFonts w:hint="eastAsia" w:asciiTheme="minorEastAsia" w:hAnsiTheme="minorEastAsia" w:eastAsiaTheme="minorEastAsia"/>
                <w:color w:val="000000" w:themeColor="text1"/>
                <w:spacing w:val="-2"/>
                <w:sz w:val="21"/>
                <w:szCs w:val="21"/>
                <w:highlight w:val="none"/>
                <w14:textFill>
                  <w14:solidFill>
                    <w14:schemeClr w14:val="tx1"/>
                  </w14:solidFill>
                </w14:textFill>
              </w:rPr>
              <w:t>银行信息：</w:t>
            </w:r>
          </w:p>
          <w:p>
            <w:pPr>
              <w:pStyle w:val="20"/>
              <w:keepNext w:val="0"/>
              <w:keepLines w:val="0"/>
              <w:suppressLineNumbers w:val="0"/>
              <w:shd w:val="clear"/>
              <w:tabs>
                <w:tab w:val="left" w:pos="440"/>
              </w:tabs>
              <w:spacing w:before="0" w:beforeAutospacing="0" w:after="0" w:afterAutospacing="0" w:line="300" w:lineRule="exact"/>
              <w:ind w:left="438" w:leftChars="199" w:right="0"/>
              <w:rPr>
                <w:rFonts w:hint="default" w:asciiTheme="minorEastAsia" w:hAnsiTheme="minorEastAsia" w:eastAsiaTheme="minorEastAsia"/>
                <w:color w:val="000000" w:themeColor="text1"/>
                <w:spacing w:val="-2"/>
                <w:sz w:val="21"/>
                <w:szCs w:val="21"/>
                <w:highlight w:val="none"/>
                <w14:textFill>
                  <w14:solidFill>
                    <w14:schemeClr w14:val="tx1"/>
                  </w14:solidFill>
                </w14:textFill>
              </w:rPr>
            </w:pPr>
            <w:r>
              <w:rPr>
                <w:rFonts w:hint="eastAsia" w:asciiTheme="minorEastAsia" w:hAnsiTheme="minorEastAsia" w:eastAsiaTheme="minorEastAsia"/>
                <w:color w:val="000000" w:themeColor="text1"/>
                <w:spacing w:val="-2"/>
                <w:sz w:val="21"/>
                <w:szCs w:val="21"/>
                <w:highlight w:val="none"/>
                <w14:textFill>
                  <w14:solidFill>
                    <w14:schemeClr w14:val="tx1"/>
                  </w14:solidFill>
                </w14:textFill>
              </w:rPr>
              <w:t>账户名称：新疆宏力源工程项目管理有限公司</w:t>
            </w:r>
          </w:p>
          <w:p>
            <w:pPr>
              <w:pStyle w:val="20"/>
              <w:keepNext w:val="0"/>
              <w:keepLines w:val="0"/>
              <w:suppressLineNumbers w:val="0"/>
              <w:shd w:val="clear"/>
              <w:tabs>
                <w:tab w:val="left" w:pos="440"/>
              </w:tabs>
              <w:spacing w:before="0" w:beforeAutospacing="0" w:after="0" w:afterAutospacing="0" w:line="300" w:lineRule="exact"/>
              <w:ind w:left="438" w:leftChars="199" w:right="0"/>
              <w:rPr>
                <w:rFonts w:hint="default" w:asciiTheme="minorEastAsia" w:hAnsiTheme="minorEastAsia" w:eastAsiaTheme="minorEastAsia"/>
                <w:color w:val="000000" w:themeColor="text1"/>
                <w:spacing w:val="-2"/>
                <w:sz w:val="21"/>
                <w:szCs w:val="21"/>
                <w:highlight w:val="none"/>
                <w14:textFill>
                  <w14:solidFill>
                    <w14:schemeClr w14:val="tx1"/>
                  </w14:solidFill>
                </w14:textFill>
              </w:rPr>
            </w:pPr>
            <w:r>
              <w:rPr>
                <w:rFonts w:hint="eastAsia" w:asciiTheme="minorEastAsia" w:hAnsiTheme="minorEastAsia" w:eastAsiaTheme="minorEastAsia"/>
                <w:color w:val="000000" w:themeColor="text1"/>
                <w:spacing w:val="-2"/>
                <w:sz w:val="21"/>
                <w:szCs w:val="21"/>
                <w:highlight w:val="none"/>
                <w14:textFill>
                  <w14:solidFill>
                    <w14:schemeClr w14:val="tx1"/>
                  </w14:solidFill>
                </w14:textFill>
              </w:rPr>
              <w:t>开户行：农行乌鲁木齐经济技术开发区支行</w:t>
            </w:r>
          </w:p>
          <w:p>
            <w:pPr>
              <w:pStyle w:val="20"/>
              <w:keepNext w:val="0"/>
              <w:keepLines w:val="0"/>
              <w:suppressLineNumbers w:val="0"/>
              <w:shd w:val="clear"/>
              <w:tabs>
                <w:tab w:val="left" w:pos="440"/>
              </w:tabs>
              <w:spacing w:before="0" w:beforeAutospacing="0" w:after="0" w:afterAutospacing="0" w:line="300" w:lineRule="exact"/>
              <w:ind w:left="438" w:leftChars="199" w:right="0"/>
              <w:rPr>
                <w:rFonts w:hint="default" w:asciiTheme="minorEastAsia" w:hAnsiTheme="minorEastAsia" w:eastAsiaTheme="minorEastAsia"/>
                <w:color w:val="000000" w:themeColor="text1"/>
                <w:spacing w:val="-2"/>
                <w:sz w:val="21"/>
                <w:szCs w:val="21"/>
                <w:highlight w:val="none"/>
                <w14:textFill>
                  <w14:solidFill>
                    <w14:schemeClr w14:val="tx1"/>
                  </w14:solidFill>
                </w14:textFill>
              </w:rPr>
            </w:pPr>
            <w:r>
              <w:rPr>
                <w:rFonts w:hint="eastAsia" w:asciiTheme="minorEastAsia" w:hAnsiTheme="minorEastAsia" w:eastAsiaTheme="minorEastAsia"/>
                <w:color w:val="000000" w:themeColor="text1"/>
                <w:spacing w:val="-2"/>
                <w:sz w:val="21"/>
                <w:szCs w:val="21"/>
                <w:highlight w:val="none"/>
                <w14:textFill>
                  <w14:solidFill>
                    <w14:schemeClr w14:val="tx1"/>
                  </w14:solidFill>
                </w14:textFill>
              </w:rPr>
              <w:t>开户行行号：103881001085</w:t>
            </w:r>
          </w:p>
          <w:p>
            <w:pPr>
              <w:pStyle w:val="20"/>
              <w:keepNext w:val="0"/>
              <w:keepLines w:val="0"/>
              <w:suppressLineNumbers w:val="0"/>
              <w:shd w:val="clear"/>
              <w:tabs>
                <w:tab w:val="left" w:pos="351"/>
              </w:tabs>
              <w:spacing w:before="0" w:beforeAutospacing="0" w:after="0" w:afterAutospacing="0" w:line="300" w:lineRule="exact"/>
              <w:ind w:left="111" w:right="0"/>
              <w:rPr>
                <w:rFonts w:hint="default" w:asciiTheme="minorEastAsia" w:hAnsiTheme="minorEastAsia" w:eastAsiaTheme="minorEastAsia"/>
                <w:color w:val="000000" w:themeColor="text1"/>
                <w:spacing w:val="-4"/>
                <w:sz w:val="21"/>
                <w:szCs w:val="21"/>
                <w:highlight w:val="none"/>
                <w14:textFill>
                  <w14:solidFill>
                    <w14:schemeClr w14:val="tx1"/>
                  </w14:solidFill>
                </w14:textFill>
              </w:rPr>
            </w:pPr>
            <w:r>
              <w:rPr>
                <w:rFonts w:hint="eastAsia" w:asciiTheme="minorEastAsia" w:hAnsiTheme="minorEastAsia" w:eastAsiaTheme="minorEastAsia"/>
                <w:color w:val="000000" w:themeColor="text1"/>
                <w:spacing w:val="-2"/>
                <w:sz w:val="21"/>
                <w:szCs w:val="21"/>
                <w:highlight w:val="none"/>
                <w14:textFill>
                  <w14:solidFill>
                    <w14:schemeClr w14:val="tx1"/>
                  </w14:solidFill>
                </w14:textFill>
              </w:rPr>
              <w:t>账号：30010801040011925（</w:t>
            </w:r>
            <w:r>
              <w:rPr>
                <w:rFonts w:hint="eastAsia" w:asciiTheme="minorEastAsia" w:hAnsiTheme="minorEastAsia" w:eastAsiaTheme="minorEastAsia"/>
                <w:color w:val="000000" w:themeColor="text1"/>
                <w:spacing w:val="-4"/>
                <w:sz w:val="21"/>
                <w:szCs w:val="21"/>
                <w:highlight w:val="none"/>
                <w14:textFill>
                  <w14:solidFill>
                    <w14:schemeClr w14:val="tx1"/>
                  </w14:solidFill>
                </w14:textFill>
              </w:rPr>
              <w:t>汇款时请备注项目简称、标段号及汇款事由）</w:t>
            </w:r>
          </w:p>
          <w:p>
            <w:pPr>
              <w:pStyle w:val="20"/>
              <w:keepNext w:val="0"/>
              <w:keepLines w:val="0"/>
              <w:suppressLineNumbers w:val="0"/>
              <w:shd w:val="clear"/>
              <w:tabs>
                <w:tab w:val="left" w:pos="0"/>
                <w:tab w:val="left" w:pos="440"/>
              </w:tabs>
              <w:spacing w:before="0" w:beforeAutospacing="0" w:after="0" w:afterAutospacing="0" w:line="300" w:lineRule="exact"/>
              <w:ind w:left="111" w:right="0"/>
              <w:rPr>
                <w:rFonts w:hint="default" w:asciiTheme="minorEastAsia" w:hAnsiTheme="minorEastAsia" w:eastAsiaTheme="minorEastAsia"/>
                <w:color w:val="000000" w:themeColor="text1"/>
                <w:spacing w:val="-2"/>
                <w:sz w:val="21"/>
                <w:szCs w:val="21"/>
                <w:highlight w:val="none"/>
                <w14:textFill>
                  <w14:solidFill>
                    <w14:schemeClr w14:val="tx1"/>
                  </w14:solidFill>
                </w14:textFill>
              </w:rPr>
            </w:pPr>
            <w:r>
              <w:rPr>
                <w:rFonts w:hint="eastAsia" w:asciiTheme="minorEastAsia" w:hAnsiTheme="minorEastAsia" w:eastAsiaTheme="minorEastAsia"/>
                <w:color w:val="000000" w:themeColor="text1"/>
                <w:spacing w:val="-2"/>
                <w:sz w:val="21"/>
                <w:szCs w:val="21"/>
                <w:highlight w:val="none"/>
                <w14:textFill>
                  <w14:solidFill>
                    <w14:schemeClr w14:val="tx1"/>
                  </w14:solidFill>
                </w14:textFill>
              </w:rPr>
              <w:t>4.投标保证金退还：除招标文件规定不予退还投标保证金情形外，投标人投标保证按以下流程退还：未中标投标人的投标保证金可在公示期结束后5个工作日内退还；中标人的投标保证金在中标人与采购人签订供货合同，并提交履约保证金（若需要）和支付招标代理服务费后，凭合同原件办理退还手续，提交资料（开户信息、汇款凭证及供货合同）后5个工作日内退还。所有退保证金的单位均需提供以下资料：</w:t>
            </w:r>
          </w:p>
          <w:p>
            <w:pPr>
              <w:pStyle w:val="20"/>
              <w:keepNext w:val="0"/>
              <w:keepLines w:val="0"/>
              <w:suppressLineNumbers w:val="0"/>
              <w:shd w:val="clear"/>
              <w:tabs>
                <w:tab w:val="left" w:pos="0"/>
                <w:tab w:val="left" w:pos="440"/>
              </w:tabs>
              <w:spacing w:before="0" w:beforeAutospacing="0" w:after="0" w:afterAutospacing="0" w:line="300" w:lineRule="exact"/>
              <w:ind w:left="111" w:right="0"/>
              <w:rPr>
                <w:rFonts w:hint="default" w:asciiTheme="minorEastAsia" w:hAnsiTheme="minorEastAsia" w:eastAsiaTheme="minorEastAsia"/>
                <w:color w:val="000000" w:themeColor="text1"/>
                <w:spacing w:val="-2"/>
                <w:sz w:val="21"/>
                <w:szCs w:val="21"/>
                <w:highlight w:val="none"/>
                <w14:textFill>
                  <w14:solidFill>
                    <w14:schemeClr w14:val="tx1"/>
                  </w14:solidFill>
                </w14:textFill>
              </w:rPr>
            </w:pPr>
            <w:r>
              <w:rPr>
                <w:rFonts w:hint="eastAsia" w:asciiTheme="minorEastAsia" w:hAnsiTheme="minorEastAsia" w:eastAsiaTheme="minorEastAsia"/>
                <w:color w:val="000000" w:themeColor="text1"/>
                <w:spacing w:val="-2"/>
                <w:sz w:val="21"/>
                <w:szCs w:val="21"/>
                <w:highlight w:val="none"/>
                <w14:textFill>
                  <w14:solidFill>
                    <w14:schemeClr w14:val="tx1"/>
                  </w14:solidFill>
                </w14:textFill>
              </w:rPr>
              <w:t>1）打印并加盖供应商公章的账户信息：行名、行号、户名、账号；</w:t>
            </w:r>
          </w:p>
          <w:p>
            <w:pPr>
              <w:pStyle w:val="20"/>
              <w:keepNext w:val="0"/>
              <w:keepLines w:val="0"/>
              <w:suppressLineNumbers w:val="0"/>
              <w:shd w:val="clear"/>
              <w:tabs>
                <w:tab w:val="left" w:pos="0"/>
                <w:tab w:val="left" w:pos="440"/>
              </w:tabs>
              <w:spacing w:before="0" w:beforeAutospacing="0" w:after="0" w:afterAutospacing="0" w:line="300" w:lineRule="exact"/>
              <w:ind w:left="111" w:right="0"/>
              <w:rPr>
                <w:rFonts w:hint="default" w:asciiTheme="minorEastAsia" w:hAnsiTheme="minorEastAsia" w:eastAsiaTheme="minorEastAsia"/>
                <w:color w:val="000000" w:themeColor="text1"/>
                <w:spacing w:val="-2"/>
                <w:sz w:val="21"/>
                <w:szCs w:val="21"/>
                <w:highlight w:val="none"/>
                <w14:textFill>
                  <w14:solidFill>
                    <w14:schemeClr w14:val="tx1"/>
                  </w14:solidFill>
                </w14:textFill>
              </w:rPr>
            </w:pPr>
            <w:r>
              <w:rPr>
                <w:rFonts w:hint="eastAsia" w:asciiTheme="minorEastAsia" w:hAnsiTheme="minorEastAsia" w:eastAsiaTheme="minorEastAsia"/>
                <w:color w:val="000000" w:themeColor="text1"/>
                <w:spacing w:val="-2"/>
                <w:sz w:val="21"/>
                <w:szCs w:val="21"/>
                <w:highlight w:val="none"/>
                <w14:textFill>
                  <w14:solidFill>
                    <w14:schemeClr w14:val="tx1"/>
                  </w14:solidFill>
                </w14:textFill>
              </w:rPr>
              <w:t>2）加盖投标人财务公章的第二联复写收据原件，收据中需写明项目名称及项目编号、金额等信息。</w:t>
            </w:r>
          </w:p>
          <w:p>
            <w:pPr>
              <w:pStyle w:val="20"/>
              <w:keepNext w:val="0"/>
              <w:keepLines w:val="0"/>
              <w:suppressLineNumbers w:val="0"/>
              <w:shd w:val="clear"/>
              <w:tabs>
                <w:tab w:val="left" w:pos="351"/>
              </w:tabs>
              <w:spacing w:before="0" w:beforeAutospacing="0" w:after="0" w:afterAutospacing="0" w:line="300" w:lineRule="exact"/>
              <w:ind w:left="111" w:right="0"/>
              <w:rPr>
                <w:rFonts w:hint="default" w:asciiTheme="minorEastAsia" w:hAnsiTheme="minorEastAsia" w:eastAsiaTheme="minorEastAsia"/>
                <w:color w:val="000000" w:themeColor="text1"/>
                <w:spacing w:val="-4"/>
                <w:sz w:val="21"/>
                <w:szCs w:val="21"/>
                <w:highlight w:val="none"/>
                <w14:textFill>
                  <w14:solidFill>
                    <w14:schemeClr w14:val="tx1"/>
                  </w14:solidFill>
                </w14:textFill>
              </w:rPr>
            </w:pPr>
            <w:r>
              <w:rPr>
                <w:rFonts w:hint="eastAsia" w:asciiTheme="minorEastAsia" w:hAnsiTheme="minorEastAsia" w:eastAsiaTheme="minorEastAsia"/>
                <w:color w:val="000000" w:themeColor="text1"/>
                <w:spacing w:val="-4"/>
                <w:sz w:val="21"/>
                <w:szCs w:val="21"/>
                <w:highlight w:val="none"/>
                <w14:textFill>
                  <w14:solidFill>
                    <w14:schemeClr w14:val="tx1"/>
                  </w14:solidFill>
                </w14:textFill>
              </w:rPr>
              <w:t>备注：1.</w:t>
            </w:r>
            <w:r>
              <w:rPr>
                <w:rFonts w:hint="default" w:asciiTheme="minorEastAsia" w:hAnsiTheme="minorEastAsia" w:eastAsiaTheme="minorEastAsia"/>
                <w:color w:val="000000" w:themeColor="text1"/>
                <w:spacing w:val="-2"/>
                <w:sz w:val="21"/>
                <w:szCs w:val="21"/>
                <w:highlight w:val="none"/>
                <w14:textFill>
                  <w14:solidFill>
                    <w14:schemeClr w14:val="tx1"/>
                  </w14:solidFill>
                </w14:textFill>
              </w:rPr>
              <w:t>以上各类机构出具的以担保函、保证保险承担责任的方式均须满足无条件见索即付条件。</w:t>
            </w:r>
            <w:r>
              <w:rPr>
                <w:rFonts w:hint="eastAsia" w:asciiTheme="minorEastAsia" w:hAnsiTheme="minorEastAsia" w:eastAsiaTheme="minorEastAsia"/>
                <w:color w:val="000000" w:themeColor="text1"/>
                <w:spacing w:val="-2"/>
                <w:sz w:val="21"/>
                <w:szCs w:val="21"/>
                <w:highlight w:val="none"/>
                <w14:textFill>
                  <w14:solidFill>
                    <w14:schemeClr w14:val="tx1"/>
                  </w14:solidFill>
                </w14:textFill>
              </w:rPr>
              <w:t>2.</w:t>
            </w:r>
            <w:r>
              <w:rPr>
                <w:rFonts w:hint="default" w:asciiTheme="minorEastAsia" w:hAnsiTheme="minorEastAsia" w:eastAsiaTheme="minorEastAsia"/>
                <w:color w:val="000000" w:themeColor="text1"/>
                <w:spacing w:val="-2"/>
                <w:sz w:val="21"/>
                <w:szCs w:val="21"/>
                <w:highlight w:val="none"/>
                <w14:textFill>
                  <w14:solidFill>
                    <w14:schemeClr w14:val="tx1"/>
                  </w14:solidFill>
                </w14:textFill>
              </w:rPr>
              <w:t>以担保函、保证保险形式缴纳投标保证金的，受益人和收取单位须为采购人。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2" w:hRule="atLeast"/>
        </w:trPr>
        <w:tc>
          <w:tcPr>
            <w:tcW w:w="947" w:type="dxa"/>
            <w:tcBorders>
              <w:top w:val="single" w:color="000000" w:sz="2" w:space="0"/>
              <w:left w:val="single" w:color="000000" w:sz="2" w:space="0"/>
              <w:bottom w:val="single" w:color="000000" w:sz="2" w:space="0"/>
              <w:right w:val="single" w:color="000000" w:sz="2" w:space="0"/>
            </w:tcBorders>
          </w:tcPr>
          <w:p>
            <w:pPr>
              <w:pStyle w:val="20"/>
              <w:keepNext w:val="0"/>
              <w:keepLines w:val="0"/>
              <w:suppressLineNumbers w:val="0"/>
              <w:shd w:val="clear"/>
              <w:spacing w:before="0" w:beforeAutospacing="0" w:after="0" w:afterAutospacing="0" w:line="300" w:lineRule="exact"/>
              <w:ind w:left="0" w:right="0"/>
              <w:rPr>
                <w:rFonts w:hint="default" w:asciiTheme="minorEastAsia" w:hAnsiTheme="minorEastAsia" w:eastAsiaTheme="minorEastAsia"/>
                <w:color w:val="000000" w:themeColor="text1"/>
                <w:sz w:val="21"/>
                <w:szCs w:val="21"/>
                <w:highlight w:val="none"/>
                <w14:textFill>
                  <w14:solidFill>
                    <w14:schemeClr w14:val="tx1"/>
                  </w14:solidFill>
                </w14:textFill>
              </w:rPr>
            </w:pPr>
          </w:p>
          <w:p>
            <w:pPr>
              <w:pStyle w:val="20"/>
              <w:keepNext w:val="0"/>
              <w:keepLines w:val="0"/>
              <w:suppressLineNumbers w:val="0"/>
              <w:shd w:val="clear"/>
              <w:spacing w:before="0" w:beforeAutospacing="0" w:after="0" w:afterAutospacing="0" w:line="300" w:lineRule="exact"/>
              <w:ind w:left="7" w:right="0"/>
              <w:jc w:val="center"/>
              <w:rPr>
                <w:rFonts w:hint="default" w:asciiTheme="minorEastAsia" w:hAnsiTheme="minorEastAsia" w:eastAsiaTheme="minorEastAsia"/>
                <w:color w:val="000000" w:themeColor="text1"/>
                <w:spacing w:val="-4"/>
                <w:sz w:val="21"/>
                <w:szCs w:val="21"/>
                <w:highlight w:val="none"/>
                <w14:textFill>
                  <w14:solidFill>
                    <w14:schemeClr w14:val="tx1"/>
                  </w14:solidFill>
                </w14:textFill>
              </w:rPr>
            </w:pPr>
            <w:r>
              <w:rPr>
                <w:rFonts w:hint="default" w:asciiTheme="minorEastAsia" w:hAnsiTheme="minorEastAsia" w:eastAsiaTheme="minorEastAsia"/>
                <w:color w:val="000000" w:themeColor="text1"/>
                <w:spacing w:val="-4"/>
                <w:sz w:val="21"/>
                <w:szCs w:val="21"/>
                <w:highlight w:val="none"/>
                <w14:textFill>
                  <w14:solidFill>
                    <w14:schemeClr w14:val="tx1"/>
                  </w14:solidFill>
                </w14:textFill>
              </w:rPr>
              <w:t>25.3</w:t>
            </w:r>
          </w:p>
        </w:tc>
        <w:tc>
          <w:tcPr>
            <w:tcW w:w="1696" w:type="dxa"/>
            <w:tcBorders>
              <w:top w:val="single" w:color="000000" w:sz="2" w:space="0"/>
              <w:left w:val="single" w:color="000000" w:sz="2" w:space="0"/>
              <w:bottom w:val="single" w:color="000000" w:sz="2" w:space="0"/>
              <w:right w:val="single" w:color="000000" w:sz="2" w:space="0"/>
            </w:tcBorders>
          </w:tcPr>
          <w:p>
            <w:pPr>
              <w:pStyle w:val="20"/>
              <w:keepNext w:val="0"/>
              <w:keepLines w:val="0"/>
              <w:suppressLineNumbers w:val="0"/>
              <w:shd w:val="clear"/>
              <w:spacing w:before="0" w:beforeAutospacing="0" w:after="0" w:afterAutospacing="0" w:line="300" w:lineRule="exact"/>
              <w:ind w:left="109" w:right="181"/>
              <w:rPr>
                <w:rFonts w:hint="default" w:asciiTheme="minorEastAsia" w:hAnsiTheme="minorEastAsia" w:eastAsiaTheme="minorEastAsia"/>
                <w:color w:val="000000" w:themeColor="text1"/>
                <w:spacing w:val="-2"/>
                <w:sz w:val="21"/>
                <w:szCs w:val="21"/>
                <w:highlight w:val="none"/>
                <w14:textFill>
                  <w14:solidFill>
                    <w14:schemeClr w14:val="tx1"/>
                  </w14:solidFill>
                </w14:textFill>
              </w:rPr>
            </w:pPr>
            <w:r>
              <w:rPr>
                <w:rFonts w:hint="default" w:asciiTheme="minorEastAsia" w:hAnsiTheme="minorEastAsia" w:eastAsiaTheme="minorEastAsia"/>
                <w:color w:val="000000" w:themeColor="text1"/>
                <w:spacing w:val="-2"/>
                <w:sz w:val="21"/>
                <w:szCs w:val="21"/>
                <w:highlight w:val="none"/>
                <w14:textFill>
                  <w14:solidFill>
                    <w14:schemeClr w14:val="tx1"/>
                  </w14:solidFill>
                </w14:textFill>
              </w:rPr>
              <w:t>解密投标文件</w:t>
            </w:r>
            <w:r>
              <w:rPr>
                <w:rFonts w:hint="default" w:asciiTheme="minorEastAsia" w:hAnsiTheme="minorEastAsia" w:eastAsiaTheme="minorEastAsia"/>
                <w:color w:val="000000" w:themeColor="text1"/>
                <w:spacing w:val="-4"/>
                <w:sz w:val="21"/>
                <w:szCs w:val="21"/>
                <w:highlight w:val="none"/>
                <w14:textFill>
                  <w14:solidFill>
                    <w14:schemeClr w14:val="tx1"/>
                  </w14:solidFill>
                </w14:textFill>
              </w:rPr>
              <w:t>的时限</w:t>
            </w:r>
          </w:p>
        </w:tc>
        <w:tc>
          <w:tcPr>
            <w:tcW w:w="6876" w:type="dxa"/>
            <w:tcBorders>
              <w:top w:val="single" w:color="000000" w:sz="2" w:space="0"/>
              <w:left w:val="single" w:color="000000" w:sz="2" w:space="0"/>
              <w:bottom w:val="single" w:color="000000" w:sz="2" w:space="0"/>
              <w:right w:val="single" w:color="000000" w:sz="2" w:space="0"/>
            </w:tcBorders>
          </w:tcPr>
          <w:p>
            <w:pPr>
              <w:pStyle w:val="20"/>
              <w:keepNext w:val="0"/>
              <w:keepLines w:val="0"/>
              <w:suppressLineNumbers w:val="0"/>
              <w:shd w:val="clear"/>
              <w:tabs>
                <w:tab w:val="left" w:pos="3471"/>
              </w:tabs>
              <w:spacing w:before="0" w:beforeAutospacing="0" w:after="0" w:afterAutospacing="0" w:line="300" w:lineRule="exact"/>
              <w:ind w:left="111" w:right="0"/>
              <w:rPr>
                <w:rFonts w:hint="default" w:asciiTheme="minorEastAsia" w:hAnsiTheme="minorEastAsia" w:eastAsiaTheme="minorEastAsia"/>
                <w:color w:val="000000" w:themeColor="text1"/>
                <w:sz w:val="21"/>
                <w:szCs w:val="21"/>
                <w:highlight w:val="none"/>
                <w14:textFill>
                  <w14:solidFill>
                    <w14:schemeClr w14:val="tx1"/>
                  </w14:solidFill>
                </w14:textFill>
              </w:rPr>
            </w:pPr>
            <w:r>
              <w:rPr>
                <w:rFonts w:hint="default" w:asciiTheme="minorEastAsia" w:hAnsiTheme="minorEastAsia" w:eastAsiaTheme="minorEastAsia"/>
                <w:color w:val="000000" w:themeColor="text1"/>
                <w:sz w:val="21"/>
                <w:szCs w:val="21"/>
                <w:highlight w:val="none"/>
                <w14:textFill>
                  <w14:solidFill>
                    <w14:schemeClr w14:val="tx1"/>
                  </w14:solidFill>
                </w14:textFill>
              </w:rPr>
              <w:t>不见面开标默认解密时长</w:t>
            </w:r>
            <w:r>
              <w:rPr>
                <w:rFonts w:hint="default" w:asciiTheme="minorEastAsia" w:hAnsiTheme="minorEastAsia" w:eastAsiaTheme="minorEastAsia"/>
                <w:color w:val="000000" w:themeColor="text1"/>
                <w:spacing w:val="-10"/>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u w:val="single"/>
                <w14:textFill>
                  <w14:solidFill>
                    <w14:schemeClr w14:val="tx1"/>
                  </w14:solidFill>
                </w14:textFill>
              </w:rPr>
              <w:t>30</w:t>
            </w:r>
            <w:r>
              <w:rPr>
                <w:rFonts w:hint="default" w:asciiTheme="minorEastAsia" w:hAnsiTheme="minorEastAsia" w:eastAsiaTheme="minorEastAsia"/>
                <w:color w:val="000000" w:themeColor="text1"/>
                <w:sz w:val="21"/>
                <w:szCs w:val="21"/>
                <w:highlight w:val="none"/>
                <w14:textFill>
                  <w14:solidFill>
                    <w14:schemeClr w14:val="tx1"/>
                  </w14:solidFill>
                </w14:textFill>
              </w:rPr>
              <w:t>分钟</w:t>
            </w:r>
            <w:r>
              <w:rPr>
                <w:rFonts w:hint="default" w:asciiTheme="minorEastAsia" w:hAnsiTheme="minorEastAsia" w:eastAsiaTheme="minorEastAsia"/>
                <w:color w:val="000000" w:themeColor="text1"/>
                <w:spacing w:val="-10"/>
                <w:sz w:val="21"/>
                <w:szCs w:val="21"/>
                <w:highlight w:val="none"/>
                <w14:textFill>
                  <w14:solidFill>
                    <w14:schemeClr w14:val="tx1"/>
                  </w14:solidFill>
                </w14:textFill>
              </w:rPr>
              <w:t>。</w:t>
            </w:r>
          </w:p>
          <w:p>
            <w:pPr>
              <w:pStyle w:val="20"/>
              <w:keepNext w:val="0"/>
              <w:keepLines w:val="0"/>
              <w:suppressLineNumbers w:val="0"/>
              <w:shd w:val="clear"/>
              <w:spacing w:before="0" w:beforeAutospacing="0" w:after="0" w:afterAutospacing="0" w:line="300" w:lineRule="exact"/>
              <w:ind w:left="111" w:right="101"/>
              <w:rPr>
                <w:rFonts w:hint="default" w:asciiTheme="minorEastAsia" w:hAnsiTheme="minorEastAsia" w:eastAsiaTheme="minorEastAsia"/>
                <w:color w:val="000000" w:themeColor="text1"/>
                <w:spacing w:val="-4"/>
                <w:sz w:val="21"/>
                <w:szCs w:val="21"/>
                <w:highlight w:val="none"/>
                <w14:textFill>
                  <w14:solidFill>
                    <w14:schemeClr w14:val="tx1"/>
                  </w14:solidFill>
                </w14:textFill>
              </w:rPr>
            </w:pPr>
            <w:r>
              <w:rPr>
                <w:rFonts w:hint="default" w:asciiTheme="minorEastAsia" w:hAnsiTheme="minorEastAsia" w:eastAsiaTheme="minorEastAsia"/>
                <w:color w:val="000000" w:themeColor="text1"/>
                <w:spacing w:val="-2"/>
                <w:sz w:val="21"/>
                <w:szCs w:val="21"/>
                <w:highlight w:val="none"/>
                <w14:textFill>
                  <w14:solidFill>
                    <w14:schemeClr w14:val="tx1"/>
                  </w14:solidFill>
                </w14:textFill>
              </w:rPr>
              <w:t>除因交易平台发生故障导致投标文件无法按时解密外，投标文件未按时解密的，视为未按规定提交投标文件。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3" w:hRule="atLeast"/>
        </w:trPr>
        <w:tc>
          <w:tcPr>
            <w:tcW w:w="947" w:type="dxa"/>
            <w:tcBorders>
              <w:top w:val="single" w:color="000000" w:sz="2" w:space="0"/>
              <w:left w:val="single" w:color="000000" w:sz="2" w:space="0"/>
              <w:bottom w:val="single" w:color="000000" w:sz="2" w:space="0"/>
              <w:right w:val="single" w:color="000000" w:sz="2" w:space="0"/>
            </w:tcBorders>
          </w:tcPr>
          <w:p>
            <w:pPr>
              <w:pStyle w:val="20"/>
              <w:keepNext w:val="0"/>
              <w:keepLines w:val="0"/>
              <w:suppressLineNumbers w:val="0"/>
              <w:shd w:val="clear"/>
              <w:spacing w:before="0" w:beforeAutospacing="0" w:after="0" w:afterAutospacing="0" w:line="300" w:lineRule="exact"/>
              <w:ind w:left="7" w:right="0"/>
              <w:jc w:val="center"/>
              <w:rPr>
                <w:rFonts w:hint="default" w:asciiTheme="minorEastAsia" w:hAnsiTheme="minorEastAsia" w:eastAsiaTheme="minorEastAsia"/>
                <w:color w:val="000000" w:themeColor="text1"/>
                <w:spacing w:val="-4"/>
                <w:sz w:val="21"/>
                <w:szCs w:val="21"/>
                <w:highlight w:val="none"/>
                <w14:textFill>
                  <w14:solidFill>
                    <w14:schemeClr w14:val="tx1"/>
                  </w14:solidFill>
                </w14:textFill>
              </w:rPr>
            </w:pPr>
            <w:r>
              <w:rPr>
                <w:rFonts w:hint="default" w:asciiTheme="minorEastAsia" w:hAnsiTheme="minorEastAsia" w:eastAsiaTheme="minorEastAsia"/>
                <w:color w:val="000000" w:themeColor="text1"/>
                <w:spacing w:val="-4"/>
                <w:sz w:val="21"/>
                <w:szCs w:val="21"/>
                <w:highlight w:val="none"/>
                <w14:textFill>
                  <w14:solidFill>
                    <w14:schemeClr w14:val="tx1"/>
                  </w14:solidFill>
                </w14:textFill>
              </w:rPr>
              <w:t>29.1</w:t>
            </w:r>
          </w:p>
        </w:tc>
        <w:tc>
          <w:tcPr>
            <w:tcW w:w="1696" w:type="dxa"/>
            <w:tcBorders>
              <w:top w:val="single" w:color="000000" w:sz="2" w:space="0"/>
              <w:left w:val="single" w:color="000000" w:sz="2" w:space="0"/>
              <w:bottom w:val="single" w:color="000000" w:sz="2" w:space="0"/>
              <w:right w:val="single" w:color="000000" w:sz="2" w:space="0"/>
            </w:tcBorders>
          </w:tcPr>
          <w:p>
            <w:pPr>
              <w:pStyle w:val="20"/>
              <w:keepNext w:val="0"/>
              <w:keepLines w:val="0"/>
              <w:suppressLineNumbers w:val="0"/>
              <w:shd w:val="clear"/>
              <w:spacing w:before="0" w:beforeAutospacing="0" w:after="0" w:afterAutospacing="0" w:line="300" w:lineRule="exact"/>
              <w:ind w:left="109" w:right="0"/>
              <w:rPr>
                <w:rFonts w:hint="default" w:asciiTheme="minorEastAsia" w:hAnsiTheme="minorEastAsia" w:eastAsiaTheme="minorEastAsia"/>
                <w:color w:val="000000" w:themeColor="text1"/>
                <w:spacing w:val="-2"/>
                <w:sz w:val="21"/>
                <w:szCs w:val="21"/>
                <w:highlight w:val="none"/>
                <w14:textFill>
                  <w14:solidFill>
                    <w14:schemeClr w14:val="tx1"/>
                  </w14:solidFill>
                </w14:textFill>
              </w:rPr>
            </w:pPr>
            <w:r>
              <w:rPr>
                <w:rFonts w:hint="default" w:asciiTheme="minorEastAsia" w:hAnsiTheme="minorEastAsia" w:eastAsiaTheme="minorEastAsia"/>
                <w:color w:val="000000" w:themeColor="text1"/>
                <w:spacing w:val="-3"/>
                <w:sz w:val="21"/>
                <w:szCs w:val="21"/>
                <w:highlight w:val="none"/>
                <w14:textFill>
                  <w14:solidFill>
                    <w14:schemeClr w14:val="tx1"/>
                  </w14:solidFill>
                </w14:textFill>
              </w:rPr>
              <w:t>评标方法</w:t>
            </w:r>
          </w:p>
        </w:tc>
        <w:tc>
          <w:tcPr>
            <w:tcW w:w="6876" w:type="dxa"/>
            <w:tcBorders>
              <w:top w:val="single" w:color="000000" w:sz="2" w:space="0"/>
              <w:left w:val="single" w:color="000000" w:sz="2" w:space="0"/>
              <w:bottom w:val="single" w:color="000000" w:sz="2" w:space="0"/>
              <w:right w:val="single" w:color="000000" w:sz="2" w:space="0"/>
            </w:tcBorders>
          </w:tcPr>
          <w:p>
            <w:pPr>
              <w:pStyle w:val="20"/>
              <w:keepNext w:val="0"/>
              <w:keepLines w:val="0"/>
              <w:suppressLineNumbers w:val="0"/>
              <w:shd w:val="clear"/>
              <w:spacing w:before="0" w:beforeAutospacing="0" w:after="0" w:afterAutospacing="0" w:line="300" w:lineRule="exact"/>
              <w:ind w:left="111" w:right="0"/>
              <w:rPr>
                <w:rFonts w:hint="default" w:asciiTheme="minorEastAsia" w:hAnsiTheme="minorEastAsia" w:eastAsiaTheme="minorEastAsia"/>
                <w:color w:val="000000" w:themeColor="text1"/>
                <w:spacing w:val="-4"/>
                <w:sz w:val="21"/>
                <w:szCs w:val="21"/>
                <w:highlight w:val="none"/>
                <w14:textFill>
                  <w14:solidFill>
                    <w14:schemeClr w14:val="tx1"/>
                  </w14:solidFill>
                </w14:textFill>
              </w:rPr>
            </w:pPr>
            <w:r>
              <w:rPr>
                <w:rFonts w:hint="default" w:asciiTheme="minorEastAsia" w:hAnsiTheme="minorEastAsia" w:eastAsiaTheme="minorEastAsia"/>
                <w:color w:val="000000" w:themeColor="text1"/>
                <w:spacing w:val="-2"/>
                <w:sz w:val="21"/>
                <w:szCs w:val="21"/>
                <w:highlight w:val="none"/>
                <w14:textFill>
                  <w14:solidFill>
                    <w14:schemeClr w14:val="tx1"/>
                  </w14:solidFill>
                </w14:textFill>
              </w:rPr>
              <w:sym w:font="Wingdings" w:char="00FE"/>
            </w:r>
            <w:r>
              <w:rPr>
                <w:rFonts w:hint="default" w:asciiTheme="minorEastAsia" w:hAnsiTheme="minorEastAsia" w:eastAsiaTheme="minorEastAsia"/>
                <w:color w:val="000000" w:themeColor="text1"/>
                <w:spacing w:val="-4"/>
                <w:sz w:val="21"/>
                <w:szCs w:val="21"/>
                <w:highlight w:val="none"/>
                <w14:textFill>
                  <w14:solidFill>
                    <w14:schemeClr w14:val="tx1"/>
                  </w14:solidFill>
                </w14:textFill>
              </w:rPr>
              <w:t>综合评分法</w:t>
            </w:r>
          </w:p>
          <w:p>
            <w:pPr>
              <w:keepNext w:val="0"/>
              <w:keepLines w:val="0"/>
              <w:suppressLineNumbers w:val="0"/>
              <w:shd w:val="clear"/>
              <w:spacing w:before="0" w:beforeAutospacing="0" w:after="0" w:afterAutospacing="0" w:line="300" w:lineRule="exact"/>
              <w:ind w:left="0" w:right="0" w:firstLine="420" w:firstLineChars="200"/>
              <w:rPr>
                <w:rFonts w:hint="default" w:asciiTheme="minorEastAsia" w:hAnsiTheme="minorEastAsia" w:eastAsiaTheme="minorEastAsia"/>
                <w:color w:val="000000" w:themeColor="text1"/>
                <w:spacing w:val="-4"/>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①本项目共分为2个标项。投标人可同时参加一个或多个标项的投标，但每个申请人最多只能中标一个标段，评标顺序将按标项一、标项二顺序进行，标项一的第一成交候选人不进入评审。</w:t>
            </w:r>
          </w:p>
          <w:p>
            <w:pPr>
              <w:pStyle w:val="20"/>
              <w:keepNext w:val="0"/>
              <w:keepLines w:val="0"/>
              <w:suppressLineNumbers w:val="0"/>
              <w:shd w:val="clear"/>
              <w:spacing w:before="0" w:beforeAutospacing="0" w:after="0" w:afterAutospacing="0" w:line="300" w:lineRule="exact"/>
              <w:ind w:left="111" w:right="0"/>
              <w:rPr>
                <w:rFonts w:hint="default" w:asciiTheme="minorEastAsia" w:hAnsiTheme="minorEastAsia" w:eastAsiaTheme="minorEastAsia"/>
                <w:color w:val="000000" w:themeColor="text1"/>
                <w:spacing w:val="-4"/>
                <w:sz w:val="21"/>
                <w:szCs w:val="21"/>
                <w:highlight w:val="none"/>
                <w14:textFill>
                  <w14:solidFill>
                    <w14:schemeClr w14:val="tx1"/>
                  </w14:solidFill>
                </w14:textFill>
              </w:rPr>
            </w:pPr>
            <w:r>
              <w:rPr>
                <w:rFonts w:hint="default" w:asciiTheme="minorEastAsia" w:hAnsiTheme="minorEastAsia" w:eastAsiaTheme="minorEastAsia"/>
                <w:color w:val="000000" w:themeColor="text1"/>
                <w:spacing w:val="-2"/>
                <w:sz w:val="21"/>
                <w:szCs w:val="21"/>
                <w:highlight w:val="none"/>
                <w14:textFill>
                  <w14:solidFill>
                    <w14:schemeClr w14:val="tx1"/>
                  </w14:solidFill>
                </w14:textFill>
              </w:rPr>
              <w:t></w:t>
            </w:r>
            <w:r>
              <w:rPr>
                <w:rFonts w:hint="default" w:asciiTheme="minorEastAsia" w:hAnsiTheme="minorEastAsia" w:eastAsiaTheme="minorEastAsia"/>
                <w:color w:val="000000" w:themeColor="text1"/>
                <w:spacing w:val="-4"/>
                <w:sz w:val="21"/>
                <w:szCs w:val="21"/>
                <w:highlight w:val="none"/>
                <w14:textFill>
                  <w14:solidFill>
                    <w14:schemeClr w14:val="tx1"/>
                  </w14:solidFill>
                </w14:textFill>
              </w:rPr>
              <w:t>最低评标价法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947" w:type="dxa"/>
            <w:tcBorders>
              <w:top w:val="single" w:color="000000" w:sz="2" w:space="0"/>
              <w:left w:val="single" w:color="000000" w:sz="2" w:space="0"/>
              <w:bottom w:val="single" w:color="000000" w:sz="2" w:space="0"/>
              <w:right w:val="single" w:color="000000" w:sz="2" w:space="0"/>
            </w:tcBorders>
          </w:tcPr>
          <w:p>
            <w:pPr>
              <w:pStyle w:val="20"/>
              <w:keepNext w:val="0"/>
              <w:keepLines w:val="0"/>
              <w:suppressLineNumbers w:val="0"/>
              <w:shd w:val="clear"/>
              <w:spacing w:before="0" w:beforeAutospacing="0" w:after="0" w:afterAutospacing="0" w:line="300" w:lineRule="exact"/>
              <w:ind w:left="7" w:right="0"/>
              <w:jc w:val="center"/>
              <w:rPr>
                <w:rFonts w:hint="default" w:asciiTheme="minorEastAsia" w:hAnsiTheme="minorEastAsia" w:eastAsiaTheme="minorEastAsia"/>
                <w:color w:val="000000" w:themeColor="text1"/>
                <w:spacing w:val="-4"/>
                <w:sz w:val="21"/>
                <w:szCs w:val="21"/>
                <w:highlight w:val="none"/>
                <w14:textFill>
                  <w14:solidFill>
                    <w14:schemeClr w14:val="tx1"/>
                  </w14:solidFill>
                </w14:textFill>
              </w:rPr>
            </w:pPr>
            <w:r>
              <w:rPr>
                <w:rFonts w:hint="default" w:asciiTheme="minorEastAsia" w:hAnsiTheme="minorEastAsia" w:eastAsiaTheme="minorEastAsia"/>
                <w:color w:val="000000" w:themeColor="text1"/>
                <w:spacing w:val="-4"/>
                <w:sz w:val="21"/>
                <w:szCs w:val="21"/>
                <w:highlight w:val="none"/>
                <w14:textFill>
                  <w14:solidFill>
                    <w14:schemeClr w14:val="tx1"/>
                  </w14:solidFill>
                </w14:textFill>
              </w:rPr>
              <w:t>29.3</w:t>
            </w:r>
          </w:p>
        </w:tc>
        <w:tc>
          <w:tcPr>
            <w:tcW w:w="1696" w:type="dxa"/>
            <w:tcBorders>
              <w:top w:val="single" w:color="000000" w:sz="2" w:space="0"/>
              <w:left w:val="single" w:color="000000" w:sz="2" w:space="0"/>
              <w:bottom w:val="single" w:color="000000" w:sz="2" w:space="0"/>
              <w:right w:val="single" w:color="000000" w:sz="2" w:space="0"/>
            </w:tcBorders>
          </w:tcPr>
          <w:p>
            <w:pPr>
              <w:pStyle w:val="20"/>
              <w:keepNext w:val="0"/>
              <w:keepLines w:val="0"/>
              <w:suppressLineNumbers w:val="0"/>
              <w:shd w:val="clear"/>
              <w:spacing w:before="0" w:beforeAutospacing="0" w:after="0" w:afterAutospacing="0" w:line="300" w:lineRule="exact"/>
              <w:ind w:left="109" w:right="181"/>
              <w:rPr>
                <w:rFonts w:hint="default" w:asciiTheme="minorEastAsia" w:hAnsiTheme="minorEastAsia" w:eastAsiaTheme="minorEastAsia"/>
                <w:color w:val="000000" w:themeColor="text1"/>
                <w:spacing w:val="-2"/>
                <w:sz w:val="21"/>
                <w:szCs w:val="21"/>
                <w:highlight w:val="none"/>
                <w14:textFill>
                  <w14:solidFill>
                    <w14:schemeClr w14:val="tx1"/>
                  </w14:solidFill>
                </w14:textFill>
              </w:rPr>
            </w:pPr>
            <w:r>
              <w:rPr>
                <w:rFonts w:hint="default" w:asciiTheme="minorEastAsia" w:hAnsiTheme="minorEastAsia" w:eastAsiaTheme="minorEastAsia"/>
                <w:color w:val="000000" w:themeColor="text1"/>
                <w:spacing w:val="-2"/>
                <w:sz w:val="21"/>
                <w:szCs w:val="21"/>
                <w:highlight w:val="none"/>
                <w14:textFill>
                  <w14:solidFill>
                    <w14:schemeClr w14:val="tx1"/>
                  </w14:solidFill>
                </w14:textFill>
              </w:rPr>
              <w:t>推荐中标候选</w:t>
            </w:r>
            <w:r>
              <w:rPr>
                <w:rFonts w:hint="default" w:asciiTheme="minorEastAsia" w:hAnsiTheme="minorEastAsia" w:eastAsiaTheme="minorEastAsia"/>
                <w:color w:val="000000" w:themeColor="text1"/>
                <w:spacing w:val="-10"/>
                <w:sz w:val="21"/>
                <w:szCs w:val="21"/>
                <w:highlight w:val="none"/>
                <w14:textFill>
                  <w14:solidFill>
                    <w14:schemeClr w14:val="tx1"/>
                  </w14:solidFill>
                </w14:textFill>
              </w:rPr>
              <w:t>人</w:t>
            </w:r>
          </w:p>
        </w:tc>
        <w:tc>
          <w:tcPr>
            <w:tcW w:w="6876" w:type="dxa"/>
            <w:tcBorders>
              <w:top w:val="single" w:color="000000" w:sz="2" w:space="0"/>
              <w:left w:val="single" w:color="000000" w:sz="2" w:space="0"/>
              <w:bottom w:val="single" w:color="000000" w:sz="2" w:space="0"/>
              <w:right w:val="single" w:color="000000" w:sz="2" w:space="0"/>
            </w:tcBorders>
          </w:tcPr>
          <w:p>
            <w:pPr>
              <w:pStyle w:val="20"/>
              <w:keepNext w:val="0"/>
              <w:keepLines w:val="0"/>
              <w:suppressLineNumbers w:val="0"/>
              <w:shd w:val="clear"/>
              <w:tabs>
                <w:tab w:val="left" w:pos="2391"/>
              </w:tabs>
              <w:spacing w:before="0" w:beforeAutospacing="0" w:after="0" w:afterAutospacing="0" w:line="300" w:lineRule="exact"/>
              <w:ind w:left="111" w:right="0"/>
              <w:rPr>
                <w:rFonts w:hint="default" w:asciiTheme="minorEastAsia" w:hAnsiTheme="minorEastAsia" w:eastAsiaTheme="minorEastAsia"/>
                <w:color w:val="000000" w:themeColor="text1"/>
                <w:spacing w:val="-4"/>
                <w:sz w:val="21"/>
                <w:szCs w:val="21"/>
                <w:highlight w:val="none"/>
                <w14:textFill>
                  <w14:solidFill>
                    <w14:schemeClr w14:val="tx1"/>
                  </w14:solidFill>
                </w14:textFill>
              </w:rPr>
            </w:pPr>
            <w:r>
              <w:rPr>
                <w:rFonts w:hint="default" w:asciiTheme="minorEastAsia" w:hAnsiTheme="minorEastAsia" w:eastAsiaTheme="minorEastAsia"/>
                <w:color w:val="000000" w:themeColor="text1"/>
                <w:sz w:val="21"/>
                <w:szCs w:val="21"/>
                <w:highlight w:val="none"/>
                <w14:textFill>
                  <w14:solidFill>
                    <w14:schemeClr w14:val="tx1"/>
                  </w14:solidFill>
                </w14:textFill>
              </w:rPr>
              <w:t>中标候选人数</w:t>
            </w:r>
            <w:r>
              <w:rPr>
                <w:rFonts w:hint="default" w:asciiTheme="minorEastAsia" w:hAnsiTheme="minorEastAsia" w:eastAsiaTheme="minorEastAsia"/>
                <w:color w:val="000000" w:themeColor="text1"/>
                <w:spacing w:val="-10"/>
                <w:sz w:val="21"/>
                <w:szCs w:val="21"/>
                <w:highlight w:val="none"/>
                <w14:textFill>
                  <w14:solidFill>
                    <w14:schemeClr w14:val="tx1"/>
                  </w14:solidFill>
                </w14:textFill>
              </w:rPr>
              <w:t>量</w:t>
            </w:r>
            <w:r>
              <w:rPr>
                <w:rFonts w:hint="eastAsia" w:asciiTheme="minorEastAsia" w:hAnsiTheme="minorEastAsia" w:eastAsiaTheme="minorEastAsia"/>
                <w:color w:val="000000" w:themeColor="text1"/>
                <w:spacing w:val="-10"/>
                <w:sz w:val="21"/>
                <w:szCs w:val="21"/>
                <w:highlight w:val="none"/>
                <w:u w:val="single"/>
                <w14:textFill>
                  <w14:solidFill>
                    <w14:schemeClr w14:val="tx1"/>
                  </w14:solidFill>
                </w14:textFill>
              </w:rPr>
              <w:t xml:space="preserve"> 3 </w:t>
            </w:r>
            <w:r>
              <w:rPr>
                <w:rFonts w:hint="default" w:asciiTheme="minorEastAsia" w:hAnsiTheme="minorEastAsia" w:eastAsiaTheme="minorEastAsia"/>
                <w:color w:val="000000" w:themeColor="text1"/>
                <w:spacing w:val="-10"/>
                <w:sz w:val="21"/>
                <w:szCs w:val="21"/>
                <w:highlight w:val="none"/>
                <w14:textFill>
                  <w14:solidFill>
                    <w14:schemeClr w14:val="tx1"/>
                  </w14:solidFill>
                </w14:textFill>
              </w:rPr>
              <w:t>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947" w:type="dxa"/>
            <w:tcBorders>
              <w:top w:val="single" w:color="000000" w:sz="2" w:space="0"/>
              <w:left w:val="single" w:color="000000" w:sz="2" w:space="0"/>
              <w:bottom w:val="single" w:color="000000" w:sz="2" w:space="0"/>
              <w:right w:val="single" w:color="000000" w:sz="2" w:space="0"/>
            </w:tcBorders>
          </w:tcPr>
          <w:p>
            <w:pPr>
              <w:pStyle w:val="20"/>
              <w:keepNext w:val="0"/>
              <w:keepLines w:val="0"/>
              <w:suppressLineNumbers w:val="0"/>
              <w:shd w:val="clear"/>
              <w:spacing w:before="0" w:beforeAutospacing="0" w:after="0" w:afterAutospacing="0" w:line="300" w:lineRule="exact"/>
              <w:ind w:left="7" w:right="0"/>
              <w:jc w:val="center"/>
              <w:rPr>
                <w:rFonts w:hint="default" w:asciiTheme="minorEastAsia" w:hAnsiTheme="minorEastAsia" w:eastAsiaTheme="minorEastAsia"/>
                <w:color w:val="000000" w:themeColor="text1"/>
                <w:spacing w:val="-4"/>
                <w:sz w:val="21"/>
                <w:szCs w:val="21"/>
                <w:highlight w:val="none"/>
                <w14:textFill>
                  <w14:solidFill>
                    <w14:schemeClr w14:val="tx1"/>
                  </w14:solidFill>
                </w14:textFill>
              </w:rPr>
            </w:pPr>
            <w:r>
              <w:rPr>
                <w:rFonts w:hint="default" w:asciiTheme="minorEastAsia" w:hAnsiTheme="minorEastAsia" w:eastAsiaTheme="minorEastAsia"/>
                <w:color w:val="000000" w:themeColor="text1"/>
                <w:spacing w:val="-4"/>
                <w:sz w:val="21"/>
                <w:szCs w:val="21"/>
                <w:highlight w:val="none"/>
                <w14:textFill>
                  <w14:solidFill>
                    <w14:schemeClr w14:val="tx1"/>
                  </w14:solidFill>
                </w14:textFill>
              </w:rPr>
              <w:t>30.1</w:t>
            </w:r>
          </w:p>
        </w:tc>
        <w:tc>
          <w:tcPr>
            <w:tcW w:w="1696" w:type="dxa"/>
            <w:tcBorders>
              <w:top w:val="single" w:color="000000" w:sz="2" w:space="0"/>
              <w:left w:val="single" w:color="000000" w:sz="2" w:space="0"/>
              <w:bottom w:val="single" w:color="000000" w:sz="2" w:space="0"/>
              <w:right w:val="single" w:color="000000" w:sz="2" w:space="0"/>
            </w:tcBorders>
          </w:tcPr>
          <w:p>
            <w:pPr>
              <w:pStyle w:val="20"/>
              <w:keepNext w:val="0"/>
              <w:keepLines w:val="0"/>
              <w:suppressLineNumbers w:val="0"/>
              <w:shd w:val="clear"/>
              <w:spacing w:before="0" w:beforeAutospacing="0" w:after="0" w:afterAutospacing="0" w:line="300" w:lineRule="exact"/>
              <w:ind w:left="109" w:right="0"/>
              <w:rPr>
                <w:rFonts w:hint="default" w:asciiTheme="minorEastAsia" w:hAnsiTheme="minorEastAsia" w:eastAsiaTheme="minorEastAsia"/>
                <w:color w:val="000000" w:themeColor="text1"/>
                <w:spacing w:val="-2"/>
                <w:sz w:val="21"/>
                <w:szCs w:val="21"/>
                <w:highlight w:val="none"/>
                <w14:textFill>
                  <w14:solidFill>
                    <w14:schemeClr w14:val="tx1"/>
                  </w14:solidFill>
                </w14:textFill>
              </w:rPr>
            </w:pPr>
            <w:r>
              <w:rPr>
                <w:rFonts w:hint="default" w:asciiTheme="minorEastAsia" w:hAnsiTheme="minorEastAsia" w:eastAsiaTheme="minorEastAsia"/>
                <w:color w:val="000000" w:themeColor="text1"/>
                <w:spacing w:val="-2"/>
                <w:sz w:val="21"/>
                <w:szCs w:val="21"/>
                <w:highlight w:val="none"/>
                <w14:textFill>
                  <w14:solidFill>
                    <w14:schemeClr w14:val="tx1"/>
                  </w14:solidFill>
                </w14:textFill>
              </w:rPr>
              <w:t>确定中标人</w:t>
            </w:r>
          </w:p>
        </w:tc>
        <w:tc>
          <w:tcPr>
            <w:tcW w:w="6876" w:type="dxa"/>
            <w:tcBorders>
              <w:top w:val="single" w:color="000000" w:sz="2" w:space="0"/>
              <w:left w:val="single" w:color="000000" w:sz="2" w:space="0"/>
              <w:bottom w:val="single" w:color="000000" w:sz="2" w:space="0"/>
              <w:right w:val="single" w:color="000000" w:sz="2" w:space="0"/>
            </w:tcBorders>
          </w:tcPr>
          <w:p>
            <w:pPr>
              <w:pStyle w:val="20"/>
              <w:keepNext w:val="0"/>
              <w:keepLines w:val="0"/>
              <w:suppressLineNumbers w:val="0"/>
              <w:shd w:val="clear"/>
              <w:spacing w:before="0" w:beforeAutospacing="0" w:after="0" w:afterAutospacing="0" w:line="300" w:lineRule="exact"/>
              <w:ind w:left="111" w:right="0"/>
              <w:rPr>
                <w:rFonts w:hint="default" w:asciiTheme="minorEastAsia" w:hAnsiTheme="minorEastAsia" w:eastAsiaTheme="minorEastAsia"/>
                <w:color w:val="000000" w:themeColor="text1"/>
                <w:sz w:val="21"/>
                <w:szCs w:val="21"/>
                <w:highlight w:val="none"/>
                <w14:textFill>
                  <w14:solidFill>
                    <w14:schemeClr w14:val="tx1"/>
                  </w14:solidFill>
                </w14:textFill>
              </w:rPr>
            </w:pPr>
            <w:r>
              <w:rPr>
                <w:rFonts w:hint="default" w:asciiTheme="minorEastAsia" w:hAnsiTheme="minorEastAsia" w:eastAsiaTheme="minorEastAsia"/>
                <w:color w:val="000000" w:themeColor="text1"/>
                <w:spacing w:val="-2"/>
                <w:sz w:val="21"/>
                <w:szCs w:val="21"/>
                <w:highlight w:val="none"/>
                <w14:textFill>
                  <w14:solidFill>
                    <w14:schemeClr w14:val="tx1"/>
                  </w14:solidFill>
                </w14:textFill>
              </w:rPr>
              <w:sym w:font="Wingdings" w:char="00FE"/>
            </w:r>
            <w:r>
              <w:rPr>
                <w:rFonts w:hint="default" w:asciiTheme="minorEastAsia" w:hAnsiTheme="minorEastAsia" w:eastAsiaTheme="minorEastAsia"/>
                <w:color w:val="000000" w:themeColor="text1"/>
                <w:spacing w:val="-3"/>
                <w:sz w:val="21"/>
                <w:szCs w:val="21"/>
                <w:highlight w:val="none"/>
                <w14:textFill>
                  <w14:solidFill>
                    <w14:schemeClr w14:val="tx1"/>
                  </w14:solidFill>
                </w14:textFill>
              </w:rPr>
              <w:t>采购人按评审报告中推荐的中标候选人排序确定中标人。</w:t>
            </w:r>
          </w:p>
          <w:p>
            <w:pPr>
              <w:pStyle w:val="20"/>
              <w:keepNext w:val="0"/>
              <w:keepLines w:val="0"/>
              <w:suppressLineNumbers w:val="0"/>
              <w:shd w:val="clear"/>
              <w:spacing w:before="0" w:beforeAutospacing="0" w:after="0" w:afterAutospacing="0" w:line="300" w:lineRule="exact"/>
              <w:ind w:left="111" w:right="0"/>
              <w:rPr>
                <w:rFonts w:hint="default" w:asciiTheme="minorEastAsia" w:hAnsiTheme="minorEastAsia" w:eastAsiaTheme="minorEastAsia"/>
                <w:color w:val="000000" w:themeColor="text1"/>
                <w:spacing w:val="-4"/>
                <w:sz w:val="21"/>
                <w:szCs w:val="21"/>
                <w:highlight w:val="none"/>
                <w14:textFill>
                  <w14:solidFill>
                    <w14:schemeClr w14:val="tx1"/>
                  </w14:solidFill>
                </w14:textFill>
              </w:rPr>
            </w:pPr>
            <w:r>
              <w:rPr>
                <w:rFonts w:hint="default" w:asciiTheme="minorEastAsia" w:hAnsiTheme="minorEastAsia" w:eastAsiaTheme="minorEastAsia"/>
                <w:color w:val="000000" w:themeColor="text1"/>
                <w:spacing w:val="-2"/>
                <w:sz w:val="21"/>
                <w:szCs w:val="21"/>
                <w:highlight w:val="none"/>
                <w14:textFill>
                  <w14:solidFill>
                    <w14:schemeClr w14:val="tx1"/>
                  </w14:solidFill>
                </w14:textFill>
              </w:rPr>
              <w:t></w:t>
            </w:r>
            <w:r>
              <w:rPr>
                <w:rFonts w:hint="default" w:asciiTheme="minorEastAsia" w:hAnsiTheme="minorEastAsia" w:eastAsiaTheme="minorEastAsia"/>
                <w:color w:val="000000" w:themeColor="text1"/>
                <w:spacing w:val="-3"/>
                <w:sz w:val="21"/>
                <w:szCs w:val="21"/>
                <w:highlight w:val="none"/>
                <w14:textFill>
                  <w14:solidFill>
                    <w14:schemeClr w14:val="tx1"/>
                  </w14:solidFill>
                </w14:textFill>
              </w:rPr>
              <w:t>采购人委托评标委员会直接确定中标人。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4" w:hRule="atLeast"/>
        </w:trPr>
        <w:tc>
          <w:tcPr>
            <w:tcW w:w="947" w:type="dxa"/>
            <w:tcBorders>
              <w:top w:val="single" w:color="000000" w:sz="2" w:space="0"/>
              <w:left w:val="single" w:color="000000" w:sz="2" w:space="0"/>
              <w:bottom w:val="single" w:color="000000" w:sz="2" w:space="0"/>
              <w:right w:val="single" w:color="000000" w:sz="2" w:space="0"/>
            </w:tcBorders>
          </w:tcPr>
          <w:p>
            <w:pPr>
              <w:pStyle w:val="20"/>
              <w:keepNext w:val="0"/>
              <w:keepLines w:val="0"/>
              <w:suppressLineNumbers w:val="0"/>
              <w:shd w:val="clear"/>
              <w:spacing w:before="0" w:beforeAutospacing="0" w:after="0" w:afterAutospacing="0" w:line="300" w:lineRule="exact"/>
              <w:ind w:left="0" w:right="0"/>
              <w:rPr>
                <w:rFonts w:hint="default" w:asciiTheme="minorEastAsia" w:hAnsiTheme="minorEastAsia" w:eastAsiaTheme="minorEastAsia"/>
                <w:color w:val="000000" w:themeColor="text1"/>
                <w:sz w:val="21"/>
                <w:szCs w:val="21"/>
                <w:highlight w:val="none"/>
                <w14:textFill>
                  <w14:solidFill>
                    <w14:schemeClr w14:val="tx1"/>
                  </w14:solidFill>
                </w14:textFill>
              </w:rPr>
            </w:pPr>
          </w:p>
          <w:p>
            <w:pPr>
              <w:pStyle w:val="20"/>
              <w:keepNext w:val="0"/>
              <w:keepLines w:val="0"/>
              <w:suppressLineNumbers w:val="0"/>
              <w:shd w:val="clear"/>
              <w:spacing w:before="0" w:beforeAutospacing="0" w:after="0" w:afterAutospacing="0" w:line="300" w:lineRule="exact"/>
              <w:ind w:left="0" w:right="0"/>
              <w:rPr>
                <w:rFonts w:hint="default" w:asciiTheme="minorEastAsia" w:hAnsiTheme="minorEastAsia" w:eastAsiaTheme="minorEastAsia"/>
                <w:color w:val="000000" w:themeColor="text1"/>
                <w:sz w:val="21"/>
                <w:szCs w:val="21"/>
                <w:highlight w:val="none"/>
                <w14:textFill>
                  <w14:solidFill>
                    <w14:schemeClr w14:val="tx1"/>
                  </w14:solidFill>
                </w14:textFill>
              </w:rPr>
            </w:pPr>
          </w:p>
          <w:p>
            <w:pPr>
              <w:pStyle w:val="20"/>
              <w:keepNext w:val="0"/>
              <w:keepLines w:val="0"/>
              <w:suppressLineNumbers w:val="0"/>
              <w:shd w:val="clear"/>
              <w:spacing w:before="0" w:beforeAutospacing="0" w:after="0" w:afterAutospacing="0" w:line="300" w:lineRule="exact"/>
              <w:ind w:left="0" w:right="0"/>
              <w:rPr>
                <w:rFonts w:hint="default" w:asciiTheme="minorEastAsia" w:hAnsiTheme="minorEastAsia" w:eastAsiaTheme="minorEastAsia"/>
                <w:color w:val="000000" w:themeColor="text1"/>
                <w:sz w:val="21"/>
                <w:szCs w:val="21"/>
                <w:highlight w:val="none"/>
                <w14:textFill>
                  <w14:solidFill>
                    <w14:schemeClr w14:val="tx1"/>
                  </w14:solidFill>
                </w14:textFill>
              </w:rPr>
            </w:pPr>
          </w:p>
          <w:p>
            <w:pPr>
              <w:pStyle w:val="20"/>
              <w:keepNext w:val="0"/>
              <w:keepLines w:val="0"/>
              <w:suppressLineNumbers w:val="0"/>
              <w:shd w:val="clear"/>
              <w:spacing w:before="0" w:beforeAutospacing="0" w:after="0" w:afterAutospacing="0" w:line="300" w:lineRule="exact"/>
              <w:ind w:left="7" w:right="0"/>
              <w:jc w:val="center"/>
              <w:rPr>
                <w:rFonts w:hint="default" w:asciiTheme="minorEastAsia" w:hAnsiTheme="minorEastAsia" w:eastAsiaTheme="minorEastAsia"/>
                <w:color w:val="000000" w:themeColor="text1"/>
                <w:spacing w:val="-4"/>
                <w:sz w:val="21"/>
                <w:szCs w:val="21"/>
                <w:highlight w:val="none"/>
                <w14:textFill>
                  <w14:solidFill>
                    <w14:schemeClr w14:val="tx1"/>
                  </w14:solidFill>
                </w14:textFill>
              </w:rPr>
            </w:pPr>
            <w:r>
              <w:rPr>
                <w:rFonts w:hint="default" w:asciiTheme="minorEastAsia" w:hAnsiTheme="minorEastAsia" w:eastAsiaTheme="minorEastAsia"/>
                <w:color w:val="000000" w:themeColor="text1"/>
                <w:spacing w:val="-4"/>
                <w:sz w:val="21"/>
                <w:szCs w:val="21"/>
                <w:highlight w:val="none"/>
                <w14:textFill>
                  <w14:solidFill>
                    <w14:schemeClr w14:val="tx1"/>
                  </w14:solidFill>
                </w14:textFill>
              </w:rPr>
              <w:t>33.1</w:t>
            </w:r>
          </w:p>
        </w:tc>
        <w:tc>
          <w:tcPr>
            <w:tcW w:w="1696" w:type="dxa"/>
            <w:tcBorders>
              <w:top w:val="single" w:color="000000" w:sz="2" w:space="0"/>
              <w:left w:val="single" w:color="000000" w:sz="2" w:space="0"/>
              <w:bottom w:val="single" w:color="000000" w:sz="2" w:space="0"/>
              <w:right w:val="single" w:color="000000" w:sz="2" w:space="0"/>
            </w:tcBorders>
          </w:tcPr>
          <w:p>
            <w:pPr>
              <w:keepNext w:val="0"/>
              <w:keepLines w:val="0"/>
              <w:suppressLineNumbers w:val="0"/>
              <w:shd w:val="clear"/>
              <w:spacing w:before="0" w:beforeAutospacing="0" w:after="0" w:afterAutospacing="0" w:line="300" w:lineRule="exact"/>
              <w:ind w:left="0" w:right="0"/>
              <w:jc w:val="both"/>
              <w:rPr>
                <w:rFonts w:hint="default" w:asciiTheme="minorEastAsia" w:hAnsiTheme="minorEastAsia" w:eastAsiaTheme="minorEastAsia"/>
                <w:color w:val="000000" w:themeColor="text1"/>
                <w:kern w:val="2"/>
                <w:sz w:val="21"/>
                <w:szCs w:val="21"/>
                <w:highlight w:val="none"/>
                <w:lang w:bidi="ar"/>
                <w14:textFill>
                  <w14:solidFill>
                    <w14:schemeClr w14:val="tx1"/>
                  </w14:solidFill>
                </w14:textFill>
              </w:rPr>
            </w:pPr>
          </w:p>
          <w:p>
            <w:pPr>
              <w:keepNext w:val="0"/>
              <w:keepLines w:val="0"/>
              <w:suppressLineNumbers w:val="0"/>
              <w:shd w:val="clear"/>
              <w:spacing w:before="0" w:beforeAutospacing="0" w:after="0" w:afterAutospacing="0" w:line="300" w:lineRule="exact"/>
              <w:ind w:left="0" w:right="0"/>
              <w:jc w:val="both"/>
              <w:rPr>
                <w:rFonts w:hint="default" w:asciiTheme="minorEastAsia" w:hAnsiTheme="minorEastAsia" w:eastAsiaTheme="minorEastAsia"/>
                <w:color w:val="000000" w:themeColor="text1"/>
                <w:kern w:val="2"/>
                <w:sz w:val="21"/>
                <w:szCs w:val="21"/>
                <w:highlight w:val="none"/>
                <w:lang w:bidi="ar"/>
                <w14:textFill>
                  <w14:solidFill>
                    <w14:schemeClr w14:val="tx1"/>
                  </w14:solidFill>
                </w14:textFill>
              </w:rPr>
            </w:pPr>
          </w:p>
          <w:p>
            <w:pPr>
              <w:keepNext w:val="0"/>
              <w:keepLines w:val="0"/>
              <w:suppressLineNumbers w:val="0"/>
              <w:shd w:val="clear"/>
              <w:spacing w:before="0" w:beforeAutospacing="0" w:after="0" w:afterAutospacing="0" w:line="300" w:lineRule="exact"/>
              <w:ind w:left="0" w:right="0"/>
              <w:jc w:val="both"/>
              <w:rPr>
                <w:rFonts w:hint="default" w:asciiTheme="minorEastAsia" w:hAnsiTheme="minorEastAsia" w:eastAsiaTheme="minorEastAsia"/>
                <w:color w:val="000000" w:themeColor="text1"/>
                <w:kern w:val="2"/>
                <w:sz w:val="21"/>
                <w:szCs w:val="21"/>
                <w:highlight w:val="none"/>
                <w:lang w:bidi="ar"/>
                <w14:textFill>
                  <w14:solidFill>
                    <w14:schemeClr w14:val="tx1"/>
                  </w14:solidFill>
                </w14:textFill>
              </w:rPr>
            </w:pPr>
          </w:p>
          <w:p>
            <w:pPr>
              <w:keepNext w:val="0"/>
              <w:keepLines w:val="0"/>
              <w:suppressLineNumbers w:val="0"/>
              <w:shd w:val="clear"/>
              <w:spacing w:before="0" w:beforeAutospacing="0" w:after="0" w:afterAutospacing="0" w:line="300" w:lineRule="exact"/>
              <w:ind w:left="0" w:right="0"/>
              <w:jc w:val="both"/>
              <w:rPr>
                <w:rFonts w:hint="default" w:asciiTheme="minorEastAsia" w:hAnsiTheme="minorEastAsia" w:eastAsiaTheme="minorEastAsia"/>
                <w:color w:val="000000" w:themeColor="text1"/>
                <w:kern w:val="2"/>
                <w:sz w:val="21"/>
                <w:szCs w:val="21"/>
                <w:highlight w:val="none"/>
                <w:lang w:bidi="ar"/>
                <w14:textFill>
                  <w14:solidFill>
                    <w14:schemeClr w14:val="tx1"/>
                  </w14:solidFill>
                </w14:textFill>
              </w:rPr>
            </w:pPr>
            <w:r>
              <w:rPr>
                <w:rFonts w:hint="default" w:asciiTheme="minorEastAsia" w:hAnsiTheme="minorEastAsia" w:eastAsiaTheme="minorEastAsia"/>
                <w:color w:val="000000" w:themeColor="text1"/>
                <w:spacing w:val="-2"/>
                <w:sz w:val="21"/>
                <w:szCs w:val="21"/>
                <w:highlight w:val="none"/>
                <w14:textFill>
                  <w14:solidFill>
                    <w14:schemeClr w14:val="tx1"/>
                  </w14:solidFill>
                </w14:textFill>
              </w:rPr>
              <w:t>★</w:t>
            </w:r>
            <w:r>
              <w:rPr>
                <w:rFonts w:hint="eastAsia" w:asciiTheme="minorEastAsia" w:hAnsiTheme="minorEastAsia" w:eastAsiaTheme="minorEastAsia"/>
                <w:color w:val="000000" w:themeColor="text1"/>
                <w:kern w:val="2"/>
                <w:sz w:val="21"/>
                <w:szCs w:val="21"/>
                <w:highlight w:val="none"/>
                <w:lang w:bidi="ar"/>
                <w14:textFill>
                  <w14:solidFill>
                    <w14:schemeClr w14:val="tx1"/>
                  </w14:solidFill>
                </w14:textFill>
              </w:rPr>
              <w:t>履约保证金</w:t>
            </w:r>
          </w:p>
        </w:tc>
        <w:tc>
          <w:tcPr>
            <w:tcW w:w="6876" w:type="dxa"/>
            <w:tcBorders>
              <w:top w:val="single" w:color="000000" w:sz="2" w:space="0"/>
              <w:left w:val="single" w:color="000000" w:sz="2" w:space="0"/>
              <w:bottom w:val="single" w:color="000000" w:sz="2" w:space="0"/>
              <w:right w:val="single" w:color="000000" w:sz="2" w:space="0"/>
            </w:tcBorders>
          </w:tcPr>
          <w:p>
            <w:pPr>
              <w:keepNext w:val="0"/>
              <w:keepLines w:val="0"/>
              <w:suppressLineNumbers w:val="0"/>
              <w:shd w:val="clear"/>
              <w:spacing w:before="0" w:beforeAutospacing="0" w:after="0" w:afterAutospacing="0" w:line="300" w:lineRule="exact"/>
              <w:ind w:left="0" w:right="0"/>
              <w:jc w:val="both"/>
              <w:rPr>
                <w:rFonts w:hint="default" w:asciiTheme="minorEastAsia" w:hAnsiTheme="minorEastAsia" w:eastAsiaTheme="minorEastAsia"/>
                <w:color w:val="000000" w:themeColor="text1"/>
                <w:kern w:val="2"/>
                <w:sz w:val="21"/>
                <w:szCs w:val="21"/>
                <w:highlight w:val="none"/>
                <w:lang w:bidi="ar"/>
                <w14:textFill>
                  <w14:solidFill>
                    <w14:schemeClr w14:val="tx1"/>
                  </w14:solidFill>
                </w14:textFill>
              </w:rPr>
            </w:pPr>
            <w:r>
              <w:rPr>
                <w:rFonts w:hint="eastAsia" w:asciiTheme="minorEastAsia" w:hAnsiTheme="minorEastAsia" w:eastAsiaTheme="minorEastAsia"/>
                <w:color w:val="000000" w:themeColor="text1"/>
                <w:kern w:val="2"/>
                <w:sz w:val="21"/>
                <w:szCs w:val="21"/>
                <w:highlight w:val="none"/>
                <w:lang w:bidi="ar"/>
                <w14:textFill>
                  <w14:solidFill>
                    <w14:schemeClr w14:val="tx1"/>
                  </w14:solidFill>
                </w14:textFill>
              </w:rPr>
              <w:t>1.开业履约保证金：为更好的履行职责，做好食堂托管服务工作，中标方在中标公示有效后，需一次性向甲方指定账户缴纳人民币10万元做为如期开业履约保证金。餐厅后堂设备设施以及基本建设功能按时完成并如期营业的，该保证金在开业当月会无息返还。发生延误按照每三天扣除履约入场保证金的10%计算延期损失，扣完为止。扣完仍未符合营业，按合同相应条款执行。</w:t>
            </w:r>
          </w:p>
          <w:p>
            <w:pPr>
              <w:keepNext w:val="0"/>
              <w:keepLines w:val="0"/>
              <w:suppressLineNumbers w:val="0"/>
              <w:shd w:val="clear"/>
              <w:spacing w:before="0" w:beforeAutospacing="0" w:after="0" w:afterAutospacing="0" w:line="300" w:lineRule="exact"/>
              <w:ind w:left="0" w:right="0"/>
              <w:jc w:val="both"/>
              <w:rPr>
                <w:rFonts w:hint="default" w:asciiTheme="minorEastAsia" w:hAnsiTheme="minorEastAsia" w:eastAsiaTheme="minorEastAsia"/>
                <w:color w:val="000000" w:themeColor="text1"/>
                <w:kern w:val="2"/>
                <w:sz w:val="21"/>
                <w:szCs w:val="21"/>
                <w:highlight w:val="none"/>
                <w:lang w:bidi="ar"/>
                <w14:textFill>
                  <w14:solidFill>
                    <w14:schemeClr w14:val="tx1"/>
                  </w14:solidFill>
                </w14:textFill>
              </w:rPr>
            </w:pPr>
            <w:r>
              <w:rPr>
                <w:rFonts w:hint="eastAsia" w:asciiTheme="minorEastAsia" w:hAnsiTheme="minorEastAsia" w:eastAsiaTheme="minorEastAsia"/>
                <w:color w:val="000000" w:themeColor="text1"/>
                <w:kern w:val="2"/>
                <w:sz w:val="21"/>
                <w:szCs w:val="21"/>
                <w:highlight w:val="none"/>
                <w:lang w:bidi="ar"/>
                <w14:textFill>
                  <w14:solidFill>
                    <w14:schemeClr w14:val="tx1"/>
                  </w14:solidFill>
                </w14:textFill>
              </w:rPr>
              <w:t>2.合同履约经营保证金：</w:t>
            </w:r>
            <w:r>
              <w:rPr>
                <w:rFonts w:hint="eastAsia" w:asciiTheme="minorEastAsia" w:hAnsiTheme="minorEastAsia" w:eastAsiaTheme="minorEastAsia"/>
                <w:color w:val="000000" w:themeColor="text1"/>
                <w:kern w:val="2"/>
                <w:sz w:val="21"/>
                <w:szCs w:val="21"/>
                <w:highlight w:val="none"/>
                <w:lang w:eastAsia="zh-CN" w:bidi="ar"/>
                <w14:textFill>
                  <w14:solidFill>
                    <w14:schemeClr w14:val="tx1"/>
                  </w14:solidFill>
                </w14:textFill>
              </w:rPr>
              <w:t>预算金额的</w:t>
            </w:r>
            <w:r>
              <w:rPr>
                <w:rFonts w:hint="eastAsia" w:asciiTheme="minorEastAsia" w:hAnsiTheme="minorEastAsia" w:eastAsiaTheme="minorEastAsia"/>
                <w:color w:val="000000" w:themeColor="text1"/>
                <w:kern w:val="2"/>
                <w:sz w:val="21"/>
                <w:szCs w:val="21"/>
                <w:highlight w:val="none"/>
                <w:lang w:val="en-US" w:eastAsia="zh-CN" w:bidi="ar"/>
                <w14:textFill>
                  <w14:solidFill>
                    <w14:schemeClr w14:val="tx1"/>
                  </w14:solidFill>
                </w14:textFill>
              </w:rPr>
              <w:t>10%</w:t>
            </w:r>
            <w:r>
              <w:rPr>
                <w:rFonts w:hint="eastAsia" w:asciiTheme="minorEastAsia" w:hAnsiTheme="minorEastAsia" w:eastAsiaTheme="minorEastAsia"/>
                <w:color w:val="000000" w:themeColor="text1"/>
                <w:kern w:val="2"/>
                <w:sz w:val="21"/>
                <w:szCs w:val="21"/>
                <w:highlight w:val="none"/>
                <w:lang w:bidi="ar"/>
                <w14:textFill>
                  <w14:solidFill>
                    <w14:schemeClr w14:val="tx1"/>
                  </w14:solidFill>
                </w14:textFill>
              </w:rPr>
              <w:t>，中标企业应在取得合法营业执照后开业前一次性缴纳入甲方指定账户。若发生违约行为，按照合同相应条款执行，当履约保证金不足以支付违约处罚时，甲方可提出解约。合同到期，保证金无息退还。</w:t>
            </w:r>
          </w:p>
          <w:p>
            <w:pPr>
              <w:keepNext w:val="0"/>
              <w:keepLines w:val="0"/>
              <w:suppressLineNumbers w:val="0"/>
              <w:shd w:val="clear"/>
              <w:spacing w:before="0" w:beforeAutospacing="0" w:after="0" w:afterAutospacing="0" w:line="300" w:lineRule="exact"/>
              <w:ind w:left="0" w:right="0"/>
              <w:jc w:val="both"/>
              <w:rPr>
                <w:rFonts w:hint="default" w:asciiTheme="minorEastAsia" w:hAnsiTheme="minorEastAsia" w:eastAsiaTheme="minorEastAsia"/>
                <w:color w:val="000000" w:themeColor="text1"/>
                <w:kern w:val="2"/>
                <w:sz w:val="21"/>
                <w:szCs w:val="21"/>
                <w:highlight w:val="none"/>
                <w:lang w:bidi="ar"/>
                <w14:textFill>
                  <w14:solidFill>
                    <w14:schemeClr w14:val="tx1"/>
                  </w14:solidFill>
                </w14:textFill>
              </w:rPr>
            </w:pPr>
            <w:r>
              <w:rPr>
                <w:rFonts w:hint="eastAsia" w:asciiTheme="minorEastAsia" w:hAnsiTheme="minorEastAsia" w:eastAsiaTheme="minorEastAsia"/>
                <w:color w:val="000000" w:themeColor="text1"/>
                <w:kern w:val="2"/>
                <w:sz w:val="21"/>
                <w:szCs w:val="21"/>
                <w:highlight w:val="none"/>
                <w:lang w:bidi="ar"/>
                <w14:textFill>
                  <w14:solidFill>
                    <w14:schemeClr w14:val="tx1"/>
                  </w14:solidFill>
                </w14:textFill>
              </w:rPr>
              <w:t>3.注意事项：</w:t>
            </w:r>
          </w:p>
          <w:p>
            <w:pPr>
              <w:keepNext w:val="0"/>
              <w:keepLines w:val="0"/>
              <w:suppressLineNumbers w:val="0"/>
              <w:shd w:val="clear"/>
              <w:spacing w:before="0" w:beforeAutospacing="0" w:after="0" w:afterAutospacing="0" w:line="300" w:lineRule="exact"/>
              <w:ind w:left="0" w:right="0"/>
              <w:jc w:val="both"/>
              <w:rPr>
                <w:rFonts w:hint="default" w:asciiTheme="minorEastAsia" w:hAnsiTheme="minorEastAsia" w:eastAsiaTheme="minorEastAsia"/>
                <w:color w:val="000000" w:themeColor="text1"/>
                <w:kern w:val="2"/>
                <w:sz w:val="21"/>
                <w:szCs w:val="21"/>
                <w:highlight w:val="none"/>
                <w:lang w:bidi="ar"/>
                <w14:textFill>
                  <w14:solidFill>
                    <w14:schemeClr w14:val="tx1"/>
                  </w14:solidFill>
                </w14:textFill>
              </w:rPr>
            </w:pPr>
            <w:r>
              <w:rPr>
                <w:rFonts w:hint="eastAsia" w:asciiTheme="minorEastAsia" w:hAnsiTheme="minorEastAsia" w:eastAsiaTheme="minorEastAsia"/>
                <w:color w:val="000000" w:themeColor="text1"/>
                <w:kern w:val="2"/>
                <w:sz w:val="21"/>
                <w:szCs w:val="21"/>
                <w:highlight w:val="none"/>
                <w:lang w:bidi="ar"/>
                <w14:textFill>
                  <w14:solidFill>
                    <w14:schemeClr w14:val="tx1"/>
                  </w14:solidFill>
                </w14:textFill>
              </w:rPr>
              <w:t>以上各类机构出具的以担保函、保证保险承担责任的方式均须满足无条件见索即付条件。</w:t>
            </w:r>
          </w:p>
          <w:p>
            <w:pPr>
              <w:keepNext w:val="0"/>
              <w:keepLines w:val="0"/>
              <w:suppressLineNumbers w:val="0"/>
              <w:shd w:val="clear"/>
              <w:spacing w:before="0" w:beforeAutospacing="0" w:after="0" w:afterAutospacing="0" w:line="300" w:lineRule="exact"/>
              <w:ind w:left="0" w:right="0"/>
              <w:jc w:val="both"/>
              <w:rPr>
                <w:rFonts w:hint="default" w:asciiTheme="minorEastAsia" w:hAnsiTheme="minorEastAsia" w:eastAsiaTheme="minorEastAsia"/>
                <w:color w:val="000000" w:themeColor="text1"/>
                <w:kern w:val="2"/>
                <w:sz w:val="21"/>
                <w:szCs w:val="21"/>
                <w:highlight w:val="none"/>
                <w:lang w:bidi="ar"/>
                <w14:textFill>
                  <w14:solidFill>
                    <w14:schemeClr w14:val="tx1"/>
                  </w14:solidFill>
                </w14:textFill>
              </w:rPr>
            </w:pPr>
            <w:r>
              <w:rPr>
                <w:rFonts w:hint="eastAsia" w:asciiTheme="minorEastAsia" w:hAnsiTheme="minorEastAsia" w:eastAsiaTheme="minorEastAsia"/>
                <w:color w:val="000000" w:themeColor="text1"/>
                <w:kern w:val="2"/>
                <w:sz w:val="21"/>
                <w:szCs w:val="21"/>
                <w:highlight w:val="none"/>
                <w:lang w:bidi="ar"/>
                <w14:textFill>
                  <w14:solidFill>
                    <w14:schemeClr w14:val="tx1"/>
                  </w14:solidFill>
                </w14:textFill>
              </w:rPr>
              <w:t>以担保函、保证保险形式缴纳履约保证金的，受益人和收取单位须为采购人。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4" w:hRule="atLeast"/>
        </w:trPr>
        <w:tc>
          <w:tcPr>
            <w:tcW w:w="947" w:type="dxa"/>
            <w:tcBorders>
              <w:top w:val="single" w:color="000000" w:sz="2" w:space="0"/>
              <w:left w:val="single" w:color="000000" w:sz="2" w:space="0"/>
              <w:bottom w:val="single" w:color="000000" w:sz="2" w:space="0"/>
              <w:right w:val="single" w:color="000000" w:sz="2" w:space="0"/>
            </w:tcBorders>
          </w:tcPr>
          <w:p>
            <w:pPr>
              <w:pStyle w:val="20"/>
              <w:keepNext w:val="0"/>
              <w:keepLines w:val="0"/>
              <w:suppressLineNumbers w:val="0"/>
              <w:shd w:val="clear"/>
              <w:spacing w:before="0" w:beforeAutospacing="0" w:after="0" w:afterAutospacing="0" w:line="300" w:lineRule="exact"/>
              <w:ind w:left="0" w:right="0"/>
              <w:rPr>
                <w:rFonts w:hint="default" w:asciiTheme="minorEastAsia" w:hAnsiTheme="minorEastAsia" w:eastAsiaTheme="minorEastAsia"/>
                <w:color w:val="000000" w:themeColor="text1"/>
                <w:sz w:val="21"/>
                <w:szCs w:val="21"/>
                <w:highlight w:val="none"/>
                <w14:textFill>
                  <w14:solidFill>
                    <w14:schemeClr w14:val="tx1"/>
                  </w14:solidFill>
                </w14:textFill>
              </w:rPr>
            </w:pPr>
          </w:p>
          <w:p>
            <w:pPr>
              <w:pStyle w:val="20"/>
              <w:keepNext w:val="0"/>
              <w:keepLines w:val="0"/>
              <w:suppressLineNumbers w:val="0"/>
              <w:shd w:val="clear"/>
              <w:spacing w:before="0" w:beforeAutospacing="0" w:after="0" w:afterAutospacing="0" w:line="300" w:lineRule="exact"/>
              <w:ind w:left="0" w:right="0"/>
              <w:rPr>
                <w:rFonts w:hint="default" w:asciiTheme="minorEastAsia" w:hAnsiTheme="minorEastAsia" w:eastAsiaTheme="minorEastAsia"/>
                <w:color w:val="000000" w:themeColor="text1"/>
                <w:sz w:val="21"/>
                <w:szCs w:val="21"/>
                <w:highlight w:val="none"/>
                <w14:textFill>
                  <w14:solidFill>
                    <w14:schemeClr w14:val="tx1"/>
                  </w14:solidFill>
                </w14:textFill>
              </w:rPr>
            </w:pPr>
          </w:p>
          <w:p>
            <w:pPr>
              <w:pStyle w:val="20"/>
              <w:keepNext w:val="0"/>
              <w:keepLines w:val="0"/>
              <w:suppressLineNumbers w:val="0"/>
              <w:shd w:val="clear"/>
              <w:spacing w:before="0" w:beforeAutospacing="0" w:after="0" w:afterAutospacing="0" w:line="300" w:lineRule="exact"/>
              <w:ind w:left="7" w:right="0"/>
              <w:rPr>
                <w:rFonts w:hint="default" w:asciiTheme="minorEastAsia" w:hAnsiTheme="minorEastAsia" w:eastAsiaTheme="minorEastAsia"/>
                <w:color w:val="000000" w:themeColor="text1"/>
                <w:spacing w:val="-4"/>
                <w:sz w:val="21"/>
                <w:szCs w:val="21"/>
                <w:highlight w:val="none"/>
                <w14:textFill>
                  <w14:solidFill>
                    <w14:schemeClr w14:val="tx1"/>
                  </w14:solidFill>
                </w14:textFill>
              </w:rPr>
            </w:pPr>
            <w:r>
              <w:rPr>
                <w:rFonts w:hint="default" w:asciiTheme="minorEastAsia" w:hAnsiTheme="minorEastAsia" w:eastAsiaTheme="minorEastAsia"/>
                <w:color w:val="000000" w:themeColor="text1"/>
                <w:spacing w:val="-4"/>
                <w:sz w:val="21"/>
                <w:szCs w:val="21"/>
                <w:highlight w:val="none"/>
                <w14:textFill>
                  <w14:solidFill>
                    <w14:schemeClr w14:val="tx1"/>
                  </w14:solidFill>
                </w14:textFill>
              </w:rPr>
              <w:t>34.5</w:t>
            </w:r>
          </w:p>
        </w:tc>
        <w:tc>
          <w:tcPr>
            <w:tcW w:w="1696" w:type="dxa"/>
            <w:tcBorders>
              <w:top w:val="single" w:color="000000" w:sz="2" w:space="0"/>
              <w:left w:val="single" w:color="000000" w:sz="2" w:space="0"/>
              <w:bottom w:val="single" w:color="000000" w:sz="2" w:space="0"/>
              <w:right w:val="single" w:color="000000" w:sz="2" w:space="0"/>
            </w:tcBorders>
          </w:tcPr>
          <w:p>
            <w:pPr>
              <w:pStyle w:val="20"/>
              <w:keepNext w:val="0"/>
              <w:keepLines w:val="0"/>
              <w:suppressLineNumbers w:val="0"/>
              <w:shd w:val="clear"/>
              <w:spacing w:before="0" w:beforeAutospacing="0" w:after="0" w:afterAutospacing="0" w:line="300" w:lineRule="exact"/>
              <w:ind w:left="0" w:right="0"/>
              <w:rPr>
                <w:rFonts w:hint="default" w:asciiTheme="minorEastAsia" w:hAnsiTheme="minorEastAsia" w:eastAsiaTheme="minorEastAsia"/>
                <w:color w:val="000000" w:themeColor="text1"/>
                <w:sz w:val="21"/>
                <w:szCs w:val="21"/>
                <w:highlight w:val="none"/>
                <w14:textFill>
                  <w14:solidFill>
                    <w14:schemeClr w14:val="tx1"/>
                  </w14:solidFill>
                </w14:textFill>
              </w:rPr>
            </w:pPr>
          </w:p>
          <w:p>
            <w:pPr>
              <w:pStyle w:val="20"/>
              <w:keepNext w:val="0"/>
              <w:keepLines w:val="0"/>
              <w:suppressLineNumbers w:val="0"/>
              <w:shd w:val="clear"/>
              <w:spacing w:before="0" w:beforeAutospacing="0" w:after="0" w:afterAutospacing="0" w:line="300" w:lineRule="exact"/>
              <w:ind w:left="0" w:right="0"/>
              <w:rPr>
                <w:rFonts w:hint="default" w:asciiTheme="minorEastAsia" w:hAnsiTheme="minorEastAsia" w:eastAsiaTheme="minorEastAsia"/>
                <w:color w:val="000000" w:themeColor="text1"/>
                <w:sz w:val="21"/>
                <w:szCs w:val="21"/>
                <w:highlight w:val="none"/>
                <w14:textFill>
                  <w14:solidFill>
                    <w14:schemeClr w14:val="tx1"/>
                  </w14:solidFill>
                </w14:textFill>
              </w:rPr>
            </w:pPr>
          </w:p>
          <w:p>
            <w:pPr>
              <w:pStyle w:val="20"/>
              <w:keepNext w:val="0"/>
              <w:keepLines w:val="0"/>
              <w:suppressLineNumbers w:val="0"/>
              <w:shd w:val="clear"/>
              <w:spacing w:before="0" w:beforeAutospacing="0" w:after="0" w:afterAutospacing="0" w:line="300" w:lineRule="exact"/>
              <w:ind w:left="109" w:right="0"/>
              <w:rPr>
                <w:rFonts w:hint="default" w:asciiTheme="minorEastAsia" w:hAnsiTheme="minorEastAsia" w:eastAsiaTheme="minorEastAsia"/>
                <w:color w:val="000000" w:themeColor="text1"/>
                <w:spacing w:val="-2"/>
                <w:sz w:val="21"/>
                <w:szCs w:val="21"/>
                <w:highlight w:val="none"/>
                <w14:textFill>
                  <w14:solidFill>
                    <w14:schemeClr w14:val="tx1"/>
                  </w14:solidFill>
                </w14:textFill>
              </w:rPr>
            </w:pPr>
            <w:r>
              <w:rPr>
                <w:rFonts w:hint="default" w:asciiTheme="minorEastAsia" w:hAnsiTheme="minorEastAsia" w:eastAsiaTheme="minorEastAsia"/>
                <w:color w:val="000000" w:themeColor="text1"/>
                <w:spacing w:val="-2"/>
                <w:sz w:val="21"/>
                <w:szCs w:val="21"/>
                <w:highlight w:val="none"/>
                <w14:textFill>
                  <w14:solidFill>
                    <w14:schemeClr w14:val="tx1"/>
                  </w14:solidFill>
                </w14:textFill>
              </w:rPr>
              <w:t>中标后分包</w:t>
            </w:r>
          </w:p>
        </w:tc>
        <w:tc>
          <w:tcPr>
            <w:tcW w:w="6876" w:type="dxa"/>
            <w:tcBorders>
              <w:top w:val="single" w:color="000000" w:sz="2" w:space="0"/>
              <w:left w:val="single" w:color="000000" w:sz="2" w:space="0"/>
              <w:bottom w:val="single" w:color="000000" w:sz="2" w:space="0"/>
              <w:right w:val="single" w:color="000000" w:sz="2" w:space="0"/>
            </w:tcBorders>
          </w:tcPr>
          <w:p>
            <w:pPr>
              <w:pStyle w:val="20"/>
              <w:keepNext w:val="0"/>
              <w:keepLines w:val="0"/>
              <w:suppressLineNumbers w:val="0"/>
              <w:shd w:val="clear"/>
              <w:spacing w:before="0" w:beforeAutospacing="0" w:after="0" w:afterAutospacing="0" w:line="300" w:lineRule="exact"/>
              <w:ind w:left="111" w:right="0"/>
              <w:rPr>
                <w:rFonts w:hint="default" w:asciiTheme="minorEastAsia" w:hAnsiTheme="minorEastAsia" w:eastAsiaTheme="minorEastAsia"/>
                <w:color w:val="000000" w:themeColor="text1"/>
                <w:sz w:val="21"/>
                <w:szCs w:val="21"/>
                <w:highlight w:val="none"/>
                <w14:textFill>
                  <w14:solidFill>
                    <w14:schemeClr w14:val="tx1"/>
                  </w14:solidFill>
                </w14:textFill>
              </w:rPr>
            </w:pPr>
            <w:r>
              <w:rPr>
                <w:rFonts w:hint="default" w:asciiTheme="minorEastAsia" w:hAnsiTheme="minorEastAsia" w:eastAsiaTheme="minorEastAsia"/>
                <w:color w:val="000000" w:themeColor="text1"/>
                <w:spacing w:val="-1"/>
                <w:sz w:val="21"/>
                <w:szCs w:val="21"/>
                <w:highlight w:val="none"/>
                <w14:textFill>
                  <w14:solidFill>
                    <w14:schemeClr w14:val="tx1"/>
                  </w14:solidFill>
                </w14:textFill>
              </w:rPr>
              <w:t>本项目的非主体、非关键性工作是否允许分包：</w:t>
            </w:r>
          </w:p>
          <w:p>
            <w:pPr>
              <w:pStyle w:val="20"/>
              <w:keepNext w:val="0"/>
              <w:keepLines w:val="0"/>
              <w:suppressLineNumbers w:val="0"/>
              <w:shd w:val="clear"/>
              <w:spacing w:before="0" w:beforeAutospacing="0" w:after="0" w:afterAutospacing="0" w:line="300" w:lineRule="exact"/>
              <w:ind w:left="591" w:right="0"/>
              <w:rPr>
                <w:rFonts w:hint="default" w:asciiTheme="minorEastAsia" w:hAnsiTheme="minorEastAsia" w:eastAsiaTheme="minorEastAsia"/>
                <w:color w:val="000000" w:themeColor="text1"/>
                <w:sz w:val="21"/>
                <w:szCs w:val="21"/>
                <w:highlight w:val="none"/>
                <w14:textFill>
                  <w14:solidFill>
                    <w14:schemeClr w14:val="tx1"/>
                  </w14:solidFill>
                </w14:textFill>
              </w:rPr>
            </w:pPr>
            <w:r>
              <w:rPr>
                <w:rFonts w:hint="default" w:asciiTheme="minorEastAsia" w:hAnsiTheme="minorEastAsia" w:eastAsiaTheme="minorEastAsia"/>
                <w:color w:val="000000" w:themeColor="text1"/>
                <w:spacing w:val="-3"/>
                <w:sz w:val="21"/>
                <w:szCs w:val="21"/>
                <w:highlight w:val="none"/>
                <w14:textFill>
                  <w14:solidFill>
                    <w14:schemeClr w14:val="tx1"/>
                  </w14:solidFill>
                </w14:textFill>
              </w:rPr>
              <w:sym w:font="Wingdings 2" w:char="0052"/>
            </w:r>
            <w:r>
              <w:rPr>
                <w:rFonts w:hint="default" w:asciiTheme="minorEastAsia" w:hAnsiTheme="minorEastAsia" w:eastAsiaTheme="minorEastAsia"/>
                <w:color w:val="000000" w:themeColor="text1"/>
                <w:spacing w:val="-3"/>
                <w:sz w:val="21"/>
                <w:szCs w:val="21"/>
                <w:highlight w:val="none"/>
                <w14:textFill>
                  <w14:solidFill>
                    <w14:schemeClr w14:val="tx1"/>
                  </w14:solidFill>
                </w14:textFill>
              </w:rPr>
              <w:t>不允许</w:t>
            </w:r>
          </w:p>
          <w:p>
            <w:pPr>
              <w:pStyle w:val="20"/>
              <w:keepNext w:val="0"/>
              <w:keepLines w:val="0"/>
              <w:suppressLineNumbers w:val="0"/>
              <w:shd w:val="clear"/>
              <w:spacing w:before="0" w:beforeAutospacing="0" w:after="0" w:afterAutospacing="0" w:line="300" w:lineRule="exact"/>
              <w:ind w:left="591" w:right="0"/>
              <w:rPr>
                <w:rFonts w:hint="default" w:asciiTheme="minorEastAsia" w:hAnsiTheme="minorEastAsia" w:eastAsiaTheme="minorEastAsia"/>
                <w:color w:val="000000" w:themeColor="text1"/>
                <w:sz w:val="21"/>
                <w:szCs w:val="21"/>
                <w:highlight w:val="none"/>
                <w14:textFill>
                  <w14:solidFill>
                    <w14:schemeClr w14:val="tx1"/>
                  </w14:solidFill>
                </w14:textFill>
              </w:rPr>
            </w:pPr>
            <w:r>
              <w:rPr>
                <w:rFonts w:hint="default" w:asciiTheme="minorEastAsia" w:hAnsiTheme="minorEastAsia" w:eastAsiaTheme="minorEastAsia"/>
                <w:color w:val="000000" w:themeColor="text1"/>
                <w:spacing w:val="-2"/>
                <w:sz w:val="21"/>
                <w:szCs w:val="21"/>
                <w:highlight w:val="none"/>
                <w14:textFill>
                  <w14:solidFill>
                    <w14:schemeClr w14:val="tx1"/>
                  </w14:solidFill>
                </w14:textFill>
              </w:rPr>
              <w:t>□允许，具体要求：</w:t>
            </w:r>
          </w:p>
          <w:p>
            <w:pPr>
              <w:pStyle w:val="20"/>
              <w:keepNext w:val="0"/>
              <w:keepLines w:val="0"/>
              <w:numPr>
                <w:ilvl w:val="0"/>
                <w:numId w:val="9"/>
              </w:numPr>
              <w:suppressLineNumbers w:val="0"/>
              <w:shd w:val="clear"/>
              <w:tabs>
                <w:tab w:val="left" w:pos="951"/>
                <w:tab w:val="left" w:pos="4431"/>
              </w:tabs>
              <w:spacing w:before="0" w:beforeAutospacing="0" w:after="0" w:afterAutospacing="0" w:line="300" w:lineRule="exact"/>
              <w:ind w:left="951" w:right="0" w:hanging="240"/>
              <w:rPr>
                <w:rFonts w:hint="default" w:asciiTheme="minorEastAsia" w:hAnsiTheme="minorEastAsia" w:eastAsiaTheme="minorEastAsia"/>
                <w:color w:val="000000" w:themeColor="text1"/>
                <w:sz w:val="21"/>
                <w:szCs w:val="21"/>
                <w:highlight w:val="none"/>
                <w14:textFill>
                  <w14:solidFill>
                    <w14:schemeClr w14:val="tx1"/>
                  </w14:solidFill>
                </w14:textFill>
              </w:rPr>
            </w:pPr>
            <w:r>
              <w:rPr>
                <w:rFonts w:hint="default" w:asciiTheme="minorEastAsia" w:hAnsiTheme="minorEastAsia" w:eastAsiaTheme="minorEastAsia"/>
                <w:color w:val="000000" w:themeColor="text1"/>
                <w:sz w:val="21"/>
                <w:szCs w:val="21"/>
                <w:highlight w:val="none"/>
                <w14:textFill>
                  <w14:solidFill>
                    <w14:schemeClr w14:val="tx1"/>
                  </w14:solidFill>
                </w14:textFill>
              </w:rPr>
              <w:t>可以分包履行的具体内容</w:t>
            </w:r>
            <w:r>
              <w:rPr>
                <w:rFonts w:hint="default" w:asciiTheme="minorEastAsia" w:hAnsiTheme="minorEastAsia" w:eastAsiaTheme="minorEastAsia"/>
                <w:color w:val="000000" w:themeColor="text1"/>
                <w:spacing w:val="-10"/>
                <w:sz w:val="21"/>
                <w:szCs w:val="21"/>
                <w:highlight w:val="none"/>
                <w14:textFill>
                  <w14:solidFill>
                    <w14:schemeClr w14:val="tx1"/>
                  </w14:solidFill>
                </w14:textFill>
              </w:rPr>
              <w:t>：</w:t>
            </w:r>
            <w:r>
              <w:rPr>
                <w:rFonts w:hint="default" w:asciiTheme="minorEastAsia" w:hAnsiTheme="minorEastAsia" w:eastAsiaTheme="minorEastAsia"/>
                <w:color w:val="000000" w:themeColor="text1"/>
                <w:sz w:val="21"/>
                <w:szCs w:val="21"/>
                <w:highlight w:val="none"/>
                <w:u w:val="single"/>
                <w14:textFill>
                  <w14:solidFill>
                    <w14:schemeClr w14:val="tx1"/>
                  </w14:solidFill>
                </w14:textFill>
              </w:rPr>
              <w:tab/>
            </w:r>
            <w:r>
              <w:rPr>
                <w:rFonts w:hint="default" w:asciiTheme="minorEastAsia" w:hAnsiTheme="minorEastAsia" w:eastAsiaTheme="minorEastAsia"/>
                <w:color w:val="000000" w:themeColor="text1"/>
                <w:spacing w:val="-10"/>
                <w:sz w:val="21"/>
                <w:szCs w:val="21"/>
                <w:highlight w:val="none"/>
                <w14:textFill>
                  <w14:solidFill>
                    <w14:schemeClr w14:val="tx1"/>
                  </w14:solidFill>
                </w14:textFill>
              </w:rPr>
              <w:t>；</w:t>
            </w:r>
          </w:p>
          <w:p>
            <w:pPr>
              <w:pStyle w:val="20"/>
              <w:keepNext w:val="0"/>
              <w:keepLines w:val="0"/>
              <w:numPr>
                <w:ilvl w:val="0"/>
                <w:numId w:val="9"/>
              </w:numPr>
              <w:suppressLineNumbers w:val="0"/>
              <w:shd w:val="clear"/>
              <w:tabs>
                <w:tab w:val="left" w:pos="951"/>
                <w:tab w:val="left" w:pos="4431"/>
              </w:tabs>
              <w:spacing w:before="0" w:beforeAutospacing="0" w:after="0" w:afterAutospacing="0" w:line="300" w:lineRule="exact"/>
              <w:ind w:left="951" w:right="0" w:hanging="240"/>
              <w:rPr>
                <w:rFonts w:hint="default" w:asciiTheme="minorEastAsia" w:hAnsiTheme="minorEastAsia" w:eastAsiaTheme="minorEastAsia"/>
                <w:color w:val="000000" w:themeColor="text1"/>
                <w:sz w:val="21"/>
                <w:szCs w:val="21"/>
                <w:highlight w:val="none"/>
                <w14:textFill>
                  <w14:solidFill>
                    <w14:schemeClr w14:val="tx1"/>
                  </w14:solidFill>
                </w14:textFill>
              </w:rPr>
            </w:pPr>
            <w:r>
              <w:rPr>
                <w:rFonts w:hint="default" w:asciiTheme="minorEastAsia" w:hAnsiTheme="minorEastAsia" w:eastAsiaTheme="minorEastAsia"/>
                <w:color w:val="000000" w:themeColor="text1"/>
                <w:sz w:val="21"/>
                <w:szCs w:val="21"/>
                <w:highlight w:val="none"/>
                <w14:textFill>
                  <w14:solidFill>
                    <w14:schemeClr w14:val="tx1"/>
                  </w14:solidFill>
                </w14:textFill>
              </w:rPr>
              <w:t>允许分包的金额或者比例</w:t>
            </w:r>
            <w:r>
              <w:rPr>
                <w:rFonts w:hint="default" w:asciiTheme="minorEastAsia" w:hAnsiTheme="minorEastAsia" w:eastAsiaTheme="minorEastAsia"/>
                <w:color w:val="000000" w:themeColor="text1"/>
                <w:spacing w:val="-10"/>
                <w:sz w:val="21"/>
                <w:szCs w:val="21"/>
                <w:highlight w:val="none"/>
                <w14:textFill>
                  <w14:solidFill>
                    <w14:schemeClr w14:val="tx1"/>
                  </w14:solidFill>
                </w14:textFill>
              </w:rPr>
              <w:t>：</w:t>
            </w:r>
            <w:r>
              <w:rPr>
                <w:rFonts w:hint="default" w:asciiTheme="minorEastAsia" w:hAnsiTheme="minorEastAsia" w:eastAsiaTheme="minorEastAsia"/>
                <w:color w:val="000000" w:themeColor="text1"/>
                <w:sz w:val="21"/>
                <w:szCs w:val="21"/>
                <w:highlight w:val="none"/>
                <w:u w:val="single"/>
                <w14:textFill>
                  <w14:solidFill>
                    <w14:schemeClr w14:val="tx1"/>
                  </w14:solidFill>
                </w14:textFill>
              </w:rPr>
              <w:tab/>
            </w:r>
            <w:r>
              <w:rPr>
                <w:rFonts w:hint="default" w:asciiTheme="minorEastAsia" w:hAnsiTheme="minorEastAsia" w:eastAsiaTheme="minorEastAsia"/>
                <w:color w:val="000000" w:themeColor="text1"/>
                <w:spacing w:val="-10"/>
                <w:sz w:val="21"/>
                <w:szCs w:val="21"/>
                <w:highlight w:val="none"/>
                <w14:textFill>
                  <w14:solidFill>
                    <w14:schemeClr w14:val="tx1"/>
                  </w14:solidFill>
                </w14:textFill>
              </w:rPr>
              <w:t>；</w:t>
            </w:r>
          </w:p>
          <w:p>
            <w:pPr>
              <w:pStyle w:val="20"/>
              <w:keepNext w:val="0"/>
              <w:keepLines w:val="0"/>
              <w:numPr>
                <w:ilvl w:val="0"/>
                <w:numId w:val="9"/>
              </w:numPr>
              <w:suppressLineNumbers w:val="0"/>
              <w:shd w:val="clear"/>
              <w:tabs>
                <w:tab w:val="left" w:pos="951"/>
                <w:tab w:val="left" w:pos="2751"/>
              </w:tabs>
              <w:spacing w:before="0" w:beforeAutospacing="0" w:after="0" w:afterAutospacing="0" w:line="300" w:lineRule="exact"/>
              <w:ind w:left="951" w:right="0" w:hanging="240"/>
              <w:rPr>
                <w:rFonts w:hint="default" w:asciiTheme="minorEastAsia" w:hAnsiTheme="minorEastAsia" w:eastAsiaTheme="minorEastAsia"/>
                <w:color w:val="000000" w:themeColor="text1"/>
                <w:spacing w:val="-4"/>
                <w:sz w:val="21"/>
                <w:szCs w:val="21"/>
                <w:highlight w:val="none"/>
                <w14:textFill>
                  <w14:solidFill>
                    <w14:schemeClr w14:val="tx1"/>
                  </w14:solidFill>
                </w14:textFill>
              </w:rPr>
            </w:pPr>
            <w:r>
              <w:rPr>
                <w:rFonts w:hint="default" w:asciiTheme="minorEastAsia" w:hAnsiTheme="minorEastAsia" w:eastAsiaTheme="minorEastAsia"/>
                <w:color w:val="000000" w:themeColor="text1"/>
                <w:sz w:val="21"/>
                <w:szCs w:val="21"/>
                <w:highlight w:val="none"/>
                <w14:textFill>
                  <w14:solidFill>
                    <w14:schemeClr w14:val="tx1"/>
                  </w14:solidFill>
                </w14:textFill>
              </w:rPr>
              <w:t>其他要求</w:t>
            </w:r>
            <w:r>
              <w:rPr>
                <w:rFonts w:hint="default" w:asciiTheme="minorEastAsia" w:hAnsiTheme="minorEastAsia" w:eastAsiaTheme="minorEastAsia"/>
                <w:color w:val="000000" w:themeColor="text1"/>
                <w:spacing w:val="-10"/>
                <w:sz w:val="21"/>
                <w:szCs w:val="21"/>
                <w:highlight w:val="none"/>
                <w14:textFill>
                  <w14:solidFill>
                    <w14:schemeClr w14:val="tx1"/>
                  </w14:solidFill>
                </w14:textFill>
              </w:rPr>
              <w:t>：</w:t>
            </w:r>
            <w:r>
              <w:rPr>
                <w:rFonts w:hint="default" w:asciiTheme="minorEastAsia" w:hAnsiTheme="minorEastAsia" w:eastAsiaTheme="minorEastAsia"/>
                <w:color w:val="000000" w:themeColor="text1"/>
                <w:sz w:val="21"/>
                <w:szCs w:val="21"/>
                <w:highlight w:val="none"/>
                <w:u w:val="single"/>
                <w14:textFill>
                  <w14:solidFill>
                    <w14:schemeClr w14:val="tx1"/>
                  </w14:solidFill>
                </w14:textFill>
              </w:rPr>
              <w:tab/>
            </w:r>
            <w:r>
              <w:rPr>
                <w:rFonts w:hint="default" w:asciiTheme="minorEastAsia" w:hAnsiTheme="minorEastAsia" w:eastAsiaTheme="minorEastAsia"/>
                <w:color w:val="000000" w:themeColor="text1"/>
                <w:spacing w:val="-10"/>
                <w:sz w:val="21"/>
                <w:szCs w:val="2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4" w:hRule="atLeast"/>
        </w:trPr>
        <w:tc>
          <w:tcPr>
            <w:tcW w:w="947" w:type="dxa"/>
            <w:tcBorders>
              <w:top w:val="single" w:color="000000" w:sz="2" w:space="0"/>
              <w:left w:val="single" w:color="000000" w:sz="2" w:space="0"/>
              <w:bottom w:val="single" w:color="000000" w:sz="2" w:space="0"/>
              <w:right w:val="single" w:color="000000" w:sz="2" w:space="0"/>
            </w:tcBorders>
          </w:tcPr>
          <w:p>
            <w:pPr>
              <w:pStyle w:val="20"/>
              <w:keepNext w:val="0"/>
              <w:keepLines w:val="0"/>
              <w:suppressLineNumbers w:val="0"/>
              <w:shd w:val="clear"/>
              <w:spacing w:before="0" w:beforeAutospacing="0" w:after="0" w:afterAutospacing="0" w:line="300" w:lineRule="exact"/>
              <w:ind w:left="0" w:right="0"/>
              <w:rPr>
                <w:rFonts w:hint="default" w:asciiTheme="minorEastAsia" w:hAnsiTheme="minorEastAsia" w:eastAsiaTheme="minorEastAsia"/>
                <w:color w:val="000000" w:themeColor="text1"/>
                <w:sz w:val="21"/>
                <w:szCs w:val="21"/>
                <w:highlight w:val="none"/>
                <w14:textFill>
                  <w14:solidFill>
                    <w14:schemeClr w14:val="tx1"/>
                  </w14:solidFill>
                </w14:textFill>
              </w:rPr>
            </w:pPr>
          </w:p>
          <w:p>
            <w:pPr>
              <w:pStyle w:val="20"/>
              <w:keepNext w:val="0"/>
              <w:keepLines w:val="0"/>
              <w:suppressLineNumbers w:val="0"/>
              <w:shd w:val="clear"/>
              <w:spacing w:before="0" w:beforeAutospacing="0" w:after="0" w:afterAutospacing="0" w:line="300" w:lineRule="exact"/>
              <w:ind w:left="7" w:right="0"/>
              <w:rPr>
                <w:rFonts w:hint="default" w:asciiTheme="minorEastAsia" w:hAnsiTheme="minorEastAsia" w:eastAsiaTheme="minorEastAsia"/>
                <w:color w:val="000000" w:themeColor="text1"/>
                <w:spacing w:val="-4"/>
                <w:sz w:val="21"/>
                <w:szCs w:val="21"/>
                <w:highlight w:val="none"/>
                <w14:textFill>
                  <w14:solidFill>
                    <w14:schemeClr w14:val="tx1"/>
                  </w14:solidFill>
                </w14:textFill>
              </w:rPr>
            </w:pPr>
            <w:r>
              <w:rPr>
                <w:rFonts w:hint="default" w:asciiTheme="minorEastAsia" w:hAnsiTheme="minorEastAsia" w:eastAsiaTheme="minorEastAsia"/>
                <w:color w:val="000000" w:themeColor="text1"/>
                <w:spacing w:val="-4"/>
                <w:sz w:val="21"/>
                <w:szCs w:val="21"/>
                <w:highlight w:val="none"/>
                <w14:textFill>
                  <w14:solidFill>
                    <w14:schemeClr w14:val="tx1"/>
                  </w14:solidFill>
                </w14:textFill>
              </w:rPr>
              <w:t>35.1</w:t>
            </w:r>
          </w:p>
        </w:tc>
        <w:tc>
          <w:tcPr>
            <w:tcW w:w="1696" w:type="dxa"/>
            <w:tcBorders>
              <w:top w:val="single" w:color="000000" w:sz="2" w:space="0"/>
              <w:left w:val="single" w:color="000000" w:sz="2" w:space="0"/>
              <w:bottom w:val="single" w:color="000000" w:sz="2" w:space="0"/>
              <w:right w:val="single" w:color="000000" w:sz="2" w:space="0"/>
            </w:tcBorders>
          </w:tcPr>
          <w:p>
            <w:pPr>
              <w:pStyle w:val="20"/>
              <w:keepNext w:val="0"/>
              <w:keepLines w:val="0"/>
              <w:suppressLineNumbers w:val="0"/>
              <w:shd w:val="clear"/>
              <w:spacing w:before="0" w:beforeAutospacing="0" w:after="0" w:afterAutospacing="0" w:line="300" w:lineRule="exact"/>
              <w:ind w:left="0" w:right="0"/>
              <w:rPr>
                <w:rFonts w:hint="default" w:asciiTheme="minorEastAsia" w:hAnsiTheme="minorEastAsia" w:eastAsiaTheme="minorEastAsia"/>
                <w:color w:val="000000" w:themeColor="text1"/>
                <w:sz w:val="21"/>
                <w:szCs w:val="21"/>
                <w:highlight w:val="none"/>
                <w14:textFill>
                  <w14:solidFill>
                    <w14:schemeClr w14:val="tx1"/>
                  </w14:solidFill>
                </w14:textFill>
              </w:rPr>
            </w:pPr>
          </w:p>
          <w:p>
            <w:pPr>
              <w:pStyle w:val="20"/>
              <w:keepNext w:val="0"/>
              <w:keepLines w:val="0"/>
              <w:suppressLineNumbers w:val="0"/>
              <w:shd w:val="clear"/>
              <w:spacing w:before="0" w:beforeAutospacing="0" w:after="0" w:afterAutospacing="0" w:line="300" w:lineRule="exact"/>
              <w:ind w:left="109" w:right="0"/>
              <w:rPr>
                <w:rFonts w:hint="default" w:asciiTheme="minorEastAsia" w:hAnsiTheme="minorEastAsia" w:eastAsiaTheme="minorEastAsia"/>
                <w:color w:val="000000" w:themeColor="text1"/>
                <w:spacing w:val="-2"/>
                <w:sz w:val="21"/>
                <w:szCs w:val="21"/>
                <w:highlight w:val="none"/>
                <w14:textFill>
                  <w14:solidFill>
                    <w14:schemeClr w14:val="tx1"/>
                  </w14:solidFill>
                </w14:textFill>
              </w:rPr>
            </w:pPr>
            <w:r>
              <w:rPr>
                <w:rFonts w:hint="default" w:asciiTheme="minorEastAsia" w:hAnsiTheme="minorEastAsia" w:eastAsiaTheme="minorEastAsia"/>
                <w:color w:val="000000" w:themeColor="text1"/>
                <w:spacing w:val="-5"/>
                <w:sz w:val="21"/>
                <w:szCs w:val="21"/>
                <w:highlight w:val="none"/>
                <w14:textFill>
                  <w14:solidFill>
                    <w14:schemeClr w14:val="tx1"/>
                  </w14:solidFill>
                </w14:textFill>
              </w:rPr>
              <w:t>质疑</w:t>
            </w:r>
          </w:p>
        </w:tc>
        <w:tc>
          <w:tcPr>
            <w:tcW w:w="6876" w:type="dxa"/>
            <w:tcBorders>
              <w:top w:val="single" w:color="000000" w:sz="2" w:space="0"/>
              <w:left w:val="single" w:color="000000" w:sz="2" w:space="0"/>
              <w:bottom w:val="single" w:color="000000" w:sz="2" w:space="0"/>
              <w:right w:val="single" w:color="000000" w:sz="2" w:space="0"/>
            </w:tcBorders>
          </w:tcPr>
          <w:p>
            <w:pPr>
              <w:pStyle w:val="20"/>
              <w:keepNext w:val="0"/>
              <w:keepLines w:val="0"/>
              <w:suppressLineNumbers w:val="0"/>
              <w:shd w:val="clear"/>
              <w:tabs>
                <w:tab w:val="left" w:pos="6160"/>
              </w:tabs>
              <w:spacing w:before="0" w:beforeAutospacing="0" w:after="0" w:afterAutospacing="0" w:line="300" w:lineRule="exact"/>
              <w:ind w:left="111" w:right="316"/>
              <w:rPr>
                <w:rFonts w:hint="default" w:asciiTheme="minorEastAsia" w:hAnsiTheme="minorEastAsia" w:eastAsiaTheme="minorEastAsia"/>
                <w:color w:val="000000" w:themeColor="text1"/>
                <w:spacing w:val="-2"/>
                <w:sz w:val="21"/>
                <w:szCs w:val="21"/>
                <w:highlight w:val="none"/>
                <w14:textFill>
                  <w14:solidFill>
                    <w14:schemeClr w14:val="tx1"/>
                  </w14:solidFill>
                </w14:textFill>
              </w:rPr>
            </w:pPr>
            <w:r>
              <w:rPr>
                <w:rFonts w:hint="default" w:asciiTheme="minorEastAsia" w:hAnsiTheme="minorEastAsia" w:eastAsiaTheme="minorEastAsia"/>
                <w:color w:val="000000" w:themeColor="text1"/>
                <w:spacing w:val="-2"/>
                <w:sz w:val="21"/>
                <w:szCs w:val="21"/>
                <w:highlight w:val="none"/>
                <w14:textFill>
                  <w14:solidFill>
                    <w14:schemeClr w14:val="tx1"/>
                  </w14:solidFill>
                </w14:textFill>
              </w:rPr>
              <w:t>递交方式：</w:t>
            </w:r>
            <w:r>
              <w:rPr>
                <w:rFonts w:hint="eastAsia" w:asciiTheme="minorEastAsia" w:hAnsiTheme="minorEastAsia" w:eastAsiaTheme="minorEastAsia"/>
                <w:color w:val="000000" w:themeColor="text1"/>
                <w:spacing w:val="-2"/>
                <w:sz w:val="21"/>
                <w:szCs w:val="21"/>
                <w:highlight w:val="none"/>
                <w14:textFill>
                  <w14:solidFill>
                    <w14:schemeClr w14:val="tx1"/>
                  </w14:solidFill>
                </w14:textFill>
              </w:rPr>
              <w:t>书面及电子文档递交</w:t>
            </w:r>
          </w:p>
          <w:p>
            <w:pPr>
              <w:pStyle w:val="20"/>
              <w:keepNext w:val="0"/>
              <w:keepLines w:val="0"/>
              <w:suppressLineNumbers w:val="0"/>
              <w:shd w:val="clear"/>
              <w:tabs>
                <w:tab w:val="left" w:pos="5280"/>
              </w:tabs>
              <w:spacing w:before="0" w:beforeAutospacing="0" w:after="0" w:afterAutospacing="0" w:line="300" w:lineRule="exact"/>
              <w:ind w:left="111" w:right="1856"/>
              <w:rPr>
                <w:rFonts w:hint="default" w:asciiTheme="minorEastAsia" w:hAnsiTheme="minorEastAsia" w:eastAsiaTheme="minorEastAsia"/>
                <w:color w:val="000000" w:themeColor="text1"/>
                <w:spacing w:val="-2"/>
                <w:sz w:val="21"/>
                <w:szCs w:val="21"/>
                <w:highlight w:val="none"/>
                <w14:textFill>
                  <w14:solidFill>
                    <w14:schemeClr w14:val="tx1"/>
                  </w14:solidFill>
                </w14:textFill>
              </w:rPr>
            </w:pPr>
            <w:r>
              <w:rPr>
                <w:rFonts w:hint="default" w:asciiTheme="minorEastAsia" w:hAnsiTheme="minorEastAsia" w:eastAsiaTheme="minorEastAsia"/>
                <w:color w:val="000000" w:themeColor="text1"/>
                <w:spacing w:val="-2"/>
                <w:sz w:val="21"/>
                <w:szCs w:val="21"/>
                <w:highlight w:val="none"/>
                <w14:textFill>
                  <w14:solidFill>
                    <w14:schemeClr w14:val="tx1"/>
                  </w14:solidFill>
                </w14:textFill>
              </w:rPr>
              <w:t>接收部门：</w:t>
            </w:r>
            <w:r>
              <w:rPr>
                <w:rFonts w:hint="eastAsia" w:asciiTheme="minorEastAsia" w:hAnsiTheme="minorEastAsia" w:eastAsiaTheme="minorEastAsia"/>
                <w:color w:val="000000" w:themeColor="text1"/>
                <w:spacing w:val="-2"/>
                <w:sz w:val="21"/>
                <w:szCs w:val="21"/>
                <w:highlight w:val="none"/>
                <w14:textFill>
                  <w14:solidFill>
                    <w14:schemeClr w14:val="tx1"/>
                  </w14:solidFill>
                </w14:textFill>
              </w:rPr>
              <w:t>招标人或代理机构</w:t>
            </w:r>
          </w:p>
          <w:p>
            <w:pPr>
              <w:pStyle w:val="20"/>
              <w:keepNext w:val="0"/>
              <w:keepLines w:val="0"/>
              <w:suppressLineNumbers w:val="0"/>
              <w:shd w:val="clear"/>
              <w:tabs>
                <w:tab w:val="left" w:pos="5280"/>
              </w:tabs>
              <w:spacing w:before="0" w:beforeAutospacing="0" w:after="0" w:afterAutospacing="0" w:line="300" w:lineRule="exact"/>
              <w:ind w:left="111" w:right="316"/>
              <w:rPr>
                <w:rFonts w:hint="default" w:asciiTheme="minorEastAsia" w:hAnsiTheme="minorEastAsia" w:eastAsiaTheme="minorEastAsia"/>
                <w:color w:val="000000" w:themeColor="text1"/>
                <w:spacing w:val="-2"/>
                <w:sz w:val="21"/>
                <w:szCs w:val="21"/>
                <w:highlight w:val="none"/>
                <w14:textFill>
                  <w14:solidFill>
                    <w14:schemeClr w14:val="tx1"/>
                  </w14:solidFill>
                </w14:textFill>
              </w:rPr>
            </w:pPr>
            <w:r>
              <w:rPr>
                <w:rFonts w:hint="default" w:asciiTheme="minorEastAsia" w:hAnsiTheme="minorEastAsia" w:eastAsiaTheme="minorEastAsia"/>
                <w:color w:val="000000" w:themeColor="text1"/>
                <w:spacing w:val="-2"/>
                <w:sz w:val="21"/>
                <w:szCs w:val="21"/>
                <w:highlight w:val="none"/>
                <w14:textFill>
                  <w14:solidFill>
                    <w14:schemeClr w14:val="tx1"/>
                  </w14:solidFill>
                </w14:textFill>
              </w:rPr>
              <w:t>联系电话：</w:t>
            </w:r>
            <w:r>
              <w:rPr>
                <w:rFonts w:hint="eastAsia" w:asciiTheme="minorEastAsia" w:hAnsiTheme="minorEastAsia" w:eastAsiaTheme="minorEastAsia"/>
                <w:color w:val="000000" w:themeColor="text1"/>
                <w:spacing w:val="-2"/>
                <w:sz w:val="21"/>
                <w:szCs w:val="21"/>
                <w:highlight w:val="none"/>
                <w14:textFill>
                  <w14:solidFill>
                    <w14:schemeClr w14:val="tx1"/>
                  </w14:solidFill>
                </w14:textFill>
              </w:rPr>
              <w:t xml:space="preserve">13579862091、18001103117  </w:t>
            </w:r>
          </w:p>
          <w:p>
            <w:pPr>
              <w:pStyle w:val="20"/>
              <w:keepNext w:val="0"/>
              <w:keepLines w:val="0"/>
              <w:suppressLineNumbers w:val="0"/>
              <w:shd w:val="clear"/>
              <w:tabs>
                <w:tab w:val="left" w:pos="5280"/>
              </w:tabs>
              <w:spacing w:before="0" w:beforeAutospacing="0" w:after="0" w:afterAutospacing="0" w:line="300" w:lineRule="exact"/>
              <w:ind w:left="111" w:right="96"/>
              <w:rPr>
                <w:rFonts w:hint="default" w:asciiTheme="minorEastAsia" w:hAnsiTheme="minorEastAsia" w:eastAsiaTheme="minorEastAsia"/>
                <w:color w:val="000000" w:themeColor="text1"/>
                <w:spacing w:val="-4"/>
                <w:sz w:val="21"/>
                <w:szCs w:val="21"/>
                <w:highlight w:val="none"/>
                <w14:textFill>
                  <w14:solidFill>
                    <w14:schemeClr w14:val="tx1"/>
                  </w14:solidFill>
                </w14:textFill>
              </w:rPr>
            </w:pPr>
            <w:r>
              <w:rPr>
                <w:rFonts w:hint="default" w:asciiTheme="minorEastAsia" w:hAnsiTheme="minorEastAsia" w:eastAsiaTheme="minorEastAsia"/>
                <w:color w:val="000000" w:themeColor="text1"/>
                <w:sz w:val="21"/>
                <w:szCs w:val="21"/>
                <w:highlight w:val="none"/>
                <w14:textFill>
                  <w14:solidFill>
                    <w14:schemeClr w14:val="tx1"/>
                  </w14:solidFill>
                </w14:textFill>
              </w:rPr>
              <w:t>通讯地址</w:t>
            </w:r>
            <w:r>
              <w:rPr>
                <w:rFonts w:hint="default" w:asciiTheme="minorEastAsia" w:hAnsiTheme="minorEastAsia" w:eastAsiaTheme="minorEastAsia"/>
                <w:color w:val="000000" w:themeColor="text1"/>
                <w:spacing w:val="-10"/>
                <w:sz w:val="21"/>
                <w:szCs w:val="21"/>
                <w:highlight w:val="none"/>
                <w14:textFill>
                  <w14:solidFill>
                    <w14:schemeClr w14:val="tx1"/>
                  </w14:solidFill>
                </w14:textFill>
              </w:rPr>
              <w:t>：</w:t>
            </w:r>
            <w:r>
              <w:rPr>
                <w:rFonts w:hint="eastAsia" w:asciiTheme="minorEastAsia" w:hAnsiTheme="minorEastAsia" w:eastAsiaTheme="minorEastAsia"/>
                <w:color w:val="000000" w:themeColor="text1"/>
                <w:spacing w:val="-2"/>
                <w:sz w:val="21"/>
                <w:szCs w:val="21"/>
                <w:highlight w:val="none"/>
                <w14:textFill>
                  <w14:solidFill>
                    <w14:schemeClr w14:val="tx1"/>
                  </w14:solidFill>
                </w14:textFill>
              </w:rPr>
              <w:t>新疆乌鲁木齐高新区（新市区）四平路266号科创花苑B3办公1501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4" w:hRule="atLeast"/>
        </w:trPr>
        <w:tc>
          <w:tcPr>
            <w:tcW w:w="947" w:type="dxa"/>
            <w:tcBorders>
              <w:top w:val="single" w:color="000000" w:sz="2" w:space="0"/>
              <w:left w:val="single" w:color="000000" w:sz="2" w:space="0"/>
              <w:bottom w:val="single" w:color="000000" w:sz="2" w:space="0"/>
              <w:right w:val="single" w:color="000000" w:sz="2" w:space="0"/>
            </w:tcBorders>
          </w:tcPr>
          <w:p>
            <w:pPr>
              <w:pStyle w:val="20"/>
              <w:keepNext w:val="0"/>
              <w:keepLines w:val="0"/>
              <w:suppressLineNumbers w:val="0"/>
              <w:shd w:val="clear"/>
              <w:spacing w:before="0" w:beforeAutospacing="0" w:after="0" w:afterAutospacing="0" w:line="300" w:lineRule="exact"/>
              <w:ind w:left="0" w:right="0"/>
              <w:rPr>
                <w:rFonts w:hint="default" w:asciiTheme="minorEastAsia" w:hAnsiTheme="minorEastAsia" w:eastAsiaTheme="minorEastAsia"/>
                <w:color w:val="000000" w:themeColor="text1"/>
                <w:sz w:val="21"/>
                <w:szCs w:val="21"/>
                <w:highlight w:val="none"/>
                <w14:textFill>
                  <w14:solidFill>
                    <w14:schemeClr w14:val="tx1"/>
                  </w14:solidFill>
                </w14:textFill>
              </w:rPr>
            </w:pPr>
          </w:p>
          <w:p>
            <w:pPr>
              <w:pStyle w:val="20"/>
              <w:keepNext w:val="0"/>
              <w:keepLines w:val="0"/>
              <w:suppressLineNumbers w:val="0"/>
              <w:shd w:val="clear"/>
              <w:spacing w:before="0" w:beforeAutospacing="0" w:after="0" w:afterAutospacing="0" w:line="300" w:lineRule="exact"/>
              <w:ind w:left="7" w:right="0"/>
              <w:rPr>
                <w:rFonts w:hint="default" w:asciiTheme="minorEastAsia" w:hAnsiTheme="minorEastAsia" w:eastAsiaTheme="minorEastAsia"/>
                <w:color w:val="000000" w:themeColor="text1"/>
                <w:spacing w:val="-4"/>
                <w:sz w:val="21"/>
                <w:szCs w:val="21"/>
                <w:highlight w:val="none"/>
                <w14:textFill>
                  <w14:solidFill>
                    <w14:schemeClr w14:val="tx1"/>
                  </w14:solidFill>
                </w14:textFill>
              </w:rPr>
            </w:pPr>
            <w:r>
              <w:rPr>
                <w:rFonts w:hint="default" w:asciiTheme="minorEastAsia" w:hAnsiTheme="minorEastAsia" w:eastAsiaTheme="minorEastAsia"/>
                <w:color w:val="000000" w:themeColor="text1"/>
                <w:spacing w:val="-4"/>
                <w:sz w:val="21"/>
                <w:szCs w:val="21"/>
                <w:highlight w:val="none"/>
                <w14:textFill>
                  <w14:solidFill>
                    <w14:schemeClr w14:val="tx1"/>
                  </w14:solidFill>
                </w14:textFill>
              </w:rPr>
              <w:t>38.1</w:t>
            </w:r>
          </w:p>
        </w:tc>
        <w:tc>
          <w:tcPr>
            <w:tcW w:w="1696" w:type="dxa"/>
            <w:tcBorders>
              <w:top w:val="single" w:color="000000" w:sz="2" w:space="0"/>
              <w:left w:val="single" w:color="000000" w:sz="2" w:space="0"/>
              <w:bottom w:val="single" w:color="000000" w:sz="2" w:space="0"/>
              <w:right w:val="single" w:color="000000" w:sz="2" w:space="0"/>
            </w:tcBorders>
          </w:tcPr>
          <w:p>
            <w:pPr>
              <w:pStyle w:val="20"/>
              <w:keepNext w:val="0"/>
              <w:keepLines w:val="0"/>
              <w:suppressLineNumbers w:val="0"/>
              <w:shd w:val="clear"/>
              <w:spacing w:before="0" w:beforeAutospacing="0" w:after="0" w:afterAutospacing="0" w:line="300" w:lineRule="exact"/>
              <w:ind w:left="0" w:right="0"/>
              <w:rPr>
                <w:rFonts w:hint="default" w:asciiTheme="minorEastAsia" w:hAnsiTheme="minorEastAsia" w:eastAsiaTheme="minorEastAsia"/>
                <w:color w:val="000000" w:themeColor="text1"/>
                <w:sz w:val="21"/>
                <w:szCs w:val="21"/>
                <w:highlight w:val="none"/>
                <w14:textFill>
                  <w14:solidFill>
                    <w14:schemeClr w14:val="tx1"/>
                  </w14:solidFill>
                </w14:textFill>
              </w:rPr>
            </w:pPr>
          </w:p>
          <w:p>
            <w:pPr>
              <w:pStyle w:val="20"/>
              <w:keepNext w:val="0"/>
              <w:keepLines w:val="0"/>
              <w:suppressLineNumbers w:val="0"/>
              <w:shd w:val="clear"/>
              <w:spacing w:before="0" w:beforeAutospacing="0" w:after="0" w:afterAutospacing="0" w:line="300" w:lineRule="exact"/>
              <w:ind w:left="109" w:right="181"/>
              <w:rPr>
                <w:rFonts w:hint="default" w:asciiTheme="minorEastAsia" w:hAnsiTheme="minorEastAsia" w:eastAsiaTheme="minorEastAsia"/>
                <w:color w:val="000000" w:themeColor="text1"/>
                <w:spacing w:val="-2"/>
                <w:sz w:val="21"/>
                <w:szCs w:val="21"/>
                <w:highlight w:val="none"/>
                <w14:textFill>
                  <w14:solidFill>
                    <w14:schemeClr w14:val="tx1"/>
                  </w14:solidFill>
                </w14:textFill>
              </w:rPr>
            </w:pPr>
            <w:r>
              <w:rPr>
                <w:rFonts w:hint="default" w:asciiTheme="minorEastAsia" w:hAnsiTheme="minorEastAsia" w:eastAsiaTheme="minorEastAsia"/>
                <w:color w:val="000000" w:themeColor="text1"/>
                <w:spacing w:val="-2"/>
                <w:sz w:val="21"/>
                <w:szCs w:val="21"/>
                <w:highlight w:val="none"/>
                <w14:textFill>
                  <w14:solidFill>
                    <w14:schemeClr w14:val="tx1"/>
                  </w14:solidFill>
                </w14:textFill>
              </w:rPr>
              <w:t>采购代理服务</w:t>
            </w:r>
            <w:r>
              <w:rPr>
                <w:rFonts w:hint="default" w:asciiTheme="minorEastAsia" w:hAnsiTheme="minorEastAsia" w:eastAsiaTheme="minorEastAsia"/>
                <w:color w:val="000000" w:themeColor="text1"/>
                <w:spacing w:val="-10"/>
                <w:sz w:val="21"/>
                <w:szCs w:val="21"/>
                <w:highlight w:val="none"/>
                <w14:textFill>
                  <w14:solidFill>
                    <w14:schemeClr w14:val="tx1"/>
                  </w14:solidFill>
                </w14:textFill>
              </w:rPr>
              <w:t>费</w:t>
            </w:r>
          </w:p>
        </w:tc>
        <w:tc>
          <w:tcPr>
            <w:tcW w:w="6876" w:type="dxa"/>
            <w:tcBorders>
              <w:top w:val="single" w:color="000000" w:sz="2" w:space="0"/>
              <w:left w:val="single" w:color="000000" w:sz="2" w:space="0"/>
              <w:bottom w:val="single" w:color="000000" w:sz="2" w:space="0"/>
              <w:right w:val="single" w:color="000000" w:sz="2" w:space="0"/>
            </w:tcBorders>
          </w:tcPr>
          <w:p>
            <w:pPr>
              <w:pStyle w:val="20"/>
              <w:keepNext w:val="0"/>
              <w:keepLines w:val="0"/>
              <w:numPr>
                <w:ilvl w:val="0"/>
                <w:numId w:val="10"/>
              </w:numPr>
              <w:suppressLineNumbers w:val="0"/>
              <w:shd w:val="clear"/>
              <w:tabs>
                <w:tab w:val="left" w:pos="351"/>
              </w:tabs>
              <w:spacing w:before="0" w:beforeAutospacing="0" w:after="0" w:afterAutospacing="0" w:line="300" w:lineRule="exact"/>
              <w:ind w:left="351" w:right="0" w:hanging="240"/>
              <w:rPr>
                <w:rFonts w:hint="default" w:asciiTheme="minorEastAsia" w:hAnsiTheme="minorEastAsia" w:eastAsiaTheme="minorEastAsia"/>
                <w:color w:val="000000" w:themeColor="text1"/>
                <w:sz w:val="21"/>
                <w:szCs w:val="21"/>
                <w:highlight w:val="none"/>
                <w14:textFill>
                  <w14:solidFill>
                    <w14:schemeClr w14:val="tx1"/>
                  </w14:solidFill>
                </w14:textFill>
              </w:rPr>
            </w:pPr>
            <w:r>
              <w:rPr>
                <w:rFonts w:hint="default" w:asciiTheme="minorEastAsia" w:hAnsiTheme="minorEastAsia" w:eastAsiaTheme="minorEastAsia"/>
                <w:color w:val="000000" w:themeColor="text1"/>
                <w:sz w:val="21"/>
                <w:szCs w:val="21"/>
                <w:highlight w:val="none"/>
                <w14:textFill>
                  <w14:solidFill>
                    <w14:schemeClr w14:val="tx1"/>
                  </w14:solidFill>
                </w14:textFill>
              </w:rPr>
              <w:t>收费对象：</w:t>
            </w:r>
            <w:r>
              <w:rPr>
                <w:rFonts w:hint="default" w:asciiTheme="minorEastAsia" w:hAnsiTheme="minorEastAsia" w:eastAsiaTheme="minorEastAsia"/>
                <w:color w:val="000000" w:themeColor="text1"/>
                <w:spacing w:val="-1"/>
                <w:sz w:val="21"/>
                <w:szCs w:val="21"/>
                <w:highlight w:val="none"/>
                <w14:textFill>
                  <w14:solidFill>
                    <w14:schemeClr w14:val="tx1"/>
                  </w14:solidFill>
                </w14:textFill>
              </w:rPr>
              <w:t xml:space="preserve">采购人支付 </w:t>
            </w:r>
            <w:r>
              <w:rPr>
                <w:rFonts w:hint="default" w:asciiTheme="minorEastAsia" w:hAnsiTheme="minorEastAsia" w:eastAsiaTheme="minorEastAsia"/>
                <w:color w:val="000000" w:themeColor="text1"/>
                <w:sz w:val="21"/>
                <w:szCs w:val="21"/>
                <w:highlight w:val="none"/>
                <w14:textFill>
                  <w14:solidFill>
                    <w14:schemeClr w14:val="tx1"/>
                  </w14:solidFill>
                </w14:textFill>
              </w:rPr>
              <w:sym w:font="Wingdings" w:char="00FE"/>
            </w:r>
            <w:r>
              <w:rPr>
                <w:rFonts w:hint="default" w:asciiTheme="minorEastAsia" w:hAnsiTheme="minorEastAsia" w:eastAsiaTheme="minorEastAsia"/>
                <w:color w:val="000000" w:themeColor="text1"/>
                <w:spacing w:val="-2"/>
                <w:sz w:val="21"/>
                <w:szCs w:val="21"/>
                <w:highlight w:val="none"/>
                <w14:textFill>
                  <w14:solidFill>
                    <w14:schemeClr w14:val="tx1"/>
                  </w14:solidFill>
                </w14:textFill>
              </w:rPr>
              <w:t>中标人支付</w:t>
            </w:r>
          </w:p>
          <w:p>
            <w:pPr>
              <w:pStyle w:val="20"/>
              <w:keepNext w:val="0"/>
              <w:keepLines w:val="0"/>
              <w:numPr>
                <w:ilvl w:val="0"/>
                <w:numId w:val="10"/>
              </w:numPr>
              <w:suppressLineNumbers w:val="0"/>
              <w:shd w:val="clear"/>
              <w:tabs>
                <w:tab w:val="left" w:pos="351"/>
              </w:tabs>
              <w:spacing w:before="0" w:beforeAutospacing="0" w:after="0" w:afterAutospacing="0" w:line="300" w:lineRule="exact"/>
              <w:ind w:left="351" w:right="0" w:hanging="240"/>
              <w:rPr>
                <w:rFonts w:hint="default" w:asciiTheme="minorEastAsia" w:hAnsiTheme="minorEastAsia" w:eastAsiaTheme="minorEastAsia"/>
                <w:color w:val="000000" w:themeColor="text1"/>
                <w:sz w:val="21"/>
                <w:szCs w:val="21"/>
                <w:highlight w:val="none"/>
                <w14:textFill>
                  <w14:solidFill>
                    <w14:schemeClr w14:val="tx1"/>
                  </w14:solidFill>
                </w14:textFill>
              </w:rPr>
            </w:pPr>
            <w:r>
              <w:rPr>
                <w:rFonts w:hint="default" w:asciiTheme="minorEastAsia" w:hAnsiTheme="minorEastAsia" w:eastAsiaTheme="minorEastAsia"/>
                <w:color w:val="000000" w:themeColor="text1"/>
                <w:sz w:val="21"/>
                <w:szCs w:val="21"/>
                <w:highlight w:val="none"/>
                <w14:textFill>
                  <w14:solidFill>
                    <w14:schemeClr w14:val="tx1"/>
                  </w14:solidFill>
                </w14:textFill>
              </w:rPr>
              <w:t>收费标准：</w:t>
            </w:r>
            <w:r>
              <w:rPr>
                <w:rFonts w:hint="eastAsia" w:asciiTheme="minorEastAsia" w:hAnsiTheme="minorEastAsia" w:eastAsiaTheme="minorEastAsia"/>
                <w:color w:val="000000" w:themeColor="text1"/>
                <w:sz w:val="21"/>
                <w:szCs w:val="21"/>
                <w:highlight w:val="none"/>
                <w14:textFill>
                  <w14:solidFill>
                    <w14:schemeClr w14:val="tx1"/>
                  </w14:solidFill>
                </w14:textFill>
              </w:rPr>
              <w:t>参照国家发展计划委员会文件（计价格[2002]1980 号文）和（发改办价格[2003]857 号文件），以采购金额为基准价按70%向中标单位收取代理服务费。</w:t>
            </w:r>
          </w:p>
          <w:p>
            <w:pPr>
              <w:pStyle w:val="20"/>
              <w:keepNext w:val="0"/>
              <w:keepLines w:val="0"/>
              <w:numPr>
                <w:ilvl w:val="0"/>
                <w:numId w:val="10"/>
              </w:numPr>
              <w:suppressLineNumbers w:val="0"/>
              <w:shd w:val="clear"/>
              <w:tabs>
                <w:tab w:val="left" w:pos="351"/>
              </w:tabs>
              <w:spacing w:before="0" w:beforeAutospacing="0" w:after="0" w:afterAutospacing="0" w:line="300" w:lineRule="exact"/>
              <w:ind w:left="351" w:right="0" w:hanging="240"/>
              <w:rPr>
                <w:rFonts w:hint="default" w:asciiTheme="minorEastAsia" w:hAnsiTheme="minorEastAsia" w:eastAsiaTheme="minorEastAsia"/>
                <w:color w:val="000000" w:themeColor="text1"/>
                <w:spacing w:val="-4"/>
                <w:sz w:val="21"/>
                <w:szCs w:val="21"/>
                <w:highlight w:val="none"/>
                <w14:textFill>
                  <w14:solidFill>
                    <w14:schemeClr w14:val="tx1"/>
                  </w14:solidFill>
                </w14:textFill>
              </w:rPr>
            </w:pPr>
            <w:r>
              <w:rPr>
                <w:rFonts w:hint="default" w:asciiTheme="minorEastAsia" w:hAnsiTheme="minorEastAsia" w:eastAsiaTheme="minorEastAsia"/>
                <w:color w:val="000000" w:themeColor="text1"/>
                <w:sz w:val="21"/>
                <w:szCs w:val="21"/>
                <w:highlight w:val="none"/>
                <w14:textFill>
                  <w14:solidFill>
                    <w14:schemeClr w14:val="tx1"/>
                  </w14:solidFill>
                </w14:textFill>
              </w:rPr>
              <w:t>收取时间：</w:t>
            </w:r>
            <w:r>
              <w:rPr>
                <w:rFonts w:hint="eastAsia" w:asciiTheme="minorEastAsia" w:hAnsiTheme="minorEastAsia" w:eastAsiaTheme="minorEastAsia"/>
                <w:color w:val="000000" w:themeColor="text1"/>
                <w:sz w:val="21"/>
                <w:szCs w:val="21"/>
                <w:highlight w:val="none"/>
                <w14:textFill>
                  <w14:solidFill>
                    <w14:schemeClr w14:val="tx1"/>
                  </w14:solidFill>
                </w14:textFill>
              </w:rPr>
              <w:t>中标通知书发出时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947" w:type="dxa"/>
            <w:tcBorders>
              <w:top w:val="single" w:color="000000" w:sz="2" w:space="0"/>
              <w:left w:val="single" w:color="000000" w:sz="2" w:space="0"/>
              <w:bottom w:val="single" w:color="000000" w:sz="2" w:space="0"/>
              <w:right w:val="single" w:color="000000" w:sz="2" w:space="0"/>
            </w:tcBorders>
          </w:tcPr>
          <w:p>
            <w:pPr>
              <w:pStyle w:val="20"/>
              <w:keepNext w:val="0"/>
              <w:keepLines w:val="0"/>
              <w:suppressLineNumbers w:val="0"/>
              <w:shd w:val="clear"/>
              <w:spacing w:before="0" w:beforeAutospacing="0" w:after="0" w:afterAutospacing="0" w:line="300" w:lineRule="exact"/>
              <w:ind w:left="7" w:right="0"/>
              <w:rPr>
                <w:rFonts w:hint="default" w:asciiTheme="minorEastAsia" w:hAnsiTheme="minorEastAsia" w:eastAsiaTheme="minorEastAsia"/>
                <w:color w:val="000000" w:themeColor="text1"/>
                <w:spacing w:val="-4"/>
                <w:sz w:val="21"/>
                <w:szCs w:val="21"/>
                <w:highlight w:val="none"/>
                <w14:textFill>
                  <w14:solidFill>
                    <w14:schemeClr w14:val="tx1"/>
                  </w14:solidFill>
                </w14:textFill>
              </w:rPr>
            </w:pPr>
            <w:r>
              <w:rPr>
                <w:rFonts w:hint="default" w:asciiTheme="minorEastAsia" w:hAnsiTheme="minorEastAsia" w:eastAsiaTheme="minorEastAsia"/>
                <w:color w:val="000000" w:themeColor="text1"/>
                <w:spacing w:val="-4"/>
                <w:sz w:val="21"/>
                <w:szCs w:val="21"/>
                <w:highlight w:val="none"/>
                <w14:textFill>
                  <w14:solidFill>
                    <w14:schemeClr w14:val="tx1"/>
                  </w14:solidFill>
                </w14:textFill>
              </w:rPr>
              <w:t>41.1</w:t>
            </w:r>
          </w:p>
        </w:tc>
        <w:tc>
          <w:tcPr>
            <w:tcW w:w="1696" w:type="dxa"/>
            <w:tcBorders>
              <w:top w:val="single" w:color="000000" w:sz="2" w:space="0"/>
              <w:left w:val="single" w:color="000000" w:sz="2" w:space="0"/>
              <w:bottom w:val="single" w:color="000000" w:sz="2" w:space="0"/>
              <w:right w:val="single" w:color="000000" w:sz="2" w:space="0"/>
            </w:tcBorders>
          </w:tcPr>
          <w:p>
            <w:pPr>
              <w:pStyle w:val="20"/>
              <w:keepNext w:val="0"/>
              <w:keepLines w:val="0"/>
              <w:suppressLineNumbers w:val="0"/>
              <w:shd w:val="clear"/>
              <w:spacing w:before="0" w:beforeAutospacing="0" w:after="0" w:afterAutospacing="0" w:line="300" w:lineRule="exact"/>
              <w:ind w:left="109" w:right="181"/>
              <w:rPr>
                <w:rFonts w:hint="default" w:asciiTheme="minorEastAsia" w:hAnsiTheme="minorEastAsia" w:eastAsiaTheme="minorEastAsia"/>
                <w:color w:val="000000" w:themeColor="text1"/>
                <w:spacing w:val="-2"/>
                <w:sz w:val="21"/>
                <w:szCs w:val="21"/>
                <w:highlight w:val="none"/>
                <w14:textFill>
                  <w14:solidFill>
                    <w14:schemeClr w14:val="tx1"/>
                  </w14:solidFill>
                </w14:textFill>
              </w:rPr>
            </w:pPr>
            <w:r>
              <w:rPr>
                <w:rFonts w:hint="default" w:asciiTheme="minorEastAsia" w:hAnsiTheme="minorEastAsia" w:eastAsiaTheme="minorEastAsia"/>
                <w:color w:val="000000" w:themeColor="text1"/>
                <w:spacing w:val="-2"/>
                <w:sz w:val="21"/>
                <w:szCs w:val="21"/>
                <w:highlight w:val="none"/>
                <w14:textFill>
                  <w14:solidFill>
                    <w14:schemeClr w14:val="tx1"/>
                  </w14:solidFill>
                </w14:textFill>
              </w:rPr>
              <w:t>是否接受进口</w:t>
            </w:r>
            <w:r>
              <w:rPr>
                <w:rFonts w:hint="default" w:asciiTheme="minorEastAsia" w:hAnsiTheme="minorEastAsia" w:eastAsiaTheme="minorEastAsia"/>
                <w:color w:val="000000" w:themeColor="text1"/>
                <w:spacing w:val="-6"/>
                <w:sz w:val="21"/>
                <w:szCs w:val="21"/>
                <w:highlight w:val="none"/>
                <w14:textFill>
                  <w14:solidFill>
                    <w14:schemeClr w14:val="tx1"/>
                  </w14:solidFill>
                </w14:textFill>
              </w:rPr>
              <w:t>产品</w:t>
            </w:r>
          </w:p>
        </w:tc>
        <w:tc>
          <w:tcPr>
            <w:tcW w:w="6876" w:type="dxa"/>
            <w:tcBorders>
              <w:top w:val="single" w:color="000000" w:sz="2" w:space="0"/>
              <w:left w:val="single" w:color="000000" w:sz="2" w:space="0"/>
              <w:bottom w:val="single" w:color="000000" w:sz="2" w:space="0"/>
              <w:right w:val="single" w:color="000000" w:sz="2" w:space="0"/>
            </w:tcBorders>
          </w:tcPr>
          <w:p>
            <w:pPr>
              <w:pStyle w:val="20"/>
              <w:keepNext w:val="0"/>
              <w:keepLines w:val="0"/>
              <w:suppressLineNumbers w:val="0"/>
              <w:shd w:val="clear"/>
              <w:spacing w:before="0" w:beforeAutospacing="0" w:after="0" w:afterAutospacing="0" w:line="300" w:lineRule="exact"/>
              <w:ind w:left="111" w:right="0"/>
              <w:rPr>
                <w:rFonts w:hint="default" w:asciiTheme="minorEastAsia" w:hAnsiTheme="minorEastAsia" w:eastAsiaTheme="minorEastAsia"/>
                <w:color w:val="000000" w:themeColor="text1"/>
                <w:spacing w:val="-5"/>
                <w:sz w:val="21"/>
                <w:szCs w:val="21"/>
                <w:highlight w:val="none"/>
                <w14:textFill>
                  <w14:solidFill>
                    <w14:schemeClr w14:val="tx1"/>
                  </w14:solidFill>
                </w14:textFill>
              </w:rPr>
            </w:pPr>
            <w:r>
              <w:rPr>
                <w:rFonts w:hint="default" w:asciiTheme="minorEastAsia" w:hAnsiTheme="minorEastAsia" w:eastAsiaTheme="minorEastAsia"/>
                <w:color w:val="000000" w:themeColor="text1"/>
                <w:spacing w:val="-2"/>
                <w:sz w:val="21"/>
                <w:szCs w:val="21"/>
                <w:highlight w:val="none"/>
                <w14:textFill>
                  <w14:solidFill>
                    <w14:schemeClr w14:val="tx1"/>
                  </w14:solidFill>
                </w14:textFill>
              </w:rPr>
              <w:sym w:font="Wingdings" w:char="00FE"/>
            </w:r>
            <w:r>
              <w:rPr>
                <w:rFonts w:hint="default" w:asciiTheme="minorEastAsia" w:hAnsiTheme="minorEastAsia" w:eastAsiaTheme="minorEastAsia"/>
                <w:color w:val="000000" w:themeColor="text1"/>
                <w:spacing w:val="-5"/>
                <w:sz w:val="21"/>
                <w:szCs w:val="21"/>
                <w:highlight w:val="none"/>
                <w14:textFill>
                  <w14:solidFill>
                    <w14:schemeClr w14:val="tx1"/>
                  </w14:solidFill>
                </w14:textFill>
              </w:rPr>
              <w:t>不接受</w:t>
            </w:r>
          </w:p>
          <w:p>
            <w:pPr>
              <w:pStyle w:val="20"/>
              <w:keepNext w:val="0"/>
              <w:keepLines w:val="0"/>
              <w:suppressLineNumbers w:val="0"/>
              <w:shd w:val="clear"/>
              <w:spacing w:before="0" w:beforeAutospacing="0" w:after="0" w:afterAutospacing="0" w:line="300" w:lineRule="exact"/>
              <w:ind w:left="111" w:right="0"/>
              <w:rPr>
                <w:rFonts w:hint="default" w:asciiTheme="minorEastAsia" w:hAnsiTheme="minorEastAsia" w:eastAsiaTheme="minorEastAsia"/>
                <w:color w:val="000000" w:themeColor="text1"/>
                <w:spacing w:val="-4"/>
                <w:sz w:val="21"/>
                <w:szCs w:val="21"/>
                <w:highlight w:val="none"/>
                <w14:textFill>
                  <w14:solidFill>
                    <w14:schemeClr w14:val="tx1"/>
                  </w14:solidFill>
                </w14:textFill>
              </w:rPr>
            </w:pPr>
            <w:r>
              <w:rPr>
                <w:rFonts w:hint="default" w:asciiTheme="minorEastAsia" w:hAnsiTheme="minorEastAsia" w:eastAsiaTheme="minorEastAsia"/>
                <w:color w:val="000000" w:themeColor="text1"/>
                <w:spacing w:val="-2"/>
                <w:sz w:val="21"/>
                <w:szCs w:val="21"/>
                <w:highlight w:val="none"/>
                <w14:textFill>
                  <w14:solidFill>
                    <w14:schemeClr w14:val="tx1"/>
                  </w14:solidFill>
                </w14:textFill>
              </w:rPr>
              <w:t></w:t>
            </w:r>
            <w:r>
              <w:rPr>
                <w:rFonts w:hint="default" w:asciiTheme="minorEastAsia" w:hAnsiTheme="minorEastAsia" w:eastAsiaTheme="minorEastAsia"/>
                <w:color w:val="000000" w:themeColor="text1"/>
                <w:spacing w:val="-6"/>
                <w:sz w:val="21"/>
                <w:szCs w:val="21"/>
                <w:highlight w:val="none"/>
                <w14:textFill>
                  <w14:solidFill>
                    <w14:schemeClr w14:val="tx1"/>
                  </w14:solidFill>
                </w14:textFill>
              </w:rPr>
              <w:t>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4" w:hRule="atLeast"/>
        </w:trPr>
        <w:tc>
          <w:tcPr>
            <w:tcW w:w="947" w:type="dxa"/>
            <w:vMerge w:val="restart"/>
            <w:tcBorders>
              <w:top w:val="single" w:color="000000" w:sz="2" w:space="0"/>
              <w:left w:val="single" w:color="000000" w:sz="2" w:space="0"/>
              <w:right w:val="single" w:color="000000" w:sz="2" w:space="0"/>
            </w:tcBorders>
          </w:tcPr>
          <w:p>
            <w:pPr>
              <w:pStyle w:val="20"/>
              <w:keepNext w:val="0"/>
              <w:keepLines w:val="0"/>
              <w:suppressLineNumbers w:val="0"/>
              <w:shd w:val="clear"/>
              <w:spacing w:before="0" w:beforeAutospacing="0" w:after="0" w:afterAutospacing="0" w:line="300" w:lineRule="exact"/>
              <w:ind w:left="0" w:right="0"/>
              <w:rPr>
                <w:rFonts w:hint="default" w:asciiTheme="minorEastAsia" w:hAnsiTheme="minorEastAsia" w:eastAsiaTheme="minorEastAsia"/>
                <w:color w:val="000000" w:themeColor="text1"/>
                <w:sz w:val="21"/>
                <w:szCs w:val="21"/>
                <w:highlight w:val="none"/>
                <w14:textFill>
                  <w14:solidFill>
                    <w14:schemeClr w14:val="tx1"/>
                  </w14:solidFill>
                </w14:textFill>
              </w:rPr>
            </w:pPr>
          </w:p>
          <w:p>
            <w:pPr>
              <w:pStyle w:val="20"/>
              <w:keepNext w:val="0"/>
              <w:keepLines w:val="0"/>
              <w:suppressLineNumbers w:val="0"/>
              <w:shd w:val="clear"/>
              <w:spacing w:before="0" w:beforeAutospacing="0" w:after="0" w:afterAutospacing="0" w:line="300" w:lineRule="exact"/>
              <w:ind w:left="0" w:right="0"/>
              <w:rPr>
                <w:rFonts w:hint="default" w:asciiTheme="minorEastAsia" w:hAnsiTheme="minorEastAsia" w:eastAsiaTheme="minorEastAsia"/>
                <w:color w:val="000000" w:themeColor="text1"/>
                <w:sz w:val="21"/>
                <w:szCs w:val="21"/>
                <w:highlight w:val="none"/>
                <w14:textFill>
                  <w14:solidFill>
                    <w14:schemeClr w14:val="tx1"/>
                  </w14:solidFill>
                </w14:textFill>
              </w:rPr>
            </w:pPr>
          </w:p>
          <w:p>
            <w:pPr>
              <w:pStyle w:val="20"/>
              <w:keepNext w:val="0"/>
              <w:keepLines w:val="0"/>
              <w:suppressLineNumbers w:val="0"/>
              <w:shd w:val="clear"/>
              <w:spacing w:before="0" w:beforeAutospacing="0" w:after="0" w:afterAutospacing="0" w:line="300" w:lineRule="exact"/>
              <w:ind w:left="7" w:right="0"/>
              <w:rPr>
                <w:rFonts w:hint="default" w:asciiTheme="minorEastAsia" w:hAnsiTheme="minorEastAsia" w:eastAsiaTheme="minorEastAsia"/>
                <w:color w:val="000000" w:themeColor="text1"/>
                <w:spacing w:val="-4"/>
                <w:sz w:val="21"/>
                <w:szCs w:val="21"/>
                <w:highlight w:val="none"/>
                <w14:textFill>
                  <w14:solidFill>
                    <w14:schemeClr w14:val="tx1"/>
                  </w14:solidFill>
                </w14:textFill>
              </w:rPr>
            </w:pPr>
            <w:r>
              <w:rPr>
                <w:rFonts w:hint="default" w:asciiTheme="minorEastAsia" w:hAnsiTheme="minorEastAsia" w:eastAsiaTheme="minorEastAsia"/>
                <w:color w:val="000000" w:themeColor="text1"/>
                <w:spacing w:val="-5"/>
                <w:sz w:val="21"/>
                <w:szCs w:val="21"/>
                <w:highlight w:val="none"/>
                <w14:textFill>
                  <w14:solidFill>
                    <w14:schemeClr w14:val="tx1"/>
                  </w14:solidFill>
                </w14:textFill>
              </w:rPr>
              <w:t>42</w:t>
            </w:r>
          </w:p>
        </w:tc>
        <w:tc>
          <w:tcPr>
            <w:tcW w:w="1696" w:type="dxa"/>
            <w:vMerge w:val="restart"/>
            <w:tcBorders>
              <w:top w:val="single" w:color="000000" w:sz="2" w:space="0"/>
              <w:left w:val="single" w:color="000000" w:sz="2" w:space="0"/>
              <w:right w:val="single" w:color="000000" w:sz="2" w:space="0"/>
            </w:tcBorders>
          </w:tcPr>
          <w:p>
            <w:pPr>
              <w:pStyle w:val="20"/>
              <w:keepNext w:val="0"/>
              <w:keepLines w:val="0"/>
              <w:suppressLineNumbers w:val="0"/>
              <w:shd w:val="clear"/>
              <w:spacing w:before="0" w:beforeAutospacing="0" w:after="0" w:afterAutospacing="0" w:line="300" w:lineRule="exact"/>
              <w:ind w:left="109" w:right="181"/>
              <w:rPr>
                <w:rFonts w:hint="default" w:asciiTheme="minorEastAsia" w:hAnsiTheme="minorEastAsia" w:eastAsiaTheme="minorEastAsia"/>
                <w:color w:val="000000" w:themeColor="text1"/>
                <w:spacing w:val="-2"/>
                <w:sz w:val="21"/>
                <w:szCs w:val="21"/>
                <w:highlight w:val="none"/>
                <w14:textFill>
                  <w14:solidFill>
                    <w14:schemeClr w14:val="tx1"/>
                  </w14:solidFill>
                </w14:textFill>
              </w:rPr>
            </w:pPr>
            <w:r>
              <w:rPr>
                <w:rFonts w:hint="default" w:asciiTheme="minorEastAsia" w:hAnsiTheme="minorEastAsia" w:eastAsiaTheme="minorEastAsia"/>
                <w:color w:val="000000" w:themeColor="text1"/>
                <w:spacing w:val="-2"/>
                <w:sz w:val="21"/>
                <w:szCs w:val="21"/>
                <w:highlight w:val="none"/>
                <w14:textFill>
                  <w14:solidFill>
                    <w14:schemeClr w14:val="tx1"/>
                  </w14:solidFill>
                </w14:textFill>
              </w:rPr>
              <w:t xml:space="preserve">支持中小企业政策（非专门面向中小企业采购项目适 </w:t>
            </w:r>
            <w:r>
              <w:rPr>
                <w:rFonts w:hint="default" w:asciiTheme="minorEastAsia" w:hAnsiTheme="minorEastAsia" w:eastAsiaTheme="minorEastAsia"/>
                <w:color w:val="000000" w:themeColor="text1"/>
                <w:spacing w:val="-6"/>
                <w:sz w:val="21"/>
                <w:szCs w:val="21"/>
                <w:highlight w:val="none"/>
                <w14:textFill>
                  <w14:solidFill>
                    <w14:schemeClr w14:val="tx1"/>
                  </w14:solidFill>
                </w14:textFill>
              </w:rPr>
              <w:t>用）</w:t>
            </w:r>
          </w:p>
        </w:tc>
        <w:tc>
          <w:tcPr>
            <w:tcW w:w="6876" w:type="dxa"/>
            <w:tcBorders>
              <w:top w:val="single" w:color="000000" w:sz="2" w:space="0"/>
              <w:left w:val="single" w:color="000000" w:sz="2" w:space="0"/>
              <w:bottom w:val="single" w:color="000000" w:sz="2" w:space="0"/>
              <w:right w:val="single" w:color="000000" w:sz="2" w:space="0"/>
            </w:tcBorders>
          </w:tcPr>
          <w:p>
            <w:pPr>
              <w:keepNext w:val="0"/>
              <w:keepLines w:val="0"/>
              <w:suppressLineNumbers w:val="0"/>
              <w:shd w:val="clear"/>
              <w:spacing w:before="0" w:beforeAutospacing="0" w:after="0" w:afterAutospacing="0" w:line="300" w:lineRule="exact"/>
              <w:ind w:left="0" w:right="0"/>
              <w:jc w:val="both"/>
              <w:rPr>
                <w:rFonts w:hint="default" w:asciiTheme="minorEastAsia" w:hAnsiTheme="minorEastAsia" w:eastAsiaTheme="minorEastAsia"/>
                <w:color w:val="000000" w:themeColor="text1"/>
                <w:spacing w:val="-4"/>
                <w:sz w:val="21"/>
                <w:szCs w:val="21"/>
                <w:highlight w:val="none"/>
                <w14:textFill>
                  <w14:solidFill>
                    <w14:schemeClr w14:val="tx1"/>
                  </w14:solidFill>
                </w14:textFill>
              </w:rPr>
            </w:pPr>
            <w:r>
              <w:rPr>
                <w:rFonts w:hint="eastAsia" w:asciiTheme="minorEastAsia" w:hAnsiTheme="minorEastAsia" w:eastAsiaTheme="minorEastAsia"/>
                <w:color w:val="000000" w:themeColor="text1"/>
                <w:kern w:val="2"/>
                <w:sz w:val="21"/>
                <w:szCs w:val="21"/>
                <w:highlight w:val="none"/>
                <w:lang w:bidi="ar"/>
                <w14:textFill>
                  <w14:solidFill>
                    <w14:schemeClr w14:val="tx1"/>
                  </w14:solidFill>
                </w14:textFill>
              </w:rPr>
              <w:t>1、本项目为专门面向小微企业（含中型、小型、微型企业）采购项目，根据①《政府采购促进中小企业发展办法》（财库〔2020〕46号）；《关于进一步加大政府采购支持中小企业力度的通知》（财库﹝2022﹞19 号）②《财政部、司法部关于政府采购支持监狱企业发展有关问题的通知》（财库〔2014〕68号）； ③《财政部、民政部、中国残疾人联合会关于促进残疾人就业政府采购政策的通知》财库〔2017〕141号的规定，本项目按照政府采购政策全部预留给小型企业及微型企业，对于小型、微型企业、残疾人福利单位、监狱企业、以拟分包形式参加投标的企业、以与小型或微型企业组成联合体投标的企业，均不再进行价格扣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4" w:hRule="atLeast"/>
        </w:trPr>
        <w:tc>
          <w:tcPr>
            <w:tcW w:w="947" w:type="dxa"/>
            <w:vMerge w:val="continue"/>
            <w:tcBorders>
              <w:left w:val="single" w:color="000000" w:sz="2" w:space="0"/>
              <w:bottom w:val="single" w:color="000000" w:sz="2" w:space="0"/>
              <w:right w:val="single" w:color="000000" w:sz="2" w:space="0"/>
            </w:tcBorders>
          </w:tcPr>
          <w:p>
            <w:pPr>
              <w:pStyle w:val="20"/>
              <w:keepNext w:val="0"/>
              <w:keepLines w:val="0"/>
              <w:suppressLineNumbers w:val="0"/>
              <w:shd w:val="clear"/>
              <w:spacing w:before="0" w:beforeAutospacing="0" w:after="0" w:afterAutospacing="0" w:line="300" w:lineRule="exact"/>
              <w:ind w:left="7" w:right="0"/>
              <w:rPr>
                <w:rFonts w:hint="default" w:asciiTheme="minorEastAsia" w:hAnsiTheme="minorEastAsia" w:eastAsiaTheme="minorEastAsia"/>
                <w:color w:val="000000" w:themeColor="text1"/>
                <w:spacing w:val="-5"/>
                <w:sz w:val="21"/>
                <w:szCs w:val="21"/>
                <w:highlight w:val="none"/>
                <w14:textFill>
                  <w14:solidFill>
                    <w14:schemeClr w14:val="tx1"/>
                  </w14:solidFill>
                </w14:textFill>
              </w:rPr>
            </w:pPr>
          </w:p>
        </w:tc>
        <w:tc>
          <w:tcPr>
            <w:tcW w:w="1696" w:type="dxa"/>
            <w:vMerge w:val="continue"/>
            <w:tcBorders>
              <w:left w:val="single" w:color="000000" w:sz="2" w:space="0"/>
              <w:bottom w:val="single" w:color="000000" w:sz="2" w:space="0"/>
              <w:right w:val="single" w:color="000000" w:sz="2" w:space="0"/>
            </w:tcBorders>
          </w:tcPr>
          <w:p>
            <w:pPr>
              <w:pStyle w:val="20"/>
              <w:keepNext w:val="0"/>
              <w:keepLines w:val="0"/>
              <w:suppressLineNumbers w:val="0"/>
              <w:shd w:val="clear"/>
              <w:spacing w:before="0" w:beforeAutospacing="0" w:after="0" w:afterAutospacing="0" w:line="300" w:lineRule="exact"/>
              <w:ind w:left="109" w:right="181"/>
              <w:rPr>
                <w:rFonts w:hint="default" w:asciiTheme="minorEastAsia" w:hAnsiTheme="minorEastAsia" w:eastAsiaTheme="minorEastAsia"/>
                <w:color w:val="000000" w:themeColor="text1"/>
                <w:spacing w:val="-2"/>
                <w:sz w:val="21"/>
                <w:szCs w:val="21"/>
                <w:highlight w:val="none"/>
                <w14:textFill>
                  <w14:solidFill>
                    <w14:schemeClr w14:val="tx1"/>
                  </w14:solidFill>
                </w14:textFill>
              </w:rPr>
            </w:pPr>
          </w:p>
        </w:tc>
        <w:tc>
          <w:tcPr>
            <w:tcW w:w="6876" w:type="dxa"/>
            <w:tcBorders>
              <w:top w:val="single" w:color="000000" w:sz="2" w:space="0"/>
              <w:left w:val="single" w:color="000000" w:sz="2" w:space="0"/>
              <w:bottom w:val="single" w:color="000000" w:sz="2" w:space="0"/>
              <w:right w:val="single" w:color="000000" w:sz="2" w:space="0"/>
            </w:tcBorders>
          </w:tcPr>
          <w:p>
            <w:pPr>
              <w:pStyle w:val="20"/>
              <w:keepNext w:val="0"/>
              <w:keepLines w:val="0"/>
              <w:numPr>
                <w:ilvl w:val="0"/>
                <w:numId w:val="11"/>
              </w:numPr>
              <w:suppressLineNumbers w:val="0"/>
              <w:shd w:val="clear"/>
              <w:tabs>
                <w:tab w:val="left" w:pos="351"/>
                <w:tab w:val="left" w:pos="4191"/>
              </w:tabs>
              <w:spacing w:before="0" w:beforeAutospacing="0" w:after="0" w:afterAutospacing="0" w:line="300" w:lineRule="exact"/>
              <w:ind w:left="240" w:right="0" w:hanging="240"/>
              <w:rPr>
                <w:rFonts w:hint="default" w:asciiTheme="minorEastAsia" w:hAnsiTheme="minorEastAsia" w:eastAsiaTheme="minorEastAsia"/>
                <w:color w:val="000000" w:themeColor="text1"/>
                <w:sz w:val="21"/>
                <w:szCs w:val="21"/>
                <w:highlight w:val="none"/>
                <w14:textFill>
                  <w14:solidFill>
                    <w14:schemeClr w14:val="tx1"/>
                  </w14:solidFill>
                </w14:textFill>
              </w:rPr>
            </w:pPr>
            <w:r>
              <w:rPr>
                <w:rFonts w:hint="default" w:asciiTheme="minorEastAsia" w:hAnsiTheme="minorEastAsia" w:eastAsiaTheme="minorEastAsia"/>
                <w:color w:val="000000" w:themeColor="text1"/>
                <w:sz w:val="21"/>
                <w:szCs w:val="21"/>
                <w:highlight w:val="none"/>
                <w14:textFill>
                  <w14:solidFill>
                    <w14:schemeClr w14:val="tx1"/>
                  </w14:solidFill>
                </w14:textFill>
              </w:rPr>
              <w:t>小型和微型企业价格扣除</w:t>
            </w:r>
            <w:r>
              <w:rPr>
                <w:rFonts w:hint="default" w:asciiTheme="minorEastAsia" w:hAnsiTheme="minorEastAsia" w:eastAsiaTheme="minorEastAsia"/>
                <w:color w:val="000000" w:themeColor="text1"/>
                <w:spacing w:val="-10"/>
                <w:sz w:val="21"/>
                <w:szCs w:val="21"/>
                <w:highlight w:val="none"/>
                <w14:textFill>
                  <w14:solidFill>
                    <w14:schemeClr w14:val="tx1"/>
                  </w14:solidFill>
                </w14:textFill>
              </w:rPr>
              <w:t>：</w:t>
            </w:r>
            <w:r>
              <w:rPr>
                <w:rFonts w:hint="eastAsia" w:asciiTheme="minorEastAsia" w:hAnsiTheme="minorEastAsia" w:eastAsiaTheme="minorEastAsia"/>
                <w:color w:val="000000" w:themeColor="text1"/>
                <w:spacing w:val="-10"/>
                <w:sz w:val="21"/>
                <w:szCs w:val="21"/>
                <w:highlight w:val="none"/>
                <w14:textFill>
                  <w14:solidFill>
                    <w14:schemeClr w14:val="tx1"/>
                  </w14:solidFill>
                </w14:textFill>
              </w:rPr>
              <w:t>/%</w:t>
            </w:r>
            <w:r>
              <w:rPr>
                <w:rFonts w:hint="default" w:asciiTheme="minorEastAsia" w:hAnsiTheme="minorEastAsia" w:eastAsiaTheme="minorEastAsia"/>
                <w:color w:val="000000" w:themeColor="text1"/>
                <w:spacing w:val="-10"/>
                <w:sz w:val="21"/>
                <w:szCs w:val="21"/>
                <w:highlight w:val="none"/>
                <w14:textFill>
                  <w14:solidFill>
                    <w14:schemeClr w14:val="tx1"/>
                  </w14:solidFill>
                </w14:textFill>
              </w:rPr>
              <w:t>。</w:t>
            </w:r>
          </w:p>
          <w:p>
            <w:pPr>
              <w:pStyle w:val="20"/>
              <w:keepNext w:val="0"/>
              <w:keepLines w:val="0"/>
              <w:numPr>
                <w:ilvl w:val="0"/>
                <w:numId w:val="11"/>
              </w:numPr>
              <w:suppressLineNumbers w:val="0"/>
              <w:shd w:val="clear"/>
              <w:tabs>
                <w:tab w:val="left" w:pos="351"/>
              </w:tabs>
              <w:spacing w:before="0" w:beforeAutospacing="0" w:after="0" w:afterAutospacing="0" w:line="300" w:lineRule="exact"/>
              <w:ind w:left="240" w:right="0" w:hanging="240"/>
              <w:rPr>
                <w:rFonts w:hint="default" w:asciiTheme="minorEastAsia" w:hAnsiTheme="minorEastAsia" w:eastAsiaTheme="minorEastAsia"/>
                <w:color w:val="000000" w:themeColor="text1"/>
                <w:sz w:val="21"/>
                <w:szCs w:val="21"/>
                <w:highlight w:val="none"/>
                <w14:textFill>
                  <w14:solidFill>
                    <w14:schemeClr w14:val="tx1"/>
                  </w14:solidFill>
                </w14:textFill>
              </w:rPr>
            </w:pPr>
            <w:r>
              <w:rPr>
                <w:rFonts w:hint="default" w:asciiTheme="minorEastAsia" w:hAnsiTheme="minorEastAsia" w:eastAsiaTheme="minorEastAsia"/>
                <w:color w:val="000000" w:themeColor="text1"/>
                <w:spacing w:val="-1"/>
                <w:sz w:val="21"/>
                <w:szCs w:val="21"/>
                <w:highlight w:val="none"/>
                <w14:textFill>
                  <w14:solidFill>
                    <w14:schemeClr w14:val="tx1"/>
                  </w14:solidFill>
                </w14:textFill>
              </w:rPr>
              <w:t>监狱企业价格扣除：同小型和微型企业。</w:t>
            </w:r>
          </w:p>
          <w:p>
            <w:pPr>
              <w:pStyle w:val="20"/>
              <w:keepNext w:val="0"/>
              <w:keepLines w:val="0"/>
              <w:numPr>
                <w:ilvl w:val="0"/>
                <w:numId w:val="11"/>
              </w:numPr>
              <w:suppressLineNumbers w:val="0"/>
              <w:shd w:val="clear"/>
              <w:tabs>
                <w:tab w:val="left" w:pos="351"/>
              </w:tabs>
              <w:spacing w:before="0" w:beforeAutospacing="0" w:after="0" w:afterAutospacing="0" w:line="300" w:lineRule="exact"/>
              <w:ind w:left="240" w:right="0" w:hanging="240"/>
              <w:rPr>
                <w:rFonts w:hint="default" w:asciiTheme="minorEastAsia" w:hAnsiTheme="minorEastAsia" w:eastAsiaTheme="minorEastAsia"/>
                <w:color w:val="000000" w:themeColor="text1"/>
                <w:sz w:val="21"/>
                <w:szCs w:val="21"/>
                <w:highlight w:val="none"/>
                <w14:textFill>
                  <w14:solidFill>
                    <w14:schemeClr w14:val="tx1"/>
                  </w14:solidFill>
                </w14:textFill>
              </w:rPr>
            </w:pPr>
            <w:r>
              <w:rPr>
                <w:rFonts w:hint="default" w:asciiTheme="minorEastAsia" w:hAnsiTheme="minorEastAsia" w:eastAsiaTheme="minorEastAsia"/>
                <w:color w:val="000000" w:themeColor="text1"/>
                <w:spacing w:val="-1"/>
                <w:sz w:val="21"/>
                <w:szCs w:val="21"/>
                <w:highlight w:val="none"/>
                <w14:textFill>
                  <w14:solidFill>
                    <w14:schemeClr w14:val="tx1"/>
                  </w14:solidFill>
                </w14:textFill>
              </w:rPr>
              <w:t>残疾人福利性单位价格扣除：同小型和微型企业。</w:t>
            </w:r>
          </w:p>
          <w:p>
            <w:pPr>
              <w:pStyle w:val="20"/>
              <w:keepNext w:val="0"/>
              <w:keepLines w:val="0"/>
              <w:numPr>
                <w:ilvl w:val="0"/>
                <w:numId w:val="11"/>
              </w:numPr>
              <w:suppressLineNumbers w:val="0"/>
              <w:shd w:val="clear"/>
              <w:tabs>
                <w:tab w:val="left" w:pos="351"/>
                <w:tab w:val="left" w:pos="4431"/>
              </w:tabs>
              <w:spacing w:before="0" w:beforeAutospacing="0" w:after="0" w:afterAutospacing="0" w:line="300" w:lineRule="exact"/>
              <w:ind w:left="240" w:right="0" w:hanging="240"/>
              <w:rPr>
                <w:rFonts w:hint="default" w:asciiTheme="minorEastAsia" w:hAnsiTheme="minorEastAsia" w:eastAsiaTheme="minorEastAsia"/>
                <w:color w:val="000000" w:themeColor="text1"/>
                <w:sz w:val="21"/>
                <w:szCs w:val="21"/>
                <w:highlight w:val="none"/>
                <w14:textFill>
                  <w14:solidFill>
                    <w14:schemeClr w14:val="tx1"/>
                  </w14:solidFill>
                </w14:textFill>
              </w:rPr>
            </w:pPr>
            <w:r>
              <w:rPr>
                <w:rFonts w:hint="default" w:asciiTheme="minorEastAsia" w:hAnsiTheme="minorEastAsia" w:eastAsiaTheme="minorEastAsia"/>
                <w:color w:val="000000" w:themeColor="text1"/>
                <w:sz w:val="21"/>
                <w:szCs w:val="21"/>
                <w:highlight w:val="none"/>
                <w14:textFill>
                  <w14:solidFill>
                    <w14:schemeClr w14:val="tx1"/>
                  </w14:solidFill>
                </w14:textFill>
              </w:rPr>
              <w:t>符合条件的联合体价格扣除</w:t>
            </w:r>
            <w:r>
              <w:rPr>
                <w:rFonts w:hint="default" w:asciiTheme="minorEastAsia" w:hAnsiTheme="minorEastAsia" w:eastAsiaTheme="minorEastAsia"/>
                <w:color w:val="000000" w:themeColor="text1"/>
                <w:spacing w:val="-10"/>
                <w:sz w:val="21"/>
                <w:szCs w:val="21"/>
                <w:highlight w:val="none"/>
                <w14:textFill>
                  <w14:solidFill>
                    <w14:schemeClr w14:val="tx1"/>
                  </w14:solidFill>
                </w14:textFill>
              </w:rPr>
              <w:t>：</w:t>
            </w:r>
            <w:r>
              <w:rPr>
                <w:rFonts w:hint="eastAsia" w:asciiTheme="minorEastAsia" w:hAnsiTheme="minorEastAsia" w:eastAsiaTheme="minorEastAsia"/>
                <w:color w:val="000000" w:themeColor="text1"/>
                <w:spacing w:val="-10"/>
                <w:sz w:val="21"/>
                <w:szCs w:val="21"/>
                <w:highlight w:val="none"/>
                <w14:textFill>
                  <w14:solidFill>
                    <w14:schemeClr w14:val="tx1"/>
                  </w14:solidFill>
                </w14:textFill>
              </w:rPr>
              <w:t>/</w:t>
            </w:r>
            <w:r>
              <w:rPr>
                <w:rFonts w:hint="default" w:asciiTheme="minorEastAsia" w:hAnsiTheme="minorEastAsia" w:eastAsiaTheme="minorEastAsia"/>
                <w:color w:val="000000" w:themeColor="text1"/>
                <w:spacing w:val="-10"/>
                <w:sz w:val="21"/>
                <w:szCs w:val="21"/>
                <w:highlight w:val="none"/>
                <w14:textFill>
                  <w14:solidFill>
                    <w14:schemeClr w14:val="tx1"/>
                  </w14:solidFill>
                </w14:textFill>
              </w:rPr>
              <w:t>。</w:t>
            </w:r>
          </w:p>
          <w:p>
            <w:pPr>
              <w:pStyle w:val="20"/>
              <w:keepNext w:val="0"/>
              <w:keepLines w:val="0"/>
              <w:numPr>
                <w:ilvl w:val="0"/>
                <w:numId w:val="11"/>
              </w:numPr>
              <w:suppressLineNumbers w:val="0"/>
              <w:shd w:val="clear"/>
              <w:tabs>
                <w:tab w:val="left" w:pos="406"/>
                <w:tab w:val="left" w:pos="1510"/>
              </w:tabs>
              <w:spacing w:before="0" w:beforeAutospacing="0" w:after="0" w:afterAutospacing="0" w:line="300" w:lineRule="exact"/>
              <w:ind w:left="0" w:right="-29" w:firstLine="0"/>
              <w:rPr>
                <w:rFonts w:hint="default" w:asciiTheme="minorEastAsia" w:hAnsiTheme="minorEastAsia" w:eastAsiaTheme="minorEastAsia"/>
                <w:color w:val="000000" w:themeColor="text1"/>
                <w:spacing w:val="55"/>
                <w:sz w:val="21"/>
                <w:szCs w:val="21"/>
                <w:highlight w:val="none"/>
                <w14:textFill>
                  <w14:solidFill>
                    <w14:schemeClr w14:val="tx1"/>
                  </w14:solidFill>
                </w14:textFill>
              </w:rPr>
            </w:pPr>
            <w:r>
              <w:rPr>
                <w:rFonts w:hint="default" w:asciiTheme="minorEastAsia" w:hAnsiTheme="minorEastAsia" w:eastAsiaTheme="minorEastAsia"/>
                <w:color w:val="000000" w:themeColor="text1"/>
                <w:spacing w:val="55"/>
                <w:sz w:val="21"/>
                <w:szCs w:val="21"/>
                <w:highlight w:val="none"/>
                <w14:textFill>
                  <w14:solidFill>
                    <w14:schemeClr w14:val="tx1"/>
                  </w14:solidFill>
                </w14:textFill>
              </w:rPr>
              <w:t>符合条件的向小微企业分包的大中型企业价格</w:t>
            </w:r>
            <w:r>
              <w:rPr>
                <w:rFonts w:hint="default" w:asciiTheme="minorEastAsia" w:hAnsiTheme="minorEastAsia" w:eastAsiaTheme="minorEastAsia"/>
                <w:color w:val="000000" w:themeColor="text1"/>
                <w:sz w:val="21"/>
                <w:szCs w:val="21"/>
                <w:highlight w:val="none"/>
                <w14:textFill>
                  <w14:solidFill>
                    <w14:schemeClr w14:val="tx1"/>
                  </w14:solidFill>
                </w14:textFill>
              </w:rPr>
              <w:t>扣</w:t>
            </w:r>
            <w:r>
              <w:rPr>
                <w:rFonts w:hint="default" w:asciiTheme="minorEastAsia" w:hAnsiTheme="minorEastAsia" w:eastAsiaTheme="minorEastAsia"/>
                <w:color w:val="000000" w:themeColor="text1"/>
                <w:spacing w:val="-6"/>
                <w:sz w:val="21"/>
                <w:szCs w:val="21"/>
                <w:highlight w:val="none"/>
                <w14:textFill>
                  <w14:solidFill>
                    <w14:schemeClr w14:val="tx1"/>
                  </w14:solidFill>
                </w14:textFill>
              </w:rPr>
              <w:t>除：</w:t>
            </w:r>
            <w:r>
              <w:rPr>
                <w:rFonts w:hint="eastAsia" w:asciiTheme="minorEastAsia" w:hAnsiTheme="minorEastAsia" w:eastAsiaTheme="minorEastAsia"/>
                <w:color w:val="000000" w:themeColor="text1"/>
                <w:spacing w:val="-6"/>
                <w:sz w:val="21"/>
                <w:szCs w:val="21"/>
                <w:highlight w:val="none"/>
                <w14:textFill>
                  <w14:solidFill>
                    <w14:schemeClr w14:val="tx1"/>
                  </w14:solidFill>
                </w14:textFill>
              </w:rPr>
              <w:t>/</w:t>
            </w:r>
            <w:r>
              <w:rPr>
                <w:rFonts w:hint="default" w:asciiTheme="minorEastAsia" w:hAnsiTheme="minorEastAsia" w:eastAsiaTheme="minorEastAsia"/>
                <w:color w:val="000000" w:themeColor="text1"/>
                <w:spacing w:val="-77"/>
                <w:sz w:val="21"/>
                <w:szCs w:val="21"/>
                <w:highlight w:val="none"/>
                <w14:textFill>
                  <w14:solidFill>
                    <w14:schemeClr w14:val="tx1"/>
                  </w14:solidFill>
                </w14:textFill>
              </w:rPr>
              <w:t>。</w:t>
            </w:r>
            <w:r>
              <w:rPr>
                <w:rFonts w:hint="default" w:asciiTheme="minorEastAsia" w:hAnsiTheme="minorEastAsia" w:eastAsiaTheme="minorEastAsia"/>
                <w:color w:val="000000" w:themeColor="text1"/>
                <w:spacing w:val="-2"/>
                <w:sz w:val="21"/>
                <w:szCs w:val="21"/>
                <w:highlight w:val="none"/>
                <w14:textFill>
                  <w14:solidFill>
                    <w14:schemeClr w14:val="tx1"/>
                  </w14:solidFill>
                </w14:textFill>
              </w:rPr>
              <w:t>（允许大中型企业向小微企业分包的项目适用）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4" w:hRule="atLeast"/>
        </w:trPr>
        <w:tc>
          <w:tcPr>
            <w:tcW w:w="947" w:type="dxa"/>
            <w:tcBorders>
              <w:top w:val="single" w:color="000000" w:sz="2" w:space="0"/>
              <w:left w:val="single" w:color="000000" w:sz="2" w:space="0"/>
              <w:bottom w:val="single" w:color="000000" w:sz="2" w:space="0"/>
              <w:right w:val="single" w:color="000000" w:sz="2" w:space="0"/>
            </w:tcBorders>
          </w:tcPr>
          <w:p>
            <w:pPr>
              <w:pStyle w:val="20"/>
              <w:keepNext w:val="0"/>
              <w:keepLines w:val="0"/>
              <w:suppressLineNumbers w:val="0"/>
              <w:shd w:val="clear"/>
              <w:spacing w:before="0" w:beforeAutospacing="0" w:after="0" w:afterAutospacing="0" w:line="300" w:lineRule="exact"/>
              <w:ind w:left="0" w:right="0"/>
              <w:rPr>
                <w:rFonts w:hint="default" w:asciiTheme="minorEastAsia" w:hAnsiTheme="minorEastAsia" w:eastAsiaTheme="minorEastAsia"/>
                <w:color w:val="000000" w:themeColor="text1"/>
                <w:sz w:val="21"/>
                <w:szCs w:val="21"/>
                <w:highlight w:val="none"/>
                <w14:textFill>
                  <w14:solidFill>
                    <w14:schemeClr w14:val="tx1"/>
                  </w14:solidFill>
                </w14:textFill>
              </w:rPr>
            </w:pPr>
          </w:p>
          <w:p>
            <w:pPr>
              <w:pStyle w:val="20"/>
              <w:keepNext w:val="0"/>
              <w:keepLines w:val="0"/>
              <w:suppressLineNumbers w:val="0"/>
              <w:shd w:val="clear"/>
              <w:spacing w:before="0" w:beforeAutospacing="0" w:after="0" w:afterAutospacing="0" w:line="300" w:lineRule="exact"/>
              <w:ind w:left="0" w:right="0"/>
              <w:rPr>
                <w:rFonts w:hint="default" w:asciiTheme="minorEastAsia" w:hAnsiTheme="minorEastAsia" w:eastAsiaTheme="minorEastAsia"/>
                <w:color w:val="000000" w:themeColor="text1"/>
                <w:sz w:val="21"/>
                <w:szCs w:val="21"/>
                <w:highlight w:val="none"/>
                <w14:textFill>
                  <w14:solidFill>
                    <w14:schemeClr w14:val="tx1"/>
                  </w14:solidFill>
                </w14:textFill>
              </w:rPr>
            </w:pPr>
          </w:p>
          <w:p>
            <w:pPr>
              <w:pStyle w:val="20"/>
              <w:keepNext w:val="0"/>
              <w:keepLines w:val="0"/>
              <w:suppressLineNumbers w:val="0"/>
              <w:shd w:val="clear"/>
              <w:spacing w:before="0" w:beforeAutospacing="0" w:after="0" w:afterAutospacing="0" w:line="300" w:lineRule="exact"/>
              <w:ind w:left="0" w:right="0"/>
              <w:rPr>
                <w:rFonts w:hint="default" w:asciiTheme="minorEastAsia" w:hAnsiTheme="minorEastAsia" w:eastAsiaTheme="minorEastAsia"/>
                <w:color w:val="000000" w:themeColor="text1"/>
                <w:sz w:val="21"/>
                <w:szCs w:val="21"/>
                <w:highlight w:val="none"/>
                <w14:textFill>
                  <w14:solidFill>
                    <w14:schemeClr w14:val="tx1"/>
                  </w14:solidFill>
                </w14:textFill>
              </w:rPr>
            </w:pPr>
          </w:p>
          <w:p>
            <w:pPr>
              <w:pStyle w:val="20"/>
              <w:keepNext w:val="0"/>
              <w:keepLines w:val="0"/>
              <w:suppressLineNumbers w:val="0"/>
              <w:shd w:val="clear"/>
              <w:spacing w:before="0" w:beforeAutospacing="0" w:after="0" w:afterAutospacing="0" w:line="300" w:lineRule="exact"/>
              <w:ind w:left="7" w:right="0"/>
              <w:rPr>
                <w:rFonts w:hint="default" w:asciiTheme="minorEastAsia" w:hAnsiTheme="minorEastAsia" w:eastAsiaTheme="minorEastAsia"/>
                <w:color w:val="000000" w:themeColor="text1"/>
                <w:spacing w:val="-4"/>
                <w:sz w:val="21"/>
                <w:szCs w:val="21"/>
                <w:highlight w:val="none"/>
                <w14:textFill>
                  <w14:solidFill>
                    <w14:schemeClr w14:val="tx1"/>
                  </w14:solidFill>
                </w14:textFill>
              </w:rPr>
            </w:pPr>
            <w:r>
              <w:rPr>
                <w:rFonts w:hint="default" w:asciiTheme="minorEastAsia" w:hAnsiTheme="minorEastAsia" w:eastAsiaTheme="minorEastAsia"/>
                <w:color w:val="000000" w:themeColor="text1"/>
                <w:spacing w:val="-4"/>
                <w:sz w:val="21"/>
                <w:szCs w:val="21"/>
                <w:highlight w:val="none"/>
                <w14:textFill>
                  <w14:solidFill>
                    <w14:schemeClr w14:val="tx1"/>
                  </w14:solidFill>
                </w14:textFill>
              </w:rPr>
              <w:t>42.5</w:t>
            </w:r>
          </w:p>
        </w:tc>
        <w:tc>
          <w:tcPr>
            <w:tcW w:w="1696" w:type="dxa"/>
            <w:tcBorders>
              <w:top w:val="single" w:color="000000" w:sz="2" w:space="0"/>
              <w:left w:val="single" w:color="000000" w:sz="2" w:space="0"/>
              <w:bottom w:val="single" w:color="000000" w:sz="2" w:space="0"/>
              <w:right w:val="single" w:color="000000" w:sz="2" w:space="0"/>
            </w:tcBorders>
          </w:tcPr>
          <w:p>
            <w:pPr>
              <w:pStyle w:val="20"/>
              <w:keepNext w:val="0"/>
              <w:keepLines w:val="0"/>
              <w:suppressLineNumbers w:val="0"/>
              <w:shd w:val="clear"/>
              <w:spacing w:before="0" w:beforeAutospacing="0" w:after="0" w:afterAutospacing="0" w:line="300" w:lineRule="exact"/>
              <w:ind w:left="0" w:right="0"/>
              <w:rPr>
                <w:rFonts w:hint="default" w:asciiTheme="minorEastAsia" w:hAnsiTheme="minorEastAsia" w:eastAsiaTheme="minorEastAsia"/>
                <w:color w:val="000000" w:themeColor="text1"/>
                <w:sz w:val="21"/>
                <w:szCs w:val="21"/>
                <w:highlight w:val="none"/>
                <w14:textFill>
                  <w14:solidFill>
                    <w14:schemeClr w14:val="tx1"/>
                  </w14:solidFill>
                </w14:textFill>
              </w:rPr>
            </w:pPr>
          </w:p>
          <w:p>
            <w:pPr>
              <w:pStyle w:val="20"/>
              <w:keepNext w:val="0"/>
              <w:keepLines w:val="0"/>
              <w:suppressLineNumbers w:val="0"/>
              <w:shd w:val="clear"/>
              <w:spacing w:before="0" w:beforeAutospacing="0" w:after="0" w:afterAutospacing="0" w:line="300" w:lineRule="exact"/>
              <w:ind w:left="109" w:right="181"/>
              <w:rPr>
                <w:rFonts w:hint="default" w:asciiTheme="minorEastAsia" w:hAnsiTheme="minorEastAsia" w:eastAsiaTheme="minorEastAsia"/>
                <w:color w:val="000000" w:themeColor="text1"/>
                <w:sz w:val="21"/>
                <w:szCs w:val="21"/>
                <w:highlight w:val="none"/>
                <w14:textFill>
                  <w14:solidFill>
                    <w14:schemeClr w14:val="tx1"/>
                  </w14:solidFill>
                </w14:textFill>
              </w:rPr>
            </w:pPr>
            <w:r>
              <w:rPr>
                <w:rFonts w:hint="default" w:asciiTheme="minorEastAsia" w:hAnsiTheme="minorEastAsia" w:eastAsiaTheme="minorEastAsia"/>
                <w:color w:val="000000" w:themeColor="text1"/>
                <w:spacing w:val="-2"/>
                <w:sz w:val="21"/>
                <w:szCs w:val="21"/>
                <w:highlight w:val="none"/>
                <w14:textFill>
                  <w14:solidFill>
                    <w14:schemeClr w14:val="tx1"/>
                  </w14:solidFill>
                </w14:textFill>
              </w:rPr>
              <w:t>标的所属行业参照后附《工信部联企业</w:t>
            </w:r>
          </w:p>
          <w:p>
            <w:pPr>
              <w:pStyle w:val="20"/>
              <w:keepNext w:val="0"/>
              <w:keepLines w:val="0"/>
              <w:suppressLineNumbers w:val="0"/>
              <w:shd w:val="clear"/>
              <w:spacing w:before="0" w:beforeAutospacing="0" w:after="0" w:afterAutospacing="0" w:line="300" w:lineRule="exact"/>
              <w:ind w:left="109" w:right="0"/>
              <w:rPr>
                <w:rFonts w:hint="default" w:asciiTheme="minorEastAsia" w:hAnsiTheme="minorEastAsia" w:eastAsiaTheme="minorEastAsia"/>
                <w:color w:val="000000" w:themeColor="text1"/>
                <w:sz w:val="21"/>
                <w:szCs w:val="21"/>
                <w:highlight w:val="none"/>
                <w14:textFill>
                  <w14:solidFill>
                    <w14:schemeClr w14:val="tx1"/>
                  </w14:solidFill>
                </w14:textFill>
              </w:rPr>
            </w:pPr>
            <w:r>
              <w:rPr>
                <w:rFonts w:hint="default" w:asciiTheme="minorEastAsia" w:hAnsiTheme="minorEastAsia" w:eastAsiaTheme="minorEastAsia"/>
                <w:color w:val="000000" w:themeColor="text1"/>
                <w:sz w:val="21"/>
                <w:szCs w:val="21"/>
                <w:highlight w:val="none"/>
                <w14:textFill>
                  <w14:solidFill>
                    <w14:schemeClr w14:val="tx1"/>
                  </w14:solidFill>
                </w14:textFill>
              </w:rPr>
              <w:t>〔2011〕</w:t>
            </w:r>
            <w:r>
              <w:rPr>
                <w:rFonts w:hint="default" w:asciiTheme="minorEastAsia" w:hAnsiTheme="minorEastAsia" w:eastAsiaTheme="minorEastAsia"/>
                <w:color w:val="000000" w:themeColor="text1"/>
                <w:spacing w:val="-5"/>
                <w:sz w:val="21"/>
                <w:szCs w:val="21"/>
                <w:highlight w:val="none"/>
                <w14:textFill>
                  <w14:solidFill>
                    <w14:schemeClr w14:val="tx1"/>
                  </w14:solidFill>
                </w14:textFill>
              </w:rPr>
              <w:t>300</w:t>
            </w:r>
          </w:p>
          <w:p>
            <w:pPr>
              <w:pStyle w:val="20"/>
              <w:keepNext w:val="0"/>
              <w:keepLines w:val="0"/>
              <w:suppressLineNumbers w:val="0"/>
              <w:shd w:val="clear"/>
              <w:spacing w:before="0" w:beforeAutospacing="0" w:after="0" w:afterAutospacing="0" w:line="300" w:lineRule="exact"/>
              <w:ind w:left="109" w:right="0"/>
              <w:rPr>
                <w:rFonts w:hint="default" w:asciiTheme="minorEastAsia" w:hAnsiTheme="minorEastAsia" w:eastAsiaTheme="minorEastAsia"/>
                <w:color w:val="000000" w:themeColor="text1"/>
                <w:spacing w:val="-2"/>
                <w:sz w:val="21"/>
                <w:szCs w:val="21"/>
                <w:highlight w:val="none"/>
                <w14:textFill>
                  <w14:solidFill>
                    <w14:schemeClr w14:val="tx1"/>
                  </w14:solidFill>
                </w14:textFill>
              </w:rPr>
            </w:pPr>
            <w:r>
              <w:rPr>
                <w:rFonts w:hint="default" w:asciiTheme="minorEastAsia" w:hAnsiTheme="minorEastAsia" w:eastAsiaTheme="minorEastAsia"/>
                <w:color w:val="000000" w:themeColor="text1"/>
                <w:spacing w:val="-5"/>
                <w:sz w:val="21"/>
                <w:szCs w:val="21"/>
                <w:highlight w:val="none"/>
                <w14:textFill>
                  <w14:solidFill>
                    <w14:schemeClr w14:val="tx1"/>
                  </w14:solidFill>
                </w14:textFill>
              </w:rPr>
              <w:t>号》</w:t>
            </w:r>
          </w:p>
        </w:tc>
        <w:tc>
          <w:tcPr>
            <w:tcW w:w="6876" w:type="dxa"/>
            <w:tcBorders>
              <w:top w:val="single" w:color="000000" w:sz="2" w:space="0"/>
              <w:left w:val="single" w:color="000000" w:sz="2" w:space="0"/>
              <w:bottom w:val="single" w:color="000000" w:sz="2" w:space="0"/>
              <w:right w:val="single" w:color="000000" w:sz="2" w:space="0"/>
            </w:tcBorders>
          </w:tcPr>
          <w:tbl>
            <w:tblPr>
              <w:tblStyle w:val="14"/>
              <w:tblpPr w:leftFromText="180" w:rightFromText="180" w:vertAnchor="text" w:horzAnchor="page" w:tblpX="166" w:tblpY="364"/>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7"/>
              <w:gridCol w:w="1824"/>
              <w:gridCol w:w="3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87" w:type="dxa"/>
                </w:tcPr>
                <w:p>
                  <w:pPr>
                    <w:pStyle w:val="20"/>
                    <w:keepNext w:val="0"/>
                    <w:keepLines w:val="0"/>
                    <w:suppressLineNumbers w:val="0"/>
                    <w:shd w:val="clear"/>
                    <w:spacing w:before="0" w:beforeAutospacing="0" w:after="0" w:afterAutospacing="0" w:line="300" w:lineRule="exact"/>
                    <w:ind w:left="8" w:right="0"/>
                    <w:rPr>
                      <w:rFonts w:hint="default" w:asciiTheme="minorEastAsia" w:hAnsiTheme="minorEastAsia" w:eastAsiaTheme="minorEastAsia"/>
                      <w:color w:val="000000" w:themeColor="text1"/>
                      <w:sz w:val="21"/>
                      <w:szCs w:val="21"/>
                      <w:highlight w:val="none"/>
                      <w14:textFill>
                        <w14:solidFill>
                          <w14:schemeClr w14:val="tx1"/>
                        </w14:solidFill>
                      </w14:textFill>
                    </w:rPr>
                  </w:pPr>
                  <w:r>
                    <w:rPr>
                      <w:rFonts w:hint="default" w:asciiTheme="minorEastAsia" w:hAnsiTheme="minorEastAsia" w:eastAsiaTheme="minorEastAsia"/>
                      <w:color w:val="000000" w:themeColor="text1"/>
                      <w:spacing w:val="-5"/>
                      <w:sz w:val="21"/>
                      <w:szCs w:val="21"/>
                      <w:highlight w:val="none"/>
                      <w14:textFill>
                        <w14:solidFill>
                          <w14:schemeClr w14:val="tx1"/>
                        </w14:solidFill>
                      </w14:textFill>
                    </w:rPr>
                    <w:t>包号</w:t>
                  </w:r>
                </w:p>
              </w:tc>
              <w:tc>
                <w:tcPr>
                  <w:tcW w:w="1824" w:type="dxa"/>
                </w:tcPr>
                <w:p>
                  <w:pPr>
                    <w:pStyle w:val="20"/>
                    <w:keepNext w:val="0"/>
                    <w:keepLines w:val="0"/>
                    <w:suppressLineNumbers w:val="0"/>
                    <w:shd w:val="clear"/>
                    <w:spacing w:before="0" w:beforeAutospacing="0" w:after="0" w:afterAutospacing="0" w:line="300" w:lineRule="exact"/>
                    <w:ind w:left="432" w:right="0"/>
                    <w:rPr>
                      <w:rFonts w:hint="default" w:asciiTheme="minorEastAsia" w:hAnsiTheme="minorEastAsia" w:eastAsiaTheme="minorEastAsia"/>
                      <w:color w:val="000000" w:themeColor="text1"/>
                      <w:sz w:val="21"/>
                      <w:szCs w:val="21"/>
                      <w:highlight w:val="none"/>
                      <w14:textFill>
                        <w14:solidFill>
                          <w14:schemeClr w14:val="tx1"/>
                        </w14:solidFill>
                      </w14:textFill>
                    </w:rPr>
                  </w:pPr>
                  <w:r>
                    <w:rPr>
                      <w:rFonts w:hint="default" w:asciiTheme="minorEastAsia" w:hAnsiTheme="minorEastAsia" w:eastAsiaTheme="minorEastAsia"/>
                      <w:color w:val="000000" w:themeColor="text1"/>
                      <w:spacing w:val="-3"/>
                      <w:sz w:val="21"/>
                      <w:szCs w:val="21"/>
                      <w:highlight w:val="none"/>
                      <w14:textFill>
                        <w14:solidFill>
                          <w14:schemeClr w14:val="tx1"/>
                        </w14:solidFill>
                      </w14:textFill>
                    </w:rPr>
                    <w:t>标的名称</w:t>
                  </w:r>
                </w:p>
              </w:tc>
              <w:tc>
                <w:tcPr>
                  <w:tcW w:w="3245" w:type="dxa"/>
                </w:tcPr>
                <w:p>
                  <w:pPr>
                    <w:pStyle w:val="20"/>
                    <w:keepNext w:val="0"/>
                    <w:keepLines w:val="0"/>
                    <w:suppressLineNumbers w:val="0"/>
                    <w:shd w:val="clear"/>
                    <w:spacing w:before="0" w:beforeAutospacing="0" w:after="0" w:afterAutospacing="0" w:line="300" w:lineRule="exact"/>
                    <w:ind w:left="180" w:right="0"/>
                    <w:rPr>
                      <w:rFonts w:hint="default" w:asciiTheme="minorEastAsia" w:hAnsiTheme="minorEastAsia" w:eastAsiaTheme="minorEastAsia"/>
                      <w:color w:val="000000" w:themeColor="text1"/>
                      <w:sz w:val="21"/>
                      <w:szCs w:val="21"/>
                      <w:highlight w:val="none"/>
                      <w14:textFill>
                        <w14:solidFill>
                          <w14:schemeClr w14:val="tx1"/>
                        </w14:solidFill>
                      </w14:textFill>
                    </w:rPr>
                  </w:pPr>
                  <w:r>
                    <w:rPr>
                      <w:rFonts w:hint="default" w:asciiTheme="minorEastAsia" w:hAnsiTheme="minorEastAsia" w:eastAsiaTheme="minorEastAsia"/>
                      <w:color w:val="000000" w:themeColor="text1"/>
                      <w:spacing w:val="-1"/>
                      <w:sz w:val="21"/>
                      <w:szCs w:val="21"/>
                      <w:highlight w:val="none"/>
                      <w14:textFill>
                        <w14:solidFill>
                          <w14:schemeClr w14:val="tx1"/>
                        </w14:solidFill>
                      </w14:textFill>
                    </w:rPr>
                    <w:t>中小企业划分标准所属行业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87" w:type="dxa"/>
                </w:tcPr>
                <w:p>
                  <w:pPr>
                    <w:pStyle w:val="20"/>
                    <w:keepNext w:val="0"/>
                    <w:keepLines w:val="0"/>
                    <w:suppressLineNumbers w:val="0"/>
                    <w:shd w:val="clear"/>
                    <w:spacing w:before="0" w:beforeAutospacing="0" w:after="0" w:afterAutospacing="0" w:line="300" w:lineRule="exact"/>
                    <w:ind w:left="8" w:right="0"/>
                    <w:rPr>
                      <w:rFonts w:hint="default" w:asciiTheme="minorEastAsia" w:hAnsiTheme="minorEastAsia" w:eastAsiaTheme="minorEastAsia"/>
                      <w:color w:val="000000" w:themeColor="text1"/>
                      <w:sz w:val="21"/>
                      <w:szCs w:val="21"/>
                      <w:highlight w:val="none"/>
                      <w14:textFill>
                        <w14:solidFill>
                          <w14:schemeClr w14:val="tx1"/>
                        </w14:solidFill>
                      </w14:textFill>
                    </w:rPr>
                  </w:pPr>
                  <w:r>
                    <w:rPr>
                      <w:rFonts w:hint="default" w:asciiTheme="minorEastAsia" w:hAnsiTheme="minorEastAsia" w:eastAsiaTheme="minorEastAsia"/>
                      <w:color w:val="000000" w:themeColor="text1"/>
                      <w:spacing w:val="-30"/>
                      <w:sz w:val="21"/>
                      <w:szCs w:val="21"/>
                      <w:highlight w:val="none"/>
                      <w14:textFill>
                        <w14:solidFill>
                          <w14:schemeClr w14:val="tx1"/>
                        </w14:solidFill>
                      </w14:textFill>
                    </w:rPr>
                    <w:t xml:space="preserve">第 </w:t>
                  </w:r>
                  <w:r>
                    <w:rPr>
                      <w:rFonts w:hint="eastAsia" w:asciiTheme="minorEastAsia" w:hAnsiTheme="minorEastAsia" w:eastAsiaTheme="minorEastAsia"/>
                      <w:color w:val="000000" w:themeColor="text1"/>
                      <w:sz w:val="21"/>
                      <w:szCs w:val="21"/>
                      <w:highlight w:val="none"/>
                      <w14:textFill>
                        <w14:solidFill>
                          <w14:schemeClr w14:val="tx1"/>
                        </w14:solidFill>
                      </w14:textFill>
                    </w:rPr>
                    <w:t>一</w:t>
                  </w:r>
                  <w:r>
                    <w:rPr>
                      <w:rFonts w:hint="default" w:asciiTheme="minorEastAsia" w:hAnsiTheme="minorEastAsia" w:eastAsiaTheme="minorEastAsia"/>
                      <w:color w:val="000000" w:themeColor="text1"/>
                      <w:spacing w:val="-35"/>
                      <w:sz w:val="21"/>
                      <w:szCs w:val="21"/>
                      <w:highlight w:val="none"/>
                      <w14:textFill>
                        <w14:solidFill>
                          <w14:schemeClr w14:val="tx1"/>
                        </w14:solidFill>
                      </w14:textFill>
                    </w:rPr>
                    <w:t xml:space="preserve"> </w:t>
                  </w:r>
                  <w:r>
                    <w:rPr>
                      <w:rFonts w:hint="eastAsia" w:asciiTheme="minorEastAsia" w:hAnsiTheme="minorEastAsia" w:eastAsiaTheme="minorEastAsia"/>
                      <w:color w:val="000000" w:themeColor="text1"/>
                      <w:spacing w:val="-35"/>
                      <w:sz w:val="21"/>
                      <w:szCs w:val="21"/>
                      <w:highlight w:val="none"/>
                      <w14:textFill>
                        <w14:solidFill>
                          <w14:schemeClr w14:val="tx1"/>
                        </w14:solidFill>
                      </w14:textFill>
                    </w:rPr>
                    <w:t>标段</w:t>
                  </w:r>
                </w:p>
              </w:tc>
              <w:tc>
                <w:tcPr>
                  <w:tcW w:w="1824" w:type="dxa"/>
                </w:tcPr>
                <w:p>
                  <w:pPr>
                    <w:pStyle w:val="20"/>
                    <w:keepNext w:val="0"/>
                    <w:keepLines w:val="0"/>
                    <w:suppressLineNumbers w:val="0"/>
                    <w:shd w:val="clear"/>
                    <w:spacing w:before="0" w:beforeAutospacing="0" w:after="0" w:afterAutospacing="0" w:line="300" w:lineRule="exact"/>
                    <w:ind w:left="0" w:right="0"/>
                    <w:rPr>
                      <w:rFonts w:hint="default"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一楼和二楼餐厅面向社会公开招募餐饮服务团队项目</w:t>
                  </w:r>
                </w:p>
              </w:tc>
              <w:tc>
                <w:tcPr>
                  <w:tcW w:w="3245" w:type="dxa"/>
                </w:tcPr>
                <w:p>
                  <w:pPr>
                    <w:keepNext w:val="0"/>
                    <w:keepLines w:val="0"/>
                    <w:suppressLineNumbers w:val="0"/>
                    <w:shd w:val="clear"/>
                    <w:spacing w:before="0" w:beforeAutospacing="0" w:after="0" w:afterAutospacing="0" w:line="300" w:lineRule="exact"/>
                    <w:ind w:left="0" w:right="0"/>
                    <w:rPr>
                      <w:rFonts w:hint="default"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本项目标的所属行业：</w:t>
                  </w:r>
                  <w:r>
                    <w:rPr>
                      <w:rFonts w:hint="eastAsia" w:asciiTheme="minorEastAsia" w:hAnsiTheme="minorEastAsia" w:eastAsiaTheme="minorEastAsia"/>
                      <w:color w:val="000000" w:themeColor="text1"/>
                      <w:sz w:val="21"/>
                      <w:szCs w:val="21"/>
                      <w:highlight w:val="none"/>
                      <w:u w:val="single"/>
                      <w14:textFill>
                        <w14:solidFill>
                          <w14:schemeClr w14:val="tx1"/>
                        </w14:solidFill>
                      </w14:textFill>
                    </w:rPr>
                    <w:t>餐饮业</w:t>
                  </w: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87" w:type="dxa"/>
                </w:tcPr>
                <w:p>
                  <w:pPr>
                    <w:pStyle w:val="20"/>
                    <w:keepNext w:val="0"/>
                    <w:keepLines w:val="0"/>
                    <w:suppressLineNumbers w:val="0"/>
                    <w:shd w:val="clear"/>
                    <w:spacing w:before="0" w:beforeAutospacing="0" w:after="0" w:afterAutospacing="0" w:line="300" w:lineRule="exact"/>
                    <w:ind w:left="8" w:right="0"/>
                    <w:rPr>
                      <w:rFonts w:hint="default" w:asciiTheme="minorEastAsia" w:hAnsiTheme="minorEastAsia" w:eastAsiaTheme="minorEastAsia"/>
                      <w:color w:val="000000" w:themeColor="text1"/>
                      <w:sz w:val="21"/>
                      <w:szCs w:val="21"/>
                      <w:highlight w:val="none"/>
                      <w14:textFill>
                        <w14:solidFill>
                          <w14:schemeClr w14:val="tx1"/>
                        </w14:solidFill>
                      </w14:textFill>
                    </w:rPr>
                  </w:pPr>
                  <w:r>
                    <w:rPr>
                      <w:rFonts w:hint="default" w:asciiTheme="minorEastAsia" w:hAnsiTheme="minorEastAsia" w:eastAsiaTheme="minorEastAsia"/>
                      <w:color w:val="000000" w:themeColor="text1"/>
                      <w:spacing w:val="-30"/>
                      <w:sz w:val="21"/>
                      <w:szCs w:val="21"/>
                      <w:highlight w:val="none"/>
                      <w14:textFill>
                        <w14:solidFill>
                          <w14:schemeClr w14:val="tx1"/>
                        </w14:solidFill>
                      </w14:textFill>
                    </w:rPr>
                    <w:t xml:space="preserve">第 </w:t>
                  </w:r>
                  <w:r>
                    <w:rPr>
                      <w:rFonts w:hint="eastAsia" w:asciiTheme="minorEastAsia" w:hAnsiTheme="minorEastAsia" w:eastAsiaTheme="minorEastAsia"/>
                      <w:color w:val="000000" w:themeColor="text1"/>
                      <w:sz w:val="21"/>
                      <w:szCs w:val="21"/>
                      <w:highlight w:val="none"/>
                      <w14:textFill>
                        <w14:solidFill>
                          <w14:schemeClr w14:val="tx1"/>
                        </w14:solidFill>
                      </w14:textFill>
                    </w:rPr>
                    <w:t>二</w:t>
                  </w:r>
                  <w:r>
                    <w:rPr>
                      <w:rFonts w:hint="eastAsia" w:asciiTheme="minorEastAsia" w:hAnsiTheme="minorEastAsia" w:eastAsiaTheme="minorEastAsia"/>
                      <w:color w:val="000000" w:themeColor="text1"/>
                      <w:spacing w:val="-35"/>
                      <w:sz w:val="21"/>
                      <w:szCs w:val="21"/>
                      <w:highlight w:val="none"/>
                      <w14:textFill>
                        <w14:solidFill>
                          <w14:schemeClr w14:val="tx1"/>
                        </w14:solidFill>
                      </w14:textFill>
                    </w:rPr>
                    <w:t>标段</w:t>
                  </w:r>
                </w:p>
              </w:tc>
              <w:tc>
                <w:tcPr>
                  <w:tcW w:w="1824" w:type="dxa"/>
                </w:tcPr>
                <w:p>
                  <w:pPr>
                    <w:pStyle w:val="20"/>
                    <w:keepNext w:val="0"/>
                    <w:keepLines w:val="0"/>
                    <w:suppressLineNumbers w:val="0"/>
                    <w:shd w:val="clear"/>
                    <w:spacing w:before="0" w:beforeAutospacing="0" w:after="0" w:afterAutospacing="0" w:line="300" w:lineRule="exact"/>
                    <w:ind w:left="0" w:right="0"/>
                    <w:rPr>
                      <w:rFonts w:hint="default"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三楼餐厅面向社会公开招募餐饮服务团队项目</w:t>
                  </w:r>
                </w:p>
              </w:tc>
              <w:tc>
                <w:tcPr>
                  <w:tcW w:w="3245" w:type="dxa"/>
                </w:tcPr>
                <w:p>
                  <w:pPr>
                    <w:pStyle w:val="20"/>
                    <w:keepNext w:val="0"/>
                    <w:keepLines w:val="0"/>
                    <w:suppressLineNumbers w:val="0"/>
                    <w:shd w:val="clear"/>
                    <w:spacing w:before="0" w:beforeAutospacing="0" w:after="0" w:afterAutospacing="0" w:line="300" w:lineRule="exact"/>
                    <w:ind w:left="0" w:right="0"/>
                    <w:rPr>
                      <w:rFonts w:hint="default"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本项目标的所属行业：</w:t>
                  </w:r>
                  <w:r>
                    <w:rPr>
                      <w:rFonts w:hint="eastAsia" w:asciiTheme="minorEastAsia" w:hAnsiTheme="minorEastAsia" w:eastAsiaTheme="minorEastAsia"/>
                      <w:color w:val="000000" w:themeColor="text1"/>
                      <w:sz w:val="21"/>
                      <w:szCs w:val="21"/>
                      <w:highlight w:val="none"/>
                      <w:u w:val="single"/>
                      <w14:textFill>
                        <w14:solidFill>
                          <w14:schemeClr w14:val="tx1"/>
                        </w14:solidFill>
                      </w14:textFill>
                    </w:rPr>
                    <w:t>餐饮业</w:t>
                  </w:r>
                </w:p>
              </w:tc>
            </w:tr>
          </w:tbl>
          <w:p>
            <w:pPr>
              <w:pStyle w:val="20"/>
              <w:keepNext w:val="0"/>
              <w:keepLines w:val="0"/>
              <w:suppressLineNumbers w:val="0"/>
              <w:shd w:val="clear"/>
              <w:spacing w:before="0" w:beforeAutospacing="0" w:after="0" w:afterAutospacing="0" w:line="300" w:lineRule="exact"/>
              <w:ind w:left="111" w:right="0"/>
              <w:rPr>
                <w:rFonts w:hint="default" w:asciiTheme="minorEastAsia" w:hAnsiTheme="minorEastAsia" w:eastAsiaTheme="minorEastAsia"/>
                <w:color w:val="000000" w:themeColor="text1"/>
                <w:spacing w:val="-4"/>
                <w:sz w:val="21"/>
                <w:szCs w:val="21"/>
                <w:highlight w:val="none"/>
                <w14:textFill>
                  <w14:solidFill>
                    <w14:schemeClr w14:val="tx1"/>
                  </w14:solidFill>
                </w14:textFill>
              </w:rPr>
            </w:pPr>
            <w:r>
              <w:rPr>
                <w:rFonts w:hint="default" w:asciiTheme="minorEastAsia" w:hAnsiTheme="minorEastAsia" w:eastAsiaTheme="minorEastAsia"/>
                <w:color w:val="000000" w:themeColor="text1"/>
                <w:spacing w:val="-1"/>
                <w:sz w:val="21"/>
                <w:szCs w:val="21"/>
                <w:highlight w:val="none"/>
                <w14:textFill>
                  <w14:solidFill>
                    <w14:schemeClr w14:val="tx1"/>
                  </w14:solidFill>
                </w14:textFill>
              </w:rPr>
              <w:t>本项目采购标的对应的中小企业划分标准所属行业：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947" w:type="dxa"/>
            <w:tcBorders>
              <w:top w:val="single" w:color="000000" w:sz="2" w:space="0"/>
              <w:left w:val="single" w:color="000000" w:sz="2" w:space="0"/>
              <w:bottom w:val="single" w:color="000000" w:sz="2" w:space="0"/>
              <w:right w:val="single" w:color="000000" w:sz="2" w:space="0"/>
            </w:tcBorders>
          </w:tcPr>
          <w:p>
            <w:pPr>
              <w:pStyle w:val="20"/>
              <w:keepNext w:val="0"/>
              <w:keepLines w:val="0"/>
              <w:suppressLineNumbers w:val="0"/>
              <w:shd w:val="clear"/>
              <w:spacing w:before="0" w:beforeAutospacing="0" w:after="0" w:afterAutospacing="0" w:line="300" w:lineRule="exact"/>
              <w:ind w:left="0" w:right="0"/>
              <w:rPr>
                <w:rFonts w:hint="default" w:asciiTheme="minorEastAsia" w:hAnsiTheme="minorEastAsia" w:eastAsiaTheme="minorEastAsia"/>
                <w:color w:val="000000" w:themeColor="text1"/>
                <w:sz w:val="21"/>
                <w:szCs w:val="21"/>
                <w:highlight w:val="none"/>
                <w14:textFill>
                  <w14:solidFill>
                    <w14:schemeClr w14:val="tx1"/>
                  </w14:solidFill>
                </w14:textFill>
              </w:rPr>
            </w:pPr>
          </w:p>
          <w:p>
            <w:pPr>
              <w:pStyle w:val="20"/>
              <w:keepNext w:val="0"/>
              <w:keepLines w:val="0"/>
              <w:suppressLineNumbers w:val="0"/>
              <w:shd w:val="clear"/>
              <w:spacing w:before="0" w:beforeAutospacing="0" w:after="0" w:afterAutospacing="0" w:line="300" w:lineRule="exact"/>
              <w:ind w:left="7" w:right="0"/>
              <w:rPr>
                <w:rFonts w:hint="default" w:asciiTheme="minorEastAsia" w:hAnsiTheme="minorEastAsia" w:eastAsiaTheme="minorEastAsia"/>
                <w:color w:val="000000" w:themeColor="text1"/>
                <w:spacing w:val="-4"/>
                <w:sz w:val="21"/>
                <w:szCs w:val="21"/>
                <w:highlight w:val="none"/>
                <w14:textFill>
                  <w14:solidFill>
                    <w14:schemeClr w14:val="tx1"/>
                  </w14:solidFill>
                </w14:textFill>
              </w:rPr>
            </w:pPr>
            <w:r>
              <w:rPr>
                <w:rFonts w:hint="default" w:asciiTheme="minorEastAsia" w:hAnsiTheme="minorEastAsia" w:eastAsiaTheme="minorEastAsia"/>
                <w:color w:val="000000" w:themeColor="text1"/>
                <w:spacing w:val="-4"/>
                <w:sz w:val="21"/>
                <w:szCs w:val="21"/>
                <w:highlight w:val="none"/>
                <w14:textFill>
                  <w14:solidFill>
                    <w14:schemeClr w14:val="tx1"/>
                  </w14:solidFill>
                </w14:textFill>
              </w:rPr>
              <w:t>43.5</w:t>
            </w:r>
          </w:p>
        </w:tc>
        <w:tc>
          <w:tcPr>
            <w:tcW w:w="1696" w:type="dxa"/>
            <w:tcBorders>
              <w:top w:val="single" w:color="000000" w:sz="2" w:space="0"/>
              <w:left w:val="single" w:color="000000" w:sz="2" w:space="0"/>
              <w:bottom w:val="single" w:color="000000" w:sz="2" w:space="0"/>
              <w:right w:val="single" w:color="000000" w:sz="2" w:space="0"/>
            </w:tcBorders>
          </w:tcPr>
          <w:p>
            <w:pPr>
              <w:pStyle w:val="20"/>
              <w:keepNext w:val="0"/>
              <w:keepLines w:val="0"/>
              <w:suppressLineNumbers w:val="0"/>
              <w:shd w:val="clear"/>
              <w:spacing w:before="0" w:beforeAutospacing="0" w:after="0" w:afterAutospacing="0" w:line="300" w:lineRule="exact"/>
              <w:ind w:left="0" w:right="0"/>
              <w:rPr>
                <w:rFonts w:hint="default" w:asciiTheme="minorEastAsia" w:hAnsiTheme="minorEastAsia" w:eastAsiaTheme="minorEastAsia"/>
                <w:color w:val="000000" w:themeColor="text1"/>
                <w:sz w:val="21"/>
                <w:szCs w:val="21"/>
                <w:highlight w:val="none"/>
                <w14:textFill>
                  <w14:solidFill>
                    <w14:schemeClr w14:val="tx1"/>
                  </w14:solidFill>
                </w14:textFill>
              </w:rPr>
            </w:pPr>
          </w:p>
          <w:p>
            <w:pPr>
              <w:pStyle w:val="20"/>
              <w:keepNext w:val="0"/>
              <w:keepLines w:val="0"/>
              <w:suppressLineNumbers w:val="0"/>
              <w:shd w:val="clear"/>
              <w:spacing w:before="0" w:beforeAutospacing="0" w:after="0" w:afterAutospacing="0" w:line="300" w:lineRule="exact"/>
              <w:ind w:left="109" w:right="181"/>
              <w:rPr>
                <w:rFonts w:hint="default" w:asciiTheme="minorEastAsia" w:hAnsiTheme="minorEastAsia" w:eastAsiaTheme="minorEastAsia"/>
                <w:color w:val="000000" w:themeColor="text1"/>
                <w:spacing w:val="-2"/>
                <w:sz w:val="21"/>
                <w:szCs w:val="21"/>
                <w:highlight w:val="none"/>
                <w14:textFill>
                  <w14:solidFill>
                    <w14:schemeClr w14:val="tx1"/>
                  </w14:solidFill>
                </w14:textFill>
              </w:rPr>
            </w:pPr>
            <w:r>
              <w:rPr>
                <w:rFonts w:hint="default" w:asciiTheme="minorEastAsia" w:hAnsiTheme="minorEastAsia" w:eastAsiaTheme="minorEastAsia"/>
                <w:color w:val="000000" w:themeColor="text1"/>
                <w:spacing w:val="-2"/>
                <w:sz w:val="21"/>
                <w:szCs w:val="21"/>
                <w:highlight w:val="none"/>
                <w14:textFill>
                  <w14:solidFill>
                    <w14:schemeClr w14:val="tx1"/>
                  </w14:solidFill>
                </w14:textFill>
              </w:rPr>
              <w:t>优先采购创新节能环保产品</w:t>
            </w:r>
          </w:p>
        </w:tc>
        <w:tc>
          <w:tcPr>
            <w:tcW w:w="6876" w:type="dxa"/>
            <w:tcBorders>
              <w:top w:val="single" w:color="000000" w:sz="2" w:space="0"/>
              <w:left w:val="single" w:color="000000" w:sz="2" w:space="0"/>
              <w:bottom w:val="single" w:color="000000" w:sz="2" w:space="0"/>
              <w:right w:val="single" w:color="000000" w:sz="2" w:space="0"/>
            </w:tcBorders>
          </w:tcPr>
          <w:p>
            <w:pPr>
              <w:pStyle w:val="20"/>
              <w:keepNext w:val="0"/>
              <w:keepLines w:val="0"/>
              <w:suppressLineNumbers w:val="0"/>
              <w:shd w:val="clear"/>
              <w:spacing w:before="0" w:beforeAutospacing="0" w:after="0" w:afterAutospacing="0" w:line="300" w:lineRule="exact"/>
              <w:ind w:left="111" w:right="39"/>
              <w:rPr>
                <w:rFonts w:hint="default" w:asciiTheme="minorEastAsia" w:hAnsiTheme="minorEastAsia" w:eastAsiaTheme="minorEastAsia"/>
                <w:color w:val="000000" w:themeColor="text1"/>
                <w:spacing w:val="-4"/>
                <w:sz w:val="21"/>
                <w:szCs w:val="21"/>
                <w:highlight w:val="none"/>
                <w14:textFill>
                  <w14:solidFill>
                    <w14:schemeClr w14:val="tx1"/>
                  </w14:solidFill>
                </w14:textFill>
              </w:rPr>
            </w:pPr>
            <w:r>
              <w:rPr>
                <w:rFonts w:hint="default" w:asciiTheme="minorEastAsia" w:hAnsiTheme="minorEastAsia" w:eastAsiaTheme="minorEastAsia"/>
                <w:color w:val="000000" w:themeColor="text1"/>
                <w:spacing w:val="-2"/>
                <w:sz w:val="21"/>
                <w:szCs w:val="21"/>
                <w:highlight w:val="none"/>
                <w14:textFill>
                  <w14:solidFill>
                    <w14:schemeClr w14:val="tx1"/>
                  </w14:solidFill>
                </w14:textFill>
              </w:rPr>
              <w:t>所响应产品纳入创新产品应用示范推荐目录内企业、所响应产品获得节能产品或环境标志产品认证证书的供应商报价给予</w:t>
            </w:r>
            <w:r>
              <w:rPr>
                <w:rFonts w:hint="eastAsia" w:asciiTheme="minorEastAsia" w:hAnsiTheme="minorEastAsia" w:eastAsiaTheme="minorEastAsia"/>
                <w:color w:val="000000" w:themeColor="text1"/>
                <w:spacing w:val="80"/>
                <w:w w:val="150"/>
                <w:sz w:val="21"/>
                <w:szCs w:val="21"/>
                <w:highlight w:val="none"/>
                <w:u w:val="single"/>
                <w14:textFill>
                  <w14:solidFill>
                    <w14:schemeClr w14:val="tx1"/>
                  </w14:solidFill>
                </w14:textFill>
              </w:rPr>
              <w:t>/</w:t>
            </w:r>
            <w:r>
              <w:rPr>
                <w:rFonts w:hint="default" w:asciiTheme="minorEastAsia" w:hAnsiTheme="minorEastAsia" w:eastAsiaTheme="minorEastAsia"/>
                <w:color w:val="000000" w:themeColor="text1"/>
                <w:spacing w:val="-2"/>
                <w:sz w:val="21"/>
                <w:szCs w:val="21"/>
                <w:highlight w:val="none"/>
                <w14:textFill>
                  <w14:solidFill>
                    <w14:schemeClr w14:val="tx1"/>
                  </w14:solidFill>
                </w14:textFill>
              </w:rPr>
              <w:t>的价格扣除。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519" w:type="dxa"/>
            <w:gridSpan w:val="3"/>
            <w:tcBorders>
              <w:top w:val="single" w:color="000000" w:sz="2" w:space="0"/>
              <w:left w:val="single" w:color="000000" w:sz="2" w:space="0"/>
              <w:bottom w:val="single" w:color="000000" w:sz="2" w:space="0"/>
              <w:right w:val="single" w:color="000000" w:sz="2" w:space="0"/>
            </w:tcBorders>
          </w:tcPr>
          <w:p>
            <w:pPr>
              <w:pStyle w:val="20"/>
              <w:keepNext w:val="0"/>
              <w:keepLines w:val="0"/>
              <w:suppressLineNumbers w:val="0"/>
              <w:shd w:val="clear"/>
              <w:spacing w:before="0" w:beforeAutospacing="0" w:after="0" w:afterAutospacing="0" w:line="300" w:lineRule="exact"/>
              <w:ind w:left="109" w:right="0"/>
              <w:rPr>
                <w:rFonts w:hint="default" w:asciiTheme="minorEastAsia" w:hAnsiTheme="minorEastAsia" w:eastAsiaTheme="minorEastAsia"/>
                <w:color w:val="000000" w:themeColor="text1"/>
                <w:sz w:val="21"/>
                <w:szCs w:val="21"/>
                <w:highlight w:val="none"/>
                <w14:textFill>
                  <w14:solidFill>
                    <w14:schemeClr w14:val="tx1"/>
                  </w14:solidFill>
                </w14:textFill>
              </w:rPr>
            </w:pPr>
            <w:r>
              <w:rPr>
                <w:rFonts w:hint="default" w:asciiTheme="minorEastAsia" w:hAnsiTheme="minorEastAsia" w:eastAsiaTheme="minorEastAsia"/>
                <w:color w:val="000000" w:themeColor="text1"/>
                <w:spacing w:val="-4"/>
                <w:sz w:val="21"/>
                <w:szCs w:val="21"/>
                <w:highlight w:val="none"/>
                <w14:textFill>
                  <w14:solidFill>
                    <w14:schemeClr w14:val="tx1"/>
                  </w14:solidFill>
                </w14:textFill>
              </w:rPr>
              <w:t>备注:</w:t>
            </w:r>
          </w:p>
          <w:p>
            <w:pPr>
              <w:pStyle w:val="20"/>
              <w:keepNext w:val="0"/>
              <w:keepLines w:val="0"/>
              <w:numPr>
                <w:ilvl w:val="0"/>
                <w:numId w:val="12"/>
              </w:numPr>
              <w:suppressLineNumbers w:val="0"/>
              <w:shd w:val="clear"/>
              <w:tabs>
                <w:tab w:val="left" w:pos="469"/>
              </w:tabs>
              <w:spacing w:before="0" w:beforeAutospacing="0" w:after="0" w:afterAutospacing="0" w:line="300" w:lineRule="exact"/>
              <w:ind w:right="99" w:firstLine="0"/>
              <w:rPr>
                <w:rFonts w:hint="default" w:asciiTheme="minorEastAsia" w:hAnsiTheme="minorEastAsia" w:eastAsiaTheme="minorEastAsia"/>
                <w:color w:val="000000" w:themeColor="text1"/>
                <w:sz w:val="21"/>
                <w:szCs w:val="21"/>
                <w:highlight w:val="none"/>
                <w14:textFill>
                  <w14:solidFill>
                    <w14:schemeClr w14:val="tx1"/>
                  </w14:solidFill>
                </w14:textFill>
              </w:rPr>
            </w:pPr>
            <w:r>
              <w:rPr>
                <w:rFonts w:hint="default" w:asciiTheme="minorEastAsia" w:hAnsiTheme="minorEastAsia" w:eastAsiaTheme="minorEastAsia"/>
                <w:color w:val="000000" w:themeColor="text1"/>
                <w:spacing w:val="-2"/>
                <w:sz w:val="21"/>
                <w:szCs w:val="21"/>
                <w:highlight w:val="none"/>
                <w14:textFill>
                  <w14:solidFill>
                    <w14:schemeClr w14:val="tx1"/>
                  </w14:solidFill>
                </w14:textFill>
              </w:rPr>
              <w:t>除本招标文件另有规定外，招标文件中出现的类似于“近三年”或“前三年”、“近五年”或“前五年”均指递交投标文件截止时间之前三年或前五年，以此类推。如：递</w:t>
            </w:r>
            <w:r>
              <w:rPr>
                <w:rFonts w:hint="default" w:asciiTheme="minorEastAsia" w:hAnsiTheme="minorEastAsia" w:eastAsiaTheme="minorEastAsia"/>
                <w:color w:val="000000" w:themeColor="text1"/>
                <w:sz w:val="21"/>
                <w:szCs w:val="21"/>
                <w:highlight w:val="none"/>
                <w14:textFill>
                  <w14:solidFill>
                    <w14:schemeClr w14:val="tx1"/>
                  </w14:solidFill>
                </w14:textFill>
              </w:rPr>
              <w:t>交投标文件时间为</w:t>
            </w:r>
            <w:r>
              <w:rPr>
                <w:rFonts w:hint="default" w:asciiTheme="minorEastAsia" w:hAnsiTheme="minorEastAsia" w:eastAsiaTheme="minorEastAsia"/>
                <w:color w:val="000000" w:themeColor="text1"/>
                <w:spacing w:val="77"/>
                <w:w w:val="150"/>
                <w:sz w:val="21"/>
                <w:szCs w:val="21"/>
                <w:highlight w:val="none"/>
                <w14:textFill>
                  <w14:solidFill>
                    <w14:schemeClr w14:val="tx1"/>
                  </w14:solidFill>
                </w14:textFill>
              </w:rPr>
              <w:t xml:space="preserve"> </w:t>
            </w:r>
            <w:r>
              <w:rPr>
                <w:rFonts w:hint="default" w:asciiTheme="minorEastAsia" w:hAnsiTheme="minorEastAsia" w:eastAsiaTheme="minorEastAsia"/>
                <w:color w:val="000000" w:themeColor="text1"/>
                <w:sz w:val="21"/>
                <w:szCs w:val="21"/>
                <w:highlight w:val="none"/>
                <w14:textFill>
                  <w14:solidFill>
                    <w14:schemeClr w14:val="tx1"/>
                  </w14:solidFill>
                </w14:textFill>
              </w:rPr>
              <w:t>年</w:t>
            </w:r>
            <w:r>
              <w:rPr>
                <w:rFonts w:hint="default" w:asciiTheme="minorEastAsia" w:hAnsiTheme="minorEastAsia" w:eastAsiaTheme="minorEastAsia"/>
                <w:color w:val="000000" w:themeColor="text1"/>
                <w:spacing w:val="77"/>
                <w:w w:val="150"/>
                <w:sz w:val="21"/>
                <w:szCs w:val="21"/>
                <w:highlight w:val="none"/>
                <w14:textFill>
                  <w14:solidFill>
                    <w14:schemeClr w14:val="tx1"/>
                  </w14:solidFill>
                </w14:textFill>
              </w:rPr>
              <w:t xml:space="preserve"> </w:t>
            </w:r>
            <w:r>
              <w:rPr>
                <w:rFonts w:hint="default" w:asciiTheme="minorEastAsia" w:hAnsiTheme="minorEastAsia" w:eastAsiaTheme="minorEastAsia"/>
                <w:color w:val="000000" w:themeColor="text1"/>
                <w:sz w:val="21"/>
                <w:szCs w:val="21"/>
                <w:highlight w:val="none"/>
                <w14:textFill>
                  <w14:solidFill>
                    <w14:schemeClr w14:val="tx1"/>
                  </w14:solidFill>
                </w14:textFill>
              </w:rPr>
              <w:t>月</w:t>
            </w:r>
            <w:r>
              <w:rPr>
                <w:rFonts w:hint="default" w:asciiTheme="minorEastAsia" w:hAnsiTheme="minorEastAsia" w:eastAsiaTheme="minorEastAsia"/>
                <w:color w:val="000000" w:themeColor="text1"/>
                <w:spacing w:val="77"/>
                <w:w w:val="150"/>
                <w:sz w:val="21"/>
                <w:szCs w:val="21"/>
                <w:highlight w:val="none"/>
                <w14:textFill>
                  <w14:solidFill>
                    <w14:schemeClr w14:val="tx1"/>
                  </w14:solidFill>
                </w14:textFill>
              </w:rPr>
              <w:t xml:space="preserve"> </w:t>
            </w:r>
            <w:r>
              <w:rPr>
                <w:rFonts w:hint="default" w:asciiTheme="minorEastAsia" w:hAnsiTheme="minorEastAsia" w:eastAsiaTheme="minorEastAsia"/>
                <w:color w:val="000000" w:themeColor="text1"/>
                <w:sz w:val="21"/>
                <w:szCs w:val="21"/>
                <w:highlight w:val="none"/>
                <w14:textFill>
                  <w14:solidFill>
                    <w14:schemeClr w14:val="tx1"/>
                  </w14:solidFill>
                </w14:textFill>
              </w:rPr>
              <w:t>日，则“近三年”是指</w:t>
            </w:r>
            <w:r>
              <w:rPr>
                <w:rFonts w:hint="default" w:asciiTheme="minorEastAsia" w:hAnsiTheme="minorEastAsia" w:eastAsiaTheme="minorEastAsia"/>
                <w:color w:val="000000" w:themeColor="text1"/>
                <w:spacing w:val="77"/>
                <w:w w:val="150"/>
                <w:sz w:val="21"/>
                <w:szCs w:val="21"/>
                <w:highlight w:val="none"/>
                <w14:textFill>
                  <w14:solidFill>
                    <w14:schemeClr w14:val="tx1"/>
                  </w14:solidFill>
                </w14:textFill>
              </w:rPr>
              <w:t xml:space="preserve"> </w:t>
            </w:r>
            <w:r>
              <w:rPr>
                <w:rFonts w:hint="default" w:asciiTheme="minorEastAsia" w:hAnsiTheme="minorEastAsia" w:eastAsiaTheme="minorEastAsia"/>
                <w:color w:val="000000" w:themeColor="text1"/>
                <w:sz w:val="21"/>
                <w:szCs w:val="21"/>
                <w:highlight w:val="none"/>
                <w14:textFill>
                  <w14:solidFill>
                    <w14:schemeClr w14:val="tx1"/>
                  </w14:solidFill>
                </w14:textFill>
              </w:rPr>
              <w:t>年</w:t>
            </w:r>
            <w:r>
              <w:rPr>
                <w:rFonts w:hint="default" w:asciiTheme="minorEastAsia" w:hAnsiTheme="minorEastAsia" w:eastAsiaTheme="minorEastAsia"/>
                <w:color w:val="000000" w:themeColor="text1"/>
                <w:spacing w:val="77"/>
                <w:w w:val="150"/>
                <w:sz w:val="21"/>
                <w:szCs w:val="21"/>
                <w:highlight w:val="none"/>
                <w14:textFill>
                  <w14:solidFill>
                    <w14:schemeClr w14:val="tx1"/>
                  </w14:solidFill>
                </w14:textFill>
              </w:rPr>
              <w:t xml:space="preserve"> </w:t>
            </w:r>
            <w:r>
              <w:rPr>
                <w:rFonts w:hint="default" w:asciiTheme="minorEastAsia" w:hAnsiTheme="minorEastAsia" w:eastAsiaTheme="minorEastAsia"/>
                <w:color w:val="000000" w:themeColor="text1"/>
                <w:sz w:val="21"/>
                <w:szCs w:val="21"/>
                <w:highlight w:val="none"/>
                <w14:textFill>
                  <w14:solidFill>
                    <w14:schemeClr w14:val="tx1"/>
                  </w14:solidFill>
                </w14:textFill>
              </w:rPr>
              <w:t>月</w:t>
            </w:r>
            <w:r>
              <w:rPr>
                <w:rFonts w:hint="default" w:asciiTheme="minorEastAsia" w:hAnsiTheme="minorEastAsia" w:eastAsiaTheme="minorEastAsia"/>
                <w:color w:val="000000" w:themeColor="text1"/>
                <w:spacing w:val="77"/>
                <w:w w:val="150"/>
                <w:sz w:val="21"/>
                <w:szCs w:val="21"/>
                <w:highlight w:val="none"/>
                <w14:textFill>
                  <w14:solidFill>
                    <w14:schemeClr w14:val="tx1"/>
                  </w14:solidFill>
                </w14:textFill>
              </w:rPr>
              <w:t xml:space="preserve"> </w:t>
            </w:r>
            <w:r>
              <w:rPr>
                <w:rFonts w:hint="default" w:asciiTheme="minorEastAsia" w:hAnsiTheme="minorEastAsia" w:eastAsiaTheme="minorEastAsia"/>
                <w:color w:val="000000" w:themeColor="text1"/>
                <w:sz w:val="21"/>
                <w:szCs w:val="21"/>
                <w:highlight w:val="none"/>
                <w14:textFill>
                  <w14:solidFill>
                    <w14:schemeClr w14:val="tx1"/>
                  </w14:solidFill>
                </w14:textFill>
              </w:rPr>
              <w:t>日至</w:t>
            </w:r>
            <w:r>
              <w:rPr>
                <w:rFonts w:hint="default" w:asciiTheme="minorEastAsia" w:hAnsiTheme="minorEastAsia" w:eastAsiaTheme="minorEastAsia"/>
                <w:color w:val="000000" w:themeColor="text1"/>
                <w:spacing w:val="77"/>
                <w:w w:val="150"/>
                <w:sz w:val="21"/>
                <w:szCs w:val="21"/>
                <w:highlight w:val="none"/>
                <w14:textFill>
                  <w14:solidFill>
                    <w14:schemeClr w14:val="tx1"/>
                  </w14:solidFill>
                </w14:textFill>
              </w:rPr>
              <w:t xml:space="preserve"> </w:t>
            </w:r>
            <w:r>
              <w:rPr>
                <w:rFonts w:hint="default" w:asciiTheme="minorEastAsia" w:hAnsiTheme="minorEastAsia" w:eastAsiaTheme="minorEastAsia"/>
                <w:color w:val="000000" w:themeColor="text1"/>
                <w:sz w:val="21"/>
                <w:szCs w:val="21"/>
                <w:highlight w:val="none"/>
                <w14:textFill>
                  <w14:solidFill>
                    <w14:schemeClr w14:val="tx1"/>
                  </w14:solidFill>
                </w14:textFill>
              </w:rPr>
              <w:t>年</w:t>
            </w:r>
            <w:r>
              <w:rPr>
                <w:rFonts w:hint="default" w:asciiTheme="minorEastAsia" w:hAnsiTheme="minorEastAsia" w:eastAsiaTheme="minorEastAsia"/>
                <w:color w:val="000000" w:themeColor="text1"/>
                <w:spacing w:val="77"/>
                <w:w w:val="150"/>
                <w:sz w:val="21"/>
                <w:szCs w:val="21"/>
                <w:highlight w:val="none"/>
                <w14:textFill>
                  <w14:solidFill>
                    <w14:schemeClr w14:val="tx1"/>
                  </w14:solidFill>
                </w14:textFill>
              </w:rPr>
              <w:t xml:space="preserve"> </w:t>
            </w:r>
            <w:r>
              <w:rPr>
                <w:rFonts w:hint="default" w:asciiTheme="minorEastAsia" w:hAnsiTheme="minorEastAsia" w:eastAsiaTheme="minorEastAsia"/>
                <w:color w:val="000000" w:themeColor="text1"/>
                <w:sz w:val="21"/>
                <w:szCs w:val="21"/>
                <w:highlight w:val="none"/>
                <w14:textFill>
                  <w14:solidFill>
                    <w14:schemeClr w14:val="tx1"/>
                  </w14:solidFill>
                </w14:textFill>
              </w:rPr>
              <w:t>月</w:t>
            </w:r>
            <w:r>
              <w:rPr>
                <w:rFonts w:hint="default" w:asciiTheme="minorEastAsia" w:hAnsiTheme="minorEastAsia" w:eastAsiaTheme="minorEastAsia"/>
                <w:color w:val="000000" w:themeColor="text1"/>
                <w:spacing w:val="77"/>
                <w:w w:val="150"/>
                <w:sz w:val="21"/>
                <w:szCs w:val="21"/>
                <w:highlight w:val="none"/>
                <w14:textFill>
                  <w14:solidFill>
                    <w14:schemeClr w14:val="tx1"/>
                  </w14:solidFill>
                </w14:textFill>
              </w:rPr>
              <w:t xml:space="preserve"> </w:t>
            </w:r>
            <w:r>
              <w:rPr>
                <w:rFonts w:hint="default" w:asciiTheme="minorEastAsia" w:hAnsiTheme="minorEastAsia" w:eastAsiaTheme="minorEastAsia"/>
                <w:color w:val="000000" w:themeColor="text1"/>
                <w:sz w:val="21"/>
                <w:szCs w:val="21"/>
                <w:highlight w:val="none"/>
                <w14:textFill>
                  <w14:solidFill>
                    <w14:schemeClr w14:val="tx1"/>
                  </w14:solidFill>
                </w14:textFill>
              </w:rPr>
              <w:t>日。</w:t>
            </w:r>
          </w:p>
          <w:p>
            <w:pPr>
              <w:pStyle w:val="20"/>
              <w:keepNext w:val="0"/>
              <w:keepLines w:val="0"/>
              <w:suppressLineNumbers w:val="0"/>
              <w:shd w:val="clear"/>
              <w:tabs>
                <w:tab w:val="left" w:pos="951"/>
                <w:tab w:val="left" w:pos="2751"/>
              </w:tabs>
              <w:spacing w:before="0" w:beforeAutospacing="0" w:after="0" w:afterAutospacing="0" w:line="300" w:lineRule="exact"/>
              <w:ind w:left="0" w:right="0"/>
              <w:rPr>
                <w:rFonts w:hint="default" w:asciiTheme="minorEastAsia" w:hAnsiTheme="minorEastAsia" w:eastAsiaTheme="minorEastAsia"/>
                <w:color w:val="000000" w:themeColor="text1"/>
                <w:spacing w:val="-4"/>
                <w:sz w:val="21"/>
                <w:szCs w:val="21"/>
                <w:highlight w:val="none"/>
                <w14:textFill>
                  <w14:solidFill>
                    <w14:schemeClr w14:val="tx1"/>
                  </w14:solidFill>
                </w14:textFill>
              </w:rPr>
            </w:pPr>
            <w:r>
              <w:rPr>
                <w:rFonts w:hint="default" w:asciiTheme="minorEastAsia" w:hAnsiTheme="minorEastAsia" w:eastAsiaTheme="minorEastAsia"/>
                <w:color w:val="000000" w:themeColor="text1"/>
                <w:spacing w:val="-2"/>
                <w:sz w:val="21"/>
                <w:szCs w:val="21"/>
                <w:highlight w:val="none"/>
                <w14:textFill>
                  <w14:solidFill>
                    <w14:schemeClr w14:val="tx1"/>
                  </w14:solidFill>
                </w14:textFill>
              </w:rPr>
              <w:t>本招标文件所称的“以上”、“以下”、“内”、“以内”，包括本数；所称的“不足”，不包括本数。</w:t>
            </w:r>
          </w:p>
        </w:tc>
      </w:tr>
    </w:tbl>
    <w:p>
      <w:pPr>
        <w:pStyle w:val="10"/>
        <w:shd w:val="clear"/>
        <w:spacing w:before="5"/>
        <w:ind w:left="0"/>
        <w:rPr>
          <w:color w:val="000000" w:themeColor="text1"/>
          <w:sz w:val="4"/>
          <w:highlight w:val="none"/>
          <w14:textFill>
            <w14:solidFill>
              <w14:schemeClr w14:val="tx1"/>
            </w14:solidFill>
          </w14:textFill>
        </w:rPr>
      </w:pPr>
    </w:p>
    <w:p>
      <w:pPr>
        <w:shd w:val="clear"/>
        <w:rPr>
          <w:color w:val="000000" w:themeColor="text1"/>
          <w:sz w:val="24"/>
          <w:highlight w:val="none"/>
          <w14:textFill>
            <w14:solidFill>
              <w14:schemeClr w14:val="tx1"/>
            </w14:solidFill>
          </w14:textFill>
        </w:rPr>
        <w:sectPr>
          <w:pgSz w:w="11910" w:h="16840"/>
          <w:pgMar w:top="1380" w:right="1020" w:bottom="1180" w:left="1020" w:header="878" w:footer="989" w:gutter="0"/>
          <w:cols w:space="720" w:num="1"/>
        </w:sectPr>
      </w:pPr>
    </w:p>
    <w:p>
      <w:pPr>
        <w:pStyle w:val="10"/>
        <w:shd w:val="clear"/>
        <w:spacing w:before="5"/>
        <w:ind w:left="0"/>
        <w:rPr>
          <w:color w:val="000000" w:themeColor="text1"/>
          <w:sz w:val="4"/>
          <w:highlight w:val="none"/>
          <w14:textFill>
            <w14:solidFill>
              <w14:schemeClr w14:val="tx1"/>
            </w14:solidFill>
          </w14:textFill>
        </w:rPr>
      </w:pPr>
    </w:p>
    <w:p>
      <w:pPr>
        <w:pStyle w:val="10"/>
        <w:shd w:val="clear"/>
        <w:spacing w:before="5"/>
        <w:ind w:left="0"/>
        <w:rPr>
          <w:color w:val="000000" w:themeColor="text1"/>
          <w:sz w:val="4"/>
          <w:highlight w:val="none"/>
          <w14:textFill>
            <w14:solidFill>
              <w14:schemeClr w14:val="tx1"/>
            </w14:solidFill>
          </w14:textFill>
        </w:rPr>
      </w:pPr>
    </w:p>
    <w:p>
      <w:pPr>
        <w:pStyle w:val="6"/>
        <w:shd w:val="clear"/>
        <w:spacing w:before="185"/>
        <w:rPr>
          <w:color w:val="000000" w:themeColor="text1"/>
          <w:highlight w:val="none"/>
          <w14:textFill>
            <w14:solidFill>
              <w14:schemeClr w14:val="tx1"/>
            </w14:solidFill>
          </w14:textFill>
        </w:rPr>
      </w:pPr>
      <w:bookmarkStart w:id="22" w:name="_bookmark10"/>
      <w:bookmarkEnd w:id="22"/>
      <w:bookmarkStart w:id="23" w:name="二、投标人须知"/>
      <w:bookmarkEnd w:id="23"/>
      <w:r>
        <w:rPr>
          <w:color w:val="000000" w:themeColor="text1"/>
          <w:spacing w:val="-5"/>
          <w:highlight w:val="none"/>
          <w14:textFill>
            <w14:solidFill>
              <w14:schemeClr w14:val="tx1"/>
            </w14:solidFill>
          </w14:textFill>
        </w:rPr>
        <w:t>二、投标人须知</w:t>
      </w:r>
    </w:p>
    <w:p>
      <w:pPr>
        <w:pStyle w:val="7"/>
        <w:shd w:val="clear"/>
        <w:spacing w:before="251" w:line="331" w:lineRule="auto"/>
        <w:ind w:right="7879"/>
        <w:rPr>
          <w:color w:val="000000" w:themeColor="text1"/>
          <w:highlight w:val="none"/>
          <w14:textFill>
            <w14:solidFill>
              <w14:schemeClr w14:val="tx1"/>
            </w14:solidFill>
          </w14:textFill>
        </w:rPr>
      </w:pPr>
      <w:bookmarkStart w:id="24" w:name="（一）总则"/>
      <w:bookmarkEnd w:id="24"/>
      <w:r>
        <w:rPr>
          <w:color w:val="000000" w:themeColor="text1"/>
          <w:spacing w:val="-2"/>
          <w:highlight w:val="none"/>
          <w14:textFill>
            <w14:solidFill>
              <w14:schemeClr w14:val="tx1"/>
            </w14:solidFill>
          </w14:textFill>
        </w:rPr>
        <w:t xml:space="preserve">（一）总则 </w:t>
      </w:r>
      <w:bookmarkStart w:id="25" w:name="1.适用范围"/>
      <w:bookmarkEnd w:id="25"/>
      <w:r>
        <w:rPr>
          <w:color w:val="000000" w:themeColor="text1"/>
          <w:spacing w:val="-2"/>
          <w:highlight w:val="none"/>
          <w14:textFill>
            <w14:solidFill>
              <w14:schemeClr w14:val="tx1"/>
            </w14:solidFill>
          </w14:textFill>
        </w:rPr>
        <w:t>1</w:t>
      </w:r>
      <w:r>
        <w:rPr>
          <w:color w:val="000000" w:themeColor="text1"/>
          <w:spacing w:val="-4"/>
          <w:highlight w:val="none"/>
          <w14:textFill>
            <w14:solidFill>
              <w14:schemeClr w14:val="tx1"/>
            </w14:solidFill>
          </w14:textFill>
        </w:rPr>
        <w:t>.适用范围</w:t>
      </w:r>
    </w:p>
    <w:p>
      <w:pPr>
        <w:pStyle w:val="19"/>
        <w:numPr>
          <w:ilvl w:val="1"/>
          <w:numId w:val="13"/>
        </w:numPr>
        <w:shd w:val="clear"/>
        <w:tabs>
          <w:tab w:val="left" w:pos="1680"/>
        </w:tabs>
        <w:spacing w:before="20"/>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本招标文件仅适用于本项目的采购活动。</w:t>
      </w:r>
    </w:p>
    <w:p>
      <w:pPr>
        <w:pStyle w:val="7"/>
        <w:numPr>
          <w:ilvl w:val="0"/>
          <w:numId w:val="13"/>
        </w:numPr>
        <w:shd w:val="clear"/>
        <w:tabs>
          <w:tab w:val="left" w:pos="1019"/>
        </w:tabs>
        <w:spacing w:before="158"/>
        <w:ind w:left="1019" w:hanging="239"/>
        <w:jc w:val="left"/>
        <w:rPr>
          <w:color w:val="000000" w:themeColor="text1"/>
          <w:sz w:val="22"/>
          <w:highlight w:val="none"/>
          <w14:textFill>
            <w14:solidFill>
              <w14:schemeClr w14:val="tx1"/>
            </w14:solidFill>
          </w14:textFill>
        </w:rPr>
      </w:pPr>
      <w:bookmarkStart w:id="26" w:name="2.基本定义"/>
      <w:bookmarkEnd w:id="26"/>
      <w:r>
        <w:rPr>
          <w:color w:val="000000" w:themeColor="text1"/>
          <w:spacing w:val="-4"/>
          <w:highlight w:val="none"/>
          <w14:textFill>
            <w14:solidFill>
              <w14:schemeClr w14:val="tx1"/>
            </w14:solidFill>
          </w14:textFill>
        </w:rPr>
        <w:t>基本定义</w:t>
      </w:r>
    </w:p>
    <w:p>
      <w:pPr>
        <w:pStyle w:val="19"/>
        <w:numPr>
          <w:ilvl w:val="1"/>
          <w:numId w:val="13"/>
        </w:numPr>
        <w:shd w:val="clear"/>
        <w:tabs>
          <w:tab w:val="left" w:pos="1680"/>
        </w:tabs>
        <w:spacing w:before="139" w:line="360" w:lineRule="auto"/>
        <w:ind w:left="780" w:right="777" w:firstLine="480"/>
        <w:jc w:val="both"/>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根据《中华人民共和国政府采购法》及其实施条例等有关法律、法规和规章的规定，制定本招标文件。</w:t>
      </w:r>
    </w:p>
    <w:p>
      <w:pPr>
        <w:pStyle w:val="19"/>
        <w:numPr>
          <w:ilvl w:val="1"/>
          <w:numId w:val="13"/>
        </w:numPr>
        <w:shd w:val="clear"/>
        <w:tabs>
          <w:tab w:val="left" w:pos="1680"/>
        </w:tabs>
        <w:jc w:val="both"/>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采购人：指依法进行政府采购的国家机关、事业单位、团体组织。</w:t>
      </w:r>
    </w:p>
    <w:p>
      <w:pPr>
        <w:pStyle w:val="19"/>
        <w:numPr>
          <w:ilvl w:val="1"/>
          <w:numId w:val="13"/>
        </w:numPr>
        <w:shd w:val="clear"/>
        <w:tabs>
          <w:tab w:val="left" w:pos="1680"/>
        </w:tabs>
        <w:spacing w:before="156" w:line="360" w:lineRule="auto"/>
        <w:ind w:left="780" w:right="777" w:firstLine="480"/>
        <w:jc w:val="both"/>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采购代理机构：指依法进行政府采购的国家机关、事业单位、团体组织委托的采购代理机构。</w:t>
      </w:r>
    </w:p>
    <w:p>
      <w:pPr>
        <w:pStyle w:val="19"/>
        <w:numPr>
          <w:ilvl w:val="1"/>
          <w:numId w:val="13"/>
        </w:numPr>
        <w:shd w:val="clear"/>
        <w:tabs>
          <w:tab w:val="left" w:pos="1680"/>
        </w:tabs>
        <w:spacing w:line="360" w:lineRule="auto"/>
        <w:ind w:left="780" w:right="777" w:firstLine="480"/>
        <w:jc w:val="both"/>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政府采购监督管理部门：各级人民政府财政部门是负责政府采购监督管</w:t>
      </w:r>
      <w:r>
        <w:rPr>
          <w:color w:val="000000" w:themeColor="text1"/>
          <w:spacing w:val="-4"/>
          <w:sz w:val="24"/>
          <w:highlight w:val="none"/>
          <w14:textFill>
            <w14:solidFill>
              <w14:schemeClr w14:val="tx1"/>
            </w14:solidFill>
          </w14:textFill>
        </w:rPr>
        <w:t>理的部门，依法履行对政府采购活动的监督管理职责。各级人民政府其他有关部</w:t>
      </w:r>
      <w:r>
        <w:rPr>
          <w:color w:val="000000" w:themeColor="text1"/>
          <w:spacing w:val="-2"/>
          <w:sz w:val="24"/>
          <w:highlight w:val="none"/>
          <w14:textFill>
            <w14:solidFill>
              <w14:schemeClr w14:val="tx1"/>
            </w14:solidFill>
          </w14:textFill>
        </w:rPr>
        <w:t>门依法履行与政府采购活动有关的监督管理职责。</w:t>
      </w:r>
    </w:p>
    <w:p>
      <w:pPr>
        <w:pStyle w:val="19"/>
        <w:numPr>
          <w:ilvl w:val="1"/>
          <w:numId w:val="13"/>
        </w:numPr>
        <w:shd w:val="clear"/>
        <w:tabs>
          <w:tab w:val="left" w:pos="1740"/>
        </w:tabs>
        <w:ind w:left="1740" w:hanging="480"/>
        <w:jc w:val="both"/>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服务包含的内容见“投标人须知前附表”。</w:t>
      </w:r>
    </w:p>
    <w:p>
      <w:pPr>
        <w:pStyle w:val="19"/>
        <w:numPr>
          <w:ilvl w:val="1"/>
          <w:numId w:val="13"/>
        </w:numPr>
        <w:shd w:val="clear"/>
        <w:tabs>
          <w:tab w:val="left" w:pos="1680"/>
        </w:tabs>
        <w:spacing w:before="156" w:line="360" w:lineRule="auto"/>
        <w:ind w:left="780" w:right="777" w:firstLine="480"/>
        <w:jc w:val="both"/>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投标人（也称“供应商”、“申请人”）：指向采购人提供货物、工程</w:t>
      </w:r>
      <w:r>
        <w:rPr>
          <w:color w:val="000000" w:themeColor="text1"/>
          <w:spacing w:val="-4"/>
          <w:sz w:val="24"/>
          <w:highlight w:val="none"/>
          <w14:textFill>
            <w14:solidFill>
              <w14:schemeClr w14:val="tx1"/>
            </w14:solidFill>
          </w14:textFill>
        </w:rPr>
        <w:t>或者服务的法人、其他组织或者自然人。分支机构不得参加政府采购活动，但银行、保险、石油石化、电力、电信等有行业特殊情况的除外。本项目的投标人须</w:t>
      </w:r>
      <w:r>
        <w:rPr>
          <w:color w:val="000000" w:themeColor="text1"/>
          <w:spacing w:val="-2"/>
          <w:sz w:val="24"/>
          <w:highlight w:val="none"/>
          <w14:textFill>
            <w14:solidFill>
              <w14:schemeClr w14:val="tx1"/>
            </w14:solidFill>
          </w14:textFill>
        </w:rPr>
        <w:t>满足以下条件：</w:t>
      </w:r>
    </w:p>
    <w:p>
      <w:pPr>
        <w:pStyle w:val="19"/>
        <w:numPr>
          <w:ilvl w:val="2"/>
          <w:numId w:val="13"/>
        </w:numPr>
        <w:shd w:val="clear"/>
        <w:tabs>
          <w:tab w:val="left" w:pos="1920"/>
        </w:tabs>
        <w:spacing w:line="360" w:lineRule="auto"/>
        <w:ind w:right="777" w:firstLine="480"/>
        <w:jc w:val="both"/>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具备《中华人民共和国政府采购法》第二十二条规定的条件，遵守本项目采购人本级和上级财政部门政府采购的有关规定。</w:t>
      </w:r>
    </w:p>
    <w:p>
      <w:pPr>
        <w:pStyle w:val="19"/>
        <w:numPr>
          <w:ilvl w:val="2"/>
          <w:numId w:val="13"/>
        </w:numPr>
        <w:shd w:val="clear"/>
        <w:tabs>
          <w:tab w:val="left" w:pos="1920"/>
        </w:tabs>
        <w:ind w:left="1920"/>
        <w:jc w:val="both"/>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以招标公告中发布的方式依法获得了本项目的招标文件。</w:t>
      </w:r>
    </w:p>
    <w:p>
      <w:pPr>
        <w:pStyle w:val="19"/>
        <w:numPr>
          <w:ilvl w:val="2"/>
          <w:numId w:val="13"/>
        </w:numPr>
        <w:shd w:val="clear"/>
        <w:tabs>
          <w:tab w:val="left" w:pos="1920"/>
        </w:tabs>
        <w:spacing w:before="156"/>
        <w:ind w:left="1920"/>
        <w:jc w:val="both"/>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符合本招标文件规定并参加投标的供应商。</w:t>
      </w:r>
    </w:p>
    <w:p>
      <w:pPr>
        <w:pStyle w:val="19"/>
        <w:numPr>
          <w:ilvl w:val="1"/>
          <w:numId w:val="13"/>
        </w:numPr>
        <w:shd w:val="clear"/>
        <w:tabs>
          <w:tab w:val="left" w:pos="1680"/>
        </w:tabs>
        <w:spacing w:before="156"/>
        <w:jc w:val="both"/>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潜在投标人、潜在供应商：指符合本招标文件规定的供应商。</w:t>
      </w:r>
    </w:p>
    <w:p>
      <w:pPr>
        <w:pStyle w:val="7"/>
        <w:numPr>
          <w:ilvl w:val="0"/>
          <w:numId w:val="13"/>
        </w:numPr>
        <w:shd w:val="clear"/>
        <w:tabs>
          <w:tab w:val="left" w:pos="1019"/>
        </w:tabs>
        <w:spacing w:before="156"/>
        <w:ind w:left="1019" w:hanging="239"/>
        <w:jc w:val="left"/>
        <w:rPr>
          <w:color w:val="000000" w:themeColor="text1"/>
          <w:sz w:val="22"/>
          <w:highlight w:val="none"/>
          <w14:textFill>
            <w14:solidFill>
              <w14:schemeClr w14:val="tx1"/>
            </w14:solidFill>
          </w14:textFill>
        </w:rPr>
      </w:pPr>
      <w:bookmarkStart w:id="27" w:name="3.资金来源"/>
      <w:bookmarkEnd w:id="27"/>
      <w:r>
        <w:rPr>
          <w:color w:val="000000" w:themeColor="text1"/>
          <w:spacing w:val="-4"/>
          <w:highlight w:val="none"/>
          <w14:textFill>
            <w14:solidFill>
              <w14:schemeClr w14:val="tx1"/>
            </w14:solidFill>
          </w14:textFill>
        </w:rPr>
        <w:t>资金来源</w:t>
      </w:r>
    </w:p>
    <w:p>
      <w:pPr>
        <w:pStyle w:val="19"/>
        <w:numPr>
          <w:ilvl w:val="1"/>
          <w:numId w:val="13"/>
        </w:numPr>
        <w:shd w:val="clear"/>
        <w:tabs>
          <w:tab w:val="left" w:pos="1680"/>
        </w:tabs>
        <w:spacing w:before="139" w:line="360" w:lineRule="auto"/>
        <w:ind w:left="780" w:right="777" w:firstLine="480"/>
        <w:jc w:val="both"/>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资金来源：为财政性资金即纳入预算管理的资金。以财政性资金作为还</w:t>
      </w:r>
      <w:r>
        <w:rPr>
          <w:color w:val="000000" w:themeColor="text1"/>
          <w:spacing w:val="-4"/>
          <w:sz w:val="24"/>
          <w:highlight w:val="none"/>
          <w14:textFill>
            <w14:solidFill>
              <w14:schemeClr w14:val="tx1"/>
            </w14:solidFill>
          </w14:textFill>
        </w:rPr>
        <w:t>款来源的借贷资金，视同财政性资金。财政性资金与非财政性资金无法分割采购</w:t>
      </w:r>
      <w:r>
        <w:rPr>
          <w:color w:val="000000" w:themeColor="text1"/>
          <w:spacing w:val="-2"/>
          <w:sz w:val="24"/>
          <w:highlight w:val="none"/>
          <w14:textFill>
            <w14:solidFill>
              <w14:schemeClr w14:val="tx1"/>
            </w14:solidFill>
          </w14:textFill>
        </w:rPr>
        <w:t>的，统一适用《中华人民共和国政府采购法》及其实施条例。</w:t>
      </w:r>
    </w:p>
    <w:p>
      <w:pPr>
        <w:pStyle w:val="7"/>
        <w:numPr>
          <w:ilvl w:val="0"/>
          <w:numId w:val="13"/>
        </w:numPr>
        <w:shd w:val="clear"/>
        <w:tabs>
          <w:tab w:val="left" w:pos="1019"/>
        </w:tabs>
        <w:spacing w:before="3"/>
        <w:ind w:left="1019" w:hanging="239"/>
        <w:jc w:val="left"/>
        <w:rPr>
          <w:color w:val="000000" w:themeColor="text1"/>
          <w:sz w:val="22"/>
          <w:highlight w:val="none"/>
          <w14:textFill>
            <w14:solidFill>
              <w14:schemeClr w14:val="tx1"/>
            </w14:solidFill>
          </w14:textFill>
        </w:rPr>
      </w:pPr>
      <w:bookmarkStart w:id="28" w:name="4.投标人资格要求"/>
      <w:bookmarkEnd w:id="28"/>
      <w:r>
        <w:rPr>
          <w:color w:val="000000" w:themeColor="text1"/>
          <w:spacing w:val="-4"/>
          <w:highlight w:val="none"/>
          <w14:textFill>
            <w14:solidFill>
              <w14:schemeClr w14:val="tx1"/>
            </w14:solidFill>
          </w14:textFill>
        </w:rPr>
        <w:t>投标人资格要求</w:t>
      </w:r>
    </w:p>
    <w:p>
      <w:pPr>
        <w:pStyle w:val="19"/>
        <w:numPr>
          <w:ilvl w:val="1"/>
          <w:numId w:val="13"/>
        </w:numPr>
        <w:shd w:val="clear"/>
        <w:tabs>
          <w:tab w:val="left" w:pos="1680"/>
        </w:tabs>
        <w:spacing w:before="137"/>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投标人资格要求：见“第一章 招标公告”；</w:t>
      </w:r>
    </w:p>
    <w:p>
      <w:pPr>
        <w:shd w:val="clear"/>
        <w:rPr>
          <w:color w:val="000000" w:themeColor="text1"/>
          <w:sz w:val="24"/>
          <w:highlight w:val="none"/>
          <w14:textFill>
            <w14:solidFill>
              <w14:schemeClr w14:val="tx1"/>
            </w14:solidFill>
          </w14:textFill>
        </w:rPr>
        <w:sectPr>
          <w:pgSz w:w="11910" w:h="16840"/>
          <w:pgMar w:top="1380" w:right="1020" w:bottom="1180" w:left="1020" w:header="878" w:footer="989" w:gutter="0"/>
          <w:cols w:space="720" w:num="1"/>
        </w:sectPr>
      </w:pPr>
    </w:p>
    <w:p>
      <w:pPr>
        <w:pStyle w:val="19"/>
        <w:numPr>
          <w:ilvl w:val="1"/>
          <w:numId w:val="13"/>
        </w:numPr>
        <w:shd w:val="clear"/>
        <w:tabs>
          <w:tab w:val="left" w:pos="1620"/>
        </w:tabs>
        <w:spacing w:before="133"/>
        <w:ind w:left="1620" w:hanging="360"/>
        <w:jc w:val="both"/>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“第一章 招标公告”规定接受联合体投标的，还应遵守以下规定：</w:t>
      </w:r>
    </w:p>
    <w:p>
      <w:pPr>
        <w:pStyle w:val="19"/>
        <w:numPr>
          <w:ilvl w:val="2"/>
          <w:numId w:val="13"/>
        </w:numPr>
        <w:shd w:val="clear"/>
        <w:tabs>
          <w:tab w:val="left" w:pos="1920"/>
        </w:tabs>
        <w:spacing w:before="156" w:line="360" w:lineRule="auto"/>
        <w:ind w:right="777" w:firstLine="480"/>
        <w:jc w:val="both"/>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两个以上的自然人、法人或者其他组织可以组成一个联合体，以一个</w:t>
      </w:r>
      <w:r>
        <w:rPr>
          <w:color w:val="000000" w:themeColor="text1"/>
          <w:spacing w:val="-4"/>
          <w:sz w:val="24"/>
          <w:highlight w:val="none"/>
          <w14:textFill>
            <w14:solidFill>
              <w14:schemeClr w14:val="tx1"/>
            </w14:solidFill>
          </w14:textFill>
        </w:rPr>
        <w:t>投标人的身份共同参加政府采购。以联合体形式进行政府采购的，参加联合体的</w:t>
      </w:r>
      <w:r>
        <w:rPr>
          <w:color w:val="000000" w:themeColor="text1"/>
          <w:spacing w:val="-2"/>
          <w:sz w:val="24"/>
          <w:highlight w:val="none"/>
          <w14:textFill>
            <w14:solidFill>
              <w14:schemeClr w14:val="tx1"/>
            </w14:solidFill>
          </w14:textFill>
        </w:rPr>
        <w:t>供应商均应当具备《中华人民共和国政府采购法》第二十二条规定的条件。</w:t>
      </w:r>
    </w:p>
    <w:p>
      <w:pPr>
        <w:pStyle w:val="19"/>
        <w:numPr>
          <w:ilvl w:val="2"/>
          <w:numId w:val="13"/>
        </w:numPr>
        <w:shd w:val="clear"/>
        <w:tabs>
          <w:tab w:val="left" w:pos="1920"/>
        </w:tabs>
        <w:spacing w:line="360" w:lineRule="auto"/>
        <w:ind w:right="777" w:firstLine="480"/>
        <w:jc w:val="both"/>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联合体各方应按招标文件提供的格式签订联合体协议书，明确约定联</w:t>
      </w:r>
      <w:r>
        <w:rPr>
          <w:color w:val="000000" w:themeColor="text1"/>
          <w:spacing w:val="-8"/>
          <w:sz w:val="24"/>
          <w:highlight w:val="none"/>
          <w14:textFill>
            <w14:solidFill>
              <w14:schemeClr w14:val="tx1"/>
            </w14:solidFill>
          </w14:textFill>
        </w:rPr>
        <w:t>合体各方承担的工作和相应的责任，并将联合体协议书作为投标文件的一部分提</w:t>
      </w:r>
      <w:r>
        <w:rPr>
          <w:color w:val="000000" w:themeColor="text1"/>
          <w:spacing w:val="-2"/>
          <w:sz w:val="24"/>
          <w:highlight w:val="none"/>
          <w14:textFill>
            <w14:solidFill>
              <w14:schemeClr w14:val="tx1"/>
            </w14:solidFill>
          </w14:textFill>
        </w:rPr>
        <w:t>交，该协议书对联合体所有成员均具有法律约束力。</w:t>
      </w:r>
    </w:p>
    <w:p>
      <w:pPr>
        <w:pStyle w:val="19"/>
        <w:numPr>
          <w:ilvl w:val="2"/>
          <w:numId w:val="13"/>
        </w:numPr>
        <w:shd w:val="clear"/>
        <w:tabs>
          <w:tab w:val="left" w:pos="1920"/>
        </w:tabs>
        <w:spacing w:line="360" w:lineRule="auto"/>
        <w:ind w:right="777" w:firstLine="480"/>
        <w:jc w:val="both"/>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联合体中有同类资质的供应商按照联合体分工承担相同工作的，应当按照资质等级较低的供应商确定资质等级。</w:t>
      </w:r>
    </w:p>
    <w:p>
      <w:pPr>
        <w:pStyle w:val="19"/>
        <w:numPr>
          <w:ilvl w:val="2"/>
          <w:numId w:val="13"/>
        </w:numPr>
        <w:shd w:val="clear"/>
        <w:tabs>
          <w:tab w:val="left" w:pos="1920"/>
        </w:tabs>
        <w:spacing w:line="360" w:lineRule="auto"/>
        <w:ind w:right="777" w:firstLine="480"/>
        <w:jc w:val="both"/>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以联合体形式参加政府采购活动的，联合体各方不得再单独参加或者</w:t>
      </w:r>
      <w:r>
        <w:rPr>
          <w:color w:val="000000" w:themeColor="text1"/>
          <w:spacing w:val="-6"/>
          <w:sz w:val="24"/>
          <w:highlight w:val="none"/>
          <w14:textFill>
            <w14:solidFill>
              <w14:schemeClr w14:val="tx1"/>
            </w14:solidFill>
          </w14:textFill>
        </w:rPr>
        <w:t>与其他供应商另外组成联合体参加同一合同项下的投标，否则相关投标将被认定</w:t>
      </w:r>
      <w:r>
        <w:rPr>
          <w:color w:val="000000" w:themeColor="text1"/>
          <w:spacing w:val="-2"/>
          <w:sz w:val="24"/>
          <w:highlight w:val="none"/>
          <w14:textFill>
            <w14:solidFill>
              <w14:schemeClr w14:val="tx1"/>
            </w14:solidFill>
          </w14:textFill>
        </w:rPr>
        <w:t>为</w:t>
      </w:r>
      <w:r>
        <w:rPr>
          <w:b/>
          <w:color w:val="000000" w:themeColor="text1"/>
          <w:spacing w:val="-2"/>
          <w:sz w:val="24"/>
          <w:highlight w:val="none"/>
          <w14:textFill>
            <w14:solidFill>
              <w14:schemeClr w14:val="tx1"/>
            </w14:solidFill>
          </w14:textFill>
        </w:rPr>
        <w:t>投标无效</w:t>
      </w:r>
      <w:r>
        <w:rPr>
          <w:color w:val="000000" w:themeColor="text1"/>
          <w:spacing w:val="-2"/>
          <w:sz w:val="24"/>
          <w:highlight w:val="none"/>
          <w14:textFill>
            <w14:solidFill>
              <w14:schemeClr w14:val="tx1"/>
            </w14:solidFill>
          </w14:textFill>
        </w:rPr>
        <w:t>。</w:t>
      </w:r>
    </w:p>
    <w:p>
      <w:pPr>
        <w:pStyle w:val="19"/>
        <w:numPr>
          <w:ilvl w:val="2"/>
          <w:numId w:val="13"/>
        </w:numPr>
        <w:shd w:val="clear"/>
        <w:tabs>
          <w:tab w:val="left" w:pos="1920"/>
        </w:tabs>
        <w:spacing w:line="360" w:lineRule="auto"/>
        <w:ind w:right="777" w:firstLine="480"/>
        <w:jc w:val="both"/>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大中型企业、其他自然人、法人或者非法人组织与小型、微型企业组</w:t>
      </w:r>
      <w:r>
        <w:rPr>
          <w:color w:val="000000" w:themeColor="text1"/>
          <w:spacing w:val="-4"/>
          <w:sz w:val="24"/>
          <w:highlight w:val="none"/>
          <w14:textFill>
            <w14:solidFill>
              <w14:schemeClr w14:val="tx1"/>
            </w14:solidFill>
          </w14:textFill>
        </w:rPr>
        <w:t>成联合体共同参加投标的，联合体协议书中应写明小型、微型企业的合同金额占</w:t>
      </w:r>
      <w:r>
        <w:rPr>
          <w:color w:val="000000" w:themeColor="text1"/>
          <w:spacing w:val="-2"/>
          <w:sz w:val="24"/>
          <w:highlight w:val="none"/>
          <w14:textFill>
            <w14:solidFill>
              <w14:schemeClr w14:val="tx1"/>
            </w14:solidFill>
          </w14:textFill>
        </w:rPr>
        <w:t>到联合体投标合同总金额的比例。</w:t>
      </w:r>
    </w:p>
    <w:p>
      <w:pPr>
        <w:pStyle w:val="19"/>
        <w:numPr>
          <w:ilvl w:val="2"/>
          <w:numId w:val="13"/>
        </w:numPr>
        <w:shd w:val="clear"/>
        <w:tabs>
          <w:tab w:val="left" w:pos="1920"/>
        </w:tabs>
        <w:spacing w:line="360" w:lineRule="auto"/>
        <w:ind w:right="777" w:firstLine="480"/>
        <w:jc w:val="both"/>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联合体中标的，采购合同应由联合体各成员的合法授权代表签字及加</w:t>
      </w:r>
      <w:r>
        <w:rPr>
          <w:color w:val="000000" w:themeColor="text1"/>
          <w:spacing w:val="-12"/>
          <w:sz w:val="24"/>
          <w:highlight w:val="none"/>
          <w14:textFill>
            <w14:solidFill>
              <w14:schemeClr w14:val="tx1"/>
            </w14:solidFill>
          </w14:textFill>
        </w:rPr>
        <w:t>盖联合体各成员公章，并对联合体成员作为整体和他们各自作为独立体均具有法</w:t>
      </w:r>
      <w:r>
        <w:rPr>
          <w:color w:val="000000" w:themeColor="text1"/>
          <w:spacing w:val="-4"/>
          <w:sz w:val="24"/>
          <w:highlight w:val="none"/>
          <w14:textFill>
            <w14:solidFill>
              <w14:schemeClr w14:val="tx1"/>
            </w14:solidFill>
          </w14:textFill>
        </w:rPr>
        <w:t>律约束力，但若该签字或公章不齐全或缺乏，该联合体的牵头人的签署或类似的</w:t>
      </w:r>
      <w:r>
        <w:rPr>
          <w:color w:val="000000" w:themeColor="text1"/>
          <w:spacing w:val="-6"/>
          <w:sz w:val="24"/>
          <w:highlight w:val="none"/>
          <w14:textFill>
            <w14:solidFill>
              <w14:schemeClr w14:val="tx1"/>
            </w14:solidFill>
          </w14:textFill>
        </w:rPr>
        <w:t>意思表示人具有代表该联合体的签署或意思表示的法律效力，并且据此各成员为</w:t>
      </w:r>
      <w:r>
        <w:rPr>
          <w:color w:val="000000" w:themeColor="text1"/>
          <w:spacing w:val="-2"/>
          <w:sz w:val="24"/>
          <w:highlight w:val="none"/>
          <w14:textFill>
            <w14:solidFill>
              <w14:schemeClr w14:val="tx1"/>
            </w14:solidFill>
          </w14:textFill>
        </w:rPr>
        <w:t>履行合同应向采购人与采购代理机构承担连带责任。</w:t>
      </w:r>
    </w:p>
    <w:p>
      <w:pPr>
        <w:pStyle w:val="19"/>
        <w:numPr>
          <w:ilvl w:val="2"/>
          <w:numId w:val="13"/>
        </w:numPr>
        <w:shd w:val="clear"/>
        <w:tabs>
          <w:tab w:val="left" w:pos="1920"/>
        </w:tabs>
        <w:spacing w:line="360" w:lineRule="auto"/>
        <w:ind w:right="657" w:firstLine="48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联合体或其成员不得将其在合同项下的权利或义务全部或部分转让</w:t>
      </w:r>
      <w:r>
        <w:rPr>
          <w:color w:val="000000" w:themeColor="text1"/>
          <w:spacing w:val="80"/>
          <w:sz w:val="24"/>
          <w:highlight w:val="none"/>
          <w14:textFill>
            <w14:solidFill>
              <w14:schemeClr w14:val="tx1"/>
            </w14:solidFill>
          </w14:textFill>
        </w:rPr>
        <w:t xml:space="preserve"> </w:t>
      </w:r>
      <w:r>
        <w:rPr>
          <w:color w:val="000000" w:themeColor="text1"/>
          <w:spacing w:val="-16"/>
          <w:sz w:val="24"/>
          <w:highlight w:val="none"/>
          <w14:textFill>
            <w14:solidFill>
              <w14:schemeClr w14:val="tx1"/>
            </w14:solidFill>
          </w14:textFill>
        </w:rPr>
        <w:t>给第三人，有关分包事项须事先取得采购人书面同意并且须遵守相关法律、法规、</w:t>
      </w:r>
      <w:r>
        <w:rPr>
          <w:color w:val="000000" w:themeColor="text1"/>
          <w:spacing w:val="-2"/>
          <w:sz w:val="24"/>
          <w:highlight w:val="none"/>
          <w14:textFill>
            <w14:solidFill>
              <w14:schemeClr w14:val="tx1"/>
            </w14:solidFill>
          </w14:textFill>
        </w:rPr>
        <w:t>本次招标的全部相关规定。</w:t>
      </w:r>
    </w:p>
    <w:p>
      <w:pPr>
        <w:pStyle w:val="19"/>
        <w:numPr>
          <w:ilvl w:val="2"/>
          <w:numId w:val="13"/>
        </w:numPr>
        <w:shd w:val="clear"/>
        <w:tabs>
          <w:tab w:val="left" w:pos="1920"/>
        </w:tabs>
        <w:spacing w:line="360" w:lineRule="auto"/>
        <w:ind w:right="865" w:firstLine="48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对联合体投标的其他资格要求见“第一章 招标公告”中的“二、申请人的资格要求”。</w:t>
      </w:r>
    </w:p>
    <w:p>
      <w:pPr>
        <w:pStyle w:val="7"/>
        <w:numPr>
          <w:ilvl w:val="0"/>
          <w:numId w:val="13"/>
        </w:numPr>
        <w:shd w:val="clear"/>
        <w:tabs>
          <w:tab w:val="left" w:pos="1019"/>
        </w:tabs>
        <w:spacing w:before="2"/>
        <w:ind w:left="1019" w:hanging="239"/>
        <w:jc w:val="left"/>
        <w:rPr>
          <w:color w:val="000000" w:themeColor="text1"/>
          <w:sz w:val="22"/>
          <w:highlight w:val="none"/>
          <w14:textFill>
            <w14:solidFill>
              <w14:schemeClr w14:val="tx1"/>
            </w14:solidFill>
          </w14:textFill>
        </w:rPr>
      </w:pPr>
      <w:bookmarkStart w:id="29" w:name="5.费用承担"/>
      <w:bookmarkEnd w:id="29"/>
      <w:r>
        <w:rPr>
          <w:color w:val="000000" w:themeColor="text1"/>
          <w:spacing w:val="-4"/>
          <w:highlight w:val="none"/>
          <w14:textFill>
            <w14:solidFill>
              <w14:schemeClr w14:val="tx1"/>
            </w14:solidFill>
          </w14:textFill>
        </w:rPr>
        <w:t>费用承担</w:t>
      </w:r>
    </w:p>
    <w:p>
      <w:pPr>
        <w:pStyle w:val="19"/>
        <w:numPr>
          <w:ilvl w:val="1"/>
          <w:numId w:val="13"/>
        </w:numPr>
        <w:shd w:val="clear"/>
        <w:tabs>
          <w:tab w:val="left" w:pos="1680"/>
        </w:tabs>
        <w:spacing w:before="139"/>
        <w:rPr>
          <w:color w:val="000000" w:themeColor="text1"/>
          <w:sz w:val="24"/>
          <w:highlight w:val="none"/>
          <w14:textFill>
            <w14:solidFill>
              <w14:schemeClr w14:val="tx1"/>
            </w14:solidFill>
          </w14:textFill>
        </w:rPr>
      </w:pPr>
      <w:r>
        <w:rPr>
          <w:color w:val="000000" w:themeColor="text1"/>
          <w:spacing w:val="-3"/>
          <w:sz w:val="24"/>
          <w:highlight w:val="none"/>
          <w14:textFill>
            <w14:solidFill>
              <w14:schemeClr w14:val="tx1"/>
            </w14:solidFill>
          </w14:textFill>
        </w:rPr>
        <w:t>不论投标的结果如何，投标人应承担所有与准备和参加投标有关的费用。</w:t>
      </w:r>
    </w:p>
    <w:p>
      <w:pPr>
        <w:pStyle w:val="7"/>
        <w:numPr>
          <w:ilvl w:val="0"/>
          <w:numId w:val="13"/>
        </w:numPr>
        <w:shd w:val="clear"/>
        <w:tabs>
          <w:tab w:val="left" w:pos="1019"/>
        </w:tabs>
        <w:spacing w:before="156"/>
        <w:ind w:left="1019" w:hanging="239"/>
        <w:jc w:val="left"/>
        <w:rPr>
          <w:color w:val="000000" w:themeColor="text1"/>
          <w:sz w:val="22"/>
          <w:highlight w:val="none"/>
          <w14:textFill>
            <w14:solidFill>
              <w14:schemeClr w14:val="tx1"/>
            </w14:solidFill>
          </w14:textFill>
        </w:rPr>
      </w:pPr>
      <w:bookmarkStart w:id="30" w:name="6.保密"/>
      <w:bookmarkEnd w:id="30"/>
      <w:r>
        <w:rPr>
          <w:color w:val="000000" w:themeColor="text1"/>
          <w:spacing w:val="-7"/>
          <w:highlight w:val="none"/>
          <w14:textFill>
            <w14:solidFill>
              <w14:schemeClr w14:val="tx1"/>
            </w14:solidFill>
          </w14:textFill>
        </w:rPr>
        <w:t>保密</w:t>
      </w:r>
    </w:p>
    <w:p>
      <w:pPr>
        <w:pStyle w:val="19"/>
        <w:numPr>
          <w:ilvl w:val="1"/>
          <w:numId w:val="13"/>
        </w:numPr>
        <w:shd w:val="clear"/>
        <w:tabs>
          <w:tab w:val="left" w:pos="1740"/>
        </w:tabs>
        <w:spacing w:before="139" w:line="360" w:lineRule="auto"/>
        <w:ind w:left="780" w:right="925" w:firstLine="48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参与招标投标活动的各方应对招标文件和投标文件中的商业和技术等秘密保密，否则应承担相应的法律责任。</w:t>
      </w:r>
    </w:p>
    <w:p>
      <w:pPr>
        <w:shd w:val="clear"/>
        <w:spacing w:line="360" w:lineRule="auto"/>
        <w:rPr>
          <w:color w:val="000000" w:themeColor="text1"/>
          <w:sz w:val="24"/>
          <w:highlight w:val="none"/>
          <w14:textFill>
            <w14:solidFill>
              <w14:schemeClr w14:val="tx1"/>
            </w14:solidFill>
          </w14:textFill>
        </w:rPr>
        <w:sectPr>
          <w:pgSz w:w="11910" w:h="16840"/>
          <w:pgMar w:top="1380" w:right="1020" w:bottom="1180" w:left="1020" w:header="878" w:footer="989" w:gutter="0"/>
          <w:cols w:space="720" w:num="1"/>
        </w:sectPr>
      </w:pPr>
    </w:p>
    <w:p>
      <w:pPr>
        <w:pStyle w:val="19"/>
        <w:numPr>
          <w:ilvl w:val="1"/>
          <w:numId w:val="13"/>
        </w:numPr>
        <w:shd w:val="clear"/>
        <w:tabs>
          <w:tab w:val="left" w:pos="1740"/>
        </w:tabs>
        <w:spacing w:before="133" w:line="360" w:lineRule="auto"/>
        <w:ind w:left="780" w:right="657" w:firstLine="48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投标人自领取招标文件之日起，须承担本招标项目保密义务，不得将因本次招标获得的信息向第三人外传。由采购人向投标人提供的图纸、详细资料、</w:t>
      </w:r>
      <w:r>
        <w:rPr>
          <w:color w:val="000000" w:themeColor="text1"/>
          <w:spacing w:val="-18"/>
          <w:sz w:val="24"/>
          <w:highlight w:val="none"/>
          <w14:textFill>
            <w14:solidFill>
              <w14:schemeClr w14:val="tx1"/>
            </w14:solidFill>
          </w14:textFill>
        </w:rPr>
        <w:t>样品、模型、模件和所有其它资料，被视为保密资料，仅被用于它所规定的用途。</w:t>
      </w:r>
      <w:r>
        <w:rPr>
          <w:color w:val="000000" w:themeColor="text1"/>
          <w:spacing w:val="-2"/>
          <w:sz w:val="24"/>
          <w:highlight w:val="none"/>
          <w14:textFill>
            <w14:solidFill>
              <w14:schemeClr w14:val="tx1"/>
            </w14:solidFill>
          </w14:textFill>
        </w:rPr>
        <w:t>除非得到采购人的同意，不能向任何第三方透露。开标结束后，应采购人要求，投标人应归还所有从采购人处获得的保密资料。</w:t>
      </w:r>
    </w:p>
    <w:p>
      <w:pPr>
        <w:pStyle w:val="19"/>
        <w:numPr>
          <w:ilvl w:val="1"/>
          <w:numId w:val="13"/>
        </w:numPr>
        <w:shd w:val="clear"/>
        <w:tabs>
          <w:tab w:val="left" w:pos="1744"/>
        </w:tabs>
        <w:spacing w:line="360" w:lineRule="auto"/>
        <w:ind w:left="780" w:right="781" w:firstLine="48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采购代理机构有权将投标人提供的所有资料向有关政府部门或评审投标文件的有关人员披露。</w:t>
      </w:r>
    </w:p>
    <w:p>
      <w:pPr>
        <w:pStyle w:val="19"/>
        <w:numPr>
          <w:ilvl w:val="1"/>
          <w:numId w:val="13"/>
        </w:numPr>
        <w:shd w:val="clear"/>
        <w:tabs>
          <w:tab w:val="left" w:pos="1740"/>
        </w:tabs>
        <w:spacing w:line="360" w:lineRule="auto"/>
        <w:ind w:left="780" w:right="777" w:firstLine="480"/>
        <w:rPr>
          <w:color w:val="000000" w:themeColor="text1"/>
          <w:sz w:val="24"/>
          <w:highlight w:val="none"/>
          <w14:textFill>
            <w14:solidFill>
              <w14:schemeClr w14:val="tx1"/>
            </w14:solidFill>
          </w14:textFill>
        </w:rPr>
      </w:pPr>
      <w:r>
        <w:rPr>
          <w:color w:val="000000" w:themeColor="text1"/>
          <w:spacing w:val="-4"/>
          <w:sz w:val="24"/>
          <w:highlight w:val="none"/>
          <w14:textFill>
            <w14:solidFill>
              <w14:schemeClr w14:val="tx1"/>
            </w14:solidFill>
          </w14:textFill>
        </w:rPr>
        <w:t>各级人民政府财政部门对政府采购活动进行监督检查，有权查阅、复制</w:t>
      </w:r>
      <w:r>
        <w:rPr>
          <w:color w:val="000000" w:themeColor="text1"/>
          <w:spacing w:val="-2"/>
          <w:sz w:val="24"/>
          <w:highlight w:val="none"/>
          <w14:textFill>
            <w14:solidFill>
              <w14:schemeClr w14:val="tx1"/>
            </w14:solidFill>
          </w14:textFill>
        </w:rPr>
        <w:t>有关文件、资料，相关单位和人员应当予以配合。</w:t>
      </w:r>
    </w:p>
    <w:p>
      <w:pPr>
        <w:pStyle w:val="7"/>
        <w:numPr>
          <w:ilvl w:val="0"/>
          <w:numId w:val="13"/>
        </w:numPr>
        <w:shd w:val="clear"/>
        <w:tabs>
          <w:tab w:val="left" w:pos="1019"/>
        </w:tabs>
        <w:spacing w:before="2"/>
        <w:ind w:left="1019" w:hanging="239"/>
        <w:jc w:val="left"/>
        <w:rPr>
          <w:color w:val="000000" w:themeColor="text1"/>
          <w:sz w:val="22"/>
          <w:highlight w:val="none"/>
          <w14:textFill>
            <w14:solidFill>
              <w14:schemeClr w14:val="tx1"/>
            </w14:solidFill>
          </w14:textFill>
        </w:rPr>
      </w:pPr>
      <w:bookmarkStart w:id="31" w:name="7.语言文字"/>
      <w:bookmarkEnd w:id="31"/>
      <w:r>
        <w:rPr>
          <w:color w:val="000000" w:themeColor="text1"/>
          <w:spacing w:val="-4"/>
          <w:highlight w:val="none"/>
          <w14:textFill>
            <w14:solidFill>
              <w14:schemeClr w14:val="tx1"/>
            </w14:solidFill>
          </w14:textFill>
        </w:rPr>
        <w:t>语言文字</w:t>
      </w:r>
    </w:p>
    <w:p>
      <w:pPr>
        <w:pStyle w:val="19"/>
        <w:numPr>
          <w:ilvl w:val="1"/>
          <w:numId w:val="13"/>
        </w:numPr>
        <w:shd w:val="clear"/>
        <w:tabs>
          <w:tab w:val="left" w:pos="1680"/>
        </w:tabs>
        <w:spacing w:before="139" w:line="360" w:lineRule="auto"/>
        <w:ind w:left="780" w:right="777" w:firstLine="480"/>
        <w:jc w:val="both"/>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招标投标过程文件使用的语言文字为中文。专用术语使用外文的，应附</w:t>
      </w:r>
      <w:r>
        <w:rPr>
          <w:color w:val="000000" w:themeColor="text1"/>
          <w:spacing w:val="-4"/>
          <w:sz w:val="24"/>
          <w:highlight w:val="none"/>
          <w14:textFill>
            <w14:solidFill>
              <w14:schemeClr w14:val="tx1"/>
            </w14:solidFill>
          </w14:textFill>
        </w:rPr>
        <w:t>有中文注释。投标人提交的支持资料和已印制的文献可以用外文，但相应内容应附有中文翻译本，在解释投标文件时以中文翻译本为准。未附中文翻译本或翻译</w:t>
      </w:r>
      <w:r>
        <w:rPr>
          <w:color w:val="000000" w:themeColor="text1"/>
          <w:spacing w:val="-2"/>
          <w:sz w:val="24"/>
          <w:highlight w:val="none"/>
          <w14:textFill>
            <w14:solidFill>
              <w14:schemeClr w14:val="tx1"/>
            </w14:solidFill>
          </w14:textFill>
        </w:rPr>
        <w:t>本中文内容明显与外文内容不一致的，其不利后果由投标人自行承担。</w:t>
      </w:r>
    </w:p>
    <w:p>
      <w:pPr>
        <w:pStyle w:val="7"/>
        <w:numPr>
          <w:ilvl w:val="0"/>
          <w:numId w:val="13"/>
        </w:numPr>
        <w:shd w:val="clear"/>
        <w:tabs>
          <w:tab w:val="left" w:pos="1019"/>
        </w:tabs>
        <w:ind w:left="1019" w:hanging="239"/>
        <w:jc w:val="left"/>
        <w:rPr>
          <w:color w:val="000000" w:themeColor="text1"/>
          <w:sz w:val="22"/>
          <w:highlight w:val="none"/>
          <w14:textFill>
            <w14:solidFill>
              <w14:schemeClr w14:val="tx1"/>
            </w14:solidFill>
          </w14:textFill>
        </w:rPr>
      </w:pPr>
      <w:bookmarkStart w:id="32" w:name="8.计量单位"/>
      <w:bookmarkEnd w:id="32"/>
      <w:r>
        <w:rPr>
          <w:color w:val="000000" w:themeColor="text1"/>
          <w:spacing w:val="-4"/>
          <w:highlight w:val="none"/>
          <w14:textFill>
            <w14:solidFill>
              <w14:schemeClr w14:val="tx1"/>
            </w14:solidFill>
          </w14:textFill>
        </w:rPr>
        <w:t>计量单位</w:t>
      </w:r>
    </w:p>
    <w:p>
      <w:pPr>
        <w:pStyle w:val="19"/>
        <w:numPr>
          <w:ilvl w:val="1"/>
          <w:numId w:val="13"/>
        </w:numPr>
        <w:shd w:val="clear"/>
        <w:tabs>
          <w:tab w:val="left" w:pos="1680"/>
        </w:tabs>
        <w:spacing w:before="139"/>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所有计量均采用中华人民共和国法定计量单位。</w:t>
      </w:r>
    </w:p>
    <w:p>
      <w:pPr>
        <w:pStyle w:val="7"/>
        <w:numPr>
          <w:ilvl w:val="0"/>
          <w:numId w:val="13"/>
        </w:numPr>
        <w:shd w:val="clear"/>
        <w:tabs>
          <w:tab w:val="left" w:pos="1019"/>
        </w:tabs>
        <w:spacing w:before="159"/>
        <w:ind w:left="1019" w:hanging="239"/>
        <w:jc w:val="left"/>
        <w:rPr>
          <w:color w:val="000000" w:themeColor="text1"/>
          <w:sz w:val="22"/>
          <w:highlight w:val="none"/>
          <w14:textFill>
            <w14:solidFill>
              <w14:schemeClr w14:val="tx1"/>
            </w14:solidFill>
          </w14:textFill>
        </w:rPr>
      </w:pPr>
      <w:bookmarkStart w:id="33" w:name="9.现场考察和答疑会"/>
      <w:bookmarkEnd w:id="33"/>
      <w:r>
        <w:rPr>
          <w:color w:val="000000" w:themeColor="text1"/>
          <w:spacing w:val="-4"/>
          <w:highlight w:val="none"/>
          <w14:textFill>
            <w14:solidFill>
              <w14:schemeClr w14:val="tx1"/>
            </w14:solidFill>
          </w14:textFill>
        </w:rPr>
        <w:t>现场考察和答疑会</w:t>
      </w:r>
    </w:p>
    <w:p>
      <w:pPr>
        <w:pStyle w:val="19"/>
        <w:numPr>
          <w:ilvl w:val="1"/>
          <w:numId w:val="13"/>
        </w:numPr>
        <w:shd w:val="clear"/>
        <w:tabs>
          <w:tab w:val="left" w:pos="1716"/>
        </w:tabs>
        <w:spacing w:before="137" w:line="360" w:lineRule="auto"/>
        <w:ind w:left="780" w:right="777" w:firstLine="480"/>
        <w:jc w:val="both"/>
        <w:rPr>
          <w:color w:val="000000" w:themeColor="text1"/>
          <w:sz w:val="24"/>
          <w:highlight w:val="none"/>
          <w14:textFill>
            <w14:solidFill>
              <w14:schemeClr w14:val="tx1"/>
            </w14:solidFill>
          </w14:textFill>
        </w:rPr>
      </w:pPr>
      <w:r>
        <w:rPr>
          <w:color w:val="000000" w:themeColor="text1"/>
          <w:spacing w:val="-4"/>
          <w:sz w:val="24"/>
          <w:highlight w:val="none"/>
          <w14:textFill>
            <w14:solidFill>
              <w14:schemeClr w14:val="tx1"/>
            </w14:solidFill>
          </w14:textFill>
        </w:rPr>
        <w:t>“投标人须知前附表”规定组织现场考察的，采购代理机构按“投标人</w:t>
      </w:r>
      <w:r>
        <w:rPr>
          <w:color w:val="000000" w:themeColor="text1"/>
          <w:spacing w:val="-2"/>
          <w:sz w:val="24"/>
          <w:highlight w:val="none"/>
          <w14:textFill>
            <w14:solidFill>
              <w14:schemeClr w14:val="tx1"/>
            </w14:solidFill>
          </w14:textFill>
        </w:rPr>
        <w:t>须知前附表”规定的时间、地点组织投标人项目现场考察。</w:t>
      </w:r>
    </w:p>
    <w:p>
      <w:pPr>
        <w:pStyle w:val="19"/>
        <w:numPr>
          <w:ilvl w:val="1"/>
          <w:numId w:val="13"/>
        </w:numPr>
        <w:shd w:val="clear"/>
        <w:tabs>
          <w:tab w:val="left" w:pos="1740"/>
        </w:tabs>
        <w:ind w:left="1740" w:hanging="480"/>
        <w:jc w:val="both"/>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投标人现场考察发生的费用自理。</w:t>
      </w:r>
    </w:p>
    <w:p>
      <w:pPr>
        <w:pStyle w:val="19"/>
        <w:numPr>
          <w:ilvl w:val="1"/>
          <w:numId w:val="13"/>
        </w:numPr>
        <w:shd w:val="clear"/>
        <w:tabs>
          <w:tab w:val="left" w:pos="1740"/>
        </w:tabs>
        <w:spacing w:before="156" w:line="360" w:lineRule="auto"/>
        <w:ind w:left="780" w:right="777" w:firstLine="480"/>
        <w:jc w:val="both"/>
        <w:rPr>
          <w:color w:val="000000" w:themeColor="text1"/>
          <w:sz w:val="24"/>
          <w:highlight w:val="none"/>
          <w14:textFill>
            <w14:solidFill>
              <w14:schemeClr w14:val="tx1"/>
            </w14:solidFill>
          </w14:textFill>
        </w:rPr>
      </w:pPr>
      <w:r>
        <w:rPr>
          <w:color w:val="000000" w:themeColor="text1"/>
          <w:spacing w:val="-4"/>
          <w:sz w:val="24"/>
          <w:highlight w:val="none"/>
          <w14:textFill>
            <w14:solidFill>
              <w14:schemeClr w14:val="tx1"/>
            </w14:solidFill>
          </w14:textFill>
        </w:rPr>
        <w:t>在现场考察中，因投标人自身原因发生的人员伤亡和财产损失，由投标</w:t>
      </w:r>
      <w:r>
        <w:rPr>
          <w:color w:val="000000" w:themeColor="text1"/>
          <w:spacing w:val="-2"/>
          <w:sz w:val="24"/>
          <w:highlight w:val="none"/>
          <w14:textFill>
            <w14:solidFill>
              <w14:schemeClr w14:val="tx1"/>
            </w14:solidFill>
          </w14:textFill>
        </w:rPr>
        <w:t>人自行负责。</w:t>
      </w:r>
    </w:p>
    <w:p>
      <w:pPr>
        <w:pStyle w:val="19"/>
        <w:numPr>
          <w:ilvl w:val="1"/>
          <w:numId w:val="13"/>
        </w:numPr>
        <w:shd w:val="clear"/>
        <w:tabs>
          <w:tab w:val="left" w:pos="1740"/>
        </w:tabs>
        <w:spacing w:line="360" w:lineRule="auto"/>
        <w:ind w:left="780" w:right="777" w:firstLine="480"/>
        <w:jc w:val="both"/>
        <w:rPr>
          <w:color w:val="000000" w:themeColor="text1"/>
          <w:sz w:val="24"/>
          <w:highlight w:val="none"/>
          <w14:textFill>
            <w14:solidFill>
              <w14:schemeClr w14:val="tx1"/>
            </w14:solidFill>
          </w14:textFill>
        </w:rPr>
      </w:pPr>
      <w:r>
        <w:rPr>
          <w:color w:val="000000" w:themeColor="text1"/>
          <w:spacing w:val="-6"/>
          <w:sz w:val="24"/>
          <w:highlight w:val="none"/>
          <w14:textFill>
            <w14:solidFill>
              <w14:schemeClr w14:val="tx1"/>
            </w14:solidFill>
          </w14:textFill>
        </w:rPr>
        <w:t>采购人在现场考察中介绍的项目场地和相关的周边环境情况，仅供投标</w:t>
      </w:r>
      <w:r>
        <w:rPr>
          <w:color w:val="000000" w:themeColor="text1"/>
          <w:spacing w:val="-10"/>
          <w:sz w:val="24"/>
          <w:highlight w:val="none"/>
          <w14:textFill>
            <w14:solidFill>
              <w14:schemeClr w14:val="tx1"/>
            </w14:solidFill>
          </w14:textFill>
        </w:rPr>
        <w:t>人在编制投标文件时参考，采购人和采购代理机构不对投标人据此作出的判断和</w:t>
      </w:r>
      <w:r>
        <w:rPr>
          <w:color w:val="000000" w:themeColor="text1"/>
          <w:spacing w:val="-2"/>
          <w:sz w:val="24"/>
          <w:highlight w:val="none"/>
          <w14:textFill>
            <w14:solidFill>
              <w14:schemeClr w14:val="tx1"/>
            </w14:solidFill>
          </w14:textFill>
        </w:rPr>
        <w:t>决策负责。</w:t>
      </w:r>
    </w:p>
    <w:p>
      <w:pPr>
        <w:pStyle w:val="19"/>
        <w:numPr>
          <w:ilvl w:val="1"/>
          <w:numId w:val="13"/>
        </w:numPr>
        <w:shd w:val="clear"/>
        <w:tabs>
          <w:tab w:val="left" w:pos="1716"/>
        </w:tabs>
        <w:spacing w:line="360" w:lineRule="auto"/>
        <w:ind w:left="780" w:right="777" w:firstLine="480"/>
        <w:jc w:val="both"/>
        <w:rPr>
          <w:color w:val="000000" w:themeColor="text1"/>
          <w:sz w:val="24"/>
          <w:highlight w:val="none"/>
          <w14:textFill>
            <w14:solidFill>
              <w14:schemeClr w14:val="tx1"/>
            </w14:solidFill>
          </w14:textFill>
        </w:rPr>
      </w:pPr>
      <w:r>
        <w:rPr>
          <w:color w:val="000000" w:themeColor="text1"/>
          <w:spacing w:val="-4"/>
          <w:sz w:val="24"/>
          <w:highlight w:val="none"/>
          <w14:textFill>
            <w14:solidFill>
              <w14:schemeClr w14:val="tx1"/>
            </w14:solidFill>
          </w14:textFill>
        </w:rPr>
        <w:t>“投标人须知前附表”规定召开答疑会的，采购代理机构按“投标人须</w:t>
      </w:r>
      <w:r>
        <w:rPr>
          <w:color w:val="000000" w:themeColor="text1"/>
          <w:spacing w:val="-2"/>
          <w:sz w:val="24"/>
          <w:highlight w:val="none"/>
          <w14:textFill>
            <w14:solidFill>
              <w14:schemeClr w14:val="tx1"/>
            </w14:solidFill>
          </w14:textFill>
        </w:rPr>
        <w:t>知前附表”规定的时间和地点召开答疑会，澄清投标人提出的问题。</w:t>
      </w:r>
    </w:p>
    <w:p>
      <w:pPr>
        <w:pStyle w:val="19"/>
        <w:numPr>
          <w:ilvl w:val="1"/>
          <w:numId w:val="13"/>
        </w:numPr>
        <w:shd w:val="clear"/>
        <w:tabs>
          <w:tab w:val="left" w:pos="1740"/>
        </w:tabs>
        <w:spacing w:line="360" w:lineRule="auto"/>
        <w:ind w:left="780" w:right="777" w:firstLine="48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由于未参加现场考察或未参加标前答疑会而导致对项目实际情况不了</w:t>
      </w:r>
      <w:r>
        <w:rPr>
          <w:color w:val="000000" w:themeColor="text1"/>
          <w:spacing w:val="-4"/>
          <w:sz w:val="24"/>
          <w:highlight w:val="none"/>
          <w14:textFill>
            <w14:solidFill>
              <w14:schemeClr w14:val="tx1"/>
            </w14:solidFill>
          </w14:textFill>
        </w:rPr>
        <w:t>解，影响投标文件编制、投标报价准确性、综合因素响应不全面等问题的，由投</w:t>
      </w:r>
      <w:r>
        <w:rPr>
          <w:color w:val="000000" w:themeColor="text1"/>
          <w:spacing w:val="-2"/>
          <w:sz w:val="24"/>
          <w:highlight w:val="none"/>
          <w14:textFill>
            <w14:solidFill>
              <w14:schemeClr w14:val="tx1"/>
            </w14:solidFill>
          </w14:textFill>
        </w:rPr>
        <w:t>标人自行承担不利评审后果。</w:t>
      </w:r>
    </w:p>
    <w:p>
      <w:pPr>
        <w:shd w:val="clear"/>
        <w:spacing w:line="360" w:lineRule="auto"/>
        <w:rPr>
          <w:color w:val="000000" w:themeColor="text1"/>
          <w:sz w:val="24"/>
          <w:highlight w:val="none"/>
          <w14:textFill>
            <w14:solidFill>
              <w14:schemeClr w14:val="tx1"/>
            </w14:solidFill>
          </w14:textFill>
        </w:rPr>
        <w:sectPr>
          <w:pgSz w:w="11910" w:h="16840"/>
          <w:pgMar w:top="1380" w:right="1020" w:bottom="1180" w:left="1020" w:header="878" w:footer="989" w:gutter="0"/>
          <w:cols w:space="720" w:num="1"/>
        </w:sectPr>
      </w:pPr>
    </w:p>
    <w:p>
      <w:pPr>
        <w:pStyle w:val="7"/>
        <w:numPr>
          <w:ilvl w:val="0"/>
          <w:numId w:val="13"/>
        </w:numPr>
        <w:shd w:val="clear"/>
        <w:tabs>
          <w:tab w:val="left" w:pos="1142"/>
        </w:tabs>
        <w:spacing w:before="56"/>
        <w:ind w:left="1142" w:hanging="362"/>
        <w:jc w:val="left"/>
        <w:rPr>
          <w:color w:val="000000" w:themeColor="text1"/>
          <w:sz w:val="22"/>
          <w:highlight w:val="none"/>
          <w14:textFill>
            <w14:solidFill>
              <w14:schemeClr w14:val="tx1"/>
            </w14:solidFill>
          </w14:textFill>
        </w:rPr>
      </w:pPr>
      <w:bookmarkStart w:id="34" w:name="10.电子投标说明___"/>
      <w:bookmarkEnd w:id="34"/>
      <w:r>
        <w:rPr>
          <w:color w:val="000000" w:themeColor="text1"/>
          <w:spacing w:val="-4"/>
          <w:highlight w:val="none"/>
          <w14:textFill>
            <w14:solidFill>
              <w14:schemeClr w14:val="tx1"/>
            </w14:solidFill>
          </w14:textFill>
        </w:rPr>
        <w:t>电子投标说明</w:t>
      </w:r>
    </w:p>
    <w:p>
      <w:pPr>
        <w:pStyle w:val="19"/>
        <w:numPr>
          <w:ilvl w:val="1"/>
          <w:numId w:val="13"/>
        </w:numPr>
        <w:shd w:val="clear"/>
        <w:tabs>
          <w:tab w:val="left" w:pos="1860"/>
        </w:tabs>
        <w:spacing w:before="137" w:line="360" w:lineRule="auto"/>
        <w:ind w:left="780" w:right="657" w:firstLine="48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本次采购采用电子交易方式，电子交易平台为</w:t>
      </w:r>
      <w:r>
        <w:rPr>
          <w:rFonts w:hint="eastAsia"/>
          <w:color w:val="000000" w:themeColor="text1"/>
          <w:spacing w:val="-2"/>
          <w:sz w:val="24"/>
          <w:highlight w:val="none"/>
          <w14:textFill>
            <w14:solidFill>
              <w14:schemeClr w14:val="tx1"/>
            </w14:solidFill>
          </w14:textFill>
        </w:rPr>
        <w:t>新疆</w:t>
      </w:r>
      <w:r>
        <w:rPr>
          <w:color w:val="000000" w:themeColor="text1"/>
          <w:spacing w:val="-2"/>
          <w:sz w:val="24"/>
          <w:highlight w:val="none"/>
          <w14:textFill>
            <w14:solidFill>
              <w14:schemeClr w14:val="tx1"/>
            </w14:solidFill>
          </w14:textFill>
        </w:rPr>
        <w:t>政府采购电子交易</w:t>
      </w:r>
      <w:r>
        <w:rPr>
          <w:color w:val="000000" w:themeColor="text1"/>
          <w:spacing w:val="-21"/>
          <w:sz w:val="24"/>
          <w:highlight w:val="none"/>
          <w14:textFill>
            <w14:solidFill>
              <w14:schemeClr w14:val="tx1"/>
            </w14:solidFill>
          </w14:textFill>
        </w:rPr>
        <w:t>云平台</w:t>
      </w:r>
      <w:r>
        <w:rPr>
          <w:color w:val="000000" w:themeColor="text1"/>
          <w:spacing w:val="-4"/>
          <w:sz w:val="24"/>
          <w:highlight w:val="none"/>
          <w14:textFill>
            <w14:solidFill>
              <w14:schemeClr w14:val="tx1"/>
            </w14:solidFill>
          </w14:textFill>
        </w:rPr>
        <w:t>（网址：https://</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"http://www.zcygov.cn/" \h </w:instrText>
      </w:r>
      <w:r>
        <w:rPr>
          <w:color w:val="000000" w:themeColor="text1"/>
          <w:highlight w:val="none"/>
          <w14:textFill>
            <w14:solidFill>
              <w14:schemeClr w14:val="tx1"/>
            </w14:solidFill>
          </w14:textFill>
        </w:rPr>
        <w:fldChar w:fldCharType="separate"/>
      </w:r>
      <w:r>
        <w:rPr>
          <w:color w:val="000000" w:themeColor="text1"/>
          <w:spacing w:val="-4"/>
          <w:sz w:val="24"/>
          <w:highlight w:val="none"/>
          <w14:textFill>
            <w14:solidFill>
              <w14:schemeClr w14:val="tx1"/>
            </w14:solidFill>
          </w14:textFill>
        </w:rPr>
        <w:t>www.zcygov.cn/</w:t>
      </w:r>
      <w:r>
        <w:rPr>
          <w:color w:val="000000" w:themeColor="text1"/>
          <w:spacing w:val="-4"/>
          <w:sz w:val="24"/>
          <w:highlight w:val="none"/>
          <w14:textFill>
            <w14:solidFill>
              <w14:schemeClr w14:val="tx1"/>
            </w14:solidFill>
          </w14:textFill>
        </w:rPr>
        <w:fldChar w:fldCharType="end"/>
      </w:r>
      <w:r>
        <w:rPr>
          <w:color w:val="000000" w:themeColor="text1"/>
          <w:spacing w:val="-4"/>
          <w:sz w:val="24"/>
          <w:highlight w:val="none"/>
          <w14:textFill>
            <w14:solidFill>
              <w14:schemeClr w14:val="tx1"/>
            </w14:solidFill>
          </w14:textFill>
        </w:rPr>
        <w:t>）</w:t>
      </w:r>
      <w:r>
        <w:rPr>
          <w:color w:val="000000" w:themeColor="text1"/>
          <w:spacing w:val="-12"/>
          <w:sz w:val="24"/>
          <w:highlight w:val="none"/>
          <w14:textFill>
            <w14:solidFill>
              <w14:schemeClr w14:val="tx1"/>
            </w14:solidFill>
          </w14:textFill>
        </w:rPr>
        <w:t>。投标人参与本项目电子交易活动前，</w:t>
      </w:r>
      <w:r>
        <w:rPr>
          <w:color w:val="000000" w:themeColor="text1"/>
          <w:spacing w:val="-1"/>
          <w:sz w:val="24"/>
          <w:highlight w:val="none"/>
          <w14:textFill>
            <w14:solidFill>
              <w14:schemeClr w14:val="tx1"/>
            </w14:solidFill>
          </w14:textFill>
        </w:rPr>
        <w:t xml:space="preserve">应在政采云平台上注册供应商账号。编制电子投标文件前还需申领 </w:t>
      </w:r>
      <w:r>
        <w:rPr>
          <w:color w:val="000000" w:themeColor="text1"/>
          <w:sz w:val="24"/>
          <w:highlight w:val="none"/>
          <w14:textFill>
            <w14:solidFill>
              <w14:schemeClr w14:val="tx1"/>
            </w14:solidFill>
          </w14:textFill>
        </w:rPr>
        <w:t>CA</w:t>
      </w:r>
      <w:r>
        <w:rPr>
          <w:color w:val="000000" w:themeColor="text1"/>
          <w:spacing w:val="-5"/>
          <w:sz w:val="24"/>
          <w:highlight w:val="none"/>
          <w14:textFill>
            <w14:solidFill>
              <w14:schemeClr w14:val="tx1"/>
            </w14:solidFill>
          </w14:textFill>
        </w:rPr>
        <w:t xml:space="preserve"> 证书并绑</w:t>
      </w:r>
      <w:r>
        <w:rPr>
          <w:color w:val="000000" w:themeColor="text1"/>
          <w:spacing w:val="-1"/>
          <w:sz w:val="24"/>
          <w:highlight w:val="none"/>
          <w14:textFill>
            <w14:solidFill>
              <w14:schemeClr w14:val="tx1"/>
            </w14:solidFill>
          </w14:textFill>
        </w:rPr>
        <w:t xml:space="preserve">定帐号。投标人应充分考虑完成平台注册、申领 </w:t>
      </w:r>
      <w:r>
        <w:rPr>
          <w:color w:val="000000" w:themeColor="text1"/>
          <w:sz w:val="24"/>
          <w:highlight w:val="none"/>
          <w14:textFill>
            <w14:solidFill>
              <w14:schemeClr w14:val="tx1"/>
            </w14:solidFill>
          </w14:textFill>
        </w:rPr>
        <w:t>CA</w:t>
      </w:r>
      <w:r>
        <w:rPr>
          <w:color w:val="000000" w:themeColor="text1"/>
          <w:spacing w:val="-5"/>
          <w:sz w:val="24"/>
          <w:highlight w:val="none"/>
          <w14:textFill>
            <w14:solidFill>
              <w14:schemeClr w14:val="tx1"/>
            </w14:solidFill>
          </w14:textFill>
        </w:rPr>
        <w:t xml:space="preserve"> 证书等所需的时间。潜在投</w:t>
      </w:r>
      <w:r>
        <w:rPr>
          <w:color w:val="000000" w:themeColor="text1"/>
          <w:sz w:val="24"/>
          <w:highlight w:val="none"/>
          <w14:textFill>
            <w14:solidFill>
              <w14:schemeClr w14:val="tx1"/>
            </w14:solidFill>
          </w14:textFill>
        </w:rPr>
        <w:t>标人领取文件须提前完成注册、CA</w:t>
      </w:r>
      <w:r>
        <w:rPr>
          <w:color w:val="000000" w:themeColor="text1"/>
          <w:spacing w:val="-7"/>
          <w:sz w:val="24"/>
          <w:highlight w:val="none"/>
          <w14:textFill>
            <w14:solidFill>
              <w14:schemeClr w14:val="tx1"/>
            </w14:solidFill>
          </w14:textFill>
        </w:rPr>
        <w:t xml:space="preserve"> 证书和电子签章申领和绑定、下载投标客户端。因未办理 </w:t>
      </w:r>
      <w:r>
        <w:rPr>
          <w:color w:val="000000" w:themeColor="text1"/>
          <w:sz w:val="24"/>
          <w:highlight w:val="none"/>
          <w14:textFill>
            <w14:solidFill>
              <w14:schemeClr w14:val="tx1"/>
            </w14:solidFill>
          </w14:textFill>
        </w:rPr>
        <w:t>CA</w:t>
      </w:r>
      <w:r>
        <w:rPr>
          <w:color w:val="000000" w:themeColor="text1"/>
          <w:spacing w:val="-9"/>
          <w:sz w:val="24"/>
          <w:highlight w:val="none"/>
          <w14:textFill>
            <w14:solidFill>
              <w14:schemeClr w14:val="tx1"/>
            </w14:solidFill>
          </w14:textFill>
        </w:rPr>
        <w:t xml:space="preserve"> 数字证书、</w:t>
      </w:r>
      <w:r>
        <w:rPr>
          <w:color w:val="000000" w:themeColor="text1"/>
          <w:sz w:val="24"/>
          <w:highlight w:val="none"/>
          <w14:textFill>
            <w14:solidFill>
              <w14:schemeClr w14:val="tx1"/>
            </w14:solidFill>
          </w14:textFill>
        </w:rPr>
        <w:t>CA</w:t>
      </w:r>
      <w:r>
        <w:rPr>
          <w:color w:val="000000" w:themeColor="text1"/>
          <w:spacing w:val="-7"/>
          <w:sz w:val="24"/>
          <w:highlight w:val="none"/>
          <w14:textFill>
            <w14:solidFill>
              <w14:schemeClr w14:val="tx1"/>
            </w14:solidFill>
          </w14:textFill>
        </w:rPr>
        <w:t xml:space="preserve"> 证书故障、操作不当等原因造成无法投标或投标</w:t>
      </w:r>
      <w:r>
        <w:rPr>
          <w:color w:val="000000" w:themeColor="text1"/>
          <w:spacing w:val="-17"/>
          <w:sz w:val="24"/>
          <w:highlight w:val="none"/>
          <w14:textFill>
            <w14:solidFill>
              <w14:schemeClr w14:val="tx1"/>
            </w14:solidFill>
          </w14:textFill>
        </w:rPr>
        <w:t>失败等后果由投标人自行承担。投标人登录</w:t>
      </w:r>
      <w:r>
        <w:rPr>
          <w:rFonts w:hint="eastAsia"/>
          <w:color w:val="000000" w:themeColor="text1"/>
          <w:spacing w:val="-17"/>
          <w:sz w:val="24"/>
          <w:highlight w:val="none"/>
          <w14:textFill>
            <w14:solidFill>
              <w14:schemeClr w14:val="tx1"/>
            </w14:solidFill>
          </w14:textFill>
        </w:rPr>
        <w:t>新疆</w:t>
      </w:r>
      <w:r>
        <w:rPr>
          <w:color w:val="000000" w:themeColor="text1"/>
          <w:spacing w:val="-17"/>
          <w:sz w:val="24"/>
          <w:highlight w:val="none"/>
          <w14:textFill>
            <w14:solidFill>
              <w14:schemeClr w14:val="tx1"/>
            </w14:solidFill>
          </w14:textFill>
        </w:rPr>
        <w:t>政府采购网“供应商注册”—“新</w:t>
      </w:r>
      <w:r>
        <w:rPr>
          <w:color w:val="000000" w:themeColor="text1"/>
          <w:spacing w:val="-2"/>
          <w:sz w:val="24"/>
          <w:highlight w:val="none"/>
          <w14:textFill>
            <w14:solidFill>
              <w14:schemeClr w14:val="tx1"/>
            </w14:solidFill>
          </w14:textFill>
        </w:rPr>
        <w:t>疆政府采购供应商入驻登记”—“立即登记”进行自助注册绑定。</w:t>
      </w:r>
    </w:p>
    <w:p>
      <w:pPr>
        <w:pStyle w:val="19"/>
        <w:numPr>
          <w:ilvl w:val="1"/>
          <w:numId w:val="13"/>
        </w:numPr>
        <w:shd w:val="clear"/>
        <w:tabs>
          <w:tab w:val="left" w:pos="1860"/>
        </w:tabs>
        <w:spacing w:line="360" w:lineRule="auto"/>
        <w:ind w:left="780" w:right="777" w:firstLine="480"/>
        <w:jc w:val="both"/>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投标人将</w:t>
      </w:r>
      <w:r>
        <w:rPr>
          <w:rFonts w:hint="eastAsia"/>
          <w:color w:val="000000" w:themeColor="text1"/>
          <w:spacing w:val="-2"/>
          <w:sz w:val="24"/>
          <w:highlight w:val="none"/>
          <w14:textFill>
            <w14:solidFill>
              <w14:schemeClr w14:val="tx1"/>
            </w14:solidFill>
          </w14:textFill>
        </w:rPr>
        <w:t>新疆</w:t>
      </w:r>
      <w:r>
        <w:rPr>
          <w:color w:val="000000" w:themeColor="text1"/>
          <w:spacing w:val="-2"/>
          <w:sz w:val="24"/>
          <w:highlight w:val="none"/>
          <w14:textFill>
            <w14:solidFill>
              <w14:schemeClr w14:val="tx1"/>
            </w14:solidFill>
          </w14:textFill>
        </w:rPr>
        <w:t>政府采购电子交易云平台电子交易客户端下载、安装完</w:t>
      </w:r>
      <w:r>
        <w:rPr>
          <w:color w:val="000000" w:themeColor="text1"/>
          <w:spacing w:val="-5"/>
          <w:sz w:val="24"/>
          <w:highlight w:val="none"/>
          <w14:textFill>
            <w14:solidFill>
              <w14:schemeClr w14:val="tx1"/>
            </w14:solidFill>
          </w14:textFill>
        </w:rPr>
        <w:t xml:space="preserve">成后，可通过账号密码或 </w:t>
      </w:r>
      <w:r>
        <w:rPr>
          <w:color w:val="000000" w:themeColor="text1"/>
          <w:spacing w:val="-2"/>
          <w:sz w:val="24"/>
          <w:highlight w:val="none"/>
          <w14:textFill>
            <w14:solidFill>
              <w14:schemeClr w14:val="tx1"/>
            </w14:solidFill>
          </w14:textFill>
        </w:rPr>
        <w:t>CA</w:t>
      </w:r>
      <w:r>
        <w:rPr>
          <w:color w:val="000000" w:themeColor="text1"/>
          <w:spacing w:val="-7"/>
          <w:sz w:val="24"/>
          <w:highlight w:val="none"/>
          <w14:textFill>
            <w14:solidFill>
              <w14:schemeClr w14:val="tx1"/>
            </w14:solidFill>
          </w14:textFill>
        </w:rPr>
        <w:t xml:space="preserve"> 登录客户端进行投标文件制作。在使用政采云投标</w:t>
      </w:r>
      <w:r>
        <w:rPr>
          <w:color w:val="000000" w:themeColor="text1"/>
          <w:spacing w:val="-5"/>
          <w:sz w:val="24"/>
          <w:highlight w:val="none"/>
          <w14:textFill>
            <w14:solidFill>
              <w14:schemeClr w14:val="tx1"/>
            </w14:solidFill>
          </w14:textFill>
        </w:rPr>
        <w:t xml:space="preserve">客户端时，建议使用 </w:t>
      </w:r>
      <w:r>
        <w:rPr>
          <w:color w:val="000000" w:themeColor="text1"/>
          <w:spacing w:val="-2"/>
          <w:sz w:val="24"/>
          <w:highlight w:val="none"/>
          <w14:textFill>
            <w14:solidFill>
              <w14:schemeClr w14:val="tx1"/>
            </w14:solidFill>
          </w14:textFill>
        </w:rPr>
        <w:t>WIN7</w:t>
      </w:r>
      <w:r>
        <w:rPr>
          <w:color w:val="000000" w:themeColor="text1"/>
          <w:spacing w:val="-7"/>
          <w:sz w:val="24"/>
          <w:highlight w:val="none"/>
          <w14:textFill>
            <w14:solidFill>
              <w14:schemeClr w14:val="tx1"/>
            </w14:solidFill>
          </w14:textFill>
        </w:rPr>
        <w:t xml:space="preserve"> 及以上操作系统。投标人登录</w:t>
      </w:r>
      <w:r>
        <w:rPr>
          <w:rFonts w:hint="eastAsia"/>
          <w:color w:val="000000" w:themeColor="text1"/>
          <w:spacing w:val="-7"/>
          <w:sz w:val="24"/>
          <w:highlight w:val="none"/>
          <w14:textFill>
            <w14:solidFill>
              <w14:schemeClr w14:val="tx1"/>
            </w14:solidFill>
          </w14:textFill>
        </w:rPr>
        <w:t>新疆</w:t>
      </w:r>
      <w:r>
        <w:rPr>
          <w:color w:val="000000" w:themeColor="text1"/>
          <w:spacing w:val="-7"/>
          <w:sz w:val="24"/>
          <w:highlight w:val="none"/>
          <w14:textFill>
            <w14:solidFill>
              <w14:schemeClr w14:val="tx1"/>
            </w14:solidFill>
          </w14:textFill>
        </w:rPr>
        <w:t>政府采购网“下载</w:t>
      </w:r>
      <w:r>
        <w:rPr>
          <w:color w:val="000000" w:themeColor="text1"/>
          <w:spacing w:val="-4"/>
          <w:sz w:val="24"/>
          <w:highlight w:val="none"/>
          <w14:textFill>
            <w14:solidFill>
              <w14:schemeClr w14:val="tx1"/>
            </w14:solidFill>
          </w14:textFill>
        </w:rPr>
        <w:t xml:space="preserve">专区”—“电子招投标客户端下载”下载相关客户端，如有问题可拨打政采云客户服务热线 </w:t>
      </w:r>
      <w:r>
        <w:rPr>
          <w:color w:val="000000" w:themeColor="text1"/>
          <w:sz w:val="24"/>
          <w:highlight w:val="none"/>
          <w14:textFill>
            <w14:solidFill>
              <w14:schemeClr w14:val="tx1"/>
            </w14:solidFill>
          </w14:textFill>
        </w:rPr>
        <w:t>95763</w:t>
      </w:r>
      <w:r>
        <w:rPr>
          <w:color w:val="000000" w:themeColor="text1"/>
          <w:spacing w:val="-5"/>
          <w:sz w:val="24"/>
          <w:highlight w:val="none"/>
          <w14:textFill>
            <w14:solidFill>
              <w14:schemeClr w14:val="tx1"/>
            </w14:solidFill>
          </w14:textFill>
        </w:rPr>
        <w:t xml:space="preserve"> 进行咨询。</w:t>
      </w:r>
    </w:p>
    <w:p>
      <w:pPr>
        <w:pStyle w:val="19"/>
        <w:numPr>
          <w:ilvl w:val="1"/>
          <w:numId w:val="13"/>
        </w:numPr>
        <w:shd w:val="clear"/>
        <w:tabs>
          <w:tab w:val="left" w:pos="1860"/>
        </w:tabs>
        <w:spacing w:line="360" w:lineRule="auto"/>
        <w:ind w:left="780" w:right="805" w:firstLine="480"/>
        <w:jc w:val="both"/>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加密的电子投标文件应在投标文件递交截止时间前通过政采云平台上传完成。逾期上传或者未上传指定地点的投标文件，不予受理。</w:t>
      </w:r>
    </w:p>
    <w:p>
      <w:pPr>
        <w:pStyle w:val="19"/>
        <w:numPr>
          <w:ilvl w:val="1"/>
          <w:numId w:val="13"/>
        </w:numPr>
        <w:shd w:val="clear"/>
        <w:tabs>
          <w:tab w:val="left" w:pos="1860"/>
        </w:tabs>
        <w:spacing w:line="360" w:lineRule="auto"/>
        <w:ind w:left="780" w:right="685" w:firstLine="480"/>
        <w:jc w:val="both"/>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投标人在开标前须提前配置好电脑及浏览器，开标时请使用制作加密</w:t>
      </w:r>
      <w:r>
        <w:rPr>
          <w:color w:val="000000" w:themeColor="text1"/>
          <w:spacing w:val="-3"/>
          <w:sz w:val="24"/>
          <w:highlight w:val="none"/>
          <w14:textFill>
            <w14:solidFill>
              <w14:schemeClr w14:val="tx1"/>
            </w14:solidFill>
          </w14:textFill>
        </w:rPr>
        <w:t xml:space="preserve">电子投标文件的 </w:t>
      </w:r>
      <w:r>
        <w:rPr>
          <w:color w:val="000000" w:themeColor="text1"/>
          <w:sz w:val="24"/>
          <w:highlight w:val="none"/>
          <w14:textFill>
            <w14:solidFill>
              <w14:schemeClr w14:val="tx1"/>
            </w14:solidFill>
          </w14:textFill>
        </w:rPr>
        <w:t>CA</w:t>
      </w:r>
      <w:r>
        <w:rPr>
          <w:color w:val="000000" w:themeColor="text1"/>
          <w:spacing w:val="-4"/>
          <w:sz w:val="24"/>
          <w:highlight w:val="none"/>
          <w14:textFill>
            <w14:solidFill>
              <w14:schemeClr w14:val="tx1"/>
            </w14:solidFill>
          </w14:textFill>
        </w:rPr>
        <w:t xml:space="preserve"> 锁进行解密及报价确认。本项目投标文件解密时间详见“投</w:t>
      </w:r>
      <w:r>
        <w:rPr>
          <w:color w:val="000000" w:themeColor="text1"/>
          <w:spacing w:val="-2"/>
          <w:sz w:val="24"/>
          <w:highlight w:val="none"/>
          <w14:textFill>
            <w14:solidFill>
              <w14:schemeClr w14:val="tx1"/>
            </w14:solidFill>
          </w14:textFill>
        </w:rPr>
        <w:t>标人须知前附表”，如因自身原因导致无法正常解密，后果由投标人自行承担。</w:t>
      </w:r>
    </w:p>
    <w:p>
      <w:pPr>
        <w:pStyle w:val="19"/>
        <w:numPr>
          <w:ilvl w:val="1"/>
          <w:numId w:val="13"/>
        </w:numPr>
        <w:shd w:val="clear"/>
        <w:tabs>
          <w:tab w:val="left" w:pos="1860"/>
        </w:tabs>
        <w:spacing w:line="360" w:lineRule="auto"/>
        <w:ind w:left="780" w:right="805" w:firstLine="48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如遇“</w:t>
      </w:r>
      <w:r>
        <w:rPr>
          <w:rFonts w:hint="eastAsia"/>
          <w:color w:val="000000" w:themeColor="text1"/>
          <w:spacing w:val="-2"/>
          <w:sz w:val="24"/>
          <w:highlight w:val="none"/>
          <w14:textFill>
            <w14:solidFill>
              <w14:schemeClr w14:val="tx1"/>
            </w14:solidFill>
          </w14:textFill>
        </w:rPr>
        <w:t>新疆</w:t>
      </w:r>
      <w:r>
        <w:rPr>
          <w:color w:val="000000" w:themeColor="text1"/>
          <w:spacing w:val="-2"/>
          <w:sz w:val="24"/>
          <w:highlight w:val="none"/>
          <w14:textFill>
            <w14:solidFill>
              <w14:schemeClr w14:val="tx1"/>
            </w14:solidFill>
          </w14:textFill>
        </w:rPr>
        <w:t>政府采购电子交易云平台（网址：https://</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"http://www.zcygov.c/" \h </w:instrText>
      </w:r>
      <w:r>
        <w:rPr>
          <w:color w:val="000000" w:themeColor="text1"/>
          <w:highlight w:val="none"/>
          <w14:textFill>
            <w14:solidFill>
              <w14:schemeClr w14:val="tx1"/>
            </w14:solidFill>
          </w14:textFill>
        </w:rPr>
        <w:fldChar w:fldCharType="separate"/>
      </w:r>
      <w:r>
        <w:rPr>
          <w:color w:val="000000" w:themeColor="text1"/>
          <w:spacing w:val="-2"/>
          <w:sz w:val="24"/>
          <w:highlight w:val="none"/>
          <w14:textFill>
            <w14:solidFill>
              <w14:schemeClr w14:val="tx1"/>
            </w14:solidFill>
          </w14:textFill>
        </w:rPr>
        <w:t>www.zcygov.c</w:t>
      </w:r>
      <w:r>
        <w:rPr>
          <w:color w:val="000000" w:themeColor="text1"/>
          <w:spacing w:val="-2"/>
          <w:sz w:val="24"/>
          <w:highlight w:val="none"/>
          <w14:textFill>
            <w14:solidFill>
              <w14:schemeClr w14:val="tx1"/>
            </w14:solidFill>
          </w14:textFill>
        </w:rPr>
        <w:fldChar w:fldCharType="end"/>
      </w:r>
      <w:r>
        <w:rPr>
          <w:color w:val="000000" w:themeColor="text1"/>
          <w:spacing w:val="-2"/>
          <w:sz w:val="24"/>
          <w:highlight w:val="none"/>
          <w14:textFill>
            <w14:solidFill>
              <w14:schemeClr w14:val="tx1"/>
            </w14:solidFill>
          </w14:textFill>
        </w:rPr>
        <w:t xml:space="preserve"> n/）”电子交易规则调整，以最新要求为准。</w:t>
      </w:r>
    </w:p>
    <w:p>
      <w:pPr>
        <w:pStyle w:val="19"/>
        <w:numPr>
          <w:ilvl w:val="1"/>
          <w:numId w:val="13"/>
        </w:numPr>
        <w:shd w:val="clear"/>
        <w:tabs>
          <w:tab w:val="left" w:pos="1860"/>
        </w:tabs>
        <w:spacing w:line="360" w:lineRule="auto"/>
        <w:ind w:left="780" w:right="657" w:firstLine="48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电子交易系统咨询：投标人应当充分考虑到电子投标可能会发生的各</w:t>
      </w:r>
      <w:r>
        <w:rPr>
          <w:color w:val="000000" w:themeColor="text1"/>
          <w:spacing w:val="-3"/>
          <w:sz w:val="24"/>
          <w:highlight w:val="none"/>
          <w14:textFill>
            <w14:solidFill>
              <w14:schemeClr w14:val="tx1"/>
            </w14:solidFill>
          </w14:textFill>
        </w:rPr>
        <w:t>种问题和风险，特别是投标文件签署、提交等问题，可按照“第一章 招标公告”</w:t>
      </w:r>
      <w:r>
        <w:rPr>
          <w:color w:val="000000" w:themeColor="text1"/>
          <w:spacing w:val="-2"/>
          <w:sz w:val="24"/>
          <w:highlight w:val="none"/>
          <w14:textFill>
            <w14:solidFill>
              <w14:schemeClr w14:val="tx1"/>
            </w14:solidFill>
          </w14:textFill>
        </w:rPr>
        <w:t>的联系方式咨询相关人员。</w:t>
      </w:r>
    </w:p>
    <w:p>
      <w:pPr>
        <w:pStyle w:val="19"/>
        <w:numPr>
          <w:ilvl w:val="1"/>
          <w:numId w:val="13"/>
        </w:numPr>
        <w:shd w:val="clear"/>
        <w:tabs>
          <w:tab w:val="left" w:pos="1860"/>
        </w:tabs>
        <w:spacing w:line="360" w:lineRule="auto"/>
        <w:ind w:left="780" w:right="657" w:firstLine="48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由于本项目采用电子招标方式，潜在投标人的名单将在提交投标文件截止时间后才会解密。因此，采购人或采购代理机构无法通过传统的传真或邮件</w:t>
      </w:r>
      <w:r>
        <w:rPr>
          <w:color w:val="000000" w:themeColor="text1"/>
          <w:spacing w:val="-13"/>
          <w:sz w:val="24"/>
          <w:highlight w:val="none"/>
          <w14:textFill>
            <w14:solidFill>
              <w14:schemeClr w14:val="tx1"/>
            </w14:solidFill>
          </w14:textFill>
        </w:rPr>
        <w:t>方式，将招标文件的澄清或修改内容逐一通知到每位已获取招标文件的潜在投标</w:t>
      </w:r>
      <w:r>
        <w:rPr>
          <w:color w:val="000000" w:themeColor="text1"/>
          <w:spacing w:val="-2"/>
          <w:sz w:val="24"/>
          <w:highlight w:val="none"/>
          <w14:textFill>
            <w14:solidFill>
              <w14:schemeClr w14:val="tx1"/>
            </w14:solidFill>
          </w14:textFill>
        </w:rPr>
        <w:t>人。为确保信息的及时性和准确性，澄清或修改的内容将仅在政采云平台以更正</w:t>
      </w:r>
      <w:r>
        <w:rPr>
          <w:color w:val="000000" w:themeColor="text1"/>
          <w:spacing w:val="-18"/>
          <w:sz w:val="24"/>
          <w:highlight w:val="none"/>
          <w14:textFill>
            <w14:solidFill>
              <w14:schemeClr w14:val="tx1"/>
            </w14:solidFill>
          </w14:textFill>
        </w:rPr>
        <w:t>公告的形式发布。潜在投标人需密切关注该网站，及时查看并下载相关更正公告。</w:t>
      </w:r>
      <w:r>
        <w:rPr>
          <w:color w:val="000000" w:themeColor="text1"/>
          <w:spacing w:val="-2"/>
          <w:sz w:val="24"/>
          <w:highlight w:val="none"/>
          <w14:textFill>
            <w14:solidFill>
              <w14:schemeClr w14:val="tx1"/>
            </w14:solidFill>
          </w14:textFill>
        </w:rPr>
        <w:t>若因潜在投标人未能及时查看或下载相关更正公告，而导致的一切后果，将由潜</w:t>
      </w:r>
    </w:p>
    <w:p>
      <w:pPr>
        <w:shd w:val="clear"/>
        <w:spacing w:line="360" w:lineRule="auto"/>
        <w:rPr>
          <w:color w:val="000000" w:themeColor="text1"/>
          <w:sz w:val="24"/>
          <w:highlight w:val="none"/>
          <w14:textFill>
            <w14:solidFill>
              <w14:schemeClr w14:val="tx1"/>
            </w14:solidFill>
          </w14:textFill>
        </w:rPr>
        <w:sectPr>
          <w:pgSz w:w="11910" w:h="16840"/>
          <w:pgMar w:top="1380" w:right="1020" w:bottom="1180" w:left="1020" w:header="878" w:footer="989" w:gutter="0"/>
          <w:cols w:space="720" w:num="1"/>
        </w:sectPr>
      </w:pPr>
    </w:p>
    <w:p>
      <w:pPr>
        <w:pStyle w:val="10"/>
        <w:shd w:val="clear"/>
        <w:spacing w:before="133"/>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在投标人自行承担。</w:t>
      </w:r>
    </w:p>
    <w:p>
      <w:pPr>
        <w:pStyle w:val="7"/>
        <w:shd w:val="clear"/>
        <w:spacing w:before="199" w:line="331" w:lineRule="auto"/>
        <w:ind w:right="7036"/>
        <w:rPr>
          <w:color w:val="000000" w:themeColor="text1"/>
          <w:highlight w:val="none"/>
          <w14:textFill>
            <w14:solidFill>
              <w14:schemeClr w14:val="tx1"/>
            </w14:solidFill>
          </w14:textFill>
        </w:rPr>
      </w:pPr>
      <w:bookmarkStart w:id="35" w:name="（二）招标文件"/>
      <w:bookmarkEnd w:id="35"/>
      <w:r>
        <w:rPr>
          <w:color w:val="000000" w:themeColor="text1"/>
          <w:spacing w:val="-2"/>
          <w:highlight w:val="none"/>
          <w14:textFill>
            <w14:solidFill>
              <w14:schemeClr w14:val="tx1"/>
            </w14:solidFill>
          </w14:textFill>
        </w:rPr>
        <w:t xml:space="preserve">（二）招标文件 </w:t>
      </w:r>
      <w:bookmarkStart w:id="36" w:name="11.招标文件的组成"/>
      <w:bookmarkEnd w:id="36"/>
      <w:r>
        <w:rPr>
          <w:color w:val="000000" w:themeColor="text1"/>
          <w:spacing w:val="-2"/>
          <w:highlight w:val="none"/>
          <w14:textFill>
            <w14:solidFill>
              <w14:schemeClr w14:val="tx1"/>
            </w14:solidFill>
          </w14:textFill>
        </w:rPr>
        <w:t>11.招标文件的组成</w:t>
      </w:r>
    </w:p>
    <w:p>
      <w:pPr>
        <w:pStyle w:val="19"/>
        <w:numPr>
          <w:ilvl w:val="1"/>
          <w:numId w:val="14"/>
        </w:numPr>
        <w:shd w:val="clear"/>
        <w:tabs>
          <w:tab w:val="left" w:pos="1800"/>
        </w:tabs>
        <w:spacing w:before="20" w:line="360" w:lineRule="auto"/>
        <w:ind w:right="777" w:firstLine="480"/>
        <w:rPr>
          <w:color w:val="000000" w:themeColor="text1"/>
          <w:sz w:val="24"/>
          <w:highlight w:val="none"/>
          <w14:textFill>
            <w14:solidFill>
              <w14:schemeClr w14:val="tx1"/>
            </w14:solidFill>
          </w14:textFill>
        </w:rPr>
      </w:pPr>
      <w:r>
        <w:rPr>
          <w:color w:val="000000" w:themeColor="text1"/>
          <w:spacing w:val="-6"/>
          <w:sz w:val="24"/>
          <w:highlight w:val="none"/>
          <w14:textFill>
            <w14:solidFill>
              <w14:schemeClr w14:val="tx1"/>
            </w14:solidFill>
          </w14:textFill>
        </w:rPr>
        <w:t xml:space="preserve">本招标文件包括下列文件及根据本章第 </w:t>
      </w:r>
      <w:r>
        <w:rPr>
          <w:color w:val="000000" w:themeColor="text1"/>
          <w:spacing w:val="-2"/>
          <w:sz w:val="24"/>
          <w:highlight w:val="none"/>
          <w14:textFill>
            <w14:solidFill>
              <w14:schemeClr w14:val="tx1"/>
            </w14:solidFill>
          </w14:textFill>
        </w:rPr>
        <w:t>9</w:t>
      </w:r>
      <w:r>
        <w:rPr>
          <w:color w:val="000000" w:themeColor="text1"/>
          <w:spacing w:val="-26"/>
          <w:sz w:val="24"/>
          <w:highlight w:val="none"/>
          <w14:textFill>
            <w14:solidFill>
              <w14:schemeClr w14:val="tx1"/>
            </w14:solidFill>
          </w14:textFill>
        </w:rPr>
        <w:t xml:space="preserve"> 款、第 </w:t>
      </w:r>
      <w:r>
        <w:rPr>
          <w:color w:val="000000" w:themeColor="text1"/>
          <w:spacing w:val="-2"/>
          <w:sz w:val="24"/>
          <w:highlight w:val="none"/>
          <w14:textFill>
            <w14:solidFill>
              <w14:schemeClr w14:val="tx1"/>
            </w14:solidFill>
          </w14:textFill>
        </w:rPr>
        <w:t>12</w:t>
      </w:r>
      <w:r>
        <w:rPr>
          <w:color w:val="000000" w:themeColor="text1"/>
          <w:spacing w:val="-10"/>
          <w:sz w:val="24"/>
          <w:highlight w:val="none"/>
          <w14:textFill>
            <w14:solidFill>
              <w14:schemeClr w14:val="tx1"/>
            </w14:solidFill>
          </w14:textFill>
        </w:rPr>
        <w:t xml:space="preserve"> 款对招标文件所作</w:t>
      </w:r>
      <w:r>
        <w:rPr>
          <w:color w:val="000000" w:themeColor="text1"/>
          <w:spacing w:val="-2"/>
          <w:sz w:val="24"/>
          <w:highlight w:val="none"/>
          <w14:textFill>
            <w14:solidFill>
              <w14:schemeClr w14:val="tx1"/>
            </w14:solidFill>
          </w14:textFill>
        </w:rPr>
        <w:t>的澄清或者修改。</w:t>
      </w:r>
    </w:p>
    <w:p>
      <w:pPr>
        <w:pStyle w:val="10"/>
        <w:shd w:val="clear"/>
        <w:spacing w:line="360" w:lineRule="auto"/>
        <w:ind w:left="1260" w:right="656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第一章 招标公告 </w:t>
      </w:r>
      <w:r>
        <w:rPr>
          <w:color w:val="000000" w:themeColor="text1"/>
          <w:spacing w:val="-6"/>
          <w:highlight w:val="none"/>
          <w14:textFill>
            <w14:solidFill>
              <w14:schemeClr w14:val="tx1"/>
            </w14:solidFill>
          </w14:textFill>
        </w:rPr>
        <w:t>第二章 投标人须知第三章 采购需求第</w:t>
      </w:r>
      <w:r>
        <w:rPr>
          <w:color w:val="000000" w:themeColor="text1"/>
          <w:highlight w:val="none"/>
          <w14:textFill>
            <w14:solidFill>
              <w14:schemeClr w14:val="tx1"/>
            </w14:solidFill>
          </w14:textFill>
        </w:rPr>
        <w:t>四章 资格审查</w:t>
      </w:r>
    </w:p>
    <w:p>
      <w:pPr>
        <w:pStyle w:val="10"/>
        <w:shd w:val="clear"/>
        <w:spacing w:line="360" w:lineRule="auto"/>
        <w:ind w:left="1260" w:right="6085"/>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第五章 评标方法及标准</w:t>
      </w:r>
      <w:r>
        <w:rPr>
          <w:color w:val="000000" w:themeColor="text1"/>
          <w:highlight w:val="none"/>
          <w14:textFill>
            <w14:solidFill>
              <w14:schemeClr w14:val="tx1"/>
            </w14:solidFill>
          </w14:textFill>
        </w:rPr>
        <w:t>第六章 合同草案</w:t>
      </w:r>
    </w:p>
    <w:p>
      <w:pPr>
        <w:pStyle w:val="10"/>
        <w:shd w:val="clear"/>
        <w:ind w:left="1260"/>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第七章 投标文件的格式</w:t>
      </w:r>
    </w:p>
    <w:p>
      <w:pPr>
        <w:pStyle w:val="7"/>
        <w:numPr>
          <w:ilvl w:val="0"/>
          <w:numId w:val="15"/>
        </w:numPr>
        <w:shd w:val="clear"/>
        <w:tabs>
          <w:tab w:val="left" w:pos="1142"/>
        </w:tabs>
        <w:spacing w:before="158"/>
        <w:ind w:left="1142" w:hanging="362"/>
        <w:rPr>
          <w:color w:val="000000" w:themeColor="text1"/>
          <w:highlight w:val="none"/>
          <w14:textFill>
            <w14:solidFill>
              <w14:schemeClr w14:val="tx1"/>
            </w14:solidFill>
          </w14:textFill>
        </w:rPr>
      </w:pPr>
      <w:bookmarkStart w:id="37" w:name="12.招标文件的询问、澄清或者修改"/>
      <w:bookmarkEnd w:id="37"/>
      <w:r>
        <w:rPr>
          <w:color w:val="000000" w:themeColor="text1"/>
          <w:spacing w:val="-3"/>
          <w:highlight w:val="none"/>
          <w14:textFill>
            <w14:solidFill>
              <w14:schemeClr w14:val="tx1"/>
            </w14:solidFill>
          </w14:textFill>
        </w:rPr>
        <w:t>招标文件的询问、澄清或者修改</w:t>
      </w:r>
    </w:p>
    <w:p>
      <w:pPr>
        <w:pStyle w:val="19"/>
        <w:numPr>
          <w:ilvl w:val="1"/>
          <w:numId w:val="15"/>
        </w:numPr>
        <w:shd w:val="clear"/>
        <w:tabs>
          <w:tab w:val="left" w:pos="1860"/>
        </w:tabs>
        <w:spacing w:before="139" w:line="360" w:lineRule="auto"/>
        <w:ind w:right="657" w:firstLine="48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投标人对采购项目有疑问的，可以按照“投标人须知前附表”中的规定提出询问。提出后，请投标人及时通过交易平台“答疑文件下载”栏目查看答</w:t>
      </w:r>
      <w:r>
        <w:rPr>
          <w:color w:val="000000" w:themeColor="text1"/>
          <w:spacing w:val="-17"/>
          <w:sz w:val="24"/>
          <w:highlight w:val="none"/>
          <w14:textFill>
            <w14:solidFill>
              <w14:schemeClr w14:val="tx1"/>
            </w14:solidFill>
          </w14:textFill>
        </w:rPr>
        <w:t>疑文件或澄清文件。必要时，采购代理机构将组织相关专家召开答疑会，如召开，</w:t>
      </w:r>
      <w:r>
        <w:rPr>
          <w:color w:val="000000" w:themeColor="text1"/>
          <w:spacing w:val="-2"/>
          <w:sz w:val="24"/>
          <w:highlight w:val="none"/>
          <w14:textFill>
            <w14:solidFill>
              <w14:schemeClr w14:val="tx1"/>
            </w14:solidFill>
          </w14:textFill>
        </w:rPr>
        <w:t>答疑会安排另行通知。采购人或采购代理机构将在收到询问后依法予以答复。对</w:t>
      </w:r>
      <w:r>
        <w:rPr>
          <w:color w:val="000000" w:themeColor="text1"/>
          <w:spacing w:val="-12"/>
          <w:sz w:val="24"/>
          <w:highlight w:val="none"/>
          <w14:textFill>
            <w14:solidFill>
              <w14:schemeClr w14:val="tx1"/>
            </w14:solidFill>
          </w14:textFill>
        </w:rPr>
        <w:t>招标文件询问的答复，在必要时将以澄清形式推送给每个获取招标文件的潜在投</w:t>
      </w:r>
      <w:r>
        <w:rPr>
          <w:color w:val="000000" w:themeColor="text1"/>
          <w:spacing w:val="-2"/>
          <w:sz w:val="24"/>
          <w:highlight w:val="none"/>
          <w14:textFill>
            <w14:solidFill>
              <w14:schemeClr w14:val="tx1"/>
            </w14:solidFill>
          </w14:textFill>
        </w:rPr>
        <w:t>标人(答复中不包括问题的来源)。</w:t>
      </w:r>
    </w:p>
    <w:p>
      <w:pPr>
        <w:pStyle w:val="10"/>
        <w:shd w:val="clear"/>
        <w:spacing w:line="360" w:lineRule="auto"/>
        <w:ind w:right="777" w:firstLine="480"/>
        <w:jc w:val="both"/>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投标人在规定的时间内未对招标文件提出疑问或要求澄清的，采购代理机构</w:t>
      </w:r>
      <w:r>
        <w:rPr>
          <w:color w:val="000000" w:themeColor="text1"/>
          <w:spacing w:val="-4"/>
          <w:highlight w:val="none"/>
          <w14:textFill>
            <w14:solidFill>
              <w14:schemeClr w14:val="tx1"/>
            </w14:solidFill>
          </w14:textFill>
        </w:rPr>
        <w:t>将视其为同意，对在“投标人须知前附表”中“提出询问的时间要求”之后就招</w:t>
      </w:r>
      <w:r>
        <w:rPr>
          <w:color w:val="000000" w:themeColor="text1"/>
          <w:spacing w:val="-2"/>
          <w:highlight w:val="none"/>
          <w14:textFill>
            <w14:solidFill>
              <w14:schemeClr w14:val="tx1"/>
            </w14:solidFill>
          </w14:textFill>
        </w:rPr>
        <w:t>标文件内容提出的疑问及澄清要求将不予受理。</w:t>
      </w:r>
    </w:p>
    <w:p>
      <w:pPr>
        <w:pStyle w:val="19"/>
        <w:numPr>
          <w:ilvl w:val="1"/>
          <w:numId w:val="15"/>
        </w:numPr>
        <w:shd w:val="clear"/>
        <w:tabs>
          <w:tab w:val="left" w:pos="1860"/>
        </w:tabs>
        <w:spacing w:line="360" w:lineRule="auto"/>
        <w:ind w:right="777" w:firstLine="480"/>
        <w:jc w:val="both"/>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采购人或者采购代理机构可以对已发出的招标文件进行必要的澄清或</w:t>
      </w:r>
      <w:r>
        <w:rPr>
          <w:color w:val="000000" w:themeColor="text1"/>
          <w:spacing w:val="-4"/>
          <w:sz w:val="24"/>
          <w:highlight w:val="none"/>
          <w14:textFill>
            <w14:solidFill>
              <w14:schemeClr w14:val="tx1"/>
            </w14:solidFill>
          </w14:textFill>
        </w:rPr>
        <w:t>者修改。澄清或修改的内容为招标文件的组成部分，并对所有获取招标文件的潜</w:t>
      </w:r>
      <w:r>
        <w:rPr>
          <w:color w:val="000000" w:themeColor="text1"/>
          <w:spacing w:val="-2"/>
          <w:sz w:val="24"/>
          <w:highlight w:val="none"/>
          <w14:textFill>
            <w14:solidFill>
              <w14:schemeClr w14:val="tx1"/>
            </w14:solidFill>
          </w14:textFill>
        </w:rPr>
        <w:t>在投标人具有约束力。</w:t>
      </w:r>
    </w:p>
    <w:p>
      <w:pPr>
        <w:pStyle w:val="19"/>
        <w:numPr>
          <w:ilvl w:val="1"/>
          <w:numId w:val="15"/>
        </w:numPr>
        <w:shd w:val="clear"/>
        <w:tabs>
          <w:tab w:val="left" w:pos="1860"/>
        </w:tabs>
        <w:spacing w:line="360" w:lineRule="auto"/>
        <w:ind w:right="777" w:firstLine="480"/>
        <w:jc w:val="both"/>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招标文件的澄清或者修改以当面交接、邮寄、传真或电子邮件、网站</w:t>
      </w:r>
      <w:r>
        <w:rPr>
          <w:color w:val="000000" w:themeColor="text1"/>
          <w:spacing w:val="-4"/>
          <w:sz w:val="24"/>
          <w:highlight w:val="none"/>
          <w14:textFill>
            <w14:solidFill>
              <w14:schemeClr w14:val="tx1"/>
            </w14:solidFill>
          </w14:textFill>
        </w:rPr>
        <w:t>披露等其中至少一种方式，发给所有领取招标文件的潜在投标人，但不包括问题的来源。澄清或者修改的内容可能影响投标文件编制的，采购人或者采购代理机</w:t>
      </w:r>
      <w:r>
        <w:rPr>
          <w:color w:val="000000" w:themeColor="text1"/>
          <w:spacing w:val="-5"/>
          <w:sz w:val="24"/>
          <w:highlight w:val="none"/>
          <w14:textFill>
            <w14:solidFill>
              <w14:schemeClr w14:val="tx1"/>
            </w14:solidFill>
          </w14:textFill>
        </w:rPr>
        <w:t xml:space="preserve">构应当在投标截止时间至少 </w:t>
      </w:r>
      <w:r>
        <w:rPr>
          <w:color w:val="000000" w:themeColor="text1"/>
          <w:sz w:val="24"/>
          <w:highlight w:val="none"/>
          <w14:textFill>
            <w14:solidFill>
              <w14:schemeClr w14:val="tx1"/>
            </w14:solidFill>
          </w14:textFill>
        </w:rPr>
        <w:t>15</w:t>
      </w:r>
      <w:r>
        <w:rPr>
          <w:color w:val="000000" w:themeColor="text1"/>
          <w:spacing w:val="-8"/>
          <w:sz w:val="24"/>
          <w:highlight w:val="none"/>
          <w14:textFill>
            <w14:solidFill>
              <w14:schemeClr w14:val="tx1"/>
            </w14:solidFill>
          </w14:textFill>
        </w:rPr>
        <w:t xml:space="preserve"> 日前，以书面形式通知所有获取招标文件的潜在</w:t>
      </w:r>
    </w:p>
    <w:p>
      <w:pPr>
        <w:pStyle w:val="10"/>
        <w:shd w:val="clear"/>
        <w:jc w:val="both"/>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 xml:space="preserve">投标人；不足 </w:t>
      </w:r>
      <w:r>
        <w:rPr>
          <w:color w:val="000000" w:themeColor="text1"/>
          <w:highlight w:val="none"/>
          <w14:textFill>
            <w14:solidFill>
              <w14:schemeClr w14:val="tx1"/>
            </w14:solidFill>
          </w14:textFill>
        </w:rPr>
        <w:t>15</w:t>
      </w:r>
      <w:r>
        <w:rPr>
          <w:color w:val="000000" w:themeColor="text1"/>
          <w:spacing w:val="-9"/>
          <w:highlight w:val="none"/>
          <w14:textFill>
            <w14:solidFill>
              <w14:schemeClr w14:val="tx1"/>
            </w14:solidFill>
          </w14:textFill>
        </w:rPr>
        <w:t xml:space="preserve"> 日的，采购人或者采购代理机构应当顺延提交投标文件的截止</w:t>
      </w:r>
    </w:p>
    <w:p>
      <w:pPr>
        <w:shd w:val="clear"/>
        <w:jc w:val="both"/>
        <w:rPr>
          <w:color w:val="000000" w:themeColor="text1"/>
          <w:highlight w:val="none"/>
          <w14:textFill>
            <w14:solidFill>
              <w14:schemeClr w14:val="tx1"/>
            </w14:solidFill>
          </w14:textFill>
        </w:rPr>
        <w:sectPr>
          <w:pgSz w:w="11910" w:h="16840"/>
          <w:pgMar w:top="1380" w:right="1020" w:bottom="1180" w:left="1020" w:header="878" w:footer="989" w:gutter="0"/>
          <w:cols w:space="720" w:num="1"/>
        </w:sectPr>
      </w:pPr>
    </w:p>
    <w:p>
      <w:pPr>
        <w:pStyle w:val="10"/>
        <w:shd w:val="clear"/>
        <w:spacing w:before="133"/>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时间。</w:t>
      </w:r>
    </w:p>
    <w:p>
      <w:pPr>
        <w:pStyle w:val="19"/>
        <w:numPr>
          <w:ilvl w:val="1"/>
          <w:numId w:val="15"/>
        </w:numPr>
        <w:shd w:val="clear"/>
        <w:tabs>
          <w:tab w:val="left" w:pos="1860"/>
        </w:tabs>
        <w:spacing w:before="156" w:line="360" w:lineRule="auto"/>
        <w:ind w:right="805" w:firstLine="480"/>
        <w:jc w:val="both"/>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“投标人须知”所称“书面形式”包括系统消息、政府采购云平台发布的公告。</w:t>
      </w:r>
    </w:p>
    <w:p>
      <w:pPr>
        <w:pStyle w:val="19"/>
        <w:numPr>
          <w:ilvl w:val="1"/>
          <w:numId w:val="15"/>
        </w:numPr>
        <w:shd w:val="clear"/>
        <w:tabs>
          <w:tab w:val="left" w:pos="1802"/>
        </w:tabs>
        <w:spacing w:line="360" w:lineRule="auto"/>
        <w:ind w:right="777" w:firstLine="480"/>
        <w:jc w:val="both"/>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采购代理机构一旦对招标文件作出了澄清、修改，即刻发生效力，采</w:t>
      </w:r>
      <w:r>
        <w:rPr>
          <w:color w:val="000000" w:themeColor="text1"/>
          <w:spacing w:val="-4"/>
          <w:sz w:val="24"/>
          <w:highlight w:val="none"/>
          <w14:textFill>
            <w14:solidFill>
              <w14:schemeClr w14:val="tx1"/>
            </w14:solidFill>
          </w14:textFill>
        </w:rPr>
        <w:t>购代理机构有关的澄清、修改文件，将作为招标文件的组成部分，对所有现实的或潜在的投标人均具有约束力，而无论是否已经实际收到上述文件。同时，采购</w:t>
      </w:r>
      <w:r>
        <w:rPr>
          <w:color w:val="000000" w:themeColor="text1"/>
          <w:spacing w:val="-2"/>
          <w:sz w:val="24"/>
          <w:highlight w:val="none"/>
          <w14:textFill>
            <w14:solidFill>
              <w14:schemeClr w14:val="tx1"/>
            </w14:solidFill>
          </w14:textFill>
        </w:rPr>
        <w:t>代理机构和投标人的权利及义务将受到新的截止期的约束。</w:t>
      </w:r>
    </w:p>
    <w:p>
      <w:pPr>
        <w:pStyle w:val="19"/>
        <w:numPr>
          <w:ilvl w:val="1"/>
          <w:numId w:val="15"/>
        </w:numPr>
        <w:shd w:val="clear"/>
        <w:tabs>
          <w:tab w:val="left" w:pos="1802"/>
        </w:tabs>
        <w:spacing w:line="360" w:lineRule="auto"/>
        <w:ind w:right="777" w:firstLine="480"/>
        <w:jc w:val="both"/>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采购代理机构对招标文件作出的澄清、修改在平台内进行披露，请投</w:t>
      </w:r>
      <w:r>
        <w:rPr>
          <w:color w:val="000000" w:themeColor="text1"/>
          <w:spacing w:val="-4"/>
          <w:sz w:val="24"/>
          <w:highlight w:val="none"/>
          <w14:textFill>
            <w14:solidFill>
              <w14:schemeClr w14:val="tx1"/>
            </w14:solidFill>
          </w14:textFill>
        </w:rPr>
        <w:t>标人及时关注并获取相关资料。因登记有误、线路故障或其它任何意外情形，导致投标人未及时获取的，采购代理机构不因此承担任何责任，且有关的招标活动继续有效地进行。当招标文件的澄清、修改及进行其他答复等就同一内容的表述</w:t>
      </w:r>
      <w:r>
        <w:rPr>
          <w:color w:val="000000" w:themeColor="text1"/>
          <w:spacing w:val="-2"/>
          <w:sz w:val="24"/>
          <w:highlight w:val="none"/>
          <w14:textFill>
            <w14:solidFill>
              <w14:schemeClr w14:val="tx1"/>
            </w14:solidFill>
          </w14:textFill>
        </w:rPr>
        <w:t>不一致时，以最后发布的内容为准。</w:t>
      </w:r>
    </w:p>
    <w:p>
      <w:pPr>
        <w:pStyle w:val="7"/>
        <w:numPr>
          <w:ilvl w:val="0"/>
          <w:numId w:val="16"/>
        </w:numPr>
        <w:shd w:val="clear"/>
        <w:spacing w:before="43" w:line="331" w:lineRule="auto"/>
        <w:ind w:right="7036"/>
        <w:rPr>
          <w:color w:val="000000" w:themeColor="text1"/>
          <w:spacing w:val="-2"/>
          <w:highlight w:val="none"/>
          <w14:textFill>
            <w14:solidFill>
              <w14:schemeClr w14:val="tx1"/>
            </w14:solidFill>
          </w14:textFill>
        </w:rPr>
      </w:pPr>
      <w:bookmarkStart w:id="38" w:name="（三）投标文件"/>
      <w:bookmarkEnd w:id="38"/>
      <w:r>
        <w:rPr>
          <w:color w:val="000000" w:themeColor="text1"/>
          <w:spacing w:val="-2"/>
          <w:highlight w:val="none"/>
          <w14:textFill>
            <w14:solidFill>
              <w14:schemeClr w14:val="tx1"/>
            </w14:solidFill>
          </w14:textFill>
        </w:rPr>
        <w:t xml:space="preserve">投标文件 </w:t>
      </w:r>
      <w:bookmarkStart w:id="39" w:name="13.投标文件的组成"/>
      <w:bookmarkEnd w:id="39"/>
    </w:p>
    <w:p>
      <w:pPr>
        <w:pStyle w:val="7"/>
        <w:numPr>
          <w:ilvl w:val="0"/>
          <w:numId w:val="0"/>
        </w:numPr>
        <w:shd w:val="clear"/>
        <w:spacing w:before="43" w:line="331" w:lineRule="auto"/>
        <w:ind w:right="7036" w:rightChars="0" w:firstLine="474" w:firstLineChars="200"/>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13.投标文件的组成</w:t>
      </w:r>
    </w:p>
    <w:p>
      <w:pPr>
        <w:pStyle w:val="19"/>
        <w:numPr>
          <w:ilvl w:val="1"/>
          <w:numId w:val="17"/>
        </w:numPr>
        <w:shd w:val="clear"/>
        <w:tabs>
          <w:tab w:val="left" w:pos="1800"/>
        </w:tabs>
        <w:spacing w:before="20" w:line="360" w:lineRule="auto"/>
        <w:ind w:right="625" w:firstLine="48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投标人应完整地按招标文件提供的投标文件格式及要求编写投标文件，</w:t>
      </w:r>
      <w:r>
        <w:rPr>
          <w:color w:val="000000" w:themeColor="text1"/>
          <w:sz w:val="24"/>
          <w:highlight w:val="none"/>
          <w14:textFill>
            <w14:solidFill>
              <w14:schemeClr w14:val="tx1"/>
            </w14:solidFill>
          </w14:textFill>
        </w:rPr>
        <w:t>具体内容详见“第七章 投标文件格式”的相关内容。</w:t>
      </w:r>
    </w:p>
    <w:p>
      <w:pPr>
        <w:pStyle w:val="19"/>
        <w:numPr>
          <w:ilvl w:val="1"/>
          <w:numId w:val="17"/>
        </w:numPr>
        <w:shd w:val="clear"/>
        <w:tabs>
          <w:tab w:val="left" w:pos="1802"/>
        </w:tabs>
        <w:spacing w:line="360" w:lineRule="auto"/>
        <w:ind w:right="777" w:firstLine="480"/>
        <w:jc w:val="both"/>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投标人应提交招标文件要求的证明文件，证明其投标内容符合招标文</w:t>
      </w:r>
      <w:r>
        <w:rPr>
          <w:color w:val="000000" w:themeColor="text1"/>
          <w:spacing w:val="-4"/>
          <w:sz w:val="24"/>
          <w:highlight w:val="none"/>
          <w14:textFill>
            <w14:solidFill>
              <w14:schemeClr w14:val="tx1"/>
            </w14:solidFill>
          </w14:textFill>
        </w:rPr>
        <w:t>件规定，该证明文件是投标文件的一部分。证明文件形式可以是文字资料、图纸</w:t>
      </w:r>
      <w:r>
        <w:rPr>
          <w:color w:val="000000" w:themeColor="text1"/>
          <w:spacing w:val="-2"/>
          <w:sz w:val="24"/>
          <w:highlight w:val="none"/>
          <w14:textFill>
            <w14:solidFill>
              <w14:schemeClr w14:val="tx1"/>
            </w14:solidFill>
          </w14:textFill>
        </w:rPr>
        <w:t>和数据等。</w:t>
      </w:r>
    </w:p>
    <w:p>
      <w:pPr>
        <w:pStyle w:val="19"/>
        <w:numPr>
          <w:ilvl w:val="1"/>
          <w:numId w:val="17"/>
        </w:numPr>
        <w:shd w:val="clear"/>
        <w:tabs>
          <w:tab w:val="left" w:pos="1802"/>
        </w:tabs>
        <w:spacing w:line="360" w:lineRule="auto"/>
        <w:ind w:right="777" w:firstLine="480"/>
        <w:jc w:val="both"/>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为保证公平公正，除非本招标文件另有规定或说明，投标人对同一项目投标时，不得同时提供备选投标方案。</w:t>
      </w:r>
    </w:p>
    <w:p>
      <w:pPr>
        <w:pStyle w:val="7"/>
        <w:numPr>
          <w:ilvl w:val="0"/>
          <w:numId w:val="18"/>
        </w:numPr>
        <w:shd w:val="clear"/>
        <w:tabs>
          <w:tab w:val="left" w:pos="1142"/>
        </w:tabs>
        <w:spacing w:before="2"/>
        <w:ind w:left="1022" w:hanging="362"/>
        <w:rPr>
          <w:color w:val="000000" w:themeColor="text1"/>
          <w:highlight w:val="none"/>
          <w14:textFill>
            <w14:solidFill>
              <w14:schemeClr w14:val="tx1"/>
            </w14:solidFill>
          </w14:textFill>
        </w:rPr>
      </w:pPr>
      <w:bookmarkStart w:id="40" w:name="14.投标报价"/>
      <w:bookmarkEnd w:id="40"/>
      <w:r>
        <w:rPr>
          <w:color w:val="000000" w:themeColor="text1"/>
          <w:spacing w:val="-4"/>
          <w:highlight w:val="none"/>
          <w14:textFill>
            <w14:solidFill>
              <w14:schemeClr w14:val="tx1"/>
            </w14:solidFill>
          </w14:textFill>
        </w:rPr>
        <w:t>投标报价</w:t>
      </w:r>
    </w:p>
    <w:p>
      <w:pPr>
        <w:pStyle w:val="19"/>
        <w:numPr>
          <w:ilvl w:val="1"/>
          <w:numId w:val="18"/>
        </w:numPr>
        <w:shd w:val="clear"/>
        <w:tabs>
          <w:tab w:val="left" w:pos="1860"/>
        </w:tabs>
        <w:spacing w:before="139"/>
        <w:jc w:val="both"/>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投标人的报价均应</w:t>
      </w:r>
      <w:r>
        <w:rPr>
          <w:color w:val="000000" w:themeColor="text1"/>
          <w:spacing w:val="-2"/>
          <w:sz w:val="24"/>
          <w:highlight w:val="none"/>
          <w14:textFill>
            <w14:solidFill>
              <w14:schemeClr w14:val="tx1"/>
            </w14:solidFill>
          </w14:textFill>
        </w:rPr>
        <w:t>本招标文件规定的报价方式进行报价</w:t>
      </w:r>
      <w:r>
        <w:rPr>
          <w:color w:val="000000" w:themeColor="text1"/>
          <w:spacing w:val="-1"/>
          <w:sz w:val="24"/>
          <w:highlight w:val="none"/>
          <w14:textFill>
            <w14:solidFill>
              <w14:schemeClr w14:val="tx1"/>
            </w14:solidFill>
          </w14:textFill>
        </w:rPr>
        <w:t>。</w:t>
      </w:r>
    </w:p>
    <w:p>
      <w:pPr>
        <w:pStyle w:val="19"/>
        <w:numPr>
          <w:ilvl w:val="1"/>
          <w:numId w:val="18"/>
        </w:numPr>
        <w:shd w:val="clear"/>
        <w:tabs>
          <w:tab w:val="left" w:pos="1860"/>
        </w:tabs>
        <w:spacing w:before="156" w:line="360" w:lineRule="auto"/>
        <w:ind w:left="780" w:right="781" w:firstLine="480"/>
        <w:jc w:val="both"/>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投标人应按照本招标文件规定的报价方式进行报价，投标报价中不得</w:t>
      </w:r>
      <w:r>
        <w:rPr>
          <w:color w:val="000000" w:themeColor="text1"/>
          <w:spacing w:val="-4"/>
          <w:sz w:val="24"/>
          <w:highlight w:val="none"/>
          <w14:textFill>
            <w14:solidFill>
              <w14:schemeClr w14:val="tx1"/>
            </w14:solidFill>
          </w14:textFill>
        </w:rPr>
        <w:t>包含招标文件要求以外的内容，否则，在评标时不予核减。投标报价中也不得遗</w:t>
      </w:r>
      <w:r>
        <w:rPr>
          <w:color w:val="000000" w:themeColor="text1"/>
          <w:spacing w:val="-2"/>
          <w:sz w:val="24"/>
          <w:highlight w:val="none"/>
          <w14:textFill>
            <w14:solidFill>
              <w14:schemeClr w14:val="tx1"/>
            </w14:solidFill>
          </w14:textFill>
        </w:rPr>
        <w:t>漏招标文件所要求的内容，否则其</w:t>
      </w:r>
      <w:r>
        <w:rPr>
          <w:b/>
          <w:color w:val="000000" w:themeColor="text1"/>
          <w:spacing w:val="-2"/>
          <w:sz w:val="24"/>
          <w:highlight w:val="none"/>
          <w14:textFill>
            <w14:solidFill>
              <w14:schemeClr w14:val="tx1"/>
            </w14:solidFill>
          </w14:textFill>
        </w:rPr>
        <w:t>投标无效</w:t>
      </w:r>
      <w:r>
        <w:rPr>
          <w:color w:val="000000" w:themeColor="text1"/>
          <w:spacing w:val="-2"/>
          <w:sz w:val="24"/>
          <w:highlight w:val="none"/>
          <w14:textFill>
            <w14:solidFill>
              <w14:schemeClr w14:val="tx1"/>
            </w14:solidFill>
          </w14:textFill>
        </w:rPr>
        <w:t>。</w:t>
      </w:r>
    </w:p>
    <w:p>
      <w:pPr>
        <w:pStyle w:val="19"/>
        <w:numPr>
          <w:ilvl w:val="1"/>
          <w:numId w:val="18"/>
        </w:numPr>
        <w:shd w:val="clear"/>
        <w:tabs>
          <w:tab w:val="left" w:pos="1800"/>
        </w:tabs>
        <w:spacing w:line="360" w:lineRule="auto"/>
        <w:ind w:left="780" w:right="777" w:firstLine="48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投标人的报价应包括为完成本项目所发生的一切费用和税费，采购人</w:t>
      </w:r>
      <w:r>
        <w:rPr>
          <w:color w:val="000000" w:themeColor="text1"/>
          <w:spacing w:val="-4"/>
          <w:sz w:val="24"/>
          <w:highlight w:val="none"/>
          <w14:textFill>
            <w14:solidFill>
              <w14:schemeClr w14:val="tx1"/>
            </w14:solidFill>
          </w14:textFill>
        </w:rPr>
        <w:t>将不再支付报价以外的任何费用。只要投报了一个确定数额的总价，无论分项价</w:t>
      </w:r>
      <w:r>
        <w:rPr>
          <w:color w:val="000000" w:themeColor="text1"/>
          <w:spacing w:val="-7"/>
          <w:sz w:val="24"/>
          <w:highlight w:val="none"/>
          <w14:textFill>
            <w14:solidFill>
              <w14:schemeClr w14:val="tx1"/>
            </w14:solidFill>
          </w14:textFill>
        </w:rPr>
        <w:t>格是否全部填报了相应的金额或免费字样，报价应被视为已经包含了但并不限于</w:t>
      </w:r>
      <w:r>
        <w:rPr>
          <w:color w:val="000000" w:themeColor="text1"/>
          <w:spacing w:val="-8"/>
          <w:sz w:val="24"/>
          <w:highlight w:val="none"/>
          <w14:textFill>
            <w14:solidFill>
              <w14:schemeClr w14:val="tx1"/>
            </w14:solidFill>
          </w14:textFill>
        </w:rPr>
        <w:t>本次招标全部采购需求所应提供的服务，以及伴随的货物和工程等的费用和所需</w:t>
      </w:r>
    </w:p>
    <w:p>
      <w:pPr>
        <w:shd w:val="clear"/>
        <w:spacing w:line="360" w:lineRule="auto"/>
        <w:rPr>
          <w:color w:val="000000" w:themeColor="text1"/>
          <w:sz w:val="24"/>
          <w:highlight w:val="none"/>
          <w14:textFill>
            <w14:solidFill>
              <w14:schemeClr w14:val="tx1"/>
            </w14:solidFill>
          </w14:textFill>
        </w:rPr>
        <w:sectPr>
          <w:pgSz w:w="11910" w:h="16840"/>
          <w:pgMar w:top="1380" w:right="1020" w:bottom="1180" w:left="1020" w:header="878" w:footer="989" w:gutter="0"/>
          <w:cols w:space="720" w:num="1"/>
        </w:sectPr>
      </w:pPr>
    </w:p>
    <w:p>
      <w:pPr>
        <w:pStyle w:val="10"/>
        <w:shd w:val="clear"/>
        <w:spacing w:before="133" w:line="360" w:lineRule="auto"/>
        <w:ind w:right="777"/>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缴纳的所有价格、税、费。在其他情况下，由于分项报价填报不完整、不清楚或</w:t>
      </w:r>
      <w:r>
        <w:rPr>
          <w:color w:val="000000" w:themeColor="text1"/>
          <w:spacing w:val="-2"/>
          <w:highlight w:val="none"/>
          <w14:textFill>
            <w14:solidFill>
              <w14:schemeClr w14:val="tx1"/>
            </w14:solidFill>
          </w14:textFill>
        </w:rPr>
        <w:t>存在其他任何失误，所导致的任何不利后果均应当由投标人自行承担。</w:t>
      </w:r>
    </w:p>
    <w:p>
      <w:pPr>
        <w:pStyle w:val="19"/>
        <w:numPr>
          <w:ilvl w:val="1"/>
          <w:numId w:val="18"/>
        </w:numPr>
        <w:shd w:val="clear"/>
        <w:tabs>
          <w:tab w:val="left" w:pos="1800"/>
        </w:tabs>
        <w:spacing w:line="360" w:lineRule="auto"/>
        <w:ind w:left="780" w:right="865" w:firstLine="48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投标人的报价应包括但不限于按照招标文件要求完成本项目的全部相</w:t>
      </w:r>
      <w:r>
        <w:rPr>
          <w:color w:val="000000" w:themeColor="text1"/>
          <w:spacing w:val="-4"/>
          <w:sz w:val="24"/>
          <w:highlight w:val="none"/>
          <w14:textFill>
            <w14:solidFill>
              <w14:schemeClr w14:val="tx1"/>
            </w14:solidFill>
          </w14:textFill>
        </w:rPr>
        <w:t>关费用。</w:t>
      </w:r>
    </w:p>
    <w:p>
      <w:pPr>
        <w:pStyle w:val="19"/>
        <w:numPr>
          <w:ilvl w:val="1"/>
          <w:numId w:val="18"/>
        </w:numPr>
        <w:shd w:val="clear"/>
        <w:tabs>
          <w:tab w:val="left" w:pos="1860"/>
        </w:tabs>
        <w:spacing w:line="360" w:lineRule="auto"/>
        <w:ind w:left="780" w:right="565" w:firstLine="480"/>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投标人须严格按照分项报价表规定的内容填写服务单价以及其他事项。</w:t>
      </w:r>
      <w:r>
        <w:rPr>
          <w:color w:val="000000" w:themeColor="text1"/>
          <w:spacing w:val="-5"/>
          <w:sz w:val="24"/>
          <w:highlight w:val="none"/>
          <w14:textFill>
            <w14:solidFill>
              <w14:schemeClr w14:val="tx1"/>
            </w14:solidFill>
          </w14:textFill>
        </w:rPr>
        <w:t>投标人应根据本招标文件的规定和要求、市场价格水平及其走势、投标人的管理</w:t>
      </w:r>
      <w:r>
        <w:rPr>
          <w:color w:val="000000" w:themeColor="text1"/>
          <w:spacing w:val="-11"/>
          <w:sz w:val="24"/>
          <w:highlight w:val="none"/>
          <w14:textFill>
            <w14:solidFill>
              <w14:schemeClr w14:val="tx1"/>
            </w14:solidFill>
          </w14:textFill>
        </w:rPr>
        <w:t>水平、投标人的方案和由这些因素决定的投标人之于本项目的成本水平等提出自己的报价。报价应合理，并包含完成本招标文件采购需求全部内容的所有费用，所有根据本招标文件或其它原因应由投标人支付的税款和其他应交纳的费用都</w:t>
      </w:r>
    </w:p>
    <w:p>
      <w:pPr>
        <w:pStyle w:val="10"/>
        <w:shd w:val="clear"/>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应包括在投标人提交的投标报价中。</w:t>
      </w:r>
    </w:p>
    <w:p>
      <w:pPr>
        <w:pStyle w:val="19"/>
        <w:numPr>
          <w:ilvl w:val="1"/>
          <w:numId w:val="18"/>
        </w:numPr>
        <w:shd w:val="clear"/>
        <w:tabs>
          <w:tab w:val="left" w:pos="1860"/>
        </w:tabs>
        <w:spacing w:before="156"/>
        <w:jc w:val="both"/>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投标人在投标文件中注明免费的项目将视为包含在投标报价中。</w:t>
      </w:r>
    </w:p>
    <w:p>
      <w:pPr>
        <w:pStyle w:val="19"/>
        <w:numPr>
          <w:ilvl w:val="1"/>
          <w:numId w:val="18"/>
        </w:numPr>
        <w:shd w:val="clear"/>
        <w:tabs>
          <w:tab w:val="left" w:pos="1860"/>
        </w:tabs>
        <w:spacing w:before="156" w:line="360" w:lineRule="auto"/>
        <w:ind w:left="780" w:right="777" w:firstLine="480"/>
        <w:jc w:val="both"/>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每一种采购内容只允许有一个报价，否则其</w:t>
      </w:r>
      <w:r>
        <w:rPr>
          <w:b/>
          <w:color w:val="000000" w:themeColor="text1"/>
          <w:spacing w:val="-2"/>
          <w:sz w:val="24"/>
          <w:highlight w:val="none"/>
          <w14:textFill>
            <w14:solidFill>
              <w14:schemeClr w14:val="tx1"/>
            </w14:solidFill>
          </w14:textFill>
        </w:rPr>
        <w:t>投标无效</w:t>
      </w:r>
      <w:r>
        <w:rPr>
          <w:color w:val="000000" w:themeColor="text1"/>
          <w:spacing w:val="-2"/>
          <w:sz w:val="24"/>
          <w:highlight w:val="none"/>
          <w14:textFill>
            <w14:solidFill>
              <w14:schemeClr w14:val="tx1"/>
            </w14:solidFill>
          </w14:textFill>
        </w:rPr>
        <w:t>。除非招标文件</w:t>
      </w:r>
      <w:r>
        <w:rPr>
          <w:color w:val="000000" w:themeColor="text1"/>
          <w:spacing w:val="-4"/>
          <w:sz w:val="24"/>
          <w:highlight w:val="none"/>
          <w14:textFill>
            <w14:solidFill>
              <w14:schemeClr w14:val="tx1"/>
            </w14:solidFill>
          </w14:textFill>
        </w:rPr>
        <w:t>另有规定，不接受可选择或可调整的投标方案和报价，任何有选择的或可调整的</w:t>
      </w:r>
      <w:r>
        <w:rPr>
          <w:color w:val="000000" w:themeColor="text1"/>
          <w:spacing w:val="-2"/>
          <w:sz w:val="24"/>
          <w:highlight w:val="none"/>
          <w14:textFill>
            <w14:solidFill>
              <w14:schemeClr w14:val="tx1"/>
            </w14:solidFill>
          </w14:textFill>
        </w:rPr>
        <w:t>投标方案和报价将被视为非实质性响应招标文件,其</w:t>
      </w:r>
      <w:r>
        <w:rPr>
          <w:b/>
          <w:color w:val="000000" w:themeColor="text1"/>
          <w:spacing w:val="-2"/>
          <w:sz w:val="24"/>
          <w:highlight w:val="none"/>
          <w14:textFill>
            <w14:solidFill>
              <w14:schemeClr w14:val="tx1"/>
            </w14:solidFill>
          </w14:textFill>
        </w:rPr>
        <w:t>投标无效</w:t>
      </w:r>
      <w:r>
        <w:rPr>
          <w:color w:val="000000" w:themeColor="text1"/>
          <w:spacing w:val="-2"/>
          <w:sz w:val="24"/>
          <w:highlight w:val="none"/>
          <w14:textFill>
            <w14:solidFill>
              <w14:schemeClr w14:val="tx1"/>
            </w14:solidFill>
          </w14:textFill>
        </w:rPr>
        <w:t>。</w:t>
      </w:r>
    </w:p>
    <w:p>
      <w:pPr>
        <w:pStyle w:val="19"/>
        <w:numPr>
          <w:ilvl w:val="1"/>
          <w:numId w:val="18"/>
        </w:numPr>
        <w:shd w:val="clear"/>
        <w:tabs>
          <w:tab w:val="left" w:pos="1860"/>
        </w:tabs>
        <w:spacing w:line="360" w:lineRule="auto"/>
        <w:ind w:left="780" w:right="777" w:firstLine="480"/>
        <w:jc w:val="both"/>
        <w:rPr>
          <w:color w:val="000000" w:themeColor="text1"/>
          <w:sz w:val="24"/>
          <w:highlight w:val="none"/>
          <w14:textFill>
            <w14:solidFill>
              <w14:schemeClr w14:val="tx1"/>
            </w14:solidFill>
          </w14:textFill>
        </w:rPr>
      </w:pPr>
      <w:r>
        <w:rPr>
          <w:color w:val="000000" w:themeColor="text1"/>
          <w:spacing w:val="-5"/>
          <w:sz w:val="24"/>
          <w:highlight w:val="none"/>
          <w14:textFill>
            <w14:solidFill>
              <w14:schemeClr w14:val="tx1"/>
            </w14:solidFill>
          </w14:textFill>
        </w:rPr>
        <w:t>投标报价不得超过“第一章 招标公告”中规定的最高投标限价或者预</w:t>
      </w:r>
      <w:r>
        <w:rPr>
          <w:color w:val="000000" w:themeColor="text1"/>
          <w:spacing w:val="-2"/>
          <w:sz w:val="24"/>
          <w:highlight w:val="none"/>
          <w14:textFill>
            <w14:solidFill>
              <w14:schemeClr w14:val="tx1"/>
            </w14:solidFill>
          </w14:textFill>
        </w:rPr>
        <w:t>算金额，否则评标委员会将对其作</w:t>
      </w:r>
      <w:r>
        <w:rPr>
          <w:b/>
          <w:color w:val="000000" w:themeColor="text1"/>
          <w:spacing w:val="-2"/>
          <w:sz w:val="24"/>
          <w:highlight w:val="none"/>
          <w14:textFill>
            <w14:solidFill>
              <w14:schemeClr w14:val="tx1"/>
            </w14:solidFill>
          </w14:textFill>
        </w:rPr>
        <w:t>无效投标处理</w:t>
      </w:r>
      <w:r>
        <w:rPr>
          <w:color w:val="000000" w:themeColor="text1"/>
          <w:spacing w:val="-2"/>
          <w:sz w:val="24"/>
          <w:highlight w:val="none"/>
          <w14:textFill>
            <w14:solidFill>
              <w14:schemeClr w14:val="tx1"/>
            </w14:solidFill>
          </w14:textFill>
        </w:rPr>
        <w:t>。</w:t>
      </w:r>
    </w:p>
    <w:p>
      <w:pPr>
        <w:pStyle w:val="19"/>
        <w:numPr>
          <w:ilvl w:val="1"/>
          <w:numId w:val="18"/>
        </w:numPr>
        <w:shd w:val="clear"/>
        <w:tabs>
          <w:tab w:val="left" w:pos="1860"/>
        </w:tabs>
        <w:jc w:val="both"/>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投标人对投标报价若有说明应在投标文件中显著处注明。</w:t>
      </w:r>
    </w:p>
    <w:p>
      <w:pPr>
        <w:pStyle w:val="10"/>
        <w:shd w:val="clear"/>
        <w:spacing w:before="156" w:line="360" w:lineRule="auto"/>
        <w:ind w:right="777" w:firstLine="480"/>
        <w:rPr>
          <w:color w:val="000000" w:themeColor="text1"/>
          <w:highlight w:val="none"/>
          <w14:textFill>
            <w14:solidFill>
              <w14:schemeClr w14:val="tx1"/>
            </w14:solidFill>
          </w14:textFill>
        </w:rPr>
      </w:pPr>
      <w:r>
        <w:rPr>
          <w:color w:val="000000" w:themeColor="text1"/>
          <w:spacing w:val="-11"/>
          <w:highlight w:val="none"/>
          <w14:textFill>
            <w14:solidFill>
              <w14:schemeClr w14:val="tx1"/>
            </w14:solidFill>
          </w14:textFill>
        </w:rPr>
        <w:t>除政策性文件规定以外，投标人所报价格在合同实施期间不因市场变化因素</w:t>
      </w:r>
      <w:r>
        <w:rPr>
          <w:color w:val="000000" w:themeColor="text1"/>
          <w:spacing w:val="-4"/>
          <w:highlight w:val="none"/>
          <w14:textFill>
            <w14:solidFill>
              <w14:schemeClr w14:val="tx1"/>
            </w14:solidFill>
          </w14:textFill>
        </w:rPr>
        <w:t>而变动。</w:t>
      </w:r>
    </w:p>
    <w:p>
      <w:pPr>
        <w:pStyle w:val="19"/>
        <w:numPr>
          <w:ilvl w:val="1"/>
          <w:numId w:val="18"/>
        </w:numPr>
        <w:shd w:val="clear"/>
        <w:tabs>
          <w:tab w:val="left" w:pos="1980"/>
        </w:tabs>
        <w:ind w:left="1980" w:hanging="720"/>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最低报价不能作为中标的保证。</w:t>
      </w:r>
    </w:p>
    <w:p>
      <w:pPr>
        <w:pStyle w:val="19"/>
        <w:numPr>
          <w:ilvl w:val="1"/>
          <w:numId w:val="18"/>
        </w:numPr>
        <w:shd w:val="clear"/>
        <w:tabs>
          <w:tab w:val="left" w:pos="1920"/>
        </w:tabs>
        <w:spacing w:before="156" w:line="360" w:lineRule="auto"/>
        <w:ind w:left="780" w:right="777" w:firstLine="48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采购人不得向投标人索要或者接受其给予的赠品、回扣或者与采购无关的其他商品、服务。</w:t>
      </w:r>
    </w:p>
    <w:p>
      <w:pPr>
        <w:pStyle w:val="7"/>
        <w:numPr>
          <w:ilvl w:val="0"/>
          <w:numId w:val="18"/>
        </w:numPr>
        <w:shd w:val="clear"/>
        <w:tabs>
          <w:tab w:val="left" w:pos="1142"/>
        </w:tabs>
        <w:spacing w:before="2"/>
        <w:ind w:left="1022" w:hanging="362"/>
        <w:rPr>
          <w:color w:val="000000" w:themeColor="text1"/>
          <w:highlight w:val="none"/>
          <w14:textFill>
            <w14:solidFill>
              <w14:schemeClr w14:val="tx1"/>
            </w14:solidFill>
          </w14:textFill>
        </w:rPr>
      </w:pPr>
      <w:bookmarkStart w:id="41" w:name="15.投标有效期"/>
      <w:bookmarkEnd w:id="41"/>
      <w:r>
        <w:rPr>
          <w:color w:val="000000" w:themeColor="text1"/>
          <w:spacing w:val="-4"/>
          <w:highlight w:val="none"/>
          <w14:textFill>
            <w14:solidFill>
              <w14:schemeClr w14:val="tx1"/>
            </w14:solidFill>
          </w14:textFill>
        </w:rPr>
        <w:t>投标有效期</w:t>
      </w:r>
    </w:p>
    <w:p>
      <w:pPr>
        <w:pStyle w:val="19"/>
        <w:numPr>
          <w:ilvl w:val="1"/>
          <w:numId w:val="18"/>
        </w:numPr>
        <w:shd w:val="clear"/>
        <w:tabs>
          <w:tab w:val="left" w:pos="1860"/>
        </w:tabs>
        <w:spacing w:before="139" w:line="360" w:lineRule="auto"/>
        <w:ind w:left="780" w:right="781" w:firstLine="480"/>
        <w:jc w:val="both"/>
        <w:rPr>
          <w:color w:val="000000" w:themeColor="text1"/>
          <w:sz w:val="24"/>
          <w:highlight w:val="none"/>
          <w14:textFill>
            <w14:solidFill>
              <w14:schemeClr w14:val="tx1"/>
            </w14:solidFill>
          </w14:textFill>
        </w:rPr>
      </w:pPr>
      <w:r>
        <w:rPr>
          <w:color w:val="000000" w:themeColor="text1"/>
          <w:spacing w:val="-5"/>
          <w:sz w:val="24"/>
          <w:highlight w:val="none"/>
          <w14:textFill>
            <w14:solidFill>
              <w14:schemeClr w14:val="tx1"/>
            </w14:solidFill>
          </w14:textFill>
        </w:rPr>
        <w:t>投标有效期见“第二章 投标人须知前附表”，投标人承诺的投标有效</w:t>
      </w:r>
      <w:r>
        <w:rPr>
          <w:color w:val="000000" w:themeColor="text1"/>
          <w:spacing w:val="-2"/>
          <w:sz w:val="24"/>
          <w:highlight w:val="none"/>
          <w14:textFill>
            <w14:solidFill>
              <w14:schemeClr w14:val="tx1"/>
            </w14:solidFill>
          </w14:textFill>
        </w:rPr>
        <w:t>期少于招标文件规定期限的，其</w:t>
      </w:r>
      <w:r>
        <w:rPr>
          <w:b/>
          <w:color w:val="000000" w:themeColor="text1"/>
          <w:spacing w:val="-2"/>
          <w:sz w:val="24"/>
          <w:highlight w:val="none"/>
          <w14:textFill>
            <w14:solidFill>
              <w14:schemeClr w14:val="tx1"/>
            </w14:solidFill>
          </w14:textFill>
        </w:rPr>
        <w:t>投标无效</w:t>
      </w:r>
      <w:r>
        <w:rPr>
          <w:color w:val="000000" w:themeColor="text1"/>
          <w:spacing w:val="-2"/>
          <w:sz w:val="24"/>
          <w:highlight w:val="none"/>
          <w14:textFill>
            <w14:solidFill>
              <w14:schemeClr w14:val="tx1"/>
            </w14:solidFill>
          </w14:textFill>
        </w:rPr>
        <w:t>。</w:t>
      </w:r>
    </w:p>
    <w:p>
      <w:pPr>
        <w:pStyle w:val="19"/>
        <w:numPr>
          <w:ilvl w:val="1"/>
          <w:numId w:val="18"/>
        </w:numPr>
        <w:shd w:val="clear"/>
        <w:tabs>
          <w:tab w:val="left" w:pos="1860"/>
        </w:tabs>
        <w:spacing w:line="360" w:lineRule="auto"/>
        <w:ind w:left="780" w:right="777" w:firstLine="480"/>
        <w:jc w:val="both"/>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投标有效期从提交投标文件的截止之日起算。投标文件中承诺的投标</w:t>
      </w:r>
      <w:r>
        <w:rPr>
          <w:color w:val="000000" w:themeColor="text1"/>
          <w:spacing w:val="-7"/>
          <w:sz w:val="24"/>
          <w:highlight w:val="none"/>
          <w14:textFill>
            <w14:solidFill>
              <w14:schemeClr w14:val="tx1"/>
            </w14:solidFill>
          </w14:textFill>
        </w:rPr>
        <w:t>有效期应当不少于招标文件中载明的投标有效期。投标有效期内投标人撤销投标</w:t>
      </w:r>
      <w:r>
        <w:rPr>
          <w:color w:val="000000" w:themeColor="text1"/>
          <w:spacing w:val="-2"/>
          <w:sz w:val="24"/>
          <w:highlight w:val="none"/>
          <w14:textFill>
            <w14:solidFill>
              <w14:schemeClr w14:val="tx1"/>
            </w14:solidFill>
          </w14:textFill>
        </w:rPr>
        <w:t>文件的，采购人或者采购代理机构可以不退还投标保证金。</w:t>
      </w:r>
    </w:p>
    <w:p>
      <w:pPr>
        <w:pStyle w:val="19"/>
        <w:numPr>
          <w:ilvl w:val="1"/>
          <w:numId w:val="18"/>
        </w:numPr>
        <w:shd w:val="clear"/>
        <w:tabs>
          <w:tab w:val="left" w:pos="1800"/>
        </w:tabs>
        <w:spacing w:line="360" w:lineRule="auto"/>
        <w:ind w:left="780" w:right="777" w:firstLine="480"/>
        <w:jc w:val="both"/>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特殊情况下，在原投标文件有效期截止之前，采购代理机构或采购人</w:t>
      </w:r>
      <w:r>
        <w:rPr>
          <w:color w:val="000000" w:themeColor="text1"/>
          <w:spacing w:val="-4"/>
          <w:sz w:val="24"/>
          <w:highlight w:val="none"/>
          <w14:textFill>
            <w14:solidFill>
              <w14:schemeClr w14:val="tx1"/>
            </w14:solidFill>
          </w14:textFill>
        </w:rPr>
        <w:t>可要求投标人延长投标有效期。需要延长投标有效期时，采购代理机构或采购人</w:t>
      </w:r>
    </w:p>
    <w:p>
      <w:pPr>
        <w:shd w:val="clear"/>
        <w:spacing w:line="360" w:lineRule="auto"/>
        <w:jc w:val="both"/>
        <w:rPr>
          <w:color w:val="000000" w:themeColor="text1"/>
          <w:sz w:val="24"/>
          <w:highlight w:val="none"/>
          <w14:textFill>
            <w14:solidFill>
              <w14:schemeClr w14:val="tx1"/>
            </w14:solidFill>
          </w14:textFill>
        </w:rPr>
        <w:sectPr>
          <w:pgSz w:w="11910" w:h="16840"/>
          <w:pgMar w:top="1380" w:right="1020" w:bottom="1180" w:left="1020" w:header="878" w:footer="989" w:gutter="0"/>
          <w:cols w:space="720" w:num="1"/>
        </w:sectPr>
      </w:pPr>
    </w:p>
    <w:p>
      <w:pPr>
        <w:pStyle w:val="10"/>
        <w:shd w:val="clear"/>
        <w:spacing w:before="133" w:line="360" w:lineRule="auto"/>
        <w:ind w:right="777"/>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将以书面形式通知所有投标人，投标人应以书面形式答复是否同意延长投标有效</w:t>
      </w:r>
      <w:r>
        <w:rPr>
          <w:color w:val="000000" w:themeColor="text1"/>
          <w:spacing w:val="-6"/>
          <w:highlight w:val="none"/>
          <w14:textFill>
            <w14:solidFill>
              <w14:schemeClr w14:val="tx1"/>
            </w14:solidFill>
          </w14:textFill>
        </w:rPr>
        <w:t>期。</w:t>
      </w:r>
    </w:p>
    <w:p>
      <w:pPr>
        <w:pStyle w:val="19"/>
        <w:numPr>
          <w:ilvl w:val="1"/>
          <w:numId w:val="18"/>
        </w:numPr>
        <w:shd w:val="clear"/>
        <w:tabs>
          <w:tab w:val="left" w:pos="1800"/>
        </w:tabs>
        <w:spacing w:line="360" w:lineRule="auto"/>
        <w:ind w:left="780" w:right="777" w:firstLine="48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投标人同意延长的，其投标保证金的有效期也相应延长，但不得要求</w:t>
      </w:r>
      <w:r>
        <w:rPr>
          <w:color w:val="000000" w:themeColor="text1"/>
          <w:spacing w:val="-4"/>
          <w:sz w:val="24"/>
          <w:highlight w:val="none"/>
          <w14:textFill>
            <w14:solidFill>
              <w14:schemeClr w14:val="tx1"/>
            </w14:solidFill>
          </w14:textFill>
        </w:rPr>
        <w:t>或被允许修改或撤销其投标文件；投标人拒绝延长的，其投标文件在原投标有效</w:t>
      </w:r>
      <w:r>
        <w:rPr>
          <w:color w:val="000000" w:themeColor="text1"/>
          <w:spacing w:val="-2"/>
          <w:sz w:val="24"/>
          <w:highlight w:val="none"/>
          <w14:textFill>
            <w14:solidFill>
              <w14:schemeClr w14:val="tx1"/>
            </w14:solidFill>
          </w14:textFill>
        </w:rPr>
        <w:t>期满后将不再有效，但其提交的投标保证金可予以退还。</w:t>
      </w:r>
    </w:p>
    <w:p>
      <w:pPr>
        <w:pStyle w:val="7"/>
        <w:numPr>
          <w:ilvl w:val="0"/>
          <w:numId w:val="18"/>
        </w:numPr>
        <w:shd w:val="clear"/>
        <w:tabs>
          <w:tab w:val="left" w:pos="1142"/>
        </w:tabs>
        <w:spacing w:before="2"/>
        <w:ind w:left="1022" w:hanging="362"/>
        <w:rPr>
          <w:color w:val="000000" w:themeColor="text1"/>
          <w:highlight w:val="none"/>
          <w14:textFill>
            <w14:solidFill>
              <w14:schemeClr w14:val="tx1"/>
            </w14:solidFill>
          </w14:textFill>
        </w:rPr>
      </w:pPr>
      <w:bookmarkStart w:id="42" w:name="16.投标文件的编制"/>
      <w:bookmarkEnd w:id="42"/>
      <w:r>
        <w:rPr>
          <w:color w:val="000000" w:themeColor="text1"/>
          <w:spacing w:val="-4"/>
          <w:highlight w:val="none"/>
          <w14:textFill>
            <w14:solidFill>
              <w14:schemeClr w14:val="tx1"/>
            </w14:solidFill>
          </w14:textFill>
        </w:rPr>
        <w:t>投标文件的编制</w:t>
      </w:r>
    </w:p>
    <w:p>
      <w:pPr>
        <w:pStyle w:val="19"/>
        <w:numPr>
          <w:ilvl w:val="1"/>
          <w:numId w:val="18"/>
        </w:numPr>
        <w:shd w:val="clear"/>
        <w:tabs>
          <w:tab w:val="left" w:pos="1800"/>
        </w:tabs>
        <w:spacing w:before="139" w:line="360" w:lineRule="auto"/>
        <w:ind w:left="780" w:right="865" w:firstLine="48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投标文件应在供应商客户端中进行编制，在投标文件中要求加盖印章的，除有特殊说明之外，可使用电子签章签署。</w:t>
      </w:r>
    </w:p>
    <w:p>
      <w:pPr>
        <w:pStyle w:val="19"/>
        <w:numPr>
          <w:ilvl w:val="1"/>
          <w:numId w:val="18"/>
        </w:numPr>
        <w:shd w:val="clear"/>
        <w:tabs>
          <w:tab w:val="left" w:pos="1800"/>
        </w:tabs>
        <w:spacing w:line="360" w:lineRule="auto"/>
        <w:ind w:left="780" w:right="777" w:firstLine="48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投标人在供应商客户端中按照供应商客户端中的格式要求填写响应内</w:t>
      </w:r>
      <w:r>
        <w:rPr>
          <w:color w:val="000000" w:themeColor="text1"/>
          <w:spacing w:val="-4"/>
          <w:sz w:val="24"/>
          <w:highlight w:val="none"/>
          <w14:textFill>
            <w14:solidFill>
              <w14:schemeClr w14:val="tx1"/>
            </w14:solidFill>
          </w14:textFill>
        </w:rPr>
        <w:t>容后，生成投标文件。投标人须按照招标文件的要求使用电子签章对要求加盖印</w:t>
      </w:r>
      <w:r>
        <w:rPr>
          <w:color w:val="000000" w:themeColor="text1"/>
          <w:spacing w:val="-2"/>
          <w:sz w:val="24"/>
          <w:highlight w:val="none"/>
          <w14:textFill>
            <w14:solidFill>
              <w14:schemeClr w14:val="tx1"/>
            </w14:solidFill>
          </w14:textFill>
        </w:rPr>
        <w:t>章的部分逐一进行签章。</w:t>
      </w:r>
    </w:p>
    <w:p>
      <w:pPr>
        <w:pStyle w:val="19"/>
        <w:numPr>
          <w:ilvl w:val="1"/>
          <w:numId w:val="18"/>
        </w:numPr>
        <w:shd w:val="clear"/>
        <w:tabs>
          <w:tab w:val="left" w:pos="1800"/>
        </w:tabs>
        <w:spacing w:line="360" w:lineRule="auto"/>
        <w:ind w:left="780" w:right="777" w:firstLine="48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投标人应详细阅读招标文件的全部内容。投标文件须对招标文件中的</w:t>
      </w:r>
      <w:r>
        <w:rPr>
          <w:color w:val="000000" w:themeColor="text1"/>
          <w:spacing w:val="-4"/>
          <w:sz w:val="24"/>
          <w:highlight w:val="none"/>
          <w14:textFill>
            <w14:solidFill>
              <w14:schemeClr w14:val="tx1"/>
            </w14:solidFill>
          </w14:textFill>
        </w:rPr>
        <w:t>内容作出实质性和完整的响应，如果投标文件填报的内容不详，或没有提供招标</w:t>
      </w:r>
      <w:r>
        <w:rPr>
          <w:color w:val="000000" w:themeColor="text1"/>
          <w:spacing w:val="-2"/>
          <w:sz w:val="24"/>
          <w:highlight w:val="none"/>
          <w14:textFill>
            <w14:solidFill>
              <w14:schemeClr w14:val="tx1"/>
            </w14:solidFill>
          </w14:textFill>
        </w:rPr>
        <w:t>文件中所要求的全部资料及数据，将可能</w:t>
      </w:r>
      <w:r>
        <w:rPr>
          <w:b/>
          <w:color w:val="000000" w:themeColor="text1"/>
          <w:spacing w:val="-2"/>
          <w:sz w:val="24"/>
          <w:highlight w:val="none"/>
          <w14:textFill>
            <w14:solidFill>
              <w14:schemeClr w14:val="tx1"/>
            </w14:solidFill>
          </w14:textFill>
        </w:rPr>
        <w:t>导致其投标无效</w:t>
      </w:r>
      <w:r>
        <w:rPr>
          <w:color w:val="000000" w:themeColor="text1"/>
          <w:spacing w:val="-2"/>
          <w:sz w:val="24"/>
          <w:highlight w:val="none"/>
          <w14:textFill>
            <w14:solidFill>
              <w14:schemeClr w14:val="tx1"/>
            </w14:solidFill>
          </w14:textFill>
        </w:rPr>
        <w:t>。</w:t>
      </w:r>
    </w:p>
    <w:p>
      <w:pPr>
        <w:pStyle w:val="19"/>
        <w:numPr>
          <w:ilvl w:val="1"/>
          <w:numId w:val="18"/>
        </w:numPr>
        <w:shd w:val="clear"/>
        <w:tabs>
          <w:tab w:val="left" w:pos="1800"/>
        </w:tabs>
        <w:spacing w:line="360" w:lineRule="auto"/>
        <w:ind w:left="780" w:right="777" w:firstLine="48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投标文件须严格按照本招标文件第七章规定的格式提交，并按规定的</w:t>
      </w:r>
      <w:r>
        <w:rPr>
          <w:color w:val="000000" w:themeColor="text1"/>
          <w:spacing w:val="-4"/>
          <w:sz w:val="24"/>
          <w:highlight w:val="none"/>
          <w14:textFill>
            <w14:solidFill>
              <w14:schemeClr w14:val="tx1"/>
            </w14:solidFill>
          </w14:textFill>
        </w:rPr>
        <w:t>统一格式逐项填写，不准有空项；无相应内容可填的项，应填写“无”、“未测试”、“没有相应指标”等明确的回答文字。由于编排混乱导致投标文件被误读</w:t>
      </w:r>
      <w:r>
        <w:rPr>
          <w:color w:val="000000" w:themeColor="text1"/>
          <w:spacing w:val="-2"/>
          <w:sz w:val="24"/>
          <w:highlight w:val="none"/>
          <w14:textFill>
            <w14:solidFill>
              <w14:schemeClr w14:val="tx1"/>
            </w14:solidFill>
          </w14:textFill>
        </w:rPr>
        <w:t>或查找不到，其责任由投标人承担。</w:t>
      </w:r>
    </w:p>
    <w:p>
      <w:pPr>
        <w:pStyle w:val="19"/>
        <w:numPr>
          <w:ilvl w:val="1"/>
          <w:numId w:val="18"/>
        </w:numPr>
        <w:shd w:val="clear"/>
        <w:tabs>
          <w:tab w:val="left" w:pos="1800"/>
        </w:tabs>
        <w:spacing w:line="360" w:lineRule="auto"/>
        <w:ind w:left="780" w:right="865" w:firstLine="48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开标一览表为在开标时唱标的内容，要求按格式统一填写，不得自行增减内容。</w:t>
      </w:r>
    </w:p>
    <w:p>
      <w:pPr>
        <w:pStyle w:val="19"/>
        <w:numPr>
          <w:ilvl w:val="1"/>
          <w:numId w:val="18"/>
        </w:numPr>
        <w:shd w:val="clear"/>
        <w:tabs>
          <w:tab w:val="left" w:pos="1800"/>
        </w:tabs>
        <w:spacing w:line="360" w:lineRule="auto"/>
        <w:ind w:left="780" w:right="777" w:firstLine="48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投标人须注意：为合理节约政府采购评审成本，提倡诚实信用的投标</w:t>
      </w:r>
      <w:r>
        <w:rPr>
          <w:color w:val="000000" w:themeColor="text1"/>
          <w:spacing w:val="-4"/>
          <w:sz w:val="24"/>
          <w:highlight w:val="none"/>
          <w14:textFill>
            <w14:solidFill>
              <w14:schemeClr w14:val="tx1"/>
            </w14:solidFill>
          </w14:textFill>
        </w:rPr>
        <w:t>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w:t>
      </w:r>
      <w:r>
        <w:rPr>
          <w:color w:val="000000" w:themeColor="text1"/>
          <w:spacing w:val="-7"/>
          <w:sz w:val="24"/>
          <w:highlight w:val="none"/>
          <w14:textFill>
            <w14:solidFill>
              <w14:schemeClr w14:val="tx1"/>
            </w14:solidFill>
          </w14:textFill>
        </w:rPr>
        <w:t>可能属于被投标人在偏离表中遗漏披露的事项，一旦在评审中被发现存在偏离或</w:t>
      </w:r>
      <w:r>
        <w:rPr>
          <w:color w:val="000000" w:themeColor="text1"/>
          <w:spacing w:val="-2"/>
          <w:sz w:val="24"/>
          <w:highlight w:val="none"/>
          <w14:textFill>
            <w14:solidFill>
              <w14:schemeClr w14:val="tx1"/>
            </w14:solidFill>
          </w14:textFill>
        </w:rPr>
        <w:t>被认定为属于偏离，则评标委员会有权视具体情形评审时按</w:t>
      </w:r>
      <w:r>
        <w:rPr>
          <w:b/>
          <w:color w:val="000000" w:themeColor="text1"/>
          <w:spacing w:val="-2"/>
          <w:sz w:val="24"/>
          <w:highlight w:val="none"/>
          <w14:textFill>
            <w14:solidFill>
              <w14:schemeClr w14:val="tx1"/>
            </w14:solidFill>
          </w14:textFill>
        </w:rPr>
        <w:t>无效投标</w:t>
      </w:r>
      <w:r>
        <w:rPr>
          <w:color w:val="000000" w:themeColor="text1"/>
          <w:spacing w:val="-2"/>
          <w:sz w:val="24"/>
          <w:highlight w:val="none"/>
          <w14:textFill>
            <w14:solidFill>
              <w14:schemeClr w14:val="tx1"/>
            </w14:solidFill>
          </w14:textFill>
        </w:rPr>
        <w:t>处理。</w:t>
      </w:r>
    </w:p>
    <w:p>
      <w:pPr>
        <w:pStyle w:val="19"/>
        <w:numPr>
          <w:ilvl w:val="1"/>
          <w:numId w:val="18"/>
        </w:numPr>
        <w:shd w:val="clear"/>
        <w:tabs>
          <w:tab w:val="left" w:pos="1800"/>
        </w:tabs>
        <w:spacing w:line="360" w:lineRule="auto"/>
        <w:ind w:left="780" w:right="657" w:firstLine="48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投标人必须保证投标文件所提供的全部资料真实可靠，并接受采购人、采购代理机构或评标委员会对其中任何资料进一步审查的要求。</w:t>
      </w:r>
    </w:p>
    <w:p>
      <w:pPr>
        <w:pStyle w:val="19"/>
        <w:numPr>
          <w:ilvl w:val="1"/>
          <w:numId w:val="18"/>
        </w:numPr>
        <w:shd w:val="clear"/>
        <w:tabs>
          <w:tab w:val="left" w:pos="1800"/>
        </w:tabs>
        <w:ind w:left="1800" w:hanging="540"/>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投标人在投标文件及相关文件的签订、履行、通知等事项的文件中的</w:t>
      </w:r>
    </w:p>
    <w:p>
      <w:pPr>
        <w:shd w:val="clear"/>
        <w:rPr>
          <w:color w:val="000000" w:themeColor="text1"/>
          <w:sz w:val="24"/>
          <w:highlight w:val="none"/>
          <w14:textFill>
            <w14:solidFill>
              <w14:schemeClr w14:val="tx1"/>
            </w14:solidFill>
          </w14:textFill>
        </w:rPr>
        <w:sectPr>
          <w:pgSz w:w="11910" w:h="16840"/>
          <w:pgMar w:top="1380" w:right="1020" w:bottom="1180" w:left="1020" w:header="878" w:footer="989" w:gutter="0"/>
          <w:cols w:space="720" w:num="1"/>
        </w:sectPr>
      </w:pPr>
    </w:p>
    <w:p>
      <w:pPr>
        <w:pStyle w:val="10"/>
        <w:shd w:val="clear"/>
        <w:spacing w:before="133" w:line="360" w:lineRule="auto"/>
        <w:ind w:right="681"/>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单位盖章、印章、公章等处均指与当事人全称相一致的标准公章，不得使用其他形式（如带有“专用章”等字样的印章）。不符合本条规定的按</w:t>
      </w:r>
      <w:r>
        <w:rPr>
          <w:b/>
          <w:color w:val="000000" w:themeColor="text1"/>
          <w:spacing w:val="-2"/>
          <w:highlight w:val="none"/>
          <w14:textFill>
            <w14:solidFill>
              <w14:schemeClr w14:val="tx1"/>
            </w14:solidFill>
          </w14:textFill>
        </w:rPr>
        <w:t>无效投标</w:t>
      </w:r>
      <w:r>
        <w:rPr>
          <w:color w:val="000000" w:themeColor="text1"/>
          <w:spacing w:val="-5"/>
          <w:highlight w:val="none"/>
          <w14:textFill>
            <w14:solidFill>
              <w14:schemeClr w14:val="tx1"/>
            </w14:solidFill>
          </w14:textFill>
        </w:rPr>
        <w:t>处理。</w:t>
      </w:r>
    </w:p>
    <w:p>
      <w:pPr>
        <w:pStyle w:val="19"/>
        <w:numPr>
          <w:ilvl w:val="1"/>
          <w:numId w:val="18"/>
        </w:numPr>
        <w:shd w:val="clear"/>
        <w:tabs>
          <w:tab w:val="left" w:pos="1800"/>
        </w:tabs>
        <w:ind w:left="1800" w:hanging="540"/>
        <w:jc w:val="both"/>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电子投标文件的编制</w:t>
      </w:r>
    </w:p>
    <w:p>
      <w:pPr>
        <w:pStyle w:val="19"/>
        <w:numPr>
          <w:ilvl w:val="2"/>
          <w:numId w:val="18"/>
        </w:numPr>
        <w:shd w:val="clear"/>
        <w:tabs>
          <w:tab w:val="left" w:pos="2042"/>
        </w:tabs>
        <w:spacing w:before="156" w:line="360" w:lineRule="auto"/>
        <w:ind w:right="777" w:firstLine="480"/>
        <w:jc w:val="both"/>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电子投标文件需按招标文件要求进行制作编制。投标文件制作时，</w:t>
      </w:r>
      <w:r>
        <w:rPr>
          <w:color w:val="000000" w:themeColor="text1"/>
          <w:spacing w:val="-9"/>
          <w:sz w:val="24"/>
          <w:highlight w:val="none"/>
          <w14:textFill>
            <w14:solidFill>
              <w14:schemeClr w14:val="tx1"/>
            </w14:solidFill>
          </w14:textFill>
        </w:rPr>
        <w:t>不同内容按标签提示制作导入，按照招标文件中明确的投标文件目录和格式进行</w:t>
      </w:r>
      <w:r>
        <w:rPr>
          <w:color w:val="000000" w:themeColor="text1"/>
          <w:spacing w:val="-2"/>
          <w:sz w:val="24"/>
          <w:highlight w:val="none"/>
          <w14:textFill>
            <w14:solidFill>
              <w14:schemeClr w14:val="tx1"/>
            </w14:solidFill>
          </w14:textFill>
        </w:rPr>
        <w:t>编制，保证目录清晰、内容完整；</w:t>
      </w:r>
    </w:p>
    <w:p>
      <w:pPr>
        <w:pStyle w:val="19"/>
        <w:numPr>
          <w:ilvl w:val="2"/>
          <w:numId w:val="18"/>
        </w:numPr>
        <w:shd w:val="clear"/>
        <w:tabs>
          <w:tab w:val="left" w:pos="2042"/>
        </w:tabs>
        <w:spacing w:line="360" w:lineRule="auto"/>
        <w:ind w:right="777" w:firstLine="480"/>
        <w:jc w:val="both"/>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电子招投标文件具有法律效力，与其他形式的招投标文件在内容和</w:t>
      </w:r>
      <w:r>
        <w:rPr>
          <w:color w:val="000000" w:themeColor="text1"/>
          <w:spacing w:val="-4"/>
          <w:sz w:val="24"/>
          <w:highlight w:val="none"/>
          <w14:textFill>
            <w14:solidFill>
              <w14:schemeClr w14:val="tx1"/>
            </w14:solidFill>
          </w14:textFill>
        </w:rPr>
        <w:t>格式上等同，若投标文件与招标文件要求不一致，其内容影响中标结果时，责任</w:t>
      </w:r>
      <w:r>
        <w:rPr>
          <w:color w:val="000000" w:themeColor="text1"/>
          <w:spacing w:val="-12"/>
          <w:sz w:val="24"/>
          <w:highlight w:val="none"/>
          <w14:textFill>
            <w14:solidFill>
              <w14:schemeClr w14:val="tx1"/>
            </w14:solidFill>
          </w14:textFill>
        </w:rPr>
        <w:t>由投标人自行承担。投标人递交的电子投标文件因投标人自身原因而导致无法导</w:t>
      </w:r>
      <w:r>
        <w:rPr>
          <w:color w:val="000000" w:themeColor="text1"/>
          <w:spacing w:val="-2"/>
          <w:sz w:val="24"/>
          <w:highlight w:val="none"/>
          <w14:textFill>
            <w14:solidFill>
              <w14:schemeClr w14:val="tx1"/>
            </w14:solidFill>
          </w14:textFill>
        </w:rPr>
        <w:t>入电子辅助评标系统，该投标文件视为无效投标文件，</w:t>
      </w:r>
      <w:r>
        <w:rPr>
          <w:b/>
          <w:color w:val="000000" w:themeColor="text1"/>
          <w:spacing w:val="-2"/>
          <w:sz w:val="24"/>
          <w:highlight w:val="none"/>
          <w14:textFill>
            <w14:solidFill>
              <w14:schemeClr w14:val="tx1"/>
            </w14:solidFill>
          </w14:textFill>
        </w:rPr>
        <w:t>其投标无效</w:t>
      </w:r>
      <w:r>
        <w:rPr>
          <w:color w:val="000000" w:themeColor="text1"/>
          <w:spacing w:val="-2"/>
          <w:sz w:val="24"/>
          <w:highlight w:val="none"/>
          <w14:textFill>
            <w14:solidFill>
              <w14:schemeClr w14:val="tx1"/>
            </w14:solidFill>
          </w14:textFill>
        </w:rPr>
        <w:t>。</w:t>
      </w:r>
    </w:p>
    <w:p>
      <w:pPr>
        <w:pStyle w:val="7"/>
        <w:numPr>
          <w:ilvl w:val="0"/>
          <w:numId w:val="16"/>
        </w:numPr>
        <w:shd w:val="clear"/>
        <w:spacing w:before="43" w:line="331" w:lineRule="auto"/>
        <w:ind w:left="780" w:leftChars="0" w:right="7516" w:firstLine="0" w:firstLineChars="0"/>
        <w:rPr>
          <w:color w:val="000000" w:themeColor="text1"/>
          <w:highlight w:val="none"/>
          <w14:textFill>
            <w14:solidFill>
              <w14:schemeClr w14:val="tx1"/>
            </w14:solidFill>
          </w14:textFill>
        </w:rPr>
      </w:pPr>
      <w:bookmarkStart w:id="43" w:name="（四）投标"/>
      <w:bookmarkEnd w:id="43"/>
      <w:r>
        <w:rPr>
          <w:color w:val="000000" w:themeColor="text1"/>
          <w:spacing w:val="-2"/>
          <w:highlight w:val="none"/>
          <w14:textFill>
            <w14:solidFill>
              <w14:schemeClr w14:val="tx1"/>
            </w14:solidFill>
          </w14:textFill>
        </w:rPr>
        <w:t xml:space="preserve">投标 </w:t>
      </w:r>
      <w:bookmarkStart w:id="44" w:name="17.投标保证金"/>
      <w:bookmarkEnd w:id="44"/>
    </w:p>
    <w:p>
      <w:pPr>
        <w:pStyle w:val="7"/>
        <w:numPr>
          <w:ilvl w:val="0"/>
          <w:numId w:val="0"/>
        </w:numPr>
        <w:shd w:val="clear"/>
        <w:spacing w:before="43" w:line="331" w:lineRule="auto"/>
        <w:ind w:right="7516" w:rightChars="0" w:firstLine="711" w:firstLineChars="300"/>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17.投标保证金</w:t>
      </w:r>
    </w:p>
    <w:p>
      <w:pPr>
        <w:pStyle w:val="19"/>
        <w:numPr>
          <w:ilvl w:val="1"/>
          <w:numId w:val="19"/>
        </w:numPr>
        <w:shd w:val="clear"/>
        <w:tabs>
          <w:tab w:val="left" w:pos="1800"/>
        </w:tabs>
        <w:spacing w:before="20" w:line="360" w:lineRule="auto"/>
        <w:ind w:right="657" w:firstLine="48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投标人应按照招标文件“第二章 投标人须知前附表”规定的金额及要</w:t>
      </w:r>
      <w:r>
        <w:rPr>
          <w:color w:val="000000" w:themeColor="text1"/>
          <w:spacing w:val="-16"/>
          <w:sz w:val="24"/>
          <w:highlight w:val="none"/>
          <w14:textFill>
            <w14:solidFill>
              <w14:schemeClr w14:val="tx1"/>
            </w14:solidFill>
          </w14:textFill>
        </w:rPr>
        <w:t>求提交投标保证金。投标人自愿超额缴纳投标保证金的，投标文件不做无效处理。</w:t>
      </w:r>
    </w:p>
    <w:p>
      <w:pPr>
        <w:pStyle w:val="19"/>
        <w:numPr>
          <w:ilvl w:val="1"/>
          <w:numId w:val="19"/>
        </w:numPr>
        <w:shd w:val="clear"/>
        <w:tabs>
          <w:tab w:val="left" w:pos="1800"/>
        </w:tabs>
        <w:spacing w:line="360" w:lineRule="auto"/>
        <w:ind w:right="657" w:firstLine="480"/>
        <w:jc w:val="left"/>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提交投标保证金可采用的形式：政府采购法律法规接受的支票、汇票、本票、网上银行支付或者金融机构、担保机构出具的保函等非现金形式。投标人未按照招标文件要求提交投标保证金的，其</w:t>
      </w:r>
      <w:r>
        <w:rPr>
          <w:b/>
          <w:color w:val="000000" w:themeColor="text1"/>
          <w:spacing w:val="-2"/>
          <w:sz w:val="24"/>
          <w:highlight w:val="none"/>
          <w14:textFill>
            <w14:solidFill>
              <w14:schemeClr w14:val="tx1"/>
            </w14:solidFill>
          </w14:textFill>
        </w:rPr>
        <w:t>投标无效</w:t>
      </w:r>
      <w:r>
        <w:rPr>
          <w:color w:val="000000" w:themeColor="text1"/>
          <w:spacing w:val="-2"/>
          <w:sz w:val="24"/>
          <w:highlight w:val="none"/>
          <w14:textFill>
            <w14:solidFill>
              <w14:schemeClr w14:val="tx1"/>
            </w14:solidFill>
          </w14:textFill>
        </w:rPr>
        <w:t>。投标保证金有效期同投标</w:t>
      </w:r>
      <w:r>
        <w:rPr>
          <w:color w:val="000000" w:themeColor="text1"/>
          <w:spacing w:val="-4"/>
          <w:sz w:val="24"/>
          <w:highlight w:val="none"/>
          <w14:textFill>
            <w14:solidFill>
              <w14:schemeClr w14:val="tx1"/>
            </w14:solidFill>
          </w14:textFill>
        </w:rPr>
        <w:t>有效期。</w:t>
      </w:r>
    </w:p>
    <w:p>
      <w:pPr>
        <w:pStyle w:val="19"/>
        <w:numPr>
          <w:ilvl w:val="1"/>
          <w:numId w:val="19"/>
        </w:numPr>
        <w:shd w:val="clear"/>
        <w:tabs>
          <w:tab w:val="left" w:pos="1800"/>
        </w:tabs>
        <w:spacing w:line="360" w:lineRule="auto"/>
        <w:ind w:right="685" w:firstLine="48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投标保证金到账（保函提交）截止时间同投标截止时间。以支票、汇</w:t>
      </w:r>
      <w:r>
        <w:rPr>
          <w:color w:val="000000" w:themeColor="text1"/>
          <w:spacing w:val="-1"/>
          <w:sz w:val="24"/>
          <w:highlight w:val="none"/>
          <w14:textFill>
            <w14:solidFill>
              <w14:schemeClr w14:val="tx1"/>
            </w14:solidFill>
          </w14:textFill>
        </w:rPr>
        <w:t>票、本票、网上银行支付等形式提交投标保证金的，应在投标截止时间前到账；</w:t>
      </w:r>
      <w:r>
        <w:rPr>
          <w:color w:val="000000" w:themeColor="text1"/>
          <w:spacing w:val="-9"/>
          <w:sz w:val="24"/>
          <w:highlight w:val="none"/>
          <w14:textFill>
            <w14:solidFill>
              <w14:schemeClr w14:val="tx1"/>
            </w14:solidFill>
          </w14:textFill>
        </w:rPr>
        <w:t>以金融机构、担保机构出具的保函等形式提交投标保证金的，应在投标截止时间</w:t>
      </w:r>
      <w:r>
        <w:rPr>
          <w:color w:val="000000" w:themeColor="text1"/>
          <w:spacing w:val="-10"/>
          <w:sz w:val="24"/>
          <w:highlight w:val="none"/>
          <w14:textFill>
            <w14:solidFill>
              <w14:schemeClr w14:val="tx1"/>
            </w14:solidFill>
          </w14:textFill>
        </w:rPr>
        <w:t>前将投标保证金支付原件扫描后作为投标文件的组成部分与投标文件一起上传。</w:t>
      </w:r>
      <w:r>
        <w:rPr>
          <w:color w:val="000000" w:themeColor="text1"/>
          <w:spacing w:val="-6"/>
          <w:sz w:val="24"/>
          <w:highlight w:val="none"/>
          <w14:textFill>
            <w14:solidFill>
              <w14:schemeClr w14:val="tx1"/>
            </w14:solidFill>
          </w14:textFill>
        </w:rPr>
        <w:t>由于到账时间晚于投标截止时间，或者票据错误、印鉴不清等原因导致不能到账的，其</w:t>
      </w:r>
      <w:r>
        <w:rPr>
          <w:b/>
          <w:color w:val="000000" w:themeColor="text1"/>
          <w:spacing w:val="-2"/>
          <w:w w:val="99"/>
          <w:sz w:val="24"/>
          <w:highlight w:val="none"/>
          <w14:textFill>
            <w14:solidFill>
              <w14:schemeClr w14:val="tx1"/>
            </w14:solidFill>
          </w14:textFill>
        </w:rPr>
        <w:t>投标无效</w:t>
      </w:r>
      <w:r>
        <w:rPr>
          <w:color w:val="000000" w:themeColor="text1"/>
          <w:sz w:val="24"/>
          <w:highlight w:val="none"/>
          <w14:textFill>
            <w14:solidFill>
              <w14:schemeClr w14:val="tx1"/>
            </w14:solidFill>
          </w14:textFill>
        </w:rPr>
        <w:t>。</w:t>
      </w:r>
    </w:p>
    <w:p>
      <w:pPr>
        <w:pStyle w:val="19"/>
        <w:numPr>
          <w:ilvl w:val="1"/>
          <w:numId w:val="19"/>
        </w:numPr>
        <w:shd w:val="clear"/>
        <w:tabs>
          <w:tab w:val="left" w:pos="1860"/>
        </w:tabs>
        <w:spacing w:line="360" w:lineRule="auto"/>
        <w:ind w:right="780" w:firstLine="480"/>
        <w:jc w:val="left"/>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投标人为联合体的，可以由联合体中的一方或者多方共同提交投标保证金，其提交的投标保证金对联合体各方均具有约束力。</w:t>
      </w:r>
    </w:p>
    <w:p>
      <w:pPr>
        <w:pStyle w:val="19"/>
        <w:numPr>
          <w:ilvl w:val="1"/>
          <w:numId w:val="19"/>
        </w:numPr>
        <w:shd w:val="clear"/>
        <w:tabs>
          <w:tab w:val="left" w:pos="1927"/>
        </w:tabs>
        <w:spacing w:line="360" w:lineRule="auto"/>
        <w:ind w:right="777" w:firstLine="600"/>
        <w:jc w:val="both"/>
        <w:rPr>
          <w:color w:val="000000" w:themeColor="text1"/>
          <w:sz w:val="24"/>
          <w:highlight w:val="none"/>
          <w14:textFill>
            <w14:solidFill>
              <w14:schemeClr w14:val="tx1"/>
            </w14:solidFill>
          </w14:textFill>
        </w:rPr>
      </w:pPr>
      <w:r>
        <w:rPr>
          <w:color w:val="000000" w:themeColor="text1"/>
          <w:spacing w:val="5"/>
          <w:sz w:val="24"/>
          <w:highlight w:val="none"/>
          <w14:textFill>
            <w14:solidFill>
              <w14:schemeClr w14:val="tx1"/>
            </w14:solidFill>
          </w14:textFill>
        </w:rPr>
        <w:t>采购人或者采购代理机构应当在采购活动结束后及时退还投标人的</w:t>
      </w:r>
      <w:r>
        <w:rPr>
          <w:color w:val="000000" w:themeColor="text1"/>
          <w:spacing w:val="-10"/>
          <w:sz w:val="24"/>
          <w:highlight w:val="none"/>
          <w14:textFill>
            <w14:solidFill>
              <w14:schemeClr w14:val="tx1"/>
            </w14:solidFill>
          </w14:textFill>
        </w:rPr>
        <w:t>投标保证金，采用银行保函、担保机构担保函等形式递交的投标保证金，经投标</w:t>
      </w:r>
      <w:r>
        <w:rPr>
          <w:color w:val="000000" w:themeColor="text1"/>
          <w:spacing w:val="-9"/>
          <w:sz w:val="24"/>
          <w:highlight w:val="none"/>
          <w14:textFill>
            <w14:solidFill>
              <w14:schemeClr w14:val="tx1"/>
            </w14:solidFill>
          </w14:textFill>
        </w:rPr>
        <w:t>人同意后采购人、采购代理机构可以不再退还，但因投标人自身原因导致无法及</w:t>
      </w:r>
      <w:r>
        <w:rPr>
          <w:color w:val="000000" w:themeColor="text1"/>
          <w:sz w:val="24"/>
          <w:highlight w:val="none"/>
          <w14:textFill>
            <w14:solidFill>
              <w14:schemeClr w14:val="tx1"/>
            </w14:solidFill>
          </w14:textFill>
        </w:rPr>
        <w:t>时退还的除外。未中标投标人的投标保证金应当自中标通知书发出之日起 5</w:t>
      </w:r>
      <w:r>
        <w:rPr>
          <w:color w:val="000000" w:themeColor="text1"/>
          <w:spacing w:val="-6"/>
          <w:sz w:val="24"/>
          <w:highlight w:val="none"/>
          <w14:textFill>
            <w14:solidFill>
              <w14:schemeClr w14:val="tx1"/>
            </w14:solidFill>
          </w14:textFill>
        </w:rPr>
        <w:t xml:space="preserve"> 个</w:t>
      </w:r>
    </w:p>
    <w:p>
      <w:pPr>
        <w:shd w:val="clear"/>
        <w:spacing w:line="360" w:lineRule="auto"/>
        <w:jc w:val="both"/>
        <w:rPr>
          <w:color w:val="000000" w:themeColor="text1"/>
          <w:sz w:val="24"/>
          <w:highlight w:val="none"/>
          <w14:textFill>
            <w14:solidFill>
              <w14:schemeClr w14:val="tx1"/>
            </w14:solidFill>
          </w14:textFill>
        </w:rPr>
        <w:sectPr>
          <w:pgSz w:w="11910" w:h="16840"/>
          <w:pgMar w:top="1380" w:right="1020" w:bottom="1180" w:left="1020" w:header="878" w:footer="989" w:gutter="0"/>
          <w:cols w:space="720" w:num="1"/>
        </w:sectPr>
      </w:pPr>
    </w:p>
    <w:p>
      <w:pPr>
        <w:pStyle w:val="10"/>
        <w:shd w:val="clear"/>
        <w:spacing w:before="133" w:line="360" w:lineRule="auto"/>
        <w:ind w:right="777"/>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 xml:space="preserve">工作日内退还，中标投标人的投标保证金应当自采购合同签订之日起 </w:t>
      </w:r>
      <w:r>
        <w:rPr>
          <w:color w:val="000000" w:themeColor="text1"/>
          <w:highlight w:val="none"/>
          <w14:textFill>
            <w14:solidFill>
              <w14:schemeClr w14:val="tx1"/>
            </w14:solidFill>
          </w14:textFill>
        </w:rPr>
        <w:t>5</w:t>
      </w:r>
      <w:r>
        <w:rPr>
          <w:color w:val="000000" w:themeColor="text1"/>
          <w:spacing w:val="-2"/>
          <w:highlight w:val="none"/>
          <w14:textFill>
            <w14:solidFill>
              <w14:schemeClr w14:val="tx1"/>
            </w14:solidFill>
          </w14:textFill>
        </w:rPr>
        <w:t xml:space="preserve"> 个工作日内退还。</w:t>
      </w:r>
    </w:p>
    <w:p>
      <w:pPr>
        <w:pStyle w:val="19"/>
        <w:numPr>
          <w:ilvl w:val="1"/>
          <w:numId w:val="19"/>
        </w:numPr>
        <w:shd w:val="clear"/>
        <w:tabs>
          <w:tab w:val="left" w:pos="1860"/>
        </w:tabs>
        <w:ind w:left="1860" w:hanging="600"/>
        <w:jc w:val="left"/>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投标人在投标截止时间前撤回已提交的投标文件的，自收到投标人书</w:t>
      </w:r>
    </w:p>
    <w:p>
      <w:pPr>
        <w:pStyle w:val="10"/>
        <w:shd w:val="clear"/>
        <w:spacing w:before="156" w:line="360" w:lineRule="auto"/>
        <w:ind w:right="777"/>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 xml:space="preserve">面撤回通知之日起 </w:t>
      </w:r>
      <w:r>
        <w:rPr>
          <w:color w:val="000000" w:themeColor="text1"/>
          <w:highlight w:val="none"/>
          <w14:textFill>
            <w14:solidFill>
              <w14:schemeClr w14:val="tx1"/>
            </w14:solidFill>
          </w14:textFill>
        </w:rPr>
        <w:t>5</w:t>
      </w:r>
      <w:r>
        <w:rPr>
          <w:color w:val="000000" w:themeColor="text1"/>
          <w:spacing w:val="-2"/>
          <w:highlight w:val="none"/>
          <w14:textFill>
            <w14:solidFill>
              <w14:schemeClr w14:val="tx1"/>
            </w14:solidFill>
          </w14:textFill>
        </w:rPr>
        <w:t xml:space="preserve"> 个工作日内，退还已收取的投标保证金，但因投标人自身原因导致无法及时退还的除外。</w:t>
      </w:r>
    </w:p>
    <w:p>
      <w:pPr>
        <w:pStyle w:val="19"/>
        <w:numPr>
          <w:ilvl w:val="1"/>
          <w:numId w:val="19"/>
        </w:numPr>
        <w:shd w:val="clear"/>
        <w:tabs>
          <w:tab w:val="left" w:pos="1860"/>
        </w:tabs>
        <w:spacing w:line="360" w:lineRule="auto"/>
        <w:ind w:right="777" w:firstLine="480"/>
        <w:jc w:val="left"/>
        <w:rPr>
          <w:color w:val="000000" w:themeColor="text1"/>
          <w:sz w:val="24"/>
          <w:highlight w:val="none"/>
          <w14:textFill>
            <w14:solidFill>
              <w14:schemeClr w14:val="tx1"/>
            </w14:solidFill>
          </w14:textFill>
        </w:rPr>
      </w:pPr>
      <w:r>
        <w:rPr>
          <w:color w:val="000000" w:themeColor="text1"/>
          <w:spacing w:val="-7"/>
          <w:sz w:val="24"/>
          <w:highlight w:val="none"/>
          <w14:textFill>
            <w14:solidFill>
              <w14:schemeClr w14:val="tx1"/>
            </w14:solidFill>
          </w14:textFill>
        </w:rPr>
        <w:t xml:space="preserve">终止招标项目已经收取投标保证金的，自终止采购活动后 </w:t>
      </w:r>
      <w:r>
        <w:rPr>
          <w:color w:val="000000" w:themeColor="text1"/>
          <w:sz w:val="24"/>
          <w:highlight w:val="none"/>
          <w14:textFill>
            <w14:solidFill>
              <w14:schemeClr w14:val="tx1"/>
            </w14:solidFill>
          </w14:textFill>
        </w:rPr>
        <w:t>5</w:t>
      </w:r>
      <w:r>
        <w:rPr>
          <w:color w:val="000000" w:themeColor="text1"/>
          <w:spacing w:val="-4"/>
          <w:sz w:val="24"/>
          <w:highlight w:val="none"/>
          <w14:textFill>
            <w14:solidFill>
              <w14:schemeClr w14:val="tx1"/>
            </w14:solidFill>
          </w14:textFill>
        </w:rPr>
        <w:t xml:space="preserve"> 个工作日</w:t>
      </w:r>
      <w:r>
        <w:rPr>
          <w:color w:val="000000" w:themeColor="text1"/>
          <w:spacing w:val="-2"/>
          <w:sz w:val="24"/>
          <w:highlight w:val="none"/>
          <w14:textFill>
            <w14:solidFill>
              <w14:schemeClr w14:val="tx1"/>
            </w14:solidFill>
          </w14:textFill>
        </w:rPr>
        <w:t>内退还已收取的投标保证金及其在银行产生的孳息。</w:t>
      </w:r>
    </w:p>
    <w:p>
      <w:pPr>
        <w:pStyle w:val="19"/>
        <w:numPr>
          <w:ilvl w:val="1"/>
          <w:numId w:val="19"/>
        </w:numPr>
        <w:shd w:val="clear"/>
        <w:tabs>
          <w:tab w:val="left" w:pos="1860"/>
        </w:tabs>
        <w:spacing w:line="360" w:lineRule="auto"/>
        <w:ind w:right="777" w:firstLine="480"/>
        <w:jc w:val="left"/>
        <w:rPr>
          <w:color w:val="000000" w:themeColor="text1"/>
          <w:sz w:val="24"/>
          <w:highlight w:val="none"/>
          <w14:textFill>
            <w14:solidFill>
              <w14:schemeClr w14:val="tx1"/>
            </w14:solidFill>
          </w14:textFill>
        </w:rPr>
      </w:pPr>
      <w:r>
        <w:rPr>
          <w:color w:val="000000" w:themeColor="text1"/>
          <w:spacing w:val="-12"/>
          <w:sz w:val="24"/>
          <w:highlight w:val="none"/>
          <w14:textFill>
            <w14:solidFill>
              <w14:schemeClr w14:val="tx1"/>
            </w14:solidFill>
          </w14:textFill>
        </w:rPr>
        <w:t>有下列情形之一的，采购人或采购代理机构可以不予退还投标保证金,</w:t>
      </w:r>
      <w:r>
        <w:rPr>
          <w:color w:val="000000" w:themeColor="text1"/>
          <w:spacing w:val="-2"/>
          <w:sz w:val="24"/>
          <w:highlight w:val="none"/>
          <w14:textFill>
            <w14:solidFill>
              <w14:schemeClr w14:val="tx1"/>
            </w14:solidFill>
          </w14:textFill>
        </w:rPr>
        <w:t>情节严重的将其列入不良记录名单：</w:t>
      </w:r>
    </w:p>
    <w:p>
      <w:pPr>
        <w:pStyle w:val="19"/>
        <w:numPr>
          <w:ilvl w:val="2"/>
          <w:numId w:val="19"/>
        </w:numPr>
        <w:shd w:val="clear"/>
        <w:tabs>
          <w:tab w:val="left" w:pos="2100"/>
        </w:tabs>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开标后在投标有效期内，投标人撤销其投标的；</w:t>
      </w:r>
    </w:p>
    <w:p>
      <w:pPr>
        <w:pStyle w:val="19"/>
        <w:numPr>
          <w:ilvl w:val="2"/>
          <w:numId w:val="19"/>
        </w:numPr>
        <w:shd w:val="clear"/>
        <w:tabs>
          <w:tab w:val="left" w:pos="2100"/>
        </w:tabs>
        <w:spacing w:before="156"/>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中标后无正当理由不与采购人签订合同的；</w:t>
      </w:r>
    </w:p>
    <w:p>
      <w:pPr>
        <w:pStyle w:val="19"/>
        <w:numPr>
          <w:ilvl w:val="2"/>
          <w:numId w:val="19"/>
        </w:numPr>
        <w:shd w:val="clear"/>
        <w:tabs>
          <w:tab w:val="left" w:pos="2100"/>
        </w:tabs>
        <w:spacing w:before="156"/>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中标人与采购人订立背离合同实质性内容的其他协议；</w:t>
      </w:r>
    </w:p>
    <w:p>
      <w:pPr>
        <w:pStyle w:val="19"/>
        <w:numPr>
          <w:ilvl w:val="2"/>
          <w:numId w:val="19"/>
        </w:numPr>
        <w:shd w:val="clear"/>
        <w:tabs>
          <w:tab w:val="left" w:pos="2100"/>
        </w:tabs>
        <w:spacing w:before="156" w:line="360" w:lineRule="auto"/>
        <w:ind w:left="780" w:right="781" w:firstLine="48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将中标项目转让给他人，或者在投标文件中未说明，且未经采购人同意，将中标项目分包给他人的；</w:t>
      </w:r>
    </w:p>
    <w:p>
      <w:pPr>
        <w:pStyle w:val="19"/>
        <w:numPr>
          <w:ilvl w:val="2"/>
          <w:numId w:val="19"/>
        </w:numPr>
        <w:shd w:val="clear"/>
        <w:tabs>
          <w:tab w:val="left" w:pos="2100"/>
        </w:tabs>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存在串通投标行为的；</w:t>
      </w:r>
    </w:p>
    <w:p>
      <w:pPr>
        <w:pStyle w:val="19"/>
        <w:numPr>
          <w:ilvl w:val="2"/>
          <w:numId w:val="19"/>
        </w:numPr>
        <w:shd w:val="clear"/>
        <w:tabs>
          <w:tab w:val="left" w:pos="2100"/>
        </w:tabs>
        <w:spacing w:before="156"/>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存在弄虚作假或提供虚假材料谋取中标的；</w:t>
      </w:r>
    </w:p>
    <w:p>
      <w:pPr>
        <w:pStyle w:val="19"/>
        <w:numPr>
          <w:ilvl w:val="2"/>
          <w:numId w:val="19"/>
        </w:numPr>
        <w:shd w:val="clear"/>
        <w:tabs>
          <w:tab w:val="left" w:pos="2100"/>
        </w:tabs>
        <w:spacing w:before="156"/>
        <w:jc w:val="both"/>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投标人其他未按招标文件规定和合同约定履行义务的行为。</w:t>
      </w:r>
    </w:p>
    <w:p>
      <w:pPr>
        <w:pStyle w:val="19"/>
        <w:numPr>
          <w:ilvl w:val="1"/>
          <w:numId w:val="19"/>
        </w:numPr>
        <w:shd w:val="clear"/>
        <w:tabs>
          <w:tab w:val="left" w:pos="1802"/>
        </w:tabs>
        <w:spacing w:before="156" w:line="360" w:lineRule="auto"/>
        <w:ind w:right="777" w:firstLine="480"/>
        <w:jc w:val="both"/>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如开标时投标人对本单位投标保证金缴纳情况有疑义，投标人应在开</w:t>
      </w:r>
      <w:r>
        <w:rPr>
          <w:color w:val="000000" w:themeColor="text1"/>
          <w:spacing w:val="-6"/>
          <w:sz w:val="24"/>
          <w:highlight w:val="none"/>
          <w14:textFill>
            <w14:solidFill>
              <w14:schemeClr w14:val="tx1"/>
            </w14:solidFill>
          </w14:textFill>
        </w:rPr>
        <w:t>标结束前向采购人提交书面申请核实保证金缴纳情况。由银行或保险公司核实后</w:t>
      </w:r>
      <w:r>
        <w:rPr>
          <w:color w:val="000000" w:themeColor="text1"/>
          <w:spacing w:val="-2"/>
          <w:sz w:val="24"/>
          <w:highlight w:val="none"/>
          <w14:textFill>
            <w14:solidFill>
              <w14:schemeClr w14:val="tx1"/>
            </w14:solidFill>
          </w14:textFill>
        </w:rPr>
        <w:t>出具书面材料予以答复。</w:t>
      </w:r>
    </w:p>
    <w:p>
      <w:pPr>
        <w:pStyle w:val="19"/>
        <w:numPr>
          <w:ilvl w:val="1"/>
          <w:numId w:val="19"/>
        </w:numPr>
        <w:shd w:val="clear"/>
        <w:tabs>
          <w:tab w:val="left" w:pos="1920"/>
        </w:tabs>
        <w:spacing w:line="360" w:lineRule="auto"/>
        <w:ind w:right="685" w:firstLine="480"/>
        <w:jc w:val="left"/>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为支持和促进中小企业发展，进一步发挥政府采购政策功能，鼓励投标供应商使用电子保函代替现金缴纳投标保证金，在线完成保函的申请、审核、开票、出函等环节，投标企业注意区分办理保函类型，并确认投标有效期，如采</w:t>
      </w:r>
      <w:r>
        <w:rPr>
          <w:color w:val="000000" w:themeColor="text1"/>
          <w:spacing w:val="-18"/>
          <w:sz w:val="24"/>
          <w:highlight w:val="none"/>
          <w14:textFill>
            <w14:solidFill>
              <w14:schemeClr w14:val="tx1"/>
            </w14:solidFill>
          </w14:textFill>
        </w:rPr>
        <w:t>用政采云电子保函，可登录“</w:t>
      </w:r>
      <w:r>
        <w:rPr>
          <w:rFonts w:hint="eastAsia"/>
          <w:color w:val="000000" w:themeColor="text1"/>
          <w:spacing w:val="-18"/>
          <w:sz w:val="24"/>
          <w:highlight w:val="none"/>
          <w14:textFill>
            <w14:solidFill>
              <w14:schemeClr w14:val="tx1"/>
            </w14:solidFill>
          </w14:textFill>
        </w:rPr>
        <w:t>新疆</w:t>
      </w:r>
      <w:r>
        <w:rPr>
          <w:color w:val="000000" w:themeColor="text1"/>
          <w:spacing w:val="-18"/>
          <w:sz w:val="24"/>
          <w:highlight w:val="none"/>
          <w14:textFill>
            <w14:solidFill>
              <w14:schemeClr w14:val="tx1"/>
            </w14:solidFill>
          </w14:textFill>
        </w:rPr>
        <w:t>政府采购网”</w:t>
      </w:r>
      <w:r>
        <w:rPr>
          <w:color w:val="000000" w:themeColor="text1"/>
          <w:spacing w:val="-2"/>
          <w:sz w:val="24"/>
          <w:highlight w:val="none"/>
          <w14:textFill>
            <w14:solidFill>
              <w14:schemeClr w14:val="tx1"/>
            </w14:solidFill>
          </w14:textFill>
        </w:rPr>
        <w:t>首页“政采贷｜电子保函”快捷模块查看</w:t>
      </w:r>
      <w:r>
        <w:rPr>
          <w:rFonts w:hint="eastAsia"/>
          <w:color w:val="000000" w:themeColor="text1"/>
          <w:spacing w:val="-2"/>
          <w:sz w:val="24"/>
          <w:highlight w:val="none"/>
          <w14:textFill>
            <w14:solidFill>
              <w14:schemeClr w14:val="tx1"/>
            </w14:solidFill>
          </w14:textFill>
        </w:rPr>
        <w:t>。</w:t>
      </w:r>
    </w:p>
    <w:p>
      <w:pPr>
        <w:shd w:val="clear"/>
        <w:spacing w:before="133" w:line="362" w:lineRule="auto"/>
        <w:ind w:left="780" w:right="4992" w:firstLine="480"/>
        <w:rPr>
          <w:b/>
          <w:color w:val="000000" w:themeColor="text1"/>
          <w:sz w:val="24"/>
          <w:highlight w:val="none"/>
          <w14:textFill>
            <w14:solidFill>
              <w14:schemeClr w14:val="tx1"/>
            </w14:solidFill>
          </w14:textFill>
        </w:rPr>
      </w:pPr>
      <w:bookmarkStart w:id="45" w:name="18.投标文件的加密"/>
      <w:bookmarkEnd w:id="45"/>
      <w:r>
        <w:rPr>
          <w:b/>
          <w:color w:val="000000" w:themeColor="text1"/>
          <w:spacing w:val="-2"/>
          <w:sz w:val="24"/>
          <w:highlight w:val="none"/>
          <w14:textFill>
            <w14:solidFill>
              <w14:schemeClr w14:val="tx1"/>
            </w14:solidFill>
          </w14:textFill>
        </w:rPr>
        <w:t>18.投标文件的加密</w:t>
      </w:r>
    </w:p>
    <w:p>
      <w:pPr>
        <w:pStyle w:val="19"/>
        <w:numPr>
          <w:ilvl w:val="1"/>
          <w:numId w:val="20"/>
        </w:numPr>
        <w:shd w:val="clear"/>
        <w:tabs>
          <w:tab w:val="left" w:pos="1800"/>
        </w:tabs>
        <w:spacing w:line="291" w:lineRule="exact"/>
        <w:rPr>
          <w:color w:val="000000" w:themeColor="text1"/>
          <w:sz w:val="24"/>
          <w:highlight w:val="none"/>
          <w14:textFill>
            <w14:solidFill>
              <w14:schemeClr w14:val="tx1"/>
            </w14:solidFill>
          </w14:textFill>
        </w:rPr>
      </w:pPr>
      <w:r>
        <w:rPr>
          <w:color w:val="000000" w:themeColor="text1"/>
          <w:spacing w:val="-4"/>
          <w:sz w:val="24"/>
          <w:highlight w:val="none"/>
          <w14:textFill>
            <w14:solidFill>
              <w14:schemeClr w14:val="tx1"/>
            </w14:solidFill>
          </w14:textFill>
        </w:rPr>
        <w:t xml:space="preserve">投标人在供应商客户端中生成投标文件并完成签章之后，使用 </w:t>
      </w:r>
      <w:r>
        <w:rPr>
          <w:color w:val="000000" w:themeColor="text1"/>
          <w:spacing w:val="-2"/>
          <w:sz w:val="24"/>
          <w:highlight w:val="none"/>
          <w14:textFill>
            <w14:solidFill>
              <w14:schemeClr w14:val="tx1"/>
            </w14:solidFill>
          </w14:textFill>
        </w:rPr>
        <w:t>CA</w:t>
      </w:r>
      <w:r>
        <w:rPr>
          <w:color w:val="000000" w:themeColor="text1"/>
          <w:spacing w:val="-20"/>
          <w:sz w:val="24"/>
          <w:highlight w:val="none"/>
          <w14:textFill>
            <w14:solidFill>
              <w14:schemeClr w14:val="tx1"/>
            </w14:solidFill>
          </w14:textFill>
        </w:rPr>
        <w:t xml:space="preserve"> 证书</w:t>
      </w:r>
    </w:p>
    <w:p>
      <w:pPr>
        <w:pStyle w:val="10"/>
        <w:shd w:val="clear"/>
        <w:spacing w:before="156"/>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在供应商客户端中对投标文件进行加密。</w:t>
      </w:r>
    </w:p>
    <w:p>
      <w:pPr>
        <w:pStyle w:val="19"/>
        <w:numPr>
          <w:ilvl w:val="1"/>
          <w:numId w:val="20"/>
        </w:numPr>
        <w:shd w:val="clear"/>
        <w:tabs>
          <w:tab w:val="left" w:pos="1800"/>
        </w:tabs>
        <w:spacing w:before="156" w:line="360" w:lineRule="auto"/>
        <w:ind w:left="780" w:right="865" w:firstLine="480"/>
        <w:jc w:val="both"/>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投标人应在供应商客户端中对加密的投标文件进行解密验证，以防止投标文件加密异常，在开标时无法解密。</w:t>
      </w:r>
    </w:p>
    <w:p>
      <w:pPr>
        <w:pStyle w:val="19"/>
        <w:numPr>
          <w:ilvl w:val="1"/>
          <w:numId w:val="20"/>
        </w:numPr>
        <w:shd w:val="clear"/>
        <w:tabs>
          <w:tab w:val="left" w:pos="1860"/>
        </w:tabs>
        <w:spacing w:line="360" w:lineRule="auto"/>
        <w:ind w:left="780" w:right="805" w:firstLine="480"/>
        <w:jc w:val="both"/>
        <w:rPr>
          <w:color w:val="000000" w:themeColor="text1"/>
          <w:sz w:val="24"/>
          <w:highlight w:val="none"/>
          <w14:textFill>
            <w14:solidFill>
              <w14:schemeClr w14:val="tx1"/>
            </w14:solidFill>
          </w14:textFill>
        </w:rPr>
      </w:pPr>
      <w:r>
        <w:rPr>
          <w:color w:val="000000" w:themeColor="text1"/>
          <w:spacing w:val="-4"/>
          <w:sz w:val="24"/>
          <w:highlight w:val="none"/>
          <w14:textFill>
            <w14:solidFill>
              <w14:schemeClr w14:val="tx1"/>
            </w14:solidFill>
          </w14:textFill>
        </w:rPr>
        <w:t xml:space="preserve">投标人应保证加密投标文件的 </w:t>
      </w:r>
      <w:r>
        <w:rPr>
          <w:color w:val="000000" w:themeColor="text1"/>
          <w:spacing w:val="-2"/>
          <w:sz w:val="24"/>
          <w:highlight w:val="none"/>
          <w14:textFill>
            <w14:solidFill>
              <w14:schemeClr w14:val="tx1"/>
            </w14:solidFill>
          </w14:textFill>
        </w:rPr>
        <w:t>CA</w:t>
      </w:r>
      <w:r>
        <w:rPr>
          <w:color w:val="000000" w:themeColor="text1"/>
          <w:spacing w:val="-9"/>
          <w:sz w:val="24"/>
          <w:highlight w:val="none"/>
          <w14:textFill>
            <w14:solidFill>
              <w14:schemeClr w14:val="tx1"/>
            </w14:solidFill>
          </w14:textFill>
        </w:rPr>
        <w:t xml:space="preserve"> 证书有效期在开标时间之前。若 </w:t>
      </w:r>
      <w:r>
        <w:rPr>
          <w:color w:val="000000" w:themeColor="text1"/>
          <w:spacing w:val="-2"/>
          <w:sz w:val="24"/>
          <w:highlight w:val="none"/>
          <w14:textFill>
            <w14:solidFill>
              <w14:schemeClr w14:val="tx1"/>
            </w14:solidFill>
          </w14:textFill>
        </w:rPr>
        <w:t>CA</w:t>
      </w:r>
      <w:r>
        <w:rPr>
          <w:color w:val="000000" w:themeColor="text1"/>
          <w:spacing w:val="-4"/>
          <w:sz w:val="24"/>
          <w:highlight w:val="none"/>
          <w14:textFill>
            <w14:solidFill>
              <w14:schemeClr w14:val="tx1"/>
            </w14:solidFill>
          </w14:textFill>
        </w:rPr>
        <w:t xml:space="preserve">证书有效期临近开标时间，建议投标人提前办理 </w:t>
      </w:r>
      <w:r>
        <w:rPr>
          <w:color w:val="000000" w:themeColor="text1"/>
          <w:spacing w:val="-2"/>
          <w:sz w:val="24"/>
          <w:highlight w:val="none"/>
          <w14:textFill>
            <w14:solidFill>
              <w14:schemeClr w14:val="tx1"/>
            </w14:solidFill>
          </w14:textFill>
        </w:rPr>
        <w:t>CA</w:t>
      </w:r>
      <w:r>
        <w:rPr>
          <w:color w:val="000000" w:themeColor="text1"/>
          <w:spacing w:val="-7"/>
          <w:sz w:val="24"/>
          <w:highlight w:val="none"/>
          <w14:textFill>
            <w14:solidFill>
              <w14:schemeClr w14:val="tx1"/>
            </w14:solidFill>
          </w14:textFill>
        </w:rPr>
        <w:t xml:space="preserve"> 证书续期，以免开标时无法</w:t>
      </w:r>
      <w:r>
        <w:rPr>
          <w:color w:val="000000" w:themeColor="text1"/>
          <w:spacing w:val="-2"/>
          <w:sz w:val="24"/>
          <w:highlight w:val="none"/>
          <w14:textFill>
            <w14:solidFill>
              <w14:schemeClr w14:val="tx1"/>
            </w14:solidFill>
          </w14:textFill>
        </w:rPr>
        <w:t>进行解密。</w:t>
      </w:r>
    </w:p>
    <w:p>
      <w:pPr>
        <w:pStyle w:val="19"/>
        <w:numPr>
          <w:ilvl w:val="1"/>
          <w:numId w:val="20"/>
        </w:numPr>
        <w:shd w:val="clear"/>
        <w:tabs>
          <w:tab w:val="left" w:pos="1800"/>
        </w:tabs>
        <w:jc w:val="both"/>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投标人在投标文件递交截止时间前通过</w:t>
      </w:r>
      <w:r>
        <w:rPr>
          <w:rFonts w:hint="eastAsia"/>
          <w:color w:val="000000" w:themeColor="text1"/>
          <w:spacing w:val="-2"/>
          <w:sz w:val="24"/>
          <w:highlight w:val="none"/>
          <w14:textFill>
            <w14:solidFill>
              <w14:schemeClr w14:val="tx1"/>
            </w14:solidFill>
          </w14:textFill>
        </w:rPr>
        <w:t>新疆</w:t>
      </w:r>
      <w:r>
        <w:rPr>
          <w:color w:val="000000" w:themeColor="text1"/>
          <w:spacing w:val="-2"/>
          <w:sz w:val="24"/>
          <w:highlight w:val="none"/>
          <w14:textFill>
            <w14:solidFill>
              <w14:schemeClr w14:val="tx1"/>
            </w14:solidFill>
          </w14:textFill>
        </w:rPr>
        <w:t>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"http://ccgp/" \h </w:instrText>
      </w:r>
      <w:r>
        <w:rPr>
          <w:color w:val="000000" w:themeColor="text1"/>
          <w:highlight w:val="none"/>
          <w14:textFill>
            <w14:solidFill>
              <w14:schemeClr w14:val="tx1"/>
            </w14:solidFill>
          </w14:textFill>
        </w:rPr>
        <w:fldChar w:fldCharType="separate"/>
      </w:r>
      <w:r>
        <w:rPr>
          <w:color w:val="000000" w:themeColor="text1"/>
          <w:spacing w:val="-2"/>
          <w:sz w:val="24"/>
          <w:highlight w:val="none"/>
          <w14:textFill>
            <w14:solidFill>
              <w14:schemeClr w14:val="tx1"/>
            </w14:solidFill>
          </w14:textFill>
        </w:rPr>
        <w:t>http://ccgp</w:t>
      </w:r>
      <w:r>
        <w:rPr>
          <w:color w:val="000000" w:themeColor="text1"/>
          <w:spacing w:val="-2"/>
          <w:sz w:val="24"/>
          <w:highlight w:val="none"/>
          <w14:textFill>
            <w14:solidFill>
              <w14:schemeClr w14:val="tx1"/>
            </w14:solidFill>
          </w14:textFill>
        </w:rPr>
        <w:fldChar w:fldCharType="end"/>
      </w:r>
    </w:p>
    <w:p>
      <w:pPr>
        <w:pStyle w:val="10"/>
        <w:shd w:val="clear"/>
        <w:spacing w:before="156" w:line="360" w:lineRule="auto"/>
        <w:ind w:right="777"/>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w:t>
      </w:r>
      <w:r>
        <w:rPr>
          <w:rFonts w:hint="eastAsia"/>
          <w:color w:val="000000" w:themeColor="text1"/>
          <w:spacing w:val="-4"/>
          <w:highlight w:val="none"/>
          <w14:textFill>
            <w14:solidFill>
              <w14:schemeClr w14:val="tx1"/>
            </w14:solidFill>
          </w14:textFill>
        </w:rPr>
        <w:t>xinjiang.gov.cn</w:t>
      </w:r>
      <w:r>
        <w:rPr>
          <w:color w:val="000000" w:themeColor="text1"/>
          <w:spacing w:val="-4"/>
          <w:highlight w:val="none"/>
          <w14:textFill>
            <w14:solidFill>
              <w14:schemeClr w14:val="tx1"/>
            </w14:solidFill>
          </w14:textFill>
        </w:rPr>
        <w:t xml:space="preserve">/）的”政采云登录入口”登录后，将加密电子投标文件（为. </w:t>
      </w:r>
      <w:r>
        <w:rPr>
          <w:color w:val="000000" w:themeColor="text1"/>
          <w:highlight w:val="none"/>
          <w14:textFill>
            <w14:solidFill>
              <w14:schemeClr w14:val="tx1"/>
            </w14:solidFill>
          </w14:textFill>
        </w:rPr>
        <w:t>jmbs</w:t>
      </w:r>
      <w:r>
        <w:rPr>
          <w:color w:val="000000" w:themeColor="text1"/>
          <w:spacing w:val="-9"/>
          <w:highlight w:val="none"/>
          <w14:textFill>
            <w14:solidFill>
              <w14:schemeClr w14:val="tx1"/>
            </w14:solidFill>
          </w14:textFill>
        </w:rPr>
        <w:t xml:space="preserve"> 后缀格式</w:t>
      </w:r>
      <w:r>
        <w:rPr>
          <w:color w:val="000000" w:themeColor="text1"/>
          <w:highlight w:val="none"/>
          <w14:textFill>
            <w14:solidFill>
              <w14:schemeClr w14:val="tx1"/>
            </w14:solidFill>
          </w14:textFill>
        </w:rPr>
        <w:t>）上传到对应项目的指定位置，投标人认为有必要提交的其他资</w:t>
      </w:r>
      <w:r>
        <w:rPr>
          <w:color w:val="000000" w:themeColor="text1"/>
          <w:spacing w:val="-2"/>
          <w:highlight w:val="none"/>
          <w14:textFill>
            <w14:solidFill>
              <w14:schemeClr w14:val="tx1"/>
            </w14:solidFill>
          </w14:textFill>
        </w:rPr>
        <w:t>料请于投标截止时间前一并提交。</w:t>
      </w:r>
    </w:p>
    <w:p>
      <w:pPr>
        <w:pStyle w:val="19"/>
        <w:numPr>
          <w:ilvl w:val="1"/>
          <w:numId w:val="20"/>
        </w:numPr>
        <w:shd w:val="clear"/>
        <w:tabs>
          <w:tab w:val="left" w:pos="1800"/>
        </w:tabs>
        <w:spacing w:line="360" w:lineRule="auto"/>
        <w:ind w:left="780" w:right="657"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如果投标人未按上述要求加密并上传，采购代理机构对投标文件的误</w:t>
      </w:r>
      <w:r>
        <w:rPr>
          <w:color w:val="000000" w:themeColor="text1"/>
          <w:spacing w:val="-17"/>
          <w:sz w:val="24"/>
          <w:highlight w:val="none"/>
          <w14:textFill>
            <w14:solidFill>
              <w14:schemeClr w14:val="tx1"/>
            </w14:solidFill>
          </w14:textFill>
        </w:rPr>
        <w:t>投、无法解密、传输错误等问题概不负责。对由此造成无法正常开启的投标文件，</w:t>
      </w:r>
      <w:r>
        <w:rPr>
          <w:color w:val="000000" w:themeColor="text1"/>
          <w:sz w:val="24"/>
          <w:highlight w:val="none"/>
          <w14:textFill>
            <w14:solidFill>
              <w14:schemeClr w14:val="tx1"/>
            </w14:solidFill>
          </w14:textFill>
        </w:rPr>
        <w:t>采购代理机构有权予以拒绝，并退回投标人。</w:t>
      </w:r>
    </w:p>
    <w:p>
      <w:pPr>
        <w:pStyle w:val="19"/>
        <w:numPr>
          <w:ilvl w:val="1"/>
          <w:numId w:val="20"/>
        </w:numPr>
        <w:shd w:val="clear"/>
        <w:tabs>
          <w:tab w:val="left" w:pos="1800"/>
        </w:tabs>
        <w:rPr>
          <w:color w:val="000000" w:themeColor="text1"/>
          <w:sz w:val="24"/>
          <w:highlight w:val="none"/>
          <w14:textFill>
            <w14:solidFill>
              <w14:schemeClr w14:val="tx1"/>
            </w14:solidFill>
          </w14:textFill>
        </w:rPr>
      </w:pPr>
      <w:r>
        <w:rPr>
          <w:color w:val="000000" w:themeColor="text1"/>
          <w:spacing w:val="-3"/>
          <w:sz w:val="24"/>
          <w:highlight w:val="none"/>
          <w14:textFill>
            <w14:solidFill>
              <w14:schemeClr w14:val="tx1"/>
            </w14:solidFill>
          </w14:textFill>
        </w:rPr>
        <w:t xml:space="preserve">本项目采用不见面开标，无需提供电子投标文件 </w:t>
      </w:r>
      <w:r>
        <w:rPr>
          <w:color w:val="000000" w:themeColor="text1"/>
          <w:sz w:val="24"/>
          <w:highlight w:val="none"/>
          <w14:textFill>
            <w14:solidFill>
              <w14:schemeClr w14:val="tx1"/>
            </w14:solidFill>
          </w14:textFill>
        </w:rPr>
        <w:t>U</w:t>
      </w:r>
      <w:r>
        <w:rPr>
          <w:color w:val="000000" w:themeColor="text1"/>
          <w:spacing w:val="-24"/>
          <w:sz w:val="24"/>
          <w:highlight w:val="none"/>
          <w14:textFill>
            <w14:solidFill>
              <w14:schemeClr w14:val="tx1"/>
            </w14:solidFill>
          </w14:textFill>
        </w:rPr>
        <w:t xml:space="preserve"> 盘。</w:t>
      </w:r>
    </w:p>
    <w:p>
      <w:pPr>
        <w:pStyle w:val="7"/>
        <w:numPr>
          <w:ilvl w:val="0"/>
          <w:numId w:val="21"/>
        </w:numPr>
        <w:shd w:val="clear"/>
        <w:tabs>
          <w:tab w:val="left" w:pos="1142"/>
        </w:tabs>
        <w:spacing w:before="156"/>
        <w:ind w:left="1142" w:hanging="362"/>
        <w:rPr>
          <w:color w:val="000000" w:themeColor="text1"/>
          <w:highlight w:val="none"/>
          <w14:textFill>
            <w14:solidFill>
              <w14:schemeClr w14:val="tx1"/>
            </w14:solidFill>
          </w14:textFill>
        </w:rPr>
      </w:pPr>
      <w:bookmarkStart w:id="46" w:name="19.投标文件的递交（上传）"/>
      <w:bookmarkEnd w:id="46"/>
      <w:r>
        <w:rPr>
          <w:color w:val="000000" w:themeColor="text1"/>
          <w:spacing w:val="-2"/>
          <w:highlight w:val="none"/>
          <w14:textFill>
            <w14:solidFill>
              <w14:schemeClr w14:val="tx1"/>
            </w14:solidFill>
          </w14:textFill>
        </w:rPr>
        <w:t>投标文件的递交（上传</w:t>
      </w:r>
      <w:r>
        <w:rPr>
          <w:color w:val="000000" w:themeColor="text1"/>
          <w:spacing w:val="-10"/>
          <w:highlight w:val="none"/>
          <w14:textFill>
            <w14:solidFill>
              <w14:schemeClr w14:val="tx1"/>
            </w14:solidFill>
          </w14:textFill>
        </w:rPr>
        <w:t>）</w:t>
      </w:r>
    </w:p>
    <w:p>
      <w:pPr>
        <w:pStyle w:val="19"/>
        <w:numPr>
          <w:ilvl w:val="1"/>
          <w:numId w:val="21"/>
        </w:numPr>
        <w:shd w:val="clear"/>
        <w:tabs>
          <w:tab w:val="left" w:pos="1860"/>
        </w:tabs>
        <w:spacing w:before="139" w:line="360" w:lineRule="auto"/>
        <w:ind w:right="685" w:firstLine="480"/>
        <w:rPr>
          <w:color w:val="000000" w:themeColor="text1"/>
          <w:sz w:val="24"/>
          <w:highlight w:val="none"/>
          <w14:textFill>
            <w14:solidFill>
              <w14:schemeClr w14:val="tx1"/>
            </w14:solidFill>
          </w14:textFill>
        </w:rPr>
      </w:pPr>
      <w:r>
        <w:rPr>
          <w:color w:val="000000" w:themeColor="text1"/>
          <w:spacing w:val="-3"/>
          <w:sz w:val="24"/>
          <w:highlight w:val="none"/>
          <w14:textFill>
            <w14:solidFill>
              <w14:schemeClr w14:val="tx1"/>
            </w14:solidFill>
          </w14:textFill>
        </w:rPr>
        <w:t>投标人应在“第一章 招标公告”规定的投标截止时间前递交</w:t>
      </w:r>
      <w:r>
        <w:rPr>
          <w:color w:val="000000" w:themeColor="text1"/>
          <w:sz w:val="24"/>
          <w:highlight w:val="none"/>
          <w14:textFill>
            <w14:solidFill>
              <w14:schemeClr w14:val="tx1"/>
            </w14:solidFill>
          </w14:textFill>
        </w:rPr>
        <w:t>（上传）</w:t>
      </w:r>
      <w:r>
        <w:rPr>
          <w:color w:val="000000" w:themeColor="text1"/>
          <w:spacing w:val="-2"/>
          <w:sz w:val="24"/>
          <w:highlight w:val="none"/>
          <w14:textFill>
            <w14:solidFill>
              <w14:schemeClr w14:val="tx1"/>
            </w14:solidFill>
          </w14:textFill>
        </w:rPr>
        <w:t>投标文件。</w:t>
      </w:r>
    </w:p>
    <w:p>
      <w:pPr>
        <w:pStyle w:val="19"/>
        <w:numPr>
          <w:ilvl w:val="1"/>
          <w:numId w:val="21"/>
        </w:numPr>
        <w:shd w:val="clear"/>
        <w:tabs>
          <w:tab w:val="left" w:pos="1860"/>
        </w:tabs>
        <w:ind w:left="186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投标人递交（上传）</w:t>
      </w:r>
      <w:r>
        <w:rPr>
          <w:color w:val="000000" w:themeColor="text1"/>
          <w:spacing w:val="-1"/>
          <w:sz w:val="24"/>
          <w:highlight w:val="none"/>
          <w14:textFill>
            <w14:solidFill>
              <w14:schemeClr w14:val="tx1"/>
            </w14:solidFill>
          </w14:textFill>
        </w:rPr>
        <w:t>投标文件的地点见“第一章 招标公告”。</w:t>
      </w:r>
    </w:p>
    <w:p>
      <w:pPr>
        <w:pStyle w:val="19"/>
        <w:numPr>
          <w:ilvl w:val="1"/>
          <w:numId w:val="21"/>
        </w:numPr>
        <w:shd w:val="clear"/>
        <w:tabs>
          <w:tab w:val="left" w:pos="1800"/>
        </w:tabs>
        <w:spacing w:before="156" w:line="360" w:lineRule="auto"/>
        <w:ind w:right="777" w:firstLine="48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投标人应充分评估集中同时投标带来的网络影响，尽量避开投标高峰</w:t>
      </w:r>
      <w:r>
        <w:rPr>
          <w:color w:val="000000" w:themeColor="text1"/>
          <w:spacing w:val="-4"/>
          <w:sz w:val="24"/>
          <w:highlight w:val="none"/>
          <w14:textFill>
            <w14:solidFill>
              <w14:schemeClr w14:val="tx1"/>
            </w14:solidFill>
          </w14:textFill>
        </w:rPr>
        <w:t>时间，错峰进行电子投标。投标人递交全部的投标文件后可在政采云平台（项目</w:t>
      </w:r>
      <w:r>
        <w:rPr>
          <w:color w:val="000000" w:themeColor="text1"/>
          <w:spacing w:val="-2"/>
          <w:sz w:val="24"/>
          <w:highlight w:val="none"/>
          <w14:textFill>
            <w14:solidFill>
              <w14:schemeClr w14:val="tx1"/>
            </w14:solidFill>
          </w14:textFill>
        </w:rPr>
        <w:t>采购—投标文件上传）中获取投标文件递交回执单。</w:t>
      </w:r>
    </w:p>
    <w:p>
      <w:pPr>
        <w:pStyle w:val="19"/>
        <w:numPr>
          <w:ilvl w:val="1"/>
          <w:numId w:val="21"/>
        </w:numPr>
        <w:shd w:val="clear"/>
        <w:tabs>
          <w:tab w:val="left" w:pos="1860"/>
        </w:tabs>
        <w:spacing w:line="360" w:lineRule="auto"/>
        <w:ind w:right="805" w:firstLine="48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投标人应在供应商客户端中下载未加密且完成签章的投标文件妥善保存，以便启动应急开标程序时使用。</w:t>
      </w:r>
    </w:p>
    <w:p>
      <w:pPr>
        <w:pStyle w:val="19"/>
        <w:numPr>
          <w:ilvl w:val="1"/>
          <w:numId w:val="21"/>
        </w:numPr>
        <w:shd w:val="clear"/>
        <w:tabs>
          <w:tab w:val="left" w:pos="1800"/>
        </w:tabs>
        <w:ind w:left="1800" w:hanging="540"/>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投标人所递交的投标文件不予退还。</w:t>
      </w:r>
    </w:p>
    <w:p>
      <w:pPr>
        <w:pStyle w:val="7"/>
        <w:numPr>
          <w:ilvl w:val="0"/>
          <w:numId w:val="21"/>
        </w:numPr>
        <w:shd w:val="clear"/>
        <w:tabs>
          <w:tab w:val="left" w:pos="1142"/>
        </w:tabs>
        <w:spacing w:before="158"/>
        <w:ind w:left="1142" w:hanging="362"/>
        <w:rPr>
          <w:color w:val="000000" w:themeColor="text1"/>
          <w:highlight w:val="none"/>
          <w14:textFill>
            <w14:solidFill>
              <w14:schemeClr w14:val="tx1"/>
            </w14:solidFill>
          </w14:textFill>
        </w:rPr>
      </w:pPr>
      <w:bookmarkStart w:id="47" w:name="20.拒收"/>
      <w:bookmarkEnd w:id="47"/>
      <w:r>
        <w:rPr>
          <w:color w:val="000000" w:themeColor="text1"/>
          <w:spacing w:val="-7"/>
          <w:highlight w:val="none"/>
          <w14:textFill>
            <w14:solidFill>
              <w14:schemeClr w14:val="tx1"/>
            </w14:solidFill>
          </w14:textFill>
        </w:rPr>
        <w:t>拒收</w:t>
      </w:r>
    </w:p>
    <w:p>
      <w:pPr>
        <w:pStyle w:val="19"/>
        <w:numPr>
          <w:ilvl w:val="1"/>
          <w:numId w:val="21"/>
        </w:numPr>
        <w:shd w:val="clear"/>
        <w:tabs>
          <w:tab w:val="left" w:pos="1860"/>
        </w:tabs>
        <w:spacing w:before="137" w:line="360" w:lineRule="auto"/>
        <w:ind w:right="805" w:firstLine="48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超过投标文件提交截止时间或者不按照本章要求加密的投标文件，交易系统应当拒收。</w:t>
      </w:r>
    </w:p>
    <w:p>
      <w:pPr>
        <w:shd w:val="clear"/>
        <w:spacing w:line="360" w:lineRule="auto"/>
        <w:rPr>
          <w:color w:val="000000" w:themeColor="text1"/>
          <w:sz w:val="24"/>
          <w:highlight w:val="none"/>
          <w14:textFill>
            <w14:solidFill>
              <w14:schemeClr w14:val="tx1"/>
            </w14:solidFill>
          </w14:textFill>
        </w:rPr>
        <w:sectPr>
          <w:pgSz w:w="11910" w:h="16840"/>
          <w:pgMar w:top="1380" w:right="1020" w:bottom="1180" w:left="1020" w:header="878" w:footer="989" w:gutter="0"/>
          <w:cols w:space="720" w:num="1"/>
        </w:sectPr>
      </w:pPr>
    </w:p>
    <w:p>
      <w:pPr>
        <w:pStyle w:val="7"/>
        <w:numPr>
          <w:ilvl w:val="0"/>
          <w:numId w:val="21"/>
        </w:numPr>
        <w:shd w:val="clear"/>
        <w:tabs>
          <w:tab w:val="left" w:pos="1142"/>
        </w:tabs>
        <w:spacing w:before="56"/>
        <w:ind w:left="1142" w:hanging="362"/>
        <w:rPr>
          <w:color w:val="000000" w:themeColor="text1"/>
          <w:highlight w:val="none"/>
          <w14:textFill>
            <w14:solidFill>
              <w14:schemeClr w14:val="tx1"/>
            </w14:solidFill>
          </w14:textFill>
        </w:rPr>
      </w:pPr>
      <w:bookmarkStart w:id="48" w:name="21.投标文件的修改与撤回"/>
      <w:bookmarkEnd w:id="48"/>
      <w:r>
        <w:rPr>
          <w:color w:val="000000" w:themeColor="text1"/>
          <w:spacing w:val="-3"/>
          <w:highlight w:val="none"/>
          <w14:textFill>
            <w14:solidFill>
              <w14:schemeClr w14:val="tx1"/>
            </w14:solidFill>
          </w14:textFill>
        </w:rPr>
        <w:t>投标文件的修改与撤回</w:t>
      </w:r>
    </w:p>
    <w:p>
      <w:pPr>
        <w:pStyle w:val="19"/>
        <w:numPr>
          <w:ilvl w:val="1"/>
          <w:numId w:val="21"/>
        </w:numPr>
        <w:shd w:val="clear"/>
        <w:tabs>
          <w:tab w:val="left" w:pos="1800"/>
        </w:tabs>
        <w:spacing w:before="137" w:line="360" w:lineRule="auto"/>
        <w:ind w:right="777" w:firstLine="480"/>
        <w:rPr>
          <w:color w:val="000000" w:themeColor="text1"/>
          <w:sz w:val="24"/>
          <w:highlight w:val="none"/>
          <w14:textFill>
            <w14:solidFill>
              <w14:schemeClr w14:val="tx1"/>
            </w14:solidFill>
          </w14:textFill>
        </w:rPr>
      </w:pPr>
      <w:r>
        <w:rPr>
          <w:color w:val="000000" w:themeColor="text1"/>
          <w:spacing w:val="-3"/>
          <w:sz w:val="24"/>
          <w:highlight w:val="none"/>
          <w14:textFill>
            <w14:solidFill>
              <w14:schemeClr w14:val="tx1"/>
            </w14:solidFill>
          </w14:textFill>
        </w:rPr>
        <w:t>投标人在“第一章 招标公告”规定的投标文件递交截止时间之前，可</w:t>
      </w:r>
      <w:r>
        <w:rPr>
          <w:color w:val="000000" w:themeColor="text1"/>
          <w:spacing w:val="-6"/>
          <w:sz w:val="24"/>
          <w:highlight w:val="none"/>
          <w14:textFill>
            <w14:solidFill>
              <w14:schemeClr w14:val="tx1"/>
            </w14:solidFill>
          </w14:textFill>
        </w:rPr>
        <w:t>在</w:t>
      </w:r>
      <w:r>
        <w:rPr>
          <w:rFonts w:hint="eastAsia"/>
          <w:color w:val="000000" w:themeColor="text1"/>
          <w:spacing w:val="-6"/>
          <w:sz w:val="24"/>
          <w:highlight w:val="none"/>
          <w14:textFill>
            <w14:solidFill>
              <w14:schemeClr w14:val="tx1"/>
            </w14:solidFill>
          </w14:textFill>
        </w:rPr>
        <w:t>新疆</w:t>
      </w:r>
      <w:r>
        <w:rPr>
          <w:color w:val="000000" w:themeColor="text1"/>
          <w:spacing w:val="-6"/>
          <w:sz w:val="24"/>
          <w:highlight w:val="none"/>
          <w14:textFill>
            <w14:solidFill>
              <w14:schemeClr w14:val="tx1"/>
            </w14:solidFill>
          </w14:textFill>
        </w:rPr>
        <w:t>政府采购电子交易云平台上随时撤回已上传的电子投标文件，将修改好的</w:t>
      </w:r>
      <w:r>
        <w:rPr>
          <w:color w:val="000000" w:themeColor="text1"/>
          <w:spacing w:val="-2"/>
          <w:sz w:val="24"/>
          <w:highlight w:val="none"/>
          <w14:textFill>
            <w14:solidFill>
              <w14:schemeClr w14:val="tx1"/>
            </w14:solidFill>
          </w14:textFill>
        </w:rPr>
        <w:t>电子投标文件在投标文件递交截止时间前重新上传到</w:t>
      </w:r>
      <w:r>
        <w:rPr>
          <w:rFonts w:hint="eastAsia"/>
          <w:color w:val="000000" w:themeColor="text1"/>
          <w:spacing w:val="-2"/>
          <w:sz w:val="24"/>
          <w:highlight w:val="none"/>
          <w14:textFill>
            <w14:solidFill>
              <w14:schemeClr w14:val="tx1"/>
            </w14:solidFill>
          </w14:textFill>
        </w:rPr>
        <w:t>新疆</w:t>
      </w:r>
      <w:r>
        <w:rPr>
          <w:color w:val="000000" w:themeColor="text1"/>
          <w:spacing w:val="-2"/>
          <w:sz w:val="24"/>
          <w:highlight w:val="none"/>
          <w14:textFill>
            <w14:solidFill>
              <w14:schemeClr w14:val="tx1"/>
            </w14:solidFill>
          </w14:textFill>
        </w:rPr>
        <w:t>政府采购电子交易云平台的指定位置。</w:t>
      </w:r>
    </w:p>
    <w:p>
      <w:pPr>
        <w:pStyle w:val="7"/>
        <w:numPr>
          <w:ilvl w:val="0"/>
          <w:numId w:val="21"/>
        </w:numPr>
        <w:shd w:val="clear"/>
        <w:tabs>
          <w:tab w:val="left" w:pos="1142"/>
        </w:tabs>
        <w:spacing w:before="2"/>
        <w:ind w:left="1142" w:hanging="362"/>
        <w:rPr>
          <w:color w:val="000000" w:themeColor="text1"/>
          <w:highlight w:val="none"/>
          <w14:textFill>
            <w14:solidFill>
              <w14:schemeClr w14:val="tx1"/>
            </w14:solidFill>
          </w14:textFill>
        </w:rPr>
      </w:pPr>
      <w:bookmarkStart w:id="49" w:name="22.实物样品"/>
      <w:bookmarkEnd w:id="49"/>
      <w:r>
        <w:rPr>
          <w:color w:val="000000" w:themeColor="text1"/>
          <w:spacing w:val="-4"/>
          <w:highlight w:val="none"/>
          <w14:textFill>
            <w14:solidFill>
              <w14:schemeClr w14:val="tx1"/>
            </w14:solidFill>
          </w14:textFill>
        </w:rPr>
        <w:t>实物样品</w:t>
      </w:r>
    </w:p>
    <w:p>
      <w:pPr>
        <w:pStyle w:val="19"/>
        <w:numPr>
          <w:ilvl w:val="1"/>
          <w:numId w:val="21"/>
        </w:numPr>
        <w:shd w:val="clear"/>
        <w:tabs>
          <w:tab w:val="left" w:pos="1653"/>
        </w:tabs>
        <w:spacing w:before="139" w:line="360" w:lineRule="auto"/>
        <w:ind w:right="777" w:firstLine="480"/>
        <w:rPr>
          <w:color w:val="000000" w:themeColor="text1"/>
          <w:sz w:val="24"/>
          <w:highlight w:val="none"/>
          <w14:textFill>
            <w14:solidFill>
              <w14:schemeClr w14:val="tx1"/>
            </w14:solidFill>
          </w14:textFill>
        </w:rPr>
      </w:pPr>
      <w:r>
        <w:rPr>
          <w:color w:val="000000" w:themeColor="text1"/>
          <w:spacing w:val="-18"/>
          <w:sz w:val="24"/>
          <w:highlight w:val="none"/>
          <w14:textFill>
            <w14:solidFill>
              <w14:schemeClr w14:val="tx1"/>
            </w14:solidFill>
          </w14:textFill>
        </w:rPr>
        <w:t>“投标人须知前附表”要求提供样品的，样品的具体要求及评审详见“第</w:t>
      </w:r>
      <w:r>
        <w:rPr>
          <w:color w:val="000000" w:themeColor="text1"/>
          <w:sz w:val="24"/>
          <w:highlight w:val="none"/>
          <w14:textFill>
            <w14:solidFill>
              <w14:schemeClr w14:val="tx1"/>
            </w14:solidFill>
          </w14:textFill>
        </w:rPr>
        <w:t>三章 采购需求”和“第五章 评标方法及标准”。</w:t>
      </w:r>
    </w:p>
    <w:p>
      <w:pPr>
        <w:pStyle w:val="19"/>
        <w:numPr>
          <w:ilvl w:val="1"/>
          <w:numId w:val="21"/>
        </w:numPr>
        <w:shd w:val="clear"/>
        <w:tabs>
          <w:tab w:val="left" w:pos="1800"/>
        </w:tabs>
        <w:spacing w:line="360" w:lineRule="auto"/>
        <w:ind w:right="777" w:firstLine="48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样品退还：未中标的投标人应按照“投标人须知前附表”要求自行联</w:t>
      </w:r>
      <w:r>
        <w:rPr>
          <w:color w:val="000000" w:themeColor="text1"/>
          <w:spacing w:val="-4"/>
          <w:sz w:val="24"/>
          <w:highlight w:val="none"/>
          <w14:textFill>
            <w14:solidFill>
              <w14:schemeClr w14:val="tx1"/>
            </w14:solidFill>
          </w14:textFill>
        </w:rPr>
        <w:t>系采购人取回投标样品；中标人的样品由采购人进行保管、封存，并作为履约验</w:t>
      </w:r>
      <w:r>
        <w:rPr>
          <w:color w:val="000000" w:themeColor="text1"/>
          <w:spacing w:val="-2"/>
          <w:sz w:val="24"/>
          <w:highlight w:val="none"/>
          <w14:textFill>
            <w14:solidFill>
              <w14:schemeClr w14:val="tx1"/>
            </w14:solidFill>
          </w14:textFill>
        </w:rPr>
        <w:t>收的参考（招标文件另有规定的从其规定）。</w:t>
      </w:r>
    </w:p>
    <w:p>
      <w:pPr>
        <w:pStyle w:val="7"/>
        <w:numPr>
          <w:ilvl w:val="0"/>
          <w:numId w:val="21"/>
        </w:numPr>
        <w:shd w:val="clear"/>
        <w:tabs>
          <w:tab w:val="left" w:pos="1142"/>
        </w:tabs>
        <w:ind w:left="1142" w:hanging="362"/>
        <w:rPr>
          <w:color w:val="000000" w:themeColor="text1"/>
          <w:highlight w:val="none"/>
          <w14:textFill>
            <w14:solidFill>
              <w14:schemeClr w14:val="tx1"/>
            </w14:solidFill>
          </w14:textFill>
        </w:rPr>
      </w:pPr>
      <w:bookmarkStart w:id="50" w:name="23.演示"/>
      <w:bookmarkEnd w:id="50"/>
      <w:r>
        <w:rPr>
          <w:color w:val="000000" w:themeColor="text1"/>
          <w:spacing w:val="-7"/>
          <w:highlight w:val="none"/>
          <w14:textFill>
            <w14:solidFill>
              <w14:schemeClr w14:val="tx1"/>
            </w14:solidFill>
          </w14:textFill>
        </w:rPr>
        <w:t>演示</w:t>
      </w:r>
    </w:p>
    <w:p>
      <w:pPr>
        <w:pStyle w:val="19"/>
        <w:numPr>
          <w:ilvl w:val="1"/>
          <w:numId w:val="21"/>
        </w:numPr>
        <w:shd w:val="clear"/>
        <w:tabs>
          <w:tab w:val="left" w:pos="1800"/>
        </w:tabs>
        <w:spacing w:before="139"/>
        <w:ind w:left="1800" w:hanging="540"/>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要求投标人进行演示的，演示要求详见“投标人须知前附表”。</w:t>
      </w:r>
    </w:p>
    <w:p>
      <w:pPr>
        <w:pStyle w:val="19"/>
        <w:numPr>
          <w:ilvl w:val="1"/>
          <w:numId w:val="21"/>
        </w:numPr>
        <w:shd w:val="clear"/>
        <w:tabs>
          <w:tab w:val="left" w:pos="1800"/>
        </w:tabs>
        <w:spacing w:before="156"/>
        <w:ind w:left="1800" w:hanging="540"/>
        <w:rPr>
          <w:color w:val="000000" w:themeColor="text1"/>
          <w:sz w:val="24"/>
          <w:highlight w:val="none"/>
          <w14:textFill>
            <w14:solidFill>
              <w14:schemeClr w14:val="tx1"/>
            </w14:solidFill>
          </w14:textFill>
        </w:rPr>
      </w:pPr>
      <w:r>
        <w:rPr>
          <w:color w:val="000000" w:themeColor="text1"/>
          <w:spacing w:val="-4"/>
          <w:sz w:val="24"/>
          <w:highlight w:val="none"/>
          <w14:textFill>
            <w14:solidFill>
              <w14:schemeClr w14:val="tx1"/>
            </w14:solidFill>
          </w14:textFill>
        </w:rPr>
        <w:t>演示的评审详见“第三章 采购需求”和“第五章 评标方法及标准”。</w:t>
      </w:r>
    </w:p>
    <w:p>
      <w:pPr>
        <w:pStyle w:val="7"/>
        <w:shd w:val="clear"/>
        <w:spacing w:before="197" w:line="331" w:lineRule="auto"/>
        <w:ind w:right="7759"/>
        <w:rPr>
          <w:color w:val="000000" w:themeColor="text1"/>
          <w:highlight w:val="none"/>
          <w14:textFill>
            <w14:solidFill>
              <w14:schemeClr w14:val="tx1"/>
            </w14:solidFill>
          </w14:textFill>
        </w:rPr>
      </w:pPr>
      <w:bookmarkStart w:id="51" w:name="（五）开标"/>
      <w:bookmarkEnd w:id="51"/>
      <w:r>
        <w:rPr>
          <w:color w:val="000000" w:themeColor="text1"/>
          <w:spacing w:val="-2"/>
          <w:highlight w:val="none"/>
          <w14:textFill>
            <w14:solidFill>
              <w14:schemeClr w14:val="tx1"/>
            </w14:solidFill>
          </w14:textFill>
        </w:rPr>
        <w:t xml:space="preserve">（五）开标 </w:t>
      </w:r>
      <w:bookmarkStart w:id="52" w:name="24.开标会议"/>
      <w:bookmarkEnd w:id="52"/>
      <w:r>
        <w:rPr>
          <w:color w:val="000000" w:themeColor="text1"/>
          <w:spacing w:val="-2"/>
          <w:highlight w:val="none"/>
          <w14:textFill>
            <w14:solidFill>
              <w14:schemeClr w14:val="tx1"/>
            </w14:solidFill>
          </w14:textFill>
        </w:rPr>
        <w:t>24.</w:t>
      </w:r>
      <w:r>
        <w:rPr>
          <w:color w:val="000000" w:themeColor="text1"/>
          <w:spacing w:val="-5"/>
          <w:highlight w:val="none"/>
          <w14:textFill>
            <w14:solidFill>
              <w14:schemeClr w14:val="tx1"/>
            </w14:solidFill>
          </w14:textFill>
        </w:rPr>
        <w:t>开标会议</w:t>
      </w:r>
    </w:p>
    <w:p>
      <w:pPr>
        <w:pStyle w:val="19"/>
        <w:numPr>
          <w:ilvl w:val="1"/>
          <w:numId w:val="22"/>
        </w:numPr>
        <w:shd w:val="clear"/>
        <w:tabs>
          <w:tab w:val="left" w:pos="1800"/>
        </w:tabs>
        <w:spacing w:before="22" w:line="360" w:lineRule="auto"/>
        <w:ind w:right="777" w:firstLine="480"/>
        <w:jc w:val="both"/>
        <w:rPr>
          <w:color w:val="000000" w:themeColor="text1"/>
          <w:sz w:val="24"/>
          <w:highlight w:val="none"/>
          <w14:textFill>
            <w14:solidFill>
              <w14:schemeClr w14:val="tx1"/>
            </w14:solidFill>
          </w14:textFill>
        </w:rPr>
      </w:pPr>
      <w:r>
        <w:rPr>
          <w:color w:val="000000" w:themeColor="text1"/>
          <w:spacing w:val="-3"/>
          <w:sz w:val="24"/>
          <w:highlight w:val="none"/>
          <w14:textFill>
            <w14:solidFill>
              <w14:schemeClr w14:val="tx1"/>
            </w14:solidFill>
          </w14:textFill>
        </w:rPr>
        <w:t>开标会按“第一章 招标公告”规定的开标时间和地点准时举行，采购</w:t>
      </w:r>
      <w:r>
        <w:rPr>
          <w:color w:val="000000" w:themeColor="text1"/>
          <w:spacing w:val="-4"/>
          <w:sz w:val="24"/>
          <w:highlight w:val="none"/>
          <w14:textFill>
            <w14:solidFill>
              <w14:schemeClr w14:val="tx1"/>
            </w14:solidFill>
          </w14:textFill>
        </w:rPr>
        <w:t>人、采购代理机构邀请所有投标人准时参加开标会。投标人应按照招标文件的要</w:t>
      </w:r>
      <w:r>
        <w:rPr>
          <w:color w:val="000000" w:themeColor="text1"/>
          <w:spacing w:val="-2"/>
          <w:sz w:val="24"/>
          <w:highlight w:val="none"/>
          <w14:textFill>
            <w14:solidFill>
              <w14:schemeClr w14:val="tx1"/>
            </w14:solidFill>
          </w14:textFill>
        </w:rPr>
        <w:t>求参与不见面开标。</w:t>
      </w:r>
    </w:p>
    <w:p>
      <w:pPr>
        <w:pStyle w:val="19"/>
        <w:numPr>
          <w:ilvl w:val="1"/>
          <w:numId w:val="22"/>
        </w:numPr>
        <w:shd w:val="clear"/>
        <w:tabs>
          <w:tab w:val="left" w:pos="1860"/>
        </w:tabs>
        <w:spacing w:line="360" w:lineRule="auto"/>
        <w:ind w:right="777" w:firstLine="480"/>
        <w:jc w:val="both"/>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采购代理机构按照招标文件规定的时间、地点主持开标。采购人在规</w:t>
      </w:r>
      <w:r>
        <w:rPr>
          <w:color w:val="000000" w:themeColor="text1"/>
          <w:spacing w:val="-4"/>
          <w:sz w:val="24"/>
          <w:highlight w:val="none"/>
          <w14:textFill>
            <w14:solidFill>
              <w14:schemeClr w14:val="tx1"/>
            </w14:solidFill>
          </w14:textFill>
        </w:rPr>
        <w:t>定的投标文件递交截止时间（开标时间）和地点进行不见面远程开标。投标人的</w:t>
      </w:r>
      <w:r>
        <w:rPr>
          <w:color w:val="000000" w:themeColor="text1"/>
          <w:spacing w:val="-7"/>
          <w:sz w:val="24"/>
          <w:highlight w:val="none"/>
          <w14:textFill>
            <w14:solidFill>
              <w14:schemeClr w14:val="tx1"/>
            </w14:solidFill>
          </w14:textFill>
        </w:rPr>
        <w:t>法定代表人或其委托代理人无需到达开标现场，仅需在任意地点通过</w:t>
      </w:r>
      <w:r>
        <w:rPr>
          <w:rFonts w:hint="eastAsia"/>
          <w:color w:val="000000" w:themeColor="text1"/>
          <w:spacing w:val="-7"/>
          <w:sz w:val="24"/>
          <w:highlight w:val="none"/>
          <w14:textFill>
            <w14:solidFill>
              <w14:schemeClr w14:val="tx1"/>
            </w14:solidFill>
          </w14:textFill>
        </w:rPr>
        <w:t>新疆</w:t>
      </w:r>
      <w:r>
        <w:rPr>
          <w:color w:val="000000" w:themeColor="text1"/>
          <w:spacing w:val="-7"/>
          <w:sz w:val="24"/>
          <w:highlight w:val="none"/>
          <w14:textFill>
            <w14:solidFill>
              <w14:schemeClr w14:val="tx1"/>
            </w14:solidFill>
          </w14:textFill>
        </w:rPr>
        <w:t>政府采</w:t>
      </w:r>
      <w:r>
        <w:rPr>
          <w:color w:val="000000" w:themeColor="text1"/>
          <w:spacing w:val="-4"/>
          <w:sz w:val="24"/>
          <w:highlight w:val="none"/>
          <w14:textFill>
            <w14:solidFill>
              <w14:schemeClr w14:val="tx1"/>
            </w14:solidFill>
          </w14:textFill>
        </w:rPr>
        <w:t>购电子交易云平台（网址：https://</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"http://www.zcygov.cn/" \h </w:instrText>
      </w:r>
      <w:r>
        <w:rPr>
          <w:color w:val="000000" w:themeColor="text1"/>
          <w:highlight w:val="none"/>
          <w14:textFill>
            <w14:solidFill>
              <w14:schemeClr w14:val="tx1"/>
            </w14:solidFill>
          </w14:textFill>
        </w:rPr>
        <w:fldChar w:fldCharType="separate"/>
      </w:r>
      <w:r>
        <w:rPr>
          <w:color w:val="000000" w:themeColor="text1"/>
          <w:spacing w:val="-4"/>
          <w:sz w:val="24"/>
          <w:highlight w:val="none"/>
          <w14:textFill>
            <w14:solidFill>
              <w14:schemeClr w14:val="tx1"/>
            </w14:solidFill>
          </w14:textFill>
        </w:rPr>
        <w:t>www.zcygov.cn/</w:t>
      </w:r>
      <w:r>
        <w:rPr>
          <w:color w:val="000000" w:themeColor="text1"/>
          <w:spacing w:val="-4"/>
          <w:sz w:val="24"/>
          <w:highlight w:val="none"/>
          <w14:textFill>
            <w14:solidFill>
              <w14:schemeClr w14:val="tx1"/>
            </w14:solidFill>
          </w14:textFill>
        </w:rPr>
        <w:fldChar w:fldCharType="end"/>
      </w:r>
      <w:r>
        <w:rPr>
          <w:color w:val="000000" w:themeColor="text1"/>
          <w:spacing w:val="-4"/>
          <w:sz w:val="24"/>
          <w:highlight w:val="none"/>
          <w14:textFill>
            <w14:solidFill>
              <w14:schemeClr w14:val="tx1"/>
            </w14:solidFill>
          </w14:textFill>
        </w:rPr>
        <w:t>）的“政采云登录入口”登</w:t>
      </w:r>
      <w:r>
        <w:rPr>
          <w:color w:val="000000" w:themeColor="text1"/>
          <w:spacing w:val="-3"/>
          <w:sz w:val="24"/>
          <w:highlight w:val="none"/>
          <w14:textFill>
            <w14:solidFill>
              <w14:schemeClr w14:val="tx1"/>
            </w14:solidFill>
          </w14:textFill>
        </w:rPr>
        <w:t xml:space="preserve">录后，进入“政采云远程开标大厅”参加开标会议，并使用 </w:t>
      </w:r>
      <w:r>
        <w:rPr>
          <w:color w:val="000000" w:themeColor="text1"/>
          <w:spacing w:val="-2"/>
          <w:sz w:val="24"/>
          <w:highlight w:val="none"/>
          <w14:textFill>
            <w14:solidFill>
              <w14:schemeClr w14:val="tx1"/>
            </w14:solidFill>
          </w14:textFill>
        </w:rPr>
        <w:t>CA</w:t>
      </w:r>
      <w:r>
        <w:rPr>
          <w:color w:val="000000" w:themeColor="text1"/>
          <w:spacing w:val="-7"/>
          <w:sz w:val="24"/>
          <w:highlight w:val="none"/>
          <w14:textFill>
            <w14:solidFill>
              <w14:schemeClr w14:val="tx1"/>
            </w14:solidFill>
          </w14:textFill>
        </w:rPr>
        <w:t xml:space="preserve"> 密钥完成远程解</w:t>
      </w:r>
      <w:r>
        <w:rPr>
          <w:color w:val="000000" w:themeColor="text1"/>
          <w:spacing w:val="-2"/>
          <w:sz w:val="24"/>
          <w:highlight w:val="none"/>
          <w14:textFill>
            <w14:solidFill>
              <w14:schemeClr w14:val="tx1"/>
            </w14:solidFill>
          </w14:textFill>
        </w:rPr>
        <w:t>密、提疑澄清、开标唱标、结果公布等交互环节。</w:t>
      </w:r>
    </w:p>
    <w:p>
      <w:pPr>
        <w:pStyle w:val="19"/>
        <w:numPr>
          <w:ilvl w:val="1"/>
          <w:numId w:val="22"/>
        </w:numPr>
        <w:shd w:val="clear"/>
        <w:tabs>
          <w:tab w:val="left" w:pos="1800"/>
        </w:tabs>
        <w:spacing w:line="360" w:lineRule="auto"/>
        <w:ind w:right="777" w:firstLine="48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开标过程将宣布投标人名称、投标价格和招标文件规定的需要宣布的</w:t>
      </w:r>
      <w:r>
        <w:rPr>
          <w:color w:val="000000" w:themeColor="text1"/>
          <w:spacing w:val="-4"/>
          <w:sz w:val="24"/>
          <w:highlight w:val="none"/>
          <w14:textFill>
            <w14:solidFill>
              <w14:schemeClr w14:val="tx1"/>
            </w14:solidFill>
          </w14:textFill>
        </w:rPr>
        <w:t>其他内容并进行记录，并由参加开标的各投标人确认。投标人未在规定时间内提</w:t>
      </w:r>
      <w:r>
        <w:rPr>
          <w:color w:val="000000" w:themeColor="text1"/>
          <w:spacing w:val="-2"/>
          <w:sz w:val="24"/>
          <w:highlight w:val="none"/>
          <w14:textFill>
            <w14:solidFill>
              <w14:schemeClr w14:val="tx1"/>
            </w14:solidFill>
          </w14:textFill>
        </w:rPr>
        <w:t>出疑义或确认一览表的，视同认可开标结果。</w:t>
      </w:r>
    </w:p>
    <w:p>
      <w:pPr>
        <w:pStyle w:val="7"/>
        <w:numPr>
          <w:ilvl w:val="0"/>
          <w:numId w:val="23"/>
        </w:numPr>
        <w:shd w:val="clear"/>
        <w:tabs>
          <w:tab w:val="left" w:pos="1142"/>
        </w:tabs>
        <w:spacing w:before="3"/>
        <w:ind w:left="1142" w:hanging="362"/>
        <w:rPr>
          <w:color w:val="000000" w:themeColor="text1"/>
          <w:highlight w:val="none"/>
          <w14:textFill>
            <w14:solidFill>
              <w14:schemeClr w14:val="tx1"/>
            </w14:solidFill>
          </w14:textFill>
        </w:rPr>
      </w:pPr>
      <w:bookmarkStart w:id="53" w:name="25.开标程序"/>
      <w:bookmarkEnd w:id="53"/>
      <w:r>
        <w:rPr>
          <w:color w:val="000000" w:themeColor="text1"/>
          <w:spacing w:val="-4"/>
          <w:highlight w:val="none"/>
          <w14:textFill>
            <w14:solidFill>
              <w14:schemeClr w14:val="tx1"/>
            </w14:solidFill>
          </w14:textFill>
        </w:rPr>
        <w:t>开标程序</w:t>
      </w:r>
    </w:p>
    <w:p>
      <w:pPr>
        <w:pStyle w:val="19"/>
        <w:numPr>
          <w:ilvl w:val="1"/>
          <w:numId w:val="23"/>
        </w:numPr>
        <w:shd w:val="clear"/>
        <w:tabs>
          <w:tab w:val="left" w:pos="1860"/>
        </w:tabs>
        <w:spacing w:before="137"/>
        <w:rPr>
          <w:color w:val="000000" w:themeColor="text1"/>
          <w:sz w:val="24"/>
          <w:highlight w:val="none"/>
          <w14:textFill>
            <w14:solidFill>
              <w14:schemeClr w14:val="tx1"/>
            </w14:solidFill>
          </w14:textFill>
        </w:rPr>
      </w:pPr>
      <w:r>
        <w:rPr>
          <w:color w:val="000000" w:themeColor="text1"/>
          <w:spacing w:val="-10"/>
          <w:sz w:val="24"/>
          <w:highlight w:val="none"/>
          <w14:textFill>
            <w14:solidFill>
              <w14:schemeClr w14:val="tx1"/>
            </w14:solidFill>
          </w14:textFill>
        </w:rPr>
        <w:t xml:space="preserve">投标人不足 </w:t>
      </w:r>
      <w:r>
        <w:rPr>
          <w:color w:val="000000" w:themeColor="text1"/>
          <w:sz w:val="24"/>
          <w:highlight w:val="none"/>
          <w14:textFill>
            <w14:solidFill>
              <w14:schemeClr w14:val="tx1"/>
            </w14:solidFill>
          </w14:textFill>
        </w:rPr>
        <w:t>3</w:t>
      </w:r>
      <w:r>
        <w:rPr>
          <w:color w:val="000000" w:themeColor="text1"/>
          <w:spacing w:val="-9"/>
          <w:sz w:val="24"/>
          <w:highlight w:val="none"/>
          <w14:textFill>
            <w14:solidFill>
              <w14:schemeClr w14:val="tx1"/>
            </w14:solidFill>
          </w14:textFill>
        </w:rPr>
        <w:t xml:space="preserve"> 家的，不得开标。</w:t>
      </w:r>
    </w:p>
    <w:p>
      <w:pPr>
        <w:shd w:val="clear"/>
        <w:rPr>
          <w:color w:val="000000" w:themeColor="text1"/>
          <w:sz w:val="24"/>
          <w:highlight w:val="none"/>
          <w14:textFill>
            <w14:solidFill>
              <w14:schemeClr w14:val="tx1"/>
            </w14:solidFill>
          </w14:textFill>
        </w:rPr>
        <w:sectPr>
          <w:pgSz w:w="11910" w:h="16840"/>
          <w:pgMar w:top="1380" w:right="1020" w:bottom="1180" w:left="1020" w:header="878" w:footer="989" w:gutter="0"/>
          <w:cols w:space="720" w:num="1"/>
        </w:sectPr>
      </w:pPr>
    </w:p>
    <w:p>
      <w:pPr>
        <w:pStyle w:val="19"/>
        <w:numPr>
          <w:ilvl w:val="1"/>
          <w:numId w:val="23"/>
        </w:numPr>
        <w:shd w:val="clear"/>
        <w:tabs>
          <w:tab w:val="left" w:pos="1860"/>
        </w:tabs>
        <w:spacing w:before="133"/>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评标委员会成员不得参加开标活动。</w:t>
      </w:r>
    </w:p>
    <w:p>
      <w:pPr>
        <w:pStyle w:val="19"/>
        <w:numPr>
          <w:ilvl w:val="1"/>
          <w:numId w:val="23"/>
        </w:numPr>
        <w:shd w:val="clear"/>
        <w:tabs>
          <w:tab w:val="left" w:pos="1800"/>
        </w:tabs>
        <w:spacing w:before="156"/>
        <w:ind w:left="1800" w:hanging="540"/>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主持人按下列程序进行开标：</w:t>
      </w:r>
    </w:p>
    <w:p>
      <w:pPr>
        <w:pStyle w:val="19"/>
        <w:numPr>
          <w:ilvl w:val="0"/>
          <w:numId w:val="24"/>
        </w:numPr>
        <w:shd w:val="clear"/>
        <w:tabs>
          <w:tab w:val="left" w:pos="1778"/>
        </w:tabs>
        <w:spacing w:before="156"/>
        <w:ind w:left="1778" w:hanging="600"/>
        <w:jc w:val="left"/>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宣布开标会纪律；</w:t>
      </w:r>
    </w:p>
    <w:p>
      <w:pPr>
        <w:pStyle w:val="19"/>
        <w:numPr>
          <w:ilvl w:val="0"/>
          <w:numId w:val="24"/>
        </w:numPr>
        <w:shd w:val="clear"/>
        <w:tabs>
          <w:tab w:val="left" w:pos="1778"/>
        </w:tabs>
        <w:spacing w:before="156"/>
        <w:ind w:left="1778" w:hanging="600"/>
        <w:jc w:val="left"/>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介绍参加开标会的单位和人员；</w:t>
      </w:r>
    </w:p>
    <w:p>
      <w:pPr>
        <w:pStyle w:val="19"/>
        <w:numPr>
          <w:ilvl w:val="0"/>
          <w:numId w:val="24"/>
        </w:numPr>
        <w:shd w:val="clear"/>
        <w:tabs>
          <w:tab w:val="left" w:pos="1778"/>
        </w:tabs>
        <w:spacing w:before="156" w:line="360" w:lineRule="auto"/>
        <w:ind w:left="780" w:right="885" w:firstLine="398"/>
        <w:jc w:val="left"/>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发起投标文件解密。投标人应在“投标人须知前附表”规定的时间内</w:t>
      </w:r>
      <w:r>
        <w:rPr>
          <w:color w:val="000000" w:themeColor="text1"/>
          <w:spacing w:val="-3"/>
          <w:sz w:val="24"/>
          <w:highlight w:val="none"/>
          <w14:textFill>
            <w14:solidFill>
              <w14:schemeClr w14:val="tx1"/>
            </w14:solidFill>
          </w14:textFill>
        </w:rPr>
        <w:t xml:space="preserve">使用加密投标文件的 </w:t>
      </w:r>
      <w:r>
        <w:rPr>
          <w:color w:val="000000" w:themeColor="text1"/>
          <w:sz w:val="24"/>
          <w:highlight w:val="none"/>
          <w14:textFill>
            <w14:solidFill>
              <w14:schemeClr w14:val="tx1"/>
            </w14:solidFill>
          </w14:textFill>
        </w:rPr>
        <w:t>CA</w:t>
      </w:r>
      <w:r>
        <w:rPr>
          <w:color w:val="000000" w:themeColor="text1"/>
          <w:spacing w:val="-5"/>
          <w:sz w:val="24"/>
          <w:highlight w:val="none"/>
          <w14:textFill>
            <w14:solidFill>
              <w14:schemeClr w14:val="tx1"/>
            </w14:solidFill>
          </w14:textFill>
        </w:rPr>
        <w:t xml:space="preserve"> 证书在系统中完成投标文件的解密；</w:t>
      </w:r>
    </w:p>
    <w:p>
      <w:pPr>
        <w:pStyle w:val="19"/>
        <w:numPr>
          <w:ilvl w:val="0"/>
          <w:numId w:val="24"/>
        </w:numPr>
        <w:shd w:val="clear"/>
        <w:tabs>
          <w:tab w:val="left" w:pos="1778"/>
        </w:tabs>
        <w:spacing w:line="360" w:lineRule="auto"/>
        <w:ind w:left="780" w:right="885" w:firstLine="398"/>
        <w:jc w:val="left"/>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解密完成后，系统自动显示投标人名称、投标价格和招标文件规定的需要宣布的其他内容；</w:t>
      </w:r>
    </w:p>
    <w:p>
      <w:pPr>
        <w:pStyle w:val="19"/>
        <w:numPr>
          <w:ilvl w:val="0"/>
          <w:numId w:val="24"/>
        </w:numPr>
        <w:shd w:val="clear"/>
        <w:tabs>
          <w:tab w:val="left" w:pos="1860"/>
        </w:tabs>
        <w:ind w:left="1860" w:hanging="600"/>
        <w:jc w:val="left"/>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系统自动生成开标记录表，供应商应在线对开标记录进行签署确认；</w:t>
      </w:r>
    </w:p>
    <w:p>
      <w:pPr>
        <w:pStyle w:val="19"/>
        <w:numPr>
          <w:ilvl w:val="0"/>
          <w:numId w:val="24"/>
        </w:numPr>
        <w:shd w:val="clear"/>
        <w:tabs>
          <w:tab w:val="left" w:pos="1860"/>
        </w:tabs>
        <w:spacing w:before="156" w:line="362" w:lineRule="auto"/>
        <w:ind w:left="780" w:right="6554" w:firstLine="480"/>
        <w:jc w:val="left"/>
        <w:rPr>
          <w:b/>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 xml:space="preserve">开标会结束。 </w:t>
      </w:r>
      <w:bookmarkStart w:id="54" w:name="26.开标疑义及回避情形"/>
      <w:bookmarkEnd w:id="54"/>
      <w:r>
        <w:rPr>
          <w:b/>
          <w:color w:val="000000" w:themeColor="text1"/>
          <w:spacing w:val="-2"/>
          <w:sz w:val="24"/>
          <w:highlight w:val="none"/>
          <w14:textFill>
            <w14:solidFill>
              <w14:schemeClr w14:val="tx1"/>
            </w14:solidFill>
          </w14:textFill>
        </w:rPr>
        <w:t>26.开标疑义及回避情形</w:t>
      </w:r>
    </w:p>
    <w:p>
      <w:pPr>
        <w:pStyle w:val="19"/>
        <w:numPr>
          <w:ilvl w:val="1"/>
          <w:numId w:val="25"/>
        </w:numPr>
        <w:shd w:val="clear"/>
        <w:tabs>
          <w:tab w:val="left" w:pos="1800"/>
        </w:tabs>
        <w:spacing w:line="291" w:lineRule="exact"/>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投标人代表对开标过程和开标记录有疑义，以及认为采购人、采购代</w:t>
      </w:r>
    </w:p>
    <w:p>
      <w:pPr>
        <w:pStyle w:val="10"/>
        <w:shd w:val="clear"/>
        <w:spacing w:before="156" w:line="360" w:lineRule="auto"/>
        <w:ind w:right="777"/>
        <w:jc w:val="both"/>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理机构相关工作人员有需要回避的情形的，应在开标会议中提出询问或者回避申</w:t>
      </w:r>
      <w:r>
        <w:rPr>
          <w:color w:val="000000" w:themeColor="text1"/>
          <w:spacing w:val="-4"/>
          <w:highlight w:val="none"/>
          <w14:textFill>
            <w14:solidFill>
              <w14:schemeClr w14:val="tx1"/>
            </w14:solidFill>
          </w14:textFill>
        </w:rPr>
        <w:t>请。采购人、采购代理机构对投标人授权代表提出的询问或者回避申请应当及时处理。</w:t>
      </w:r>
    </w:p>
    <w:p>
      <w:pPr>
        <w:pStyle w:val="19"/>
        <w:numPr>
          <w:ilvl w:val="1"/>
          <w:numId w:val="25"/>
        </w:numPr>
        <w:shd w:val="clear"/>
        <w:tabs>
          <w:tab w:val="left" w:pos="1800"/>
        </w:tabs>
        <w:jc w:val="both"/>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投标人未参加开标的，视同认可开标结果。</w:t>
      </w:r>
    </w:p>
    <w:p>
      <w:pPr>
        <w:pStyle w:val="7"/>
        <w:shd w:val="clear"/>
        <w:spacing w:before="196"/>
        <w:rPr>
          <w:color w:val="000000" w:themeColor="text1"/>
          <w:highlight w:val="none"/>
          <w14:textFill>
            <w14:solidFill>
              <w14:schemeClr w14:val="tx1"/>
            </w14:solidFill>
          </w14:textFill>
        </w:rPr>
      </w:pPr>
      <w:bookmarkStart w:id="55" w:name="（六）资格审查"/>
      <w:bookmarkEnd w:id="55"/>
      <w:r>
        <w:rPr>
          <w:color w:val="000000" w:themeColor="text1"/>
          <w:spacing w:val="-2"/>
          <w:highlight w:val="none"/>
          <w14:textFill>
            <w14:solidFill>
              <w14:schemeClr w14:val="tx1"/>
            </w14:solidFill>
          </w14:textFill>
        </w:rPr>
        <w:t>（六）</w:t>
      </w:r>
      <w:r>
        <w:rPr>
          <w:color w:val="000000" w:themeColor="text1"/>
          <w:spacing w:val="-4"/>
          <w:highlight w:val="none"/>
          <w14:textFill>
            <w14:solidFill>
              <w14:schemeClr w14:val="tx1"/>
            </w14:solidFill>
          </w14:textFill>
        </w:rPr>
        <w:t>资格审查</w:t>
      </w:r>
    </w:p>
    <w:p>
      <w:pPr>
        <w:pStyle w:val="19"/>
        <w:numPr>
          <w:ilvl w:val="0"/>
          <w:numId w:val="26"/>
        </w:numPr>
        <w:shd w:val="clear"/>
        <w:tabs>
          <w:tab w:val="left" w:pos="1142"/>
        </w:tabs>
        <w:spacing w:before="120"/>
        <w:ind w:left="1142" w:hanging="362"/>
        <w:rPr>
          <w:b/>
          <w:color w:val="000000" w:themeColor="text1"/>
          <w:sz w:val="24"/>
          <w:highlight w:val="none"/>
          <w14:textFill>
            <w14:solidFill>
              <w14:schemeClr w14:val="tx1"/>
            </w14:solidFill>
          </w14:textFill>
        </w:rPr>
      </w:pPr>
      <w:bookmarkStart w:id="56" w:name="27.资格审查及审查主体"/>
      <w:bookmarkEnd w:id="56"/>
      <w:r>
        <w:rPr>
          <w:b/>
          <w:color w:val="000000" w:themeColor="text1"/>
          <w:spacing w:val="-3"/>
          <w:sz w:val="24"/>
          <w:highlight w:val="none"/>
          <w14:textFill>
            <w14:solidFill>
              <w14:schemeClr w14:val="tx1"/>
            </w14:solidFill>
          </w14:textFill>
        </w:rPr>
        <w:t>资格审查及审查主体</w:t>
      </w:r>
    </w:p>
    <w:p>
      <w:pPr>
        <w:pStyle w:val="19"/>
        <w:numPr>
          <w:ilvl w:val="1"/>
          <w:numId w:val="26"/>
        </w:numPr>
        <w:shd w:val="clear"/>
        <w:tabs>
          <w:tab w:val="left" w:pos="1800"/>
        </w:tabs>
        <w:spacing w:before="140" w:line="360" w:lineRule="auto"/>
        <w:ind w:right="865" w:firstLine="48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开标结束后，采购人或者采购代理机构应当依法对投标人的资格进行</w:t>
      </w:r>
      <w:r>
        <w:rPr>
          <w:color w:val="000000" w:themeColor="text1"/>
          <w:spacing w:val="-4"/>
          <w:sz w:val="24"/>
          <w:highlight w:val="none"/>
          <w14:textFill>
            <w14:solidFill>
              <w14:schemeClr w14:val="tx1"/>
            </w14:solidFill>
          </w14:textFill>
        </w:rPr>
        <w:t>审查。</w:t>
      </w:r>
    </w:p>
    <w:p>
      <w:pPr>
        <w:pStyle w:val="19"/>
        <w:numPr>
          <w:ilvl w:val="1"/>
          <w:numId w:val="26"/>
        </w:numPr>
        <w:shd w:val="clear"/>
        <w:tabs>
          <w:tab w:val="left" w:pos="1800"/>
        </w:tabs>
        <w:ind w:left="1800"/>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资格审查按“第四章 资格审查”的规定进行。</w:t>
      </w:r>
    </w:p>
    <w:p>
      <w:pPr>
        <w:pStyle w:val="19"/>
        <w:numPr>
          <w:ilvl w:val="1"/>
          <w:numId w:val="26"/>
        </w:numPr>
        <w:shd w:val="clear"/>
        <w:tabs>
          <w:tab w:val="left" w:pos="1800"/>
        </w:tabs>
        <w:spacing w:before="156" w:line="360" w:lineRule="auto"/>
        <w:ind w:right="865" w:firstLine="48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资格审查结束后，应及时对资格审查结果进行复核，对资格审查错误进行及时纠正并记录。</w:t>
      </w:r>
    </w:p>
    <w:p>
      <w:pPr>
        <w:pStyle w:val="19"/>
        <w:numPr>
          <w:ilvl w:val="1"/>
          <w:numId w:val="26"/>
        </w:numPr>
        <w:shd w:val="clear"/>
        <w:tabs>
          <w:tab w:val="left" w:pos="1800"/>
        </w:tabs>
        <w:ind w:left="1800"/>
        <w:rPr>
          <w:color w:val="000000" w:themeColor="text1"/>
          <w:sz w:val="24"/>
          <w:highlight w:val="none"/>
          <w14:textFill>
            <w14:solidFill>
              <w14:schemeClr w14:val="tx1"/>
            </w14:solidFill>
          </w14:textFill>
        </w:rPr>
      </w:pPr>
      <w:r>
        <w:rPr>
          <w:color w:val="000000" w:themeColor="text1"/>
          <w:spacing w:val="-5"/>
          <w:sz w:val="24"/>
          <w:highlight w:val="none"/>
          <w14:textFill>
            <w14:solidFill>
              <w14:schemeClr w14:val="tx1"/>
            </w14:solidFill>
          </w14:textFill>
        </w:rPr>
        <w:t xml:space="preserve">资格审查合格投标人不足 </w:t>
      </w:r>
      <w:r>
        <w:rPr>
          <w:color w:val="000000" w:themeColor="text1"/>
          <w:sz w:val="24"/>
          <w:highlight w:val="none"/>
          <w14:textFill>
            <w14:solidFill>
              <w14:schemeClr w14:val="tx1"/>
            </w14:solidFill>
          </w14:textFill>
        </w:rPr>
        <w:t>3</w:t>
      </w:r>
      <w:r>
        <w:rPr>
          <w:color w:val="000000" w:themeColor="text1"/>
          <w:spacing w:val="-9"/>
          <w:sz w:val="24"/>
          <w:highlight w:val="none"/>
          <w14:textFill>
            <w14:solidFill>
              <w14:schemeClr w14:val="tx1"/>
            </w14:solidFill>
          </w14:textFill>
        </w:rPr>
        <w:t xml:space="preserve"> 家的，不得评标。</w:t>
      </w:r>
    </w:p>
    <w:p>
      <w:pPr>
        <w:pStyle w:val="7"/>
        <w:numPr>
          <w:ilvl w:val="0"/>
          <w:numId w:val="27"/>
        </w:numPr>
        <w:shd w:val="clear"/>
        <w:spacing w:before="196" w:line="331" w:lineRule="auto"/>
        <w:ind w:right="7516"/>
        <w:rPr>
          <w:color w:val="000000" w:themeColor="text1"/>
          <w:spacing w:val="-2"/>
          <w:highlight w:val="none"/>
          <w14:textFill>
            <w14:solidFill>
              <w14:schemeClr w14:val="tx1"/>
            </w14:solidFill>
          </w14:textFill>
        </w:rPr>
      </w:pPr>
      <w:bookmarkStart w:id="57" w:name="（七）评标"/>
      <w:bookmarkEnd w:id="57"/>
      <w:r>
        <w:rPr>
          <w:color w:val="000000" w:themeColor="text1"/>
          <w:spacing w:val="-2"/>
          <w:highlight w:val="none"/>
          <w14:textFill>
            <w14:solidFill>
              <w14:schemeClr w14:val="tx1"/>
            </w14:solidFill>
          </w14:textFill>
        </w:rPr>
        <w:t xml:space="preserve">评标 </w:t>
      </w:r>
      <w:bookmarkStart w:id="58" w:name="28.评标委员会"/>
      <w:bookmarkEnd w:id="58"/>
    </w:p>
    <w:p>
      <w:pPr>
        <w:pStyle w:val="7"/>
        <w:numPr>
          <w:ilvl w:val="0"/>
          <w:numId w:val="0"/>
        </w:numPr>
        <w:shd w:val="clear"/>
        <w:spacing w:before="196" w:line="331" w:lineRule="auto"/>
        <w:ind w:right="7516" w:rightChars="0" w:firstLine="711" w:firstLineChars="300"/>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28.评标委员会</w:t>
      </w:r>
    </w:p>
    <w:p>
      <w:pPr>
        <w:pStyle w:val="19"/>
        <w:numPr>
          <w:ilvl w:val="1"/>
          <w:numId w:val="28"/>
        </w:numPr>
        <w:shd w:val="clear"/>
        <w:tabs>
          <w:tab w:val="left" w:pos="1860"/>
        </w:tabs>
        <w:spacing w:before="23"/>
        <w:jc w:val="both"/>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评标由采购人依法组建的评标委员会负责。评标委员会由采购人代表</w:t>
      </w:r>
    </w:p>
    <w:p>
      <w:pPr>
        <w:pStyle w:val="10"/>
        <w:shd w:val="clear"/>
        <w:spacing w:before="156" w:line="360" w:lineRule="auto"/>
        <w:ind w:right="777"/>
        <w:jc w:val="both"/>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 xml:space="preserve">和评审专家组成，成员人数应当为 </w:t>
      </w:r>
      <w:r>
        <w:rPr>
          <w:color w:val="000000" w:themeColor="text1"/>
          <w:spacing w:val="-6"/>
          <w:highlight w:val="none"/>
          <w14:textFill>
            <w14:solidFill>
              <w14:schemeClr w14:val="tx1"/>
            </w14:solidFill>
          </w14:textFill>
        </w:rPr>
        <w:t>5</w:t>
      </w:r>
      <w:r>
        <w:rPr>
          <w:color w:val="000000" w:themeColor="text1"/>
          <w:spacing w:val="-10"/>
          <w:highlight w:val="none"/>
          <w14:textFill>
            <w14:solidFill>
              <w14:schemeClr w14:val="tx1"/>
            </w14:solidFill>
          </w14:textFill>
        </w:rPr>
        <w:t xml:space="preserve"> 人以上单数，其中评审专家不得少于成员总</w:t>
      </w:r>
      <w:r>
        <w:rPr>
          <w:color w:val="000000" w:themeColor="text1"/>
          <w:spacing w:val="-12"/>
          <w:highlight w:val="none"/>
          <w14:textFill>
            <w14:solidFill>
              <w14:schemeClr w14:val="tx1"/>
            </w14:solidFill>
          </w14:textFill>
        </w:rPr>
        <w:t>数的三分之二。采购人或者采购代理机构应当从省级以上财政部门设立的政府采</w:t>
      </w:r>
      <w:r>
        <w:rPr>
          <w:color w:val="000000" w:themeColor="text1"/>
          <w:spacing w:val="-2"/>
          <w:highlight w:val="none"/>
          <w14:textFill>
            <w14:solidFill>
              <w14:schemeClr w14:val="tx1"/>
            </w14:solidFill>
          </w14:textFill>
        </w:rPr>
        <w:t>购评审专家库中，通过随机方式抽取评审专家。</w:t>
      </w:r>
    </w:p>
    <w:p>
      <w:pPr>
        <w:shd w:val="clear"/>
        <w:spacing w:line="360" w:lineRule="auto"/>
        <w:jc w:val="both"/>
        <w:rPr>
          <w:color w:val="000000" w:themeColor="text1"/>
          <w:highlight w:val="none"/>
          <w14:textFill>
            <w14:solidFill>
              <w14:schemeClr w14:val="tx1"/>
            </w14:solidFill>
          </w14:textFill>
        </w:rPr>
        <w:sectPr>
          <w:pgSz w:w="11910" w:h="16840"/>
          <w:pgMar w:top="1380" w:right="1020" w:bottom="1180" w:left="1020" w:header="878" w:footer="989" w:gutter="0"/>
          <w:cols w:space="720" w:num="1"/>
        </w:sectPr>
      </w:pPr>
    </w:p>
    <w:p>
      <w:pPr>
        <w:pStyle w:val="19"/>
        <w:numPr>
          <w:ilvl w:val="1"/>
          <w:numId w:val="28"/>
        </w:numPr>
        <w:shd w:val="clear"/>
        <w:tabs>
          <w:tab w:val="left" w:pos="1860"/>
        </w:tabs>
        <w:spacing w:before="133" w:line="360" w:lineRule="auto"/>
        <w:ind w:left="780" w:right="805" w:firstLine="480"/>
        <w:rPr>
          <w:color w:val="000000" w:themeColor="text1"/>
          <w:sz w:val="24"/>
          <w:highlight w:val="none"/>
          <w14:textFill>
            <w14:solidFill>
              <w14:schemeClr w14:val="tx1"/>
            </w14:solidFill>
          </w14:textFill>
        </w:rPr>
      </w:pPr>
      <w:r>
        <w:rPr>
          <w:color w:val="000000" w:themeColor="text1"/>
          <w:spacing w:val="-4"/>
          <w:sz w:val="24"/>
          <w:highlight w:val="none"/>
          <w14:textFill>
            <w14:solidFill>
              <w14:schemeClr w14:val="tx1"/>
            </w14:solidFill>
          </w14:textFill>
        </w:rPr>
        <w:t xml:space="preserve">采购项目符合下列情形之一的，评标委员会成员人数应当为 </w:t>
      </w:r>
      <w:r>
        <w:rPr>
          <w:color w:val="000000" w:themeColor="text1"/>
          <w:spacing w:val="-2"/>
          <w:sz w:val="24"/>
          <w:highlight w:val="none"/>
          <w14:textFill>
            <w14:solidFill>
              <w14:schemeClr w14:val="tx1"/>
            </w14:solidFill>
          </w14:textFill>
        </w:rPr>
        <w:t>7</w:t>
      </w:r>
      <w:r>
        <w:rPr>
          <w:color w:val="000000" w:themeColor="text1"/>
          <w:spacing w:val="-14"/>
          <w:sz w:val="24"/>
          <w:highlight w:val="none"/>
          <w14:textFill>
            <w14:solidFill>
              <w14:schemeClr w14:val="tx1"/>
            </w14:solidFill>
          </w14:textFill>
        </w:rPr>
        <w:t xml:space="preserve"> 人以上</w:t>
      </w:r>
      <w:r>
        <w:rPr>
          <w:color w:val="000000" w:themeColor="text1"/>
          <w:spacing w:val="-4"/>
          <w:sz w:val="24"/>
          <w:highlight w:val="none"/>
          <w14:textFill>
            <w14:solidFill>
              <w14:schemeClr w14:val="tx1"/>
            </w14:solidFill>
          </w14:textFill>
        </w:rPr>
        <w:t>单数：</w:t>
      </w:r>
    </w:p>
    <w:p>
      <w:pPr>
        <w:pStyle w:val="19"/>
        <w:numPr>
          <w:ilvl w:val="0"/>
          <w:numId w:val="29"/>
        </w:numPr>
        <w:shd w:val="clear"/>
        <w:tabs>
          <w:tab w:val="left" w:pos="1860"/>
        </w:tabs>
        <w:ind w:left="1860" w:hanging="600"/>
        <w:rPr>
          <w:color w:val="000000" w:themeColor="text1"/>
          <w:sz w:val="24"/>
          <w:highlight w:val="none"/>
          <w14:textFill>
            <w14:solidFill>
              <w14:schemeClr w14:val="tx1"/>
            </w14:solidFill>
          </w14:textFill>
        </w:rPr>
      </w:pPr>
      <w:r>
        <w:rPr>
          <w:color w:val="000000" w:themeColor="text1"/>
          <w:spacing w:val="-8"/>
          <w:sz w:val="24"/>
          <w:highlight w:val="none"/>
          <w14:textFill>
            <w14:solidFill>
              <w14:schemeClr w14:val="tx1"/>
            </w14:solidFill>
          </w14:textFill>
        </w:rPr>
        <w:t xml:space="preserve">采购预算金额在 </w:t>
      </w:r>
      <w:r>
        <w:rPr>
          <w:color w:val="000000" w:themeColor="text1"/>
          <w:sz w:val="24"/>
          <w:highlight w:val="none"/>
          <w14:textFill>
            <w14:solidFill>
              <w14:schemeClr w14:val="tx1"/>
            </w14:solidFill>
          </w14:textFill>
        </w:rPr>
        <w:t>1000</w:t>
      </w:r>
      <w:r>
        <w:rPr>
          <w:color w:val="000000" w:themeColor="text1"/>
          <w:spacing w:val="-12"/>
          <w:sz w:val="24"/>
          <w:highlight w:val="none"/>
          <w14:textFill>
            <w14:solidFill>
              <w14:schemeClr w14:val="tx1"/>
            </w14:solidFill>
          </w14:textFill>
        </w:rPr>
        <w:t xml:space="preserve"> 万元以上；</w:t>
      </w:r>
    </w:p>
    <w:p>
      <w:pPr>
        <w:pStyle w:val="19"/>
        <w:numPr>
          <w:ilvl w:val="0"/>
          <w:numId w:val="29"/>
        </w:numPr>
        <w:shd w:val="clear"/>
        <w:tabs>
          <w:tab w:val="left" w:pos="1860"/>
        </w:tabs>
        <w:spacing w:before="156"/>
        <w:ind w:left="1860" w:hanging="60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技术复杂；</w:t>
      </w:r>
    </w:p>
    <w:p>
      <w:pPr>
        <w:pStyle w:val="19"/>
        <w:numPr>
          <w:ilvl w:val="0"/>
          <w:numId w:val="29"/>
        </w:numPr>
        <w:shd w:val="clear"/>
        <w:tabs>
          <w:tab w:val="left" w:pos="1860"/>
        </w:tabs>
        <w:spacing w:before="156"/>
        <w:ind w:left="1860" w:hanging="60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社会影响较大。</w:t>
      </w:r>
    </w:p>
    <w:p>
      <w:pPr>
        <w:pStyle w:val="19"/>
        <w:numPr>
          <w:ilvl w:val="1"/>
          <w:numId w:val="28"/>
        </w:numPr>
        <w:shd w:val="clear"/>
        <w:tabs>
          <w:tab w:val="left" w:pos="1800"/>
        </w:tabs>
        <w:spacing w:before="156" w:line="360" w:lineRule="auto"/>
        <w:ind w:left="780" w:right="777" w:firstLine="48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评审专家对本单位的采购项目只能作为采购人代表参与评标，对技术</w:t>
      </w:r>
      <w:r>
        <w:rPr>
          <w:color w:val="000000" w:themeColor="text1"/>
          <w:spacing w:val="-4"/>
          <w:sz w:val="24"/>
          <w:highlight w:val="none"/>
          <w14:textFill>
            <w14:solidFill>
              <w14:schemeClr w14:val="tx1"/>
            </w14:solidFill>
          </w14:textFill>
        </w:rPr>
        <w:t>复杂、专业性强的采购项目，通过随机方式难以确定合适评审专家的，经主管预算单位同意，采购人可以自行选定相应专业领域的评审专家。采购代理机构工作</w:t>
      </w:r>
      <w:r>
        <w:rPr>
          <w:color w:val="000000" w:themeColor="text1"/>
          <w:spacing w:val="-2"/>
          <w:sz w:val="24"/>
          <w:highlight w:val="none"/>
          <w14:textFill>
            <w14:solidFill>
              <w14:schemeClr w14:val="tx1"/>
            </w14:solidFill>
          </w14:textFill>
        </w:rPr>
        <w:t>人员不得参加由本机构代理的政府采购项目的评标。</w:t>
      </w:r>
    </w:p>
    <w:p>
      <w:pPr>
        <w:pStyle w:val="19"/>
        <w:numPr>
          <w:ilvl w:val="1"/>
          <w:numId w:val="28"/>
        </w:numPr>
        <w:shd w:val="clear"/>
        <w:tabs>
          <w:tab w:val="left" w:pos="1800"/>
        </w:tabs>
        <w:ind w:left="1800" w:hanging="540"/>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评标委员会成员名单在评标结果公告前应当保密。</w:t>
      </w:r>
    </w:p>
    <w:p>
      <w:pPr>
        <w:pStyle w:val="19"/>
        <w:numPr>
          <w:ilvl w:val="1"/>
          <w:numId w:val="28"/>
        </w:numPr>
        <w:shd w:val="clear"/>
        <w:tabs>
          <w:tab w:val="left" w:pos="1800"/>
        </w:tabs>
        <w:spacing w:before="156" w:line="360" w:lineRule="auto"/>
        <w:ind w:left="780" w:right="777" w:firstLine="48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评标中因评标委员会成员缺席、回避或者健康等特殊原因导致评标委</w:t>
      </w:r>
      <w:r>
        <w:rPr>
          <w:color w:val="000000" w:themeColor="text1"/>
          <w:spacing w:val="-9"/>
          <w:sz w:val="24"/>
          <w:highlight w:val="none"/>
          <w14:textFill>
            <w14:solidFill>
              <w14:schemeClr w14:val="tx1"/>
            </w14:solidFill>
          </w14:textFill>
        </w:rPr>
        <w:t>员会组成不符合本办法规定的，采购人或者采购代理机构应当依法补足后继续评</w:t>
      </w:r>
      <w:r>
        <w:rPr>
          <w:color w:val="000000" w:themeColor="text1"/>
          <w:spacing w:val="-2"/>
          <w:sz w:val="24"/>
          <w:highlight w:val="none"/>
          <w14:textFill>
            <w14:solidFill>
              <w14:schemeClr w14:val="tx1"/>
            </w14:solidFill>
          </w14:textFill>
        </w:rPr>
        <w:t>标。被更换的评标委员会成员所作出的评标意见无效。</w:t>
      </w:r>
    </w:p>
    <w:p>
      <w:pPr>
        <w:pStyle w:val="19"/>
        <w:numPr>
          <w:ilvl w:val="1"/>
          <w:numId w:val="28"/>
        </w:numPr>
        <w:shd w:val="clear"/>
        <w:tabs>
          <w:tab w:val="left" w:pos="1800"/>
        </w:tabs>
        <w:spacing w:line="360" w:lineRule="auto"/>
        <w:ind w:left="780" w:right="777" w:firstLine="48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无法及时补足评标委员会成员的，采购人或者采购代理机构应当停止</w:t>
      </w:r>
      <w:r>
        <w:rPr>
          <w:color w:val="000000" w:themeColor="text1"/>
          <w:spacing w:val="-4"/>
          <w:sz w:val="24"/>
          <w:highlight w:val="none"/>
          <w14:textFill>
            <w14:solidFill>
              <w14:schemeClr w14:val="tx1"/>
            </w14:solidFill>
          </w14:textFill>
        </w:rPr>
        <w:t>评标活动，封存所有投标文件和开标、评标资料，依法重新组建评标委员会进行</w:t>
      </w:r>
      <w:r>
        <w:rPr>
          <w:color w:val="000000" w:themeColor="text1"/>
          <w:spacing w:val="-2"/>
          <w:sz w:val="24"/>
          <w:highlight w:val="none"/>
          <w14:textFill>
            <w14:solidFill>
              <w14:schemeClr w14:val="tx1"/>
            </w14:solidFill>
          </w14:textFill>
        </w:rPr>
        <w:t>评标。原评标委员会所作出的评标意见无效。</w:t>
      </w:r>
    </w:p>
    <w:p>
      <w:pPr>
        <w:pStyle w:val="19"/>
        <w:numPr>
          <w:ilvl w:val="1"/>
          <w:numId w:val="28"/>
        </w:numPr>
        <w:shd w:val="clear"/>
        <w:tabs>
          <w:tab w:val="left" w:pos="1860"/>
        </w:tabs>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评标委员会成员有下列情形之一的，应当回避：</w:t>
      </w:r>
    </w:p>
    <w:p>
      <w:pPr>
        <w:pStyle w:val="19"/>
        <w:numPr>
          <w:ilvl w:val="0"/>
          <w:numId w:val="30"/>
        </w:numPr>
        <w:shd w:val="clear"/>
        <w:tabs>
          <w:tab w:val="left" w:pos="1860"/>
        </w:tabs>
        <w:spacing w:before="156"/>
        <w:ind w:left="1860" w:hanging="600"/>
        <w:rPr>
          <w:color w:val="000000" w:themeColor="text1"/>
          <w:sz w:val="24"/>
          <w:highlight w:val="none"/>
          <w14:textFill>
            <w14:solidFill>
              <w14:schemeClr w14:val="tx1"/>
            </w14:solidFill>
          </w14:textFill>
        </w:rPr>
      </w:pPr>
      <w:r>
        <w:rPr>
          <w:color w:val="000000" w:themeColor="text1"/>
          <w:spacing w:val="-8"/>
          <w:sz w:val="24"/>
          <w:highlight w:val="none"/>
          <w14:textFill>
            <w14:solidFill>
              <w14:schemeClr w14:val="tx1"/>
            </w14:solidFill>
          </w14:textFill>
        </w:rPr>
        <w:t xml:space="preserve">参加采购活动前 </w:t>
      </w:r>
      <w:r>
        <w:rPr>
          <w:color w:val="000000" w:themeColor="text1"/>
          <w:sz w:val="24"/>
          <w:highlight w:val="none"/>
          <w14:textFill>
            <w14:solidFill>
              <w14:schemeClr w14:val="tx1"/>
            </w14:solidFill>
          </w14:textFill>
        </w:rPr>
        <w:t>3</w:t>
      </w:r>
      <w:r>
        <w:rPr>
          <w:color w:val="000000" w:themeColor="text1"/>
          <w:spacing w:val="-9"/>
          <w:sz w:val="24"/>
          <w:highlight w:val="none"/>
          <w14:textFill>
            <w14:solidFill>
              <w14:schemeClr w14:val="tx1"/>
            </w14:solidFill>
          </w14:textFill>
        </w:rPr>
        <w:t xml:space="preserve"> 年内与投标人存在劳动关系；</w:t>
      </w:r>
    </w:p>
    <w:p>
      <w:pPr>
        <w:pStyle w:val="19"/>
        <w:numPr>
          <w:ilvl w:val="0"/>
          <w:numId w:val="30"/>
        </w:numPr>
        <w:shd w:val="clear"/>
        <w:tabs>
          <w:tab w:val="left" w:pos="1860"/>
        </w:tabs>
        <w:spacing w:before="156"/>
        <w:ind w:left="1860" w:hanging="600"/>
        <w:rPr>
          <w:color w:val="000000" w:themeColor="text1"/>
          <w:sz w:val="24"/>
          <w:highlight w:val="none"/>
          <w14:textFill>
            <w14:solidFill>
              <w14:schemeClr w14:val="tx1"/>
            </w14:solidFill>
          </w14:textFill>
        </w:rPr>
      </w:pPr>
      <w:r>
        <w:rPr>
          <w:color w:val="000000" w:themeColor="text1"/>
          <w:spacing w:val="-8"/>
          <w:sz w:val="24"/>
          <w:highlight w:val="none"/>
          <w14:textFill>
            <w14:solidFill>
              <w14:schemeClr w14:val="tx1"/>
            </w14:solidFill>
          </w14:textFill>
        </w:rPr>
        <w:t xml:space="preserve">参加采购活动前 </w:t>
      </w:r>
      <w:r>
        <w:rPr>
          <w:color w:val="000000" w:themeColor="text1"/>
          <w:sz w:val="24"/>
          <w:highlight w:val="none"/>
          <w14:textFill>
            <w14:solidFill>
              <w14:schemeClr w14:val="tx1"/>
            </w14:solidFill>
          </w14:textFill>
        </w:rPr>
        <w:t>3</w:t>
      </w:r>
      <w:r>
        <w:rPr>
          <w:color w:val="000000" w:themeColor="text1"/>
          <w:spacing w:val="-9"/>
          <w:sz w:val="24"/>
          <w:highlight w:val="none"/>
          <w14:textFill>
            <w14:solidFill>
              <w14:schemeClr w14:val="tx1"/>
            </w14:solidFill>
          </w14:textFill>
        </w:rPr>
        <w:t xml:space="preserve"> 年内担任投标人的董事、监事；</w:t>
      </w:r>
    </w:p>
    <w:p>
      <w:pPr>
        <w:pStyle w:val="19"/>
        <w:numPr>
          <w:ilvl w:val="0"/>
          <w:numId w:val="30"/>
        </w:numPr>
        <w:shd w:val="clear"/>
        <w:tabs>
          <w:tab w:val="left" w:pos="1860"/>
        </w:tabs>
        <w:spacing w:before="156"/>
        <w:ind w:left="1860" w:hanging="600"/>
        <w:rPr>
          <w:color w:val="000000" w:themeColor="text1"/>
          <w:sz w:val="24"/>
          <w:highlight w:val="none"/>
          <w14:textFill>
            <w14:solidFill>
              <w14:schemeClr w14:val="tx1"/>
            </w14:solidFill>
          </w14:textFill>
        </w:rPr>
      </w:pPr>
      <w:r>
        <w:rPr>
          <w:color w:val="000000" w:themeColor="text1"/>
          <w:spacing w:val="-8"/>
          <w:sz w:val="24"/>
          <w:highlight w:val="none"/>
          <w14:textFill>
            <w14:solidFill>
              <w14:schemeClr w14:val="tx1"/>
            </w14:solidFill>
          </w14:textFill>
        </w:rPr>
        <w:t xml:space="preserve">参加采购活动前 </w:t>
      </w:r>
      <w:r>
        <w:rPr>
          <w:color w:val="000000" w:themeColor="text1"/>
          <w:sz w:val="24"/>
          <w:highlight w:val="none"/>
          <w14:textFill>
            <w14:solidFill>
              <w14:schemeClr w14:val="tx1"/>
            </w14:solidFill>
          </w14:textFill>
        </w:rPr>
        <w:t>3</w:t>
      </w:r>
      <w:r>
        <w:rPr>
          <w:color w:val="000000" w:themeColor="text1"/>
          <w:spacing w:val="-9"/>
          <w:sz w:val="24"/>
          <w:highlight w:val="none"/>
          <w14:textFill>
            <w14:solidFill>
              <w14:schemeClr w14:val="tx1"/>
            </w14:solidFill>
          </w14:textFill>
        </w:rPr>
        <w:t xml:space="preserve"> 年内是投标人的控股股东或实际控制人；</w:t>
      </w:r>
    </w:p>
    <w:p>
      <w:pPr>
        <w:pStyle w:val="19"/>
        <w:numPr>
          <w:ilvl w:val="0"/>
          <w:numId w:val="30"/>
        </w:numPr>
        <w:shd w:val="clear"/>
        <w:tabs>
          <w:tab w:val="left" w:pos="1860"/>
        </w:tabs>
        <w:spacing w:before="156" w:line="360" w:lineRule="auto"/>
        <w:ind w:left="780" w:right="805" w:firstLine="48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与投标人的法定代表人或者负责人有夫妻、直系血亲、三代以内旁系血亲或者近姻亲关系；</w:t>
      </w:r>
    </w:p>
    <w:p>
      <w:pPr>
        <w:pStyle w:val="19"/>
        <w:numPr>
          <w:ilvl w:val="0"/>
          <w:numId w:val="30"/>
        </w:numPr>
        <w:shd w:val="clear"/>
        <w:tabs>
          <w:tab w:val="left" w:pos="1860"/>
        </w:tabs>
        <w:spacing w:line="362" w:lineRule="auto"/>
        <w:ind w:left="780" w:right="1765" w:firstLine="480"/>
        <w:rPr>
          <w:b/>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 xml:space="preserve">与投标人有其他可能影响采购活动公平、公正进行的关系。 </w:t>
      </w:r>
      <w:bookmarkStart w:id="59" w:name="29.评标"/>
      <w:bookmarkEnd w:id="59"/>
      <w:r>
        <w:rPr>
          <w:b/>
          <w:color w:val="000000" w:themeColor="text1"/>
          <w:spacing w:val="-2"/>
          <w:sz w:val="24"/>
          <w:highlight w:val="none"/>
          <w14:textFill>
            <w14:solidFill>
              <w14:schemeClr w14:val="tx1"/>
            </w14:solidFill>
          </w14:textFill>
        </w:rPr>
        <w:t>29.评标</w:t>
      </w:r>
    </w:p>
    <w:p>
      <w:pPr>
        <w:pStyle w:val="19"/>
        <w:numPr>
          <w:ilvl w:val="1"/>
          <w:numId w:val="31"/>
        </w:numPr>
        <w:shd w:val="clear"/>
        <w:tabs>
          <w:tab w:val="left" w:pos="1860"/>
        </w:tabs>
        <w:spacing w:line="291" w:lineRule="exact"/>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评标方法分为综合评分法和最低评标价法，本项目评标方法详见“投</w:t>
      </w:r>
    </w:p>
    <w:p>
      <w:pPr>
        <w:pStyle w:val="10"/>
        <w:shd w:val="clear"/>
        <w:spacing w:before="156"/>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标人须知前附表”。</w:t>
      </w:r>
    </w:p>
    <w:p>
      <w:pPr>
        <w:pStyle w:val="19"/>
        <w:numPr>
          <w:ilvl w:val="2"/>
          <w:numId w:val="31"/>
        </w:numPr>
        <w:shd w:val="clear"/>
        <w:tabs>
          <w:tab w:val="left" w:pos="2040"/>
        </w:tabs>
        <w:spacing w:before="156" w:line="360" w:lineRule="auto"/>
        <w:ind w:right="865" w:firstLine="48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pPr>
        <w:pStyle w:val="10"/>
        <w:shd w:val="clear"/>
        <w:spacing w:line="360" w:lineRule="auto"/>
        <w:ind w:right="805" w:firstLine="480"/>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29.1.2.最低评标价法，是指投标文件满足招标文件全部实质性要求，且投标报价最低的投标人为中标候选人的评标方法。</w:t>
      </w:r>
    </w:p>
    <w:p>
      <w:pPr>
        <w:shd w:val="clear"/>
        <w:spacing w:line="360" w:lineRule="auto"/>
        <w:rPr>
          <w:color w:val="000000" w:themeColor="text1"/>
          <w:highlight w:val="none"/>
          <w14:textFill>
            <w14:solidFill>
              <w14:schemeClr w14:val="tx1"/>
            </w14:solidFill>
          </w14:textFill>
        </w:rPr>
        <w:sectPr>
          <w:pgSz w:w="11910" w:h="16840"/>
          <w:pgMar w:top="1380" w:right="1020" w:bottom="1180" w:left="1020" w:header="878" w:footer="989" w:gutter="0"/>
          <w:cols w:space="720" w:num="1"/>
        </w:sectPr>
      </w:pPr>
    </w:p>
    <w:p>
      <w:pPr>
        <w:pStyle w:val="19"/>
        <w:numPr>
          <w:ilvl w:val="1"/>
          <w:numId w:val="31"/>
        </w:numPr>
        <w:shd w:val="clear"/>
        <w:tabs>
          <w:tab w:val="left" w:pos="1860"/>
        </w:tabs>
        <w:spacing w:before="133" w:line="360" w:lineRule="auto"/>
        <w:ind w:left="780" w:right="777" w:firstLine="480"/>
        <w:jc w:val="both"/>
        <w:rPr>
          <w:color w:val="000000" w:themeColor="text1"/>
          <w:sz w:val="24"/>
          <w:highlight w:val="none"/>
          <w14:textFill>
            <w14:solidFill>
              <w14:schemeClr w14:val="tx1"/>
            </w14:solidFill>
          </w14:textFill>
        </w:rPr>
      </w:pPr>
      <w:r>
        <w:rPr>
          <w:color w:val="000000" w:themeColor="text1"/>
          <w:spacing w:val="-5"/>
          <w:sz w:val="24"/>
          <w:highlight w:val="none"/>
          <w14:textFill>
            <w14:solidFill>
              <w14:schemeClr w14:val="tx1"/>
            </w14:solidFill>
          </w14:textFill>
        </w:rPr>
        <w:t>评标委员会按照“第五章 评标方法及标准”的规定对投标文件进行评</w:t>
      </w:r>
      <w:r>
        <w:rPr>
          <w:color w:val="000000" w:themeColor="text1"/>
          <w:spacing w:val="-2"/>
          <w:sz w:val="24"/>
          <w:highlight w:val="none"/>
          <w14:textFill>
            <w14:solidFill>
              <w14:schemeClr w14:val="tx1"/>
            </w14:solidFill>
          </w14:textFill>
        </w:rPr>
        <w:t>审。“第五章 评标方法及标准”没有规定的方法、评审因素和标准，不作为评</w:t>
      </w:r>
      <w:r>
        <w:rPr>
          <w:color w:val="000000" w:themeColor="text1"/>
          <w:spacing w:val="-4"/>
          <w:sz w:val="24"/>
          <w:highlight w:val="none"/>
          <w14:textFill>
            <w14:solidFill>
              <w14:schemeClr w14:val="tx1"/>
            </w14:solidFill>
          </w14:textFill>
        </w:rPr>
        <w:t>标依据。</w:t>
      </w:r>
    </w:p>
    <w:p>
      <w:pPr>
        <w:pStyle w:val="19"/>
        <w:numPr>
          <w:ilvl w:val="1"/>
          <w:numId w:val="31"/>
        </w:numPr>
        <w:shd w:val="clear"/>
        <w:tabs>
          <w:tab w:val="left" w:pos="1860"/>
        </w:tabs>
        <w:spacing w:line="360" w:lineRule="auto"/>
        <w:ind w:left="780" w:right="805" w:firstLine="480"/>
        <w:jc w:val="both"/>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评标委员会按“投标人须知前附表”规定的中标候选人数量在评标报告中向采购人推荐中标候选人。</w:t>
      </w:r>
    </w:p>
    <w:p>
      <w:pPr>
        <w:pStyle w:val="19"/>
        <w:numPr>
          <w:ilvl w:val="1"/>
          <w:numId w:val="31"/>
        </w:numPr>
        <w:shd w:val="clear"/>
        <w:tabs>
          <w:tab w:val="left" w:pos="1860"/>
        </w:tabs>
        <w:spacing w:line="360" w:lineRule="auto"/>
        <w:ind w:left="780" w:right="685" w:firstLine="480"/>
        <w:jc w:val="both"/>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开标之后，直到签订合同止，凡是属于审查、澄清、评价和比较投标</w:t>
      </w:r>
      <w:r>
        <w:rPr>
          <w:color w:val="000000" w:themeColor="text1"/>
          <w:spacing w:val="-1"/>
          <w:sz w:val="24"/>
          <w:highlight w:val="none"/>
          <w14:textFill>
            <w14:solidFill>
              <w14:schemeClr w14:val="tx1"/>
            </w14:solidFill>
          </w14:textFill>
        </w:rPr>
        <w:t>的有关资料以及定标意向等，均不得向投标人或者其他与评标无关的人员透露。</w:t>
      </w:r>
    </w:p>
    <w:p>
      <w:pPr>
        <w:pStyle w:val="19"/>
        <w:numPr>
          <w:ilvl w:val="1"/>
          <w:numId w:val="31"/>
        </w:numPr>
        <w:shd w:val="clear"/>
        <w:tabs>
          <w:tab w:val="left" w:pos="1860"/>
        </w:tabs>
        <w:spacing w:line="360" w:lineRule="auto"/>
        <w:ind w:left="780" w:right="681" w:firstLine="480"/>
        <w:jc w:val="both"/>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在确定中标人之前，投标人试图在投标文件审查、澄清、比较和评标时对评标委员会、采购人和采购代理机构施加任何影响都可能导致其</w:t>
      </w:r>
      <w:r>
        <w:rPr>
          <w:b/>
          <w:color w:val="000000" w:themeColor="text1"/>
          <w:spacing w:val="-2"/>
          <w:sz w:val="24"/>
          <w:highlight w:val="none"/>
          <w14:textFill>
            <w14:solidFill>
              <w14:schemeClr w14:val="tx1"/>
            </w14:solidFill>
          </w14:textFill>
        </w:rPr>
        <w:t>投标无效</w:t>
      </w:r>
      <w:r>
        <w:rPr>
          <w:color w:val="000000" w:themeColor="text1"/>
          <w:spacing w:val="-10"/>
          <w:sz w:val="24"/>
          <w:highlight w:val="none"/>
          <w14:textFill>
            <w14:solidFill>
              <w14:schemeClr w14:val="tx1"/>
            </w14:solidFill>
          </w14:textFill>
        </w:rPr>
        <w:t>。</w:t>
      </w:r>
    </w:p>
    <w:p>
      <w:pPr>
        <w:pStyle w:val="19"/>
        <w:numPr>
          <w:ilvl w:val="1"/>
          <w:numId w:val="31"/>
        </w:numPr>
        <w:shd w:val="clear"/>
        <w:tabs>
          <w:tab w:val="left" w:pos="1860"/>
        </w:tabs>
        <w:jc w:val="both"/>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电子招投标的应急措施</w:t>
      </w:r>
    </w:p>
    <w:p>
      <w:pPr>
        <w:pStyle w:val="19"/>
        <w:numPr>
          <w:ilvl w:val="2"/>
          <w:numId w:val="31"/>
        </w:numPr>
        <w:shd w:val="clear"/>
        <w:tabs>
          <w:tab w:val="left" w:pos="2040"/>
        </w:tabs>
        <w:spacing w:before="156" w:line="360" w:lineRule="auto"/>
        <w:ind w:right="865" w:firstLine="48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电子开标、评标如出现下列原因，导致系统无法正常运行或无法正常评标时，应采取应急措施。</w:t>
      </w:r>
    </w:p>
    <w:p>
      <w:pPr>
        <w:pStyle w:val="19"/>
        <w:numPr>
          <w:ilvl w:val="0"/>
          <w:numId w:val="32"/>
        </w:numPr>
        <w:shd w:val="clear"/>
        <w:tabs>
          <w:tab w:val="left" w:pos="1860"/>
        </w:tabs>
        <w:ind w:left="1860" w:hanging="600"/>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系统服务器发生故障，无法访问或无法使用系统；</w:t>
      </w:r>
    </w:p>
    <w:p>
      <w:pPr>
        <w:pStyle w:val="19"/>
        <w:numPr>
          <w:ilvl w:val="0"/>
          <w:numId w:val="32"/>
        </w:numPr>
        <w:shd w:val="clear"/>
        <w:tabs>
          <w:tab w:val="left" w:pos="1860"/>
        </w:tabs>
        <w:spacing w:before="156"/>
        <w:ind w:left="1860" w:hanging="600"/>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系统的软件或数据库出现错误，不能进行正常操作；</w:t>
      </w:r>
    </w:p>
    <w:p>
      <w:pPr>
        <w:pStyle w:val="19"/>
        <w:numPr>
          <w:ilvl w:val="0"/>
          <w:numId w:val="32"/>
        </w:numPr>
        <w:shd w:val="clear"/>
        <w:tabs>
          <w:tab w:val="left" w:pos="1860"/>
        </w:tabs>
        <w:spacing w:before="156"/>
        <w:ind w:left="1860" w:hanging="600"/>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系统发现有安全漏洞，有潜在的泄密危险；</w:t>
      </w:r>
    </w:p>
    <w:p>
      <w:pPr>
        <w:pStyle w:val="19"/>
        <w:numPr>
          <w:ilvl w:val="0"/>
          <w:numId w:val="32"/>
        </w:numPr>
        <w:shd w:val="clear"/>
        <w:tabs>
          <w:tab w:val="left" w:pos="1860"/>
        </w:tabs>
        <w:spacing w:before="156"/>
        <w:ind w:left="1860" w:hanging="600"/>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病毒发作或受到外来病毒的攻击；</w:t>
      </w:r>
    </w:p>
    <w:p>
      <w:pPr>
        <w:pStyle w:val="19"/>
        <w:numPr>
          <w:ilvl w:val="0"/>
          <w:numId w:val="32"/>
        </w:numPr>
        <w:shd w:val="clear"/>
        <w:tabs>
          <w:tab w:val="left" w:pos="1860"/>
        </w:tabs>
        <w:spacing w:before="156"/>
        <w:ind w:left="1860" w:hanging="600"/>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出现其他不可抗拒的客观原因造成开评标系统无法正常使用。</w:t>
      </w:r>
    </w:p>
    <w:p>
      <w:pPr>
        <w:pStyle w:val="10"/>
        <w:shd w:val="clear"/>
        <w:spacing w:before="156" w:line="360" w:lineRule="auto"/>
        <w:ind w:right="777" w:firstLine="480"/>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出现上述情况时，应对未开标的暂停开标。已在系统内开标、评标的立即停</w:t>
      </w:r>
      <w:r>
        <w:rPr>
          <w:color w:val="000000" w:themeColor="text1"/>
          <w:spacing w:val="-2"/>
          <w:highlight w:val="none"/>
          <w14:textFill>
            <w14:solidFill>
              <w14:schemeClr w14:val="tx1"/>
            </w14:solidFill>
          </w14:textFill>
        </w:rPr>
        <w:t>止。采取应急措施时，必须对原有资料及信息作出妥善保密处理。</w:t>
      </w:r>
    </w:p>
    <w:p>
      <w:pPr>
        <w:pStyle w:val="19"/>
        <w:numPr>
          <w:ilvl w:val="2"/>
          <w:numId w:val="31"/>
        </w:numPr>
        <w:shd w:val="clear"/>
        <w:tabs>
          <w:tab w:val="left" w:pos="2040"/>
        </w:tabs>
        <w:spacing w:line="360" w:lineRule="auto"/>
        <w:ind w:right="865" w:firstLine="480"/>
        <w:jc w:val="both"/>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因系统原因导致投标人均无法解密电子投标文件时，采购代理机构可在开标现场直接导入投标人在投标截止时间前递交的未加密的电子投标文件进行开标、评标。</w:t>
      </w:r>
    </w:p>
    <w:p>
      <w:pPr>
        <w:pStyle w:val="19"/>
        <w:numPr>
          <w:ilvl w:val="1"/>
          <w:numId w:val="31"/>
        </w:numPr>
        <w:shd w:val="clear"/>
        <w:tabs>
          <w:tab w:val="left" w:pos="1860"/>
        </w:tabs>
        <w:jc w:val="both"/>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投标人瑕疵滞后发现的处理规则</w:t>
      </w:r>
    </w:p>
    <w:p>
      <w:pPr>
        <w:pStyle w:val="19"/>
        <w:numPr>
          <w:ilvl w:val="2"/>
          <w:numId w:val="31"/>
        </w:numPr>
        <w:shd w:val="clear"/>
        <w:tabs>
          <w:tab w:val="left" w:pos="2040"/>
        </w:tabs>
        <w:spacing w:before="156" w:line="360" w:lineRule="auto"/>
        <w:ind w:right="777" w:firstLine="48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无论基于何种原因，各项本应作</w:t>
      </w:r>
      <w:r>
        <w:rPr>
          <w:b/>
          <w:color w:val="000000" w:themeColor="text1"/>
          <w:spacing w:val="-2"/>
          <w:sz w:val="24"/>
          <w:highlight w:val="none"/>
          <w14:textFill>
            <w14:solidFill>
              <w14:schemeClr w14:val="tx1"/>
            </w14:solidFill>
          </w14:textFill>
        </w:rPr>
        <w:t>无效投标</w:t>
      </w:r>
      <w:r>
        <w:rPr>
          <w:color w:val="000000" w:themeColor="text1"/>
          <w:spacing w:val="-2"/>
          <w:sz w:val="24"/>
          <w:highlight w:val="none"/>
          <w14:textFill>
            <w14:solidFill>
              <w14:schemeClr w14:val="tx1"/>
            </w14:solidFill>
          </w14:textFill>
        </w:rPr>
        <w:t>处理的情形即便未被及时</w:t>
      </w:r>
      <w:r>
        <w:rPr>
          <w:color w:val="000000" w:themeColor="text1"/>
          <w:spacing w:val="-4"/>
          <w:sz w:val="24"/>
          <w:highlight w:val="none"/>
          <w14:textFill>
            <w14:solidFill>
              <w14:schemeClr w14:val="tx1"/>
            </w14:solidFill>
          </w14:textFill>
        </w:rPr>
        <w:t>发现而使该投标人进入初审、综合评审或其他后续程序，包括已经签订合同的情形，一旦该投标人的投标作无效投标处理或该投标人的此前评议结果被取消，其</w:t>
      </w:r>
      <w:r>
        <w:rPr>
          <w:color w:val="000000" w:themeColor="text1"/>
          <w:spacing w:val="-2"/>
          <w:sz w:val="24"/>
          <w:highlight w:val="none"/>
          <w14:textFill>
            <w14:solidFill>
              <w14:schemeClr w14:val="tx1"/>
            </w14:solidFill>
          </w14:textFill>
        </w:rPr>
        <w:t>现有的位置将被其他投标人依序替代，相关的一切损失均由该投标人承担。</w:t>
      </w:r>
    </w:p>
    <w:p>
      <w:pPr>
        <w:pStyle w:val="7"/>
        <w:numPr>
          <w:ilvl w:val="0"/>
          <w:numId w:val="27"/>
        </w:numPr>
        <w:shd w:val="clear"/>
        <w:spacing w:before="43" w:line="331" w:lineRule="auto"/>
        <w:ind w:left="780" w:leftChars="0" w:right="7516" w:firstLine="0" w:firstLineChars="0"/>
        <w:rPr>
          <w:color w:val="000000" w:themeColor="text1"/>
          <w:spacing w:val="-2"/>
          <w:highlight w:val="none"/>
          <w14:textFill>
            <w14:solidFill>
              <w14:schemeClr w14:val="tx1"/>
            </w14:solidFill>
          </w14:textFill>
        </w:rPr>
      </w:pPr>
      <w:bookmarkStart w:id="60" w:name="（八）中标"/>
      <w:bookmarkEnd w:id="60"/>
      <w:r>
        <w:rPr>
          <w:color w:val="000000" w:themeColor="text1"/>
          <w:spacing w:val="-2"/>
          <w:highlight w:val="none"/>
          <w14:textFill>
            <w14:solidFill>
              <w14:schemeClr w14:val="tx1"/>
            </w14:solidFill>
          </w14:textFill>
        </w:rPr>
        <w:t xml:space="preserve">中标 </w:t>
      </w:r>
      <w:bookmarkStart w:id="61" w:name="30.确定中标人"/>
      <w:bookmarkEnd w:id="61"/>
    </w:p>
    <w:p>
      <w:pPr>
        <w:pStyle w:val="7"/>
        <w:numPr>
          <w:ilvl w:val="0"/>
          <w:numId w:val="0"/>
        </w:numPr>
        <w:shd w:val="clear"/>
        <w:spacing w:before="43" w:line="331" w:lineRule="auto"/>
        <w:ind w:right="7516" w:rightChars="0" w:firstLine="711" w:firstLineChars="300"/>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30.确定中标人</w:t>
      </w:r>
    </w:p>
    <w:p>
      <w:pPr>
        <w:pStyle w:val="19"/>
        <w:numPr>
          <w:ilvl w:val="1"/>
          <w:numId w:val="33"/>
        </w:numPr>
        <w:shd w:val="clear"/>
        <w:tabs>
          <w:tab w:val="left" w:pos="1800"/>
        </w:tabs>
        <w:spacing w:before="20"/>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采购人将在评标报告确定的中标候选人名单中按顺序确定中标人，中</w:t>
      </w:r>
    </w:p>
    <w:p>
      <w:pPr>
        <w:shd w:val="clear"/>
        <w:rPr>
          <w:color w:val="000000" w:themeColor="text1"/>
          <w:sz w:val="24"/>
          <w:highlight w:val="none"/>
          <w14:textFill>
            <w14:solidFill>
              <w14:schemeClr w14:val="tx1"/>
            </w14:solidFill>
          </w14:textFill>
        </w:rPr>
        <w:sectPr>
          <w:pgSz w:w="11910" w:h="16840"/>
          <w:pgMar w:top="1380" w:right="1020" w:bottom="1180" w:left="1020" w:header="878" w:footer="989" w:gutter="0"/>
          <w:cols w:space="720" w:num="1"/>
        </w:sectPr>
      </w:pPr>
    </w:p>
    <w:p>
      <w:pPr>
        <w:pStyle w:val="10"/>
        <w:shd w:val="clear"/>
        <w:spacing w:before="133" w:line="360" w:lineRule="auto"/>
        <w:ind w:right="685"/>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标候选人并列的，按照“投标人须知前附表”确定中标人；招标文件未规定的，采取随机抽取的方式确定。采购人是否委托评标委员会直接确定中标人，见“投标人须知前附表”。</w:t>
      </w:r>
    </w:p>
    <w:p>
      <w:pPr>
        <w:pStyle w:val="7"/>
        <w:numPr>
          <w:ilvl w:val="0"/>
          <w:numId w:val="34"/>
        </w:numPr>
        <w:shd w:val="clear"/>
        <w:tabs>
          <w:tab w:val="left" w:pos="1142"/>
        </w:tabs>
        <w:spacing w:before="2"/>
        <w:ind w:left="1142" w:hanging="362"/>
        <w:rPr>
          <w:color w:val="000000" w:themeColor="text1"/>
          <w:highlight w:val="none"/>
          <w14:textFill>
            <w14:solidFill>
              <w14:schemeClr w14:val="tx1"/>
            </w14:solidFill>
          </w14:textFill>
        </w:rPr>
      </w:pPr>
      <w:bookmarkStart w:id="62" w:name="31.中标结果公告"/>
      <w:bookmarkEnd w:id="62"/>
      <w:r>
        <w:rPr>
          <w:color w:val="000000" w:themeColor="text1"/>
          <w:spacing w:val="-4"/>
          <w:highlight w:val="none"/>
          <w14:textFill>
            <w14:solidFill>
              <w14:schemeClr w14:val="tx1"/>
            </w14:solidFill>
          </w14:textFill>
        </w:rPr>
        <w:t>中标结果公告</w:t>
      </w:r>
    </w:p>
    <w:p>
      <w:pPr>
        <w:pStyle w:val="19"/>
        <w:numPr>
          <w:ilvl w:val="1"/>
          <w:numId w:val="34"/>
        </w:numPr>
        <w:shd w:val="clear"/>
        <w:tabs>
          <w:tab w:val="left" w:pos="1800"/>
        </w:tabs>
        <w:spacing w:before="139" w:line="360" w:lineRule="auto"/>
        <w:ind w:right="777" w:firstLine="48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 xml:space="preserve">采购人或采购代理机构应当自中标人确定之日起 </w:t>
      </w:r>
      <w:r>
        <w:rPr>
          <w:color w:val="000000" w:themeColor="text1"/>
          <w:sz w:val="24"/>
          <w:highlight w:val="none"/>
          <w14:textFill>
            <w14:solidFill>
              <w14:schemeClr w14:val="tx1"/>
            </w14:solidFill>
          </w14:textFill>
        </w:rPr>
        <w:t>2</w:t>
      </w:r>
      <w:r>
        <w:rPr>
          <w:color w:val="000000" w:themeColor="text1"/>
          <w:spacing w:val="-6"/>
          <w:sz w:val="24"/>
          <w:highlight w:val="none"/>
          <w14:textFill>
            <w14:solidFill>
              <w14:schemeClr w14:val="tx1"/>
            </w14:solidFill>
          </w14:textFill>
        </w:rPr>
        <w:t xml:space="preserve"> 个工作日内，在发</w:t>
      </w:r>
      <w:r>
        <w:rPr>
          <w:color w:val="000000" w:themeColor="text1"/>
          <w:spacing w:val="-4"/>
          <w:sz w:val="24"/>
          <w:highlight w:val="none"/>
          <w14:textFill>
            <w14:solidFill>
              <w14:schemeClr w14:val="tx1"/>
            </w14:solidFill>
          </w14:textFill>
        </w:rPr>
        <w:t>布招标公告的同一媒体上发布中标结果公告，同时向中标人发出中标通知书。招</w:t>
      </w:r>
      <w:r>
        <w:rPr>
          <w:color w:val="000000" w:themeColor="text1"/>
          <w:spacing w:val="-1"/>
          <w:sz w:val="24"/>
          <w:highlight w:val="none"/>
          <w14:textFill>
            <w14:solidFill>
              <w14:schemeClr w14:val="tx1"/>
            </w14:solidFill>
          </w14:textFill>
        </w:rPr>
        <w:t xml:space="preserve">标文件随中标结果同时公告，中标结果公告期限为 </w:t>
      </w:r>
      <w:r>
        <w:rPr>
          <w:color w:val="000000" w:themeColor="text1"/>
          <w:sz w:val="24"/>
          <w:highlight w:val="none"/>
          <w14:textFill>
            <w14:solidFill>
              <w14:schemeClr w14:val="tx1"/>
            </w14:solidFill>
          </w14:textFill>
        </w:rPr>
        <w:t>1</w:t>
      </w:r>
      <w:r>
        <w:rPr>
          <w:color w:val="000000" w:themeColor="text1"/>
          <w:spacing w:val="-5"/>
          <w:sz w:val="24"/>
          <w:highlight w:val="none"/>
          <w14:textFill>
            <w14:solidFill>
              <w14:schemeClr w14:val="tx1"/>
            </w14:solidFill>
          </w14:textFill>
        </w:rPr>
        <w:t xml:space="preserve"> 个工作日。</w:t>
      </w:r>
    </w:p>
    <w:p>
      <w:pPr>
        <w:pStyle w:val="19"/>
        <w:numPr>
          <w:ilvl w:val="1"/>
          <w:numId w:val="34"/>
        </w:numPr>
        <w:shd w:val="clear"/>
        <w:tabs>
          <w:tab w:val="left" w:pos="1800"/>
        </w:tabs>
        <w:spacing w:line="360" w:lineRule="auto"/>
        <w:ind w:right="777" w:firstLine="48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中标供应商为中小企业享受中小企业扶持政策的，其“中小企业声明</w:t>
      </w:r>
      <w:r>
        <w:rPr>
          <w:color w:val="000000" w:themeColor="text1"/>
          <w:spacing w:val="-4"/>
          <w:sz w:val="24"/>
          <w:highlight w:val="none"/>
          <w14:textFill>
            <w14:solidFill>
              <w14:schemeClr w14:val="tx1"/>
            </w14:solidFill>
          </w14:textFill>
        </w:rPr>
        <w:t>函”随中标结果同时公告。中标供应商为残疾人福利性单位的，其“残疾人福利</w:t>
      </w:r>
      <w:r>
        <w:rPr>
          <w:color w:val="000000" w:themeColor="text1"/>
          <w:spacing w:val="-2"/>
          <w:sz w:val="24"/>
          <w:highlight w:val="none"/>
          <w14:textFill>
            <w14:solidFill>
              <w14:schemeClr w14:val="tx1"/>
            </w14:solidFill>
          </w14:textFill>
        </w:rPr>
        <w:t>性单位声明函”随中标结果同时公告。</w:t>
      </w:r>
    </w:p>
    <w:p>
      <w:pPr>
        <w:pStyle w:val="19"/>
        <w:numPr>
          <w:ilvl w:val="1"/>
          <w:numId w:val="34"/>
        </w:numPr>
        <w:shd w:val="clear"/>
        <w:tabs>
          <w:tab w:val="left" w:pos="1800"/>
        </w:tabs>
        <w:spacing w:line="360" w:lineRule="auto"/>
        <w:ind w:right="777" w:firstLine="48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项目采购采用最低评标价法的，公告中标结果时同时公告因落实政府</w:t>
      </w:r>
      <w:r>
        <w:rPr>
          <w:color w:val="000000" w:themeColor="text1"/>
          <w:spacing w:val="-6"/>
          <w:sz w:val="24"/>
          <w:highlight w:val="none"/>
          <w14:textFill>
            <w14:solidFill>
              <w14:schemeClr w14:val="tx1"/>
            </w14:solidFill>
          </w14:textFill>
        </w:rPr>
        <w:t>采购政策等原因进行价格扣除后中标供应商的评审报价；项目采购采用综合评分</w:t>
      </w:r>
      <w:r>
        <w:rPr>
          <w:color w:val="000000" w:themeColor="text1"/>
          <w:spacing w:val="-2"/>
          <w:sz w:val="24"/>
          <w:highlight w:val="none"/>
          <w14:textFill>
            <w14:solidFill>
              <w14:schemeClr w14:val="tx1"/>
            </w14:solidFill>
          </w14:textFill>
        </w:rPr>
        <w:t>法的，公告中标结果时同时公告中标供应商的评审总得分。</w:t>
      </w:r>
    </w:p>
    <w:p>
      <w:pPr>
        <w:pStyle w:val="7"/>
        <w:numPr>
          <w:ilvl w:val="0"/>
          <w:numId w:val="34"/>
        </w:numPr>
        <w:shd w:val="clear"/>
        <w:tabs>
          <w:tab w:val="left" w:pos="1142"/>
        </w:tabs>
        <w:ind w:left="1142" w:hanging="362"/>
        <w:rPr>
          <w:color w:val="000000" w:themeColor="text1"/>
          <w:highlight w:val="none"/>
          <w14:textFill>
            <w14:solidFill>
              <w14:schemeClr w14:val="tx1"/>
            </w14:solidFill>
          </w14:textFill>
        </w:rPr>
      </w:pPr>
      <w:bookmarkStart w:id="63" w:name="32.中标通知"/>
      <w:bookmarkEnd w:id="63"/>
      <w:r>
        <w:rPr>
          <w:color w:val="000000" w:themeColor="text1"/>
          <w:spacing w:val="-4"/>
          <w:highlight w:val="none"/>
          <w14:textFill>
            <w14:solidFill>
              <w14:schemeClr w14:val="tx1"/>
            </w14:solidFill>
          </w14:textFill>
        </w:rPr>
        <w:t>中标通知</w:t>
      </w:r>
    </w:p>
    <w:p>
      <w:pPr>
        <w:pStyle w:val="19"/>
        <w:numPr>
          <w:ilvl w:val="1"/>
          <w:numId w:val="34"/>
        </w:numPr>
        <w:shd w:val="clear"/>
        <w:tabs>
          <w:tab w:val="left" w:pos="1800"/>
        </w:tabs>
        <w:spacing w:before="139" w:line="360" w:lineRule="auto"/>
        <w:ind w:right="685"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采购人和采购代理机构以书面形式向中标人发出中标通知书，同时将</w:t>
      </w:r>
      <w:r>
        <w:rPr>
          <w:color w:val="000000" w:themeColor="text1"/>
          <w:spacing w:val="-6"/>
          <w:sz w:val="24"/>
          <w:highlight w:val="none"/>
          <w14:textFill>
            <w14:solidFill>
              <w14:schemeClr w14:val="tx1"/>
            </w14:solidFill>
          </w14:textFill>
        </w:rPr>
        <w:t>招标结果通知未中标的投标人。对未通过资格审查的投标人，应当告知其未通过</w:t>
      </w:r>
      <w:r>
        <w:rPr>
          <w:color w:val="000000" w:themeColor="text1"/>
          <w:spacing w:val="-7"/>
          <w:sz w:val="24"/>
          <w:highlight w:val="none"/>
          <w14:textFill>
            <w14:solidFill>
              <w14:schemeClr w14:val="tx1"/>
            </w14:solidFill>
          </w14:textFill>
        </w:rPr>
        <w:t>的原因；采用综合评分法评审的，还应当告知未中标人本人的评审得分与排序。</w:t>
      </w:r>
    </w:p>
    <w:p>
      <w:pPr>
        <w:pStyle w:val="19"/>
        <w:numPr>
          <w:ilvl w:val="1"/>
          <w:numId w:val="34"/>
        </w:numPr>
        <w:shd w:val="clear"/>
        <w:tabs>
          <w:tab w:val="left" w:pos="1800"/>
        </w:tabs>
        <w:spacing w:line="360" w:lineRule="auto"/>
        <w:ind w:right="777" w:firstLine="48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中标通知书对采购人和中标供应商均具有法律效力。中标通知书发出</w:t>
      </w:r>
      <w:r>
        <w:rPr>
          <w:color w:val="000000" w:themeColor="text1"/>
          <w:spacing w:val="-4"/>
          <w:sz w:val="24"/>
          <w:highlight w:val="none"/>
          <w14:textFill>
            <w14:solidFill>
              <w14:schemeClr w14:val="tx1"/>
            </w14:solidFill>
          </w14:textFill>
        </w:rPr>
        <w:t>后，采购人改变中标结果的，或者中标供应商放弃中标项目的，应当依法承担法律责任。</w:t>
      </w:r>
    </w:p>
    <w:p>
      <w:pPr>
        <w:pStyle w:val="7"/>
        <w:shd w:val="clear"/>
        <w:spacing w:before="41" w:line="331" w:lineRule="auto"/>
        <w:ind w:right="7399"/>
        <w:rPr>
          <w:color w:val="000000" w:themeColor="text1"/>
          <w:highlight w:val="none"/>
          <w14:textFill>
            <w14:solidFill>
              <w14:schemeClr w14:val="tx1"/>
            </w14:solidFill>
          </w14:textFill>
        </w:rPr>
      </w:pPr>
      <w:bookmarkStart w:id="64" w:name="（九）签订合同"/>
      <w:bookmarkEnd w:id="64"/>
      <w:r>
        <w:rPr>
          <w:color w:val="000000" w:themeColor="text1"/>
          <w:spacing w:val="-2"/>
          <w:highlight w:val="none"/>
          <w14:textFill>
            <w14:solidFill>
              <w14:schemeClr w14:val="tx1"/>
            </w14:solidFill>
          </w14:textFill>
        </w:rPr>
        <w:t xml:space="preserve">（九）签订合同 </w:t>
      </w:r>
      <w:bookmarkStart w:id="65" w:name="33.履约保证金"/>
      <w:bookmarkEnd w:id="65"/>
      <w:r>
        <w:rPr>
          <w:color w:val="000000" w:themeColor="text1"/>
          <w:spacing w:val="-2"/>
          <w:highlight w:val="none"/>
          <w14:textFill>
            <w14:solidFill>
              <w14:schemeClr w14:val="tx1"/>
            </w14:solidFill>
          </w14:textFill>
        </w:rPr>
        <w:t>33.履约保证金</w:t>
      </w:r>
    </w:p>
    <w:p>
      <w:pPr>
        <w:pStyle w:val="19"/>
        <w:numPr>
          <w:ilvl w:val="1"/>
          <w:numId w:val="35"/>
        </w:numPr>
        <w:shd w:val="clear"/>
        <w:tabs>
          <w:tab w:val="left" w:pos="1800"/>
        </w:tabs>
        <w:spacing w:before="22" w:line="360" w:lineRule="auto"/>
        <w:ind w:right="865" w:firstLine="48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在签订合同前，中标人应按“投标人须知前附表”规定的金额、担保形式和采购人认可的履约担保格式向采购人提交履约保证金。</w:t>
      </w:r>
    </w:p>
    <w:p>
      <w:pPr>
        <w:pStyle w:val="19"/>
        <w:numPr>
          <w:ilvl w:val="1"/>
          <w:numId w:val="35"/>
        </w:numPr>
        <w:shd w:val="clear"/>
        <w:tabs>
          <w:tab w:val="left" w:pos="1800"/>
        </w:tabs>
        <w:spacing w:line="360" w:lineRule="auto"/>
        <w:ind w:right="777" w:firstLine="480"/>
        <w:rPr>
          <w:color w:val="000000" w:themeColor="text1"/>
          <w:sz w:val="24"/>
          <w:highlight w:val="none"/>
          <w14:textFill>
            <w14:solidFill>
              <w14:schemeClr w14:val="tx1"/>
            </w14:solidFill>
          </w14:textFill>
        </w:rPr>
      </w:pPr>
      <w:r>
        <w:rPr>
          <w:color w:val="000000" w:themeColor="text1"/>
          <w:spacing w:val="-8"/>
          <w:sz w:val="24"/>
          <w:highlight w:val="none"/>
          <w14:textFill>
            <w14:solidFill>
              <w14:schemeClr w14:val="tx1"/>
            </w14:solidFill>
          </w14:textFill>
        </w:rPr>
        <w:t xml:space="preserve">中标人不能按本章第 </w:t>
      </w:r>
      <w:r>
        <w:rPr>
          <w:color w:val="000000" w:themeColor="text1"/>
          <w:spacing w:val="-2"/>
          <w:sz w:val="24"/>
          <w:highlight w:val="none"/>
          <w14:textFill>
            <w14:solidFill>
              <w14:schemeClr w14:val="tx1"/>
            </w14:solidFill>
          </w14:textFill>
        </w:rPr>
        <w:t>33.1</w:t>
      </w:r>
      <w:r>
        <w:rPr>
          <w:color w:val="000000" w:themeColor="text1"/>
          <w:spacing w:val="-10"/>
          <w:sz w:val="24"/>
          <w:highlight w:val="none"/>
          <w14:textFill>
            <w14:solidFill>
              <w14:schemeClr w14:val="tx1"/>
            </w14:solidFill>
          </w14:textFill>
        </w:rPr>
        <w:t xml:space="preserve"> 项要求提交履约担保的，视为放弃中标，给</w:t>
      </w:r>
      <w:r>
        <w:rPr>
          <w:color w:val="000000" w:themeColor="text1"/>
          <w:spacing w:val="-2"/>
          <w:sz w:val="24"/>
          <w:highlight w:val="none"/>
          <w14:textFill>
            <w14:solidFill>
              <w14:schemeClr w14:val="tx1"/>
            </w14:solidFill>
          </w14:textFill>
        </w:rPr>
        <w:t>采购人造成损失的，中标人还应当承担民事责任。</w:t>
      </w:r>
    </w:p>
    <w:p>
      <w:pPr>
        <w:pStyle w:val="7"/>
        <w:numPr>
          <w:ilvl w:val="0"/>
          <w:numId w:val="36"/>
        </w:numPr>
        <w:shd w:val="clear"/>
        <w:tabs>
          <w:tab w:val="left" w:pos="1142"/>
        </w:tabs>
        <w:spacing w:before="3"/>
        <w:ind w:left="1142" w:hanging="362"/>
        <w:rPr>
          <w:color w:val="000000" w:themeColor="text1"/>
          <w:highlight w:val="none"/>
          <w14:textFill>
            <w14:solidFill>
              <w14:schemeClr w14:val="tx1"/>
            </w14:solidFill>
          </w14:textFill>
        </w:rPr>
      </w:pPr>
      <w:bookmarkStart w:id="66" w:name="34.签订合同"/>
      <w:bookmarkEnd w:id="66"/>
      <w:r>
        <w:rPr>
          <w:color w:val="000000" w:themeColor="text1"/>
          <w:spacing w:val="-4"/>
          <w:highlight w:val="none"/>
          <w14:textFill>
            <w14:solidFill>
              <w14:schemeClr w14:val="tx1"/>
            </w14:solidFill>
          </w14:textFill>
        </w:rPr>
        <w:t>签订合同</w:t>
      </w:r>
    </w:p>
    <w:p>
      <w:pPr>
        <w:pStyle w:val="19"/>
        <w:numPr>
          <w:ilvl w:val="1"/>
          <w:numId w:val="36"/>
        </w:numPr>
        <w:shd w:val="clear"/>
        <w:tabs>
          <w:tab w:val="left" w:pos="1860"/>
        </w:tabs>
        <w:spacing w:before="137" w:line="360" w:lineRule="auto"/>
        <w:ind w:right="777" w:firstLine="480"/>
        <w:jc w:val="both"/>
        <w:rPr>
          <w:color w:val="000000" w:themeColor="text1"/>
          <w:sz w:val="24"/>
          <w:highlight w:val="none"/>
          <w14:textFill>
            <w14:solidFill>
              <w14:schemeClr w14:val="tx1"/>
            </w14:solidFill>
          </w14:textFill>
        </w:rPr>
      </w:pPr>
      <w:r>
        <w:rPr>
          <w:color w:val="000000" w:themeColor="text1"/>
          <w:spacing w:val="-5"/>
          <w:sz w:val="24"/>
          <w:highlight w:val="none"/>
          <w14:textFill>
            <w14:solidFill>
              <w14:schemeClr w14:val="tx1"/>
            </w14:solidFill>
          </w14:textFill>
        </w:rPr>
        <w:t xml:space="preserve">采购人和中标人应当自中标通知书发出之日起 </w:t>
      </w:r>
      <w:r>
        <w:rPr>
          <w:color w:val="000000" w:themeColor="text1"/>
          <w:spacing w:val="-4"/>
          <w:sz w:val="24"/>
          <w:highlight w:val="none"/>
          <w14:textFill>
            <w14:solidFill>
              <w14:schemeClr w14:val="tx1"/>
            </w14:solidFill>
          </w14:textFill>
        </w:rPr>
        <w:t>25</w:t>
      </w:r>
      <w:r>
        <w:rPr>
          <w:color w:val="000000" w:themeColor="text1"/>
          <w:spacing w:val="-17"/>
          <w:sz w:val="24"/>
          <w:highlight w:val="none"/>
          <w14:textFill>
            <w14:solidFill>
              <w14:schemeClr w14:val="tx1"/>
            </w14:solidFill>
          </w14:textFill>
        </w:rPr>
        <w:t xml:space="preserve"> 天内，根据招标文件</w:t>
      </w:r>
      <w:r>
        <w:rPr>
          <w:color w:val="000000" w:themeColor="text1"/>
          <w:spacing w:val="-4"/>
          <w:sz w:val="24"/>
          <w:highlight w:val="none"/>
          <w14:textFill>
            <w14:solidFill>
              <w14:schemeClr w14:val="tx1"/>
            </w14:solidFill>
          </w14:textFill>
        </w:rPr>
        <w:t>和中标人的投标文件订立书面合同。采购人因不可抗力原因迟延签订合同的，应</w:t>
      </w:r>
      <w:r>
        <w:rPr>
          <w:color w:val="000000" w:themeColor="text1"/>
          <w:spacing w:val="-5"/>
          <w:sz w:val="24"/>
          <w:highlight w:val="none"/>
          <w14:textFill>
            <w14:solidFill>
              <w14:schemeClr w14:val="tx1"/>
            </w14:solidFill>
          </w14:textFill>
        </w:rPr>
        <w:t xml:space="preserve">当自不可抗力事由消除之日起 </w:t>
      </w:r>
      <w:r>
        <w:rPr>
          <w:color w:val="000000" w:themeColor="text1"/>
          <w:spacing w:val="-2"/>
          <w:sz w:val="24"/>
          <w:highlight w:val="none"/>
          <w14:textFill>
            <w14:solidFill>
              <w14:schemeClr w14:val="tx1"/>
            </w14:solidFill>
          </w14:textFill>
        </w:rPr>
        <w:t>7</w:t>
      </w:r>
      <w:r>
        <w:rPr>
          <w:color w:val="000000" w:themeColor="text1"/>
          <w:spacing w:val="-15"/>
          <w:sz w:val="24"/>
          <w:highlight w:val="none"/>
          <w14:textFill>
            <w14:solidFill>
              <w14:schemeClr w14:val="tx1"/>
            </w14:solidFill>
          </w14:textFill>
        </w:rPr>
        <w:t xml:space="preserve"> 日内完成合同签订事宜。所签订的合同不得对招</w:t>
      </w:r>
    </w:p>
    <w:p>
      <w:pPr>
        <w:shd w:val="clear"/>
        <w:spacing w:line="360" w:lineRule="auto"/>
        <w:jc w:val="both"/>
        <w:rPr>
          <w:color w:val="000000" w:themeColor="text1"/>
          <w:sz w:val="24"/>
          <w:highlight w:val="none"/>
          <w14:textFill>
            <w14:solidFill>
              <w14:schemeClr w14:val="tx1"/>
            </w14:solidFill>
          </w14:textFill>
        </w:rPr>
        <w:sectPr>
          <w:pgSz w:w="11910" w:h="16840"/>
          <w:pgMar w:top="1380" w:right="1020" w:bottom="1180" w:left="1020" w:header="878" w:footer="989" w:gutter="0"/>
          <w:cols w:space="720" w:num="1"/>
        </w:sectPr>
      </w:pPr>
    </w:p>
    <w:p>
      <w:pPr>
        <w:pStyle w:val="10"/>
        <w:shd w:val="clear"/>
        <w:spacing w:before="133" w:line="360" w:lineRule="auto"/>
        <w:ind w:right="777"/>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标文件和中标人投标文件作实质性修改。中标人无正当理由拒签合同，给采购人</w:t>
      </w:r>
      <w:r>
        <w:rPr>
          <w:color w:val="000000" w:themeColor="text1"/>
          <w:spacing w:val="-2"/>
          <w:highlight w:val="none"/>
          <w14:textFill>
            <w14:solidFill>
              <w14:schemeClr w14:val="tx1"/>
            </w14:solidFill>
          </w14:textFill>
        </w:rPr>
        <w:t>造成损失的，中标人还应当承担民事责任。</w:t>
      </w:r>
    </w:p>
    <w:p>
      <w:pPr>
        <w:pStyle w:val="19"/>
        <w:numPr>
          <w:ilvl w:val="1"/>
          <w:numId w:val="36"/>
        </w:numPr>
        <w:shd w:val="clear"/>
        <w:tabs>
          <w:tab w:val="left" w:pos="1860"/>
        </w:tabs>
        <w:spacing w:line="360" w:lineRule="auto"/>
        <w:ind w:right="685" w:firstLine="48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中标人拒绝与采购人签订合同的，采购人可以按照评标报告推荐的中标候选人名单排序，确定下一候选人为中标人，也可以重新开展政府采购活动。</w:t>
      </w:r>
    </w:p>
    <w:p>
      <w:pPr>
        <w:pStyle w:val="19"/>
        <w:numPr>
          <w:ilvl w:val="1"/>
          <w:numId w:val="36"/>
        </w:numPr>
        <w:shd w:val="clear"/>
        <w:tabs>
          <w:tab w:val="left" w:pos="1860"/>
        </w:tabs>
        <w:spacing w:line="360" w:lineRule="auto"/>
        <w:ind w:right="805" w:firstLine="48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采购人和中标人不得向对方提出任何不合理的要求，作为签订合同的条件，双方不得私下订立背离合同实质性内容的协议。</w:t>
      </w:r>
    </w:p>
    <w:p>
      <w:pPr>
        <w:pStyle w:val="19"/>
        <w:numPr>
          <w:ilvl w:val="1"/>
          <w:numId w:val="36"/>
        </w:numPr>
        <w:shd w:val="clear"/>
        <w:tabs>
          <w:tab w:val="left" w:pos="1860"/>
        </w:tabs>
        <w:spacing w:line="360" w:lineRule="auto"/>
        <w:ind w:right="805" w:firstLine="48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联合体中标的，联合体各方应当共同与采购人签订合同，就采购合同约定的事项向采购人承担连带责任。</w:t>
      </w:r>
    </w:p>
    <w:p>
      <w:pPr>
        <w:pStyle w:val="19"/>
        <w:numPr>
          <w:ilvl w:val="1"/>
          <w:numId w:val="36"/>
        </w:numPr>
        <w:shd w:val="clear"/>
        <w:tabs>
          <w:tab w:val="left" w:pos="1860"/>
        </w:tabs>
        <w:spacing w:line="360" w:lineRule="auto"/>
        <w:ind w:right="685" w:firstLine="480"/>
        <w:rPr>
          <w:b/>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本项目的非主体、非关键性工作是否允许分包，见“投标人须知前附表”。采购人允许采用分包方式履行合同的，中标人可以依法在中标后将中标项目的非主体、非关键性工作采取分包方式履行合同。政府采购合同分包履行的，</w:t>
      </w:r>
      <w:r>
        <w:rPr>
          <w:color w:val="000000" w:themeColor="text1"/>
          <w:spacing w:val="-8"/>
          <w:sz w:val="24"/>
          <w:highlight w:val="none"/>
          <w14:textFill>
            <w14:solidFill>
              <w14:schemeClr w14:val="tx1"/>
            </w14:solidFill>
          </w14:textFill>
        </w:rPr>
        <w:t>应当在投标文件中载明分包承担主体，分包承担主体应当具备相应资质条件且不</w:t>
      </w:r>
      <w:r>
        <w:rPr>
          <w:color w:val="000000" w:themeColor="text1"/>
          <w:spacing w:val="-2"/>
          <w:sz w:val="24"/>
          <w:highlight w:val="none"/>
          <w14:textFill>
            <w14:solidFill>
              <w14:schemeClr w14:val="tx1"/>
            </w14:solidFill>
          </w14:textFill>
        </w:rPr>
        <w:t>得再次分包，否则</w:t>
      </w:r>
      <w:r>
        <w:rPr>
          <w:b/>
          <w:color w:val="000000" w:themeColor="text1"/>
          <w:spacing w:val="-2"/>
          <w:sz w:val="24"/>
          <w:highlight w:val="none"/>
          <w14:textFill>
            <w14:solidFill>
              <w14:schemeClr w14:val="tx1"/>
            </w14:solidFill>
          </w14:textFill>
        </w:rPr>
        <w:t>投标无效</w:t>
      </w:r>
      <w:r>
        <w:rPr>
          <w:color w:val="000000" w:themeColor="text1"/>
          <w:spacing w:val="-2"/>
          <w:sz w:val="24"/>
          <w:highlight w:val="none"/>
          <w14:textFill>
            <w14:solidFill>
              <w14:schemeClr w14:val="tx1"/>
            </w14:solidFill>
          </w14:textFill>
        </w:rPr>
        <w:t>。中标人就采购项目和分包项目向采购人负责，分包供应商就分包项目承担责任。</w:t>
      </w:r>
      <w:r>
        <w:rPr>
          <w:b/>
          <w:color w:val="000000" w:themeColor="text1"/>
          <w:spacing w:val="-2"/>
          <w:sz w:val="24"/>
          <w:highlight w:val="none"/>
          <w14:textFill>
            <w14:solidFill>
              <w14:schemeClr w14:val="tx1"/>
            </w14:solidFill>
          </w14:textFill>
        </w:rPr>
        <w:t>政府采购合同不能转包。</w:t>
      </w:r>
    </w:p>
    <w:p>
      <w:pPr>
        <w:pStyle w:val="19"/>
        <w:numPr>
          <w:ilvl w:val="1"/>
          <w:numId w:val="36"/>
        </w:numPr>
        <w:shd w:val="clear"/>
        <w:tabs>
          <w:tab w:val="left" w:pos="1800"/>
        </w:tabs>
        <w:spacing w:line="360" w:lineRule="auto"/>
        <w:ind w:right="777" w:firstLine="48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采购合同履行中，采购人需追加与合同标的相同的货物、工程或者服</w:t>
      </w:r>
      <w:r>
        <w:rPr>
          <w:color w:val="000000" w:themeColor="text1"/>
          <w:spacing w:val="-4"/>
          <w:sz w:val="24"/>
          <w:highlight w:val="none"/>
          <w14:textFill>
            <w14:solidFill>
              <w14:schemeClr w14:val="tx1"/>
            </w14:solidFill>
          </w14:textFill>
        </w:rPr>
        <w:t>务的，在不改变合同其他条款的前提下，可以与中标人协商签订补充合同，但所</w:t>
      </w:r>
      <w:r>
        <w:rPr>
          <w:color w:val="000000" w:themeColor="text1"/>
          <w:spacing w:val="-2"/>
          <w:sz w:val="24"/>
          <w:highlight w:val="none"/>
          <w14:textFill>
            <w14:solidFill>
              <w14:schemeClr w14:val="tx1"/>
            </w14:solidFill>
          </w14:textFill>
        </w:rPr>
        <w:t>有补充合同的采购金额不得超过原合同采购金额的百分之十。</w:t>
      </w:r>
    </w:p>
    <w:p>
      <w:pPr>
        <w:pStyle w:val="19"/>
        <w:numPr>
          <w:ilvl w:val="1"/>
          <w:numId w:val="36"/>
        </w:numPr>
        <w:shd w:val="clear"/>
        <w:tabs>
          <w:tab w:val="left" w:pos="1860"/>
        </w:tabs>
        <w:ind w:left="1860"/>
        <w:rPr>
          <w:color w:val="000000" w:themeColor="text1"/>
          <w:sz w:val="24"/>
          <w:highlight w:val="none"/>
          <w14:textFill>
            <w14:solidFill>
              <w14:schemeClr w14:val="tx1"/>
            </w14:solidFill>
          </w14:textFill>
        </w:rPr>
      </w:pPr>
      <w:r>
        <w:rPr>
          <w:color w:val="000000" w:themeColor="text1"/>
          <w:spacing w:val="-5"/>
          <w:sz w:val="24"/>
          <w:highlight w:val="none"/>
          <w14:textFill>
            <w14:solidFill>
              <w14:schemeClr w14:val="tx1"/>
            </w14:solidFill>
          </w14:textFill>
        </w:rPr>
        <w:t xml:space="preserve">采购人应于签订合同之日起 </w:t>
      </w:r>
      <w:r>
        <w:rPr>
          <w:color w:val="000000" w:themeColor="text1"/>
          <w:sz w:val="24"/>
          <w:highlight w:val="none"/>
          <w14:textFill>
            <w14:solidFill>
              <w14:schemeClr w14:val="tx1"/>
            </w14:solidFill>
          </w14:textFill>
        </w:rPr>
        <w:t>2</w:t>
      </w:r>
      <w:r>
        <w:rPr>
          <w:color w:val="000000" w:themeColor="text1"/>
          <w:spacing w:val="-9"/>
          <w:sz w:val="24"/>
          <w:highlight w:val="none"/>
          <w14:textFill>
            <w14:solidFill>
              <w14:schemeClr w14:val="tx1"/>
            </w14:solidFill>
          </w14:textFill>
        </w:rPr>
        <w:t xml:space="preserve"> 个工作日内在政采云平台备案公示。</w:t>
      </w:r>
    </w:p>
    <w:p>
      <w:pPr>
        <w:pStyle w:val="7"/>
        <w:shd w:val="clear"/>
        <w:spacing w:before="199" w:line="331" w:lineRule="auto"/>
        <w:ind w:right="7156"/>
        <w:rPr>
          <w:color w:val="000000" w:themeColor="text1"/>
          <w:highlight w:val="none"/>
          <w14:textFill>
            <w14:solidFill>
              <w14:schemeClr w14:val="tx1"/>
            </w14:solidFill>
          </w14:textFill>
        </w:rPr>
      </w:pPr>
      <w:bookmarkStart w:id="67" w:name="（十）质疑和投诉"/>
      <w:bookmarkEnd w:id="67"/>
      <w:r>
        <w:rPr>
          <w:color w:val="000000" w:themeColor="text1"/>
          <w:spacing w:val="-2"/>
          <w:highlight w:val="none"/>
          <w14:textFill>
            <w14:solidFill>
              <w14:schemeClr w14:val="tx1"/>
            </w14:solidFill>
          </w14:textFill>
        </w:rPr>
        <w:t xml:space="preserve">（十）质疑和投诉 </w:t>
      </w:r>
      <w:bookmarkStart w:id="68" w:name="35.质疑"/>
      <w:bookmarkEnd w:id="68"/>
      <w:r>
        <w:rPr>
          <w:color w:val="000000" w:themeColor="text1"/>
          <w:spacing w:val="-2"/>
          <w:highlight w:val="none"/>
          <w14:textFill>
            <w14:solidFill>
              <w14:schemeClr w14:val="tx1"/>
            </w14:solidFill>
          </w14:textFill>
        </w:rPr>
        <w:t>35.质疑</w:t>
      </w:r>
    </w:p>
    <w:p>
      <w:pPr>
        <w:pStyle w:val="19"/>
        <w:numPr>
          <w:ilvl w:val="1"/>
          <w:numId w:val="37"/>
        </w:numPr>
        <w:shd w:val="clear"/>
        <w:tabs>
          <w:tab w:val="left" w:pos="1800"/>
        </w:tabs>
        <w:spacing w:before="20"/>
        <w:rPr>
          <w:color w:val="000000" w:themeColor="text1"/>
          <w:sz w:val="24"/>
          <w:highlight w:val="none"/>
          <w14:textFill>
            <w14:solidFill>
              <w14:schemeClr w14:val="tx1"/>
            </w14:solidFill>
          </w14:textFill>
        </w:rPr>
      </w:pPr>
      <w:r>
        <w:rPr>
          <w:color w:val="000000" w:themeColor="text1"/>
          <w:spacing w:val="-3"/>
          <w:sz w:val="24"/>
          <w:highlight w:val="none"/>
          <w14:textFill>
            <w14:solidFill>
              <w14:schemeClr w14:val="tx1"/>
            </w14:solidFill>
          </w14:textFill>
        </w:rPr>
        <w:t>供应商认为采购文件、采购过程、中标结果使自己的权益受到损害的，</w:t>
      </w:r>
    </w:p>
    <w:p>
      <w:pPr>
        <w:pStyle w:val="10"/>
        <w:shd w:val="clear"/>
        <w:spacing w:before="156" w:line="360" w:lineRule="auto"/>
        <w:ind w:right="537"/>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 xml:space="preserve">可以在知道或者应知其权益受到损害之日起 </w:t>
      </w:r>
      <w:r>
        <w:rPr>
          <w:color w:val="000000" w:themeColor="text1"/>
          <w:spacing w:val="-2"/>
          <w:highlight w:val="none"/>
          <w14:textFill>
            <w14:solidFill>
              <w14:schemeClr w14:val="tx1"/>
            </w14:solidFill>
          </w14:textFill>
        </w:rPr>
        <w:t>7</w:t>
      </w:r>
      <w:r>
        <w:rPr>
          <w:color w:val="000000" w:themeColor="text1"/>
          <w:spacing w:val="-14"/>
          <w:highlight w:val="none"/>
          <w14:textFill>
            <w14:solidFill>
              <w14:schemeClr w14:val="tx1"/>
            </w14:solidFill>
          </w14:textFill>
        </w:rPr>
        <w:t xml:space="preserve"> 个工作日内，以书面形式向采购人、</w:t>
      </w:r>
      <w:r>
        <w:rPr>
          <w:color w:val="000000" w:themeColor="text1"/>
          <w:spacing w:val="-2"/>
          <w:highlight w:val="none"/>
          <w14:textFill>
            <w14:solidFill>
              <w14:schemeClr w14:val="tx1"/>
            </w14:solidFill>
          </w14:textFill>
        </w:rPr>
        <w:t>采购代理机构提出质疑，详见“投标人须知前附表”。供应商在法定质疑期内一 次性提出针对同一采购程序环节的质疑。</w:t>
      </w:r>
    </w:p>
    <w:p>
      <w:pPr>
        <w:pStyle w:val="19"/>
        <w:numPr>
          <w:ilvl w:val="1"/>
          <w:numId w:val="37"/>
        </w:numPr>
        <w:shd w:val="clear"/>
        <w:tabs>
          <w:tab w:val="left" w:pos="1800"/>
        </w:tabs>
        <w:spacing w:line="360" w:lineRule="auto"/>
        <w:ind w:left="780" w:right="865" w:firstLine="48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提出质疑的供应商（以下简称质疑供应商）应当是参与所质疑项目采购活动的供应商。</w:t>
      </w:r>
    </w:p>
    <w:p>
      <w:pPr>
        <w:pStyle w:val="19"/>
        <w:numPr>
          <w:ilvl w:val="1"/>
          <w:numId w:val="37"/>
        </w:numPr>
        <w:shd w:val="clear"/>
        <w:tabs>
          <w:tab w:val="left" w:pos="1800"/>
        </w:tabs>
        <w:spacing w:line="360" w:lineRule="auto"/>
        <w:ind w:left="780" w:right="777" w:firstLine="48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潜在供应商已依法获取其可质疑的采购文件的，可以对该文件提出质</w:t>
      </w:r>
      <w:r>
        <w:rPr>
          <w:color w:val="000000" w:themeColor="text1"/>
          <w:spacing w:val="-4"/>
          <w:sz w:val="24"/>
          <w:highlight w:val="none"/>
          <w14:textFill>
            <w14:solidFill>
              <w14:schemeClr w14:val="tx1"/>
            </w14:solidFill>
          </w14:textFill>
        </w:rPr>
        <w:t>疑。对采购文件提出质疑的，应当在获取采购文件或者采购文件公告期限届满之</w:t>
      </w:r>
      <w:r>
        <w:rPr>
          <w:color w:val="000000" w:themeColor="text1"/>
          <w:spacing w:val="-8"/>
          <w:sz w:val="24"/>
          <w:highlight w:val="none"/>
          <w14:textFill>
            <w14:solidFill>
              <w14:schemeClr w14:val="tx1"/>
            </w14:solidFill>
          </w14:textFill>
        </w:rPr>
        <w:t xml:space="preserve">日起 </w:t>
      </w:r>
      <w:r>
        <w:rPr>
          <w:color w:val="000000" w:themeColor="text1"/>
          <w:sz w:val="24"/>
          <w:highlight w:val="none"/>
          <w14:textFill>
            <w14:solidFill>
              <w14:schemeClr w14:val="tx1"/>
            </w14:solidFill>
          </w14:textFill>
        </w:rPr>
        <w:t>7</w:t>
      </w:r>
      <w:r>
        <w:rPr>
          <w:color w:val="000000" w:themeColor="text1"/>
          <w:spacing w:val="-5"/>
          <w:sz w:val="24"/>
          <w:highlight w:val="none"/>
          <w14:textFill>
            <w14:solidFill>
              <w14:schemeClr w14:val="tx1"/>
            </w14:solidFill>
          </w14:textFill>
        </w:rPr>
        <w:t xml:space="preserve"> 个工作日内提出。</w:t>
      </w:r>
    </w:p>
    <w:p>
      <w:pPr>
        <w:pStyle w:val="19"/>
        <w:numPr>
          <w:ilvl w:val="1"/>
          <w:numId w:val="37"/>
        </w:numPr>
        <w:shd w:val="clear"/>
        <w:tabs>
          <w:tab w:val="left" w:pos="1800"/>
        </w:tabs>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供应商提出质疑应当提交质疑函和必要的证明材料。质疑函应当包括</w:t>
      </w:r>
    </w:p>
    <w:p>
      <w:pPr>
        <w:shd w:val="clear"/>
        <w:rPr>
          <w:color w:val="000000" w:themeColor="text1"/>
          <w:sz w:val="24"/>
          <w:highlight w:val="none"/>
          <w14:textFill>
            <w14:solidFill>
              <w14:schemeClr w14:val="tx1"/>
            </w14:solidFill>
          </w14:textFill>
        </w:rPr>
        <w:sectPr>
          <w:pgSz w:w="11910" w:h="16840"/>
          <w:pgMar w:top="1380" w:right="1020" w:bottom="1180" w:left="1020" w:header="878" w:footer="989" w:gutter="0"/>
          <w:cols w:space="720" w:num="1"/>
        </w:sectPr>
      </w:pPr>
    </w:p>
    <w:p>
      <w:pPr>
        <w:pStyle w:val="10"/>
        <w:shd w:val="clear"/>
        <w:spacing w:before="133"/>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下列内容：</w:t>
      </w:r>
    </w:p>
    <w:p>
      <w:pPr>
        <w:pStyle w:val="19"/>
        <w:numPr>
          <w:ilvl w:val="0"/>
          <w:numId w:val="38"/>
        </w:numPr>
        <w:shd w:val="clear"/>
        <w:tabs>
          <w:tab w:val="left" w:pos="1860"/>
        </w:tabs>
        <w:spacing w:before="156"/>
        <w:ind w:left="1860" w:hanging="600"/>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供应商的姓名或者名称、地址、邮编、联系人及联系电话；</w:t>
      </w:r>
    </w:p>
    <w:p>
      <w:pPr>
        <w:pStyle w:val="19"/>
        <w:numPr>
          <w:ilvl w:val="0"/>
          <w:numId w:val="38"/>
        </w:numPr>
        <w:shd w:val="clear"/>
        <w:tabs>
          <w:tab w:val="left" w:pos="1860"/>
        </w:tabs>
        <w:spacing w:before="156"/>
        <w:ind w:left="1860" w:hanging="600"/>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质疑项目的名称、项目编号/包号；</w:t>
      </w:r>
    </w:p>
    <w:p>
      <w:pPr>
        <w:pStyle w:val="19"/>
        <w:numPr>
          <w:ilvl w:val="0"/>
          <w:numId w:val="38"/>
        </w:numPr>
        <w:shd w:val="clear"/>
        <w:tabs>
          <w:tab w:val="left" w:pos="1860"/>
        </w:tabs>
        <w:spacing w:before="156"/>
        <w:ind w:left="1860" w:hanging="600"/>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具体、明确的质疑事项和与质疑事项相关的请求；</w:t>
      </w:r>
    </w:p>
    <w:p>
      <w:pPr>
        <w:pStyle w:val="19"/>
        <w:numPr>
          <w:ilvl w:val="0"/>
          <w:numId w:val="38"/>
        </w:numPr>
        <w:shd w:val="clear"/>
        <w:tabs>
          <w:tab w:val="left" w:pos="1860"/>
        </w:tabs>
        <w:spacing w:before="156"/>
        <w:ind w:left="1860" w:hanging="60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事实依据；</w:t>
      </w:r>
    </w:p>
    <w:p>
      <w:pPr>
        <w:pStyle w:val="19"/>
        <w:numPr>
          <w:ilvl w:val="0"/>
          <w:numId w:val="38"/>
        </w:numPr>
        <w:shd w:val="clear"/>
        <w:tabs>
          <w:tab w:val="left" w:pos="1860"/>
        </w:tabs>
        <w:spacing w:before="156"/>
        <w:ind w:left="1860" w:hanging="60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必要的法律依据；</w:t>
      </w:r>
    </w:p>
    <w:p>
      <w:pPr>
        <w:pStyle w:val="19"/>
        <w:numPr>
          <w:ilvl w:val="0"/>
          <w:numId w:val="38"/>
        </w:numPr>
        <w:shd w:val="clear"/>
        <w:tabs>
          <w:tab w:val="left" w:pos="1860"/>
        </w:tabs>
        <w:spacing w:before="156"/>
        <w:ind w:left="1860" w:hanging="60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提出质疑的日期。</w:t>
      </w:r>
    </w:p>
    <w:p>
      <w:pPr>
        <w:pStyle w:val="10"/>
        <w:shd w:val="clear"/>
        <w:spacing w:before="156" w:line="360" w:lineRule="auto"/>
        <w:ind w:right="777" w:firstLine="480"/>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供应商为自然人的，应当由本人签字；供应商为法人或者其他组织的，应当</w:t>
      </w:r>
      <w:r>
        <w:rPr>
          <w:color w:val="000000" w:themeColor="text1"/>
          <w:spacing w:val="-2"/>
          <w:highlight w:val="none"/>
          <w14:textFill>
            <w14:solidFill>
              <w14:schemeClr w14:val="tx1"/>
            </w14:solidFill>
          </w14:textFill>
        </w:rPr>
        <w:t>由法定代表人、主要负责人，或者其授权代表签字或者盖章，并加盖公章。</w:t>
      </w:r>
    </w:p>
    <w:p>
      <w:pPr>
        <w:pStyle w:val="19"/>
        <w:numPr>
          <w:ilvl w:val="1"/>
          <w:numId w:val="37"/>
        </w:numPr>
        <w:shd w:val="clear"/>
        <w:tabs>
          <w:tab w:val="left" w:pos="1800"/>
        </w:tabs>
        <w:spacing w:line="360" w:lineRule="auto"/>
        <w:ind w:left="780" w:right="865" w:firstLine="48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质疑函不符合上述要求的，采购人或代理机构应书面告知具体事项，质疑人应当按要求进行修改或补充，并在质疑有效期限内提交。</w:t>
      </w:r>
    </w:p>
    <w:p>
      <w:pPr>
        <w:pStyle w:val="19"/>
        <w:numPr>
          <w:ilvl w:val="1"/>
          <w:numId w:val="37"/>
        </w:numPr>
        <w:shd w:val="clear"/>
        <w:tabs>
          <w:tab w:val="left" w:pos="1800"/>
        </w:tabs>
        <w:spacing w:line="360" w:lineRule="auto"/>
        <w:ind w:left="780" w:right="777" w:firstLine="48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投标人进行虚假和恶意质疑投诉的，采购代理机构将提请有关部门将</w:t>
      </w:r>
      <w:r>
        <w:rPr>
          <w:color w:val="000000" w:themeColor="text1"/>
          <w:spacing w:val="-4"/>
          <w:sz w:val="24"/>
          <w:highlight w:val="none"/>
          <w14:textFill>
            <w14:solidFill>
              <w14:schemeClr w14:val="tx1"/>
            </w14:solidFill>
          </w14:textFill>
        </w:rPr>
        <w:t>其列入不良记录名单，在一至三年内禁止参加政府采购活动，并将处理决定在相</w:t>
      </w:r>
      <w:r>
        <w:rPr>
          <w:color w:val="000000" w:themeColor="text1"/>
          <w:spacing w:val="-2"/>
          <w:sz w:val="24"/>
          <w:highlight w:val="none"/>
          <w14:textFill>
            <w14:solidFill>
              <w14:schemeClr w14:val="tx1"/>
            </w14:solidFill>
          </w14:textFill>
        </w:rPr>
        <w:t>关政府采购媒体上公布。</w:t>
      </w:r>
    </w:p>
    <w:p>
      <w:pPr>
        <w:pStyle w:val="19"/>
        <w:numPr>
          <w:ilvl w:val="1"/>
          <w:numId w:val="37"/>
        </w:numPr>
        <w:shd w:val="clear"/>
        <w:tabs>
          <w:tab w:val="left" w:pos="1800"/>
        </w:tabs>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质疑函应当使用中文，并采用财政部门制定的范本。</w:t>
      </w:r>
    </w:p>
    <w:p>
      <w:pPr>
        <w:pStyle w:val="7"/>
        <w:numPr>
          <w:ilvl w:val="0"/>
          <w:numId w:val="39"/>
        </w:numPr>
        <w:shd w:val="clear"/>
        <w:tabs>
          <w:tab w:val="left" w:pos="1142"/>
        </w:tabs>
        <w:spacing w:before="158"/>
        <w:ind w:left="1142" w:hanging="362"/>
        <w:rPr>
          <w:color w:val="000000" w:themeColor="text1"/>
          <w:highlight w:val="none"/>
          <w14:textFill>
            <w14:solidFill>
              <w14:schemeClr w14:val="tx1"/>
            </w14:solidFill>
          </w14:textFill>
        </w:rPr>
      </w:pPr>
      <w:bookmarkStart w:id="69" w:name="36.质疑答复"/>
      <w:bookmarkEnd w:id="69"/>
      <w:r>
        <w:rPr>
          <w:color w:val="000000" w:themeColor="text1"/>
          <w:spacing w:val="-4"/>
          <w:highlight w:val="none"/>
          <w14:textFill>
            <w14:solidFill>
              <w14:schemeClr w14:val="tx1"/>
            </w14:solidFill>
          </w14:textFill>
        </w:rPr>
        <w:t>质疑答复</w:t>
      </w:r>
    </w:p>
    <w:p>
      <w:pPr>
        <w:pStyle w:val="19"/>
        <w:numPr>
          <w:ilvl w:val="1"/>
          <w:numId w:val="39"/>
        </w:numPr>
        <w:shd w:val="clear"/>
        <w:tabs>
          <w:tab w:val="left" w:pos="1800"/>
        </w:tabs>
        <w:spacing w:before="139"/>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采购人、采购代理机构不得拒收质疑供应商在法定质疑期内发出的质</w:t>
      </w:r>
    </w:p>
    <w:p>
      <w:pPr>
        <w:pStyle w:val="10"/>
        <w:shd w:val="clear"/>
        <w:spacing w:before="156" w:line="360" w:lineRule="auto"/>
        <w:ind w:right="777"/>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 xml:space="preserve">疑函，应当在收到质疑函后 </w:t>
      </w:r>
      <w:r>
        <w:rPr>
          <w:color w:val="000000" w:themeColor="text1"/>
          <w:spacing w:val="-4"/>
          <w:highlight w:val="none"/>
          <w14:textFill>
            <w14:solidFill>
              <w14:schemeClr w14:val="tx1"/>
            </w14:solidFill>
          </w14:textFill>
        </w:rPr>
        <w:t>7</w:t>
      </w:r>
      <w:r>
        <w:rPr>
          <w:color w:val="000000" w:themeColor="text1"/>
          <w:spacing w:val="-12"/>
          <w:highlight w:val="none"/>
          <w14:textFill>
            <w14:solidFill>
              <w14:schemeClr w14:val="tx1"/>
            </w14:solidFill>
          </w14:textFill>
        </w:rPr>
        <w:t xml:space="preserve"> 个工作日内作出答复，并以书面形式通知质疑供应</w:t>
      </w:r>
      <w:r>
        <w:rPr>
          <w:color w:val="000000" w:themeColor="text1"/>
          <w:spacing w:val="-2"/>
          <w:highlight w:val="none"/>
          <w14:textFill>
            <w14:solidFill>
              <w14:schemeClr w14:val="tx1"/>
            </w14:solidFill>
          </w14:textFill>
        </w:rPr>
        <w:t>商和其他有关供应商。</w:t>
      </w:r>
    </w:p>
    <w:p>
      <w:pPr>
        <w:pStyle w:val="19"/>
        <w:numPr>
          <w:ilvl w:val="1"/>
          <w:numId w:val="39"/>
        </w:numPr>
        <w:shd w:val="clear"/>
        <w:tabs>
          <w:tab w:val="left" w:pos="1800"/>
        </w:tabs>
        <w:spacing w:line="360" w:lineRule="auto"/>
        <w:ind w:left="780" w:right="865" w:firstLine="48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供应商对评审过程、中标结果提出质疑的，采购人、采购代理机构可以组织原评标委员会协助答复质疑。</w:t>
      </w:r>
    </w:p>
    <w:p>
      <w:pPr>
        <w:pStyle w:val="10"/>
        <w:shd w:val="clear"/>
        <w:ind w:left="1260"/>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质疑答复应当包括下列内容：</w:t>
      </w:r>
    </w:p>
    <w:p>
      <w:pPr>
        <w:pStyle w:val="19"/>
        <w:numPr>
          <w:ilvl w:val="0"/>
          <w:numId w:val="40"/>
        </w:numPr>
        <w:shd w:val="clear"/>
        <w:tabs>
          <w:tab w:val="left" w:pos="1860"/>
        </w:tabs>
        <w:spacing w:before="156"/>
        <w:ind w:left="1860" w:hanging="600"/>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质疑供应商的姓名或者名称；</w:t>
      </w:r>
    </w:p>
    <w:p>
      <w:pPr>
        <w:pStyle w:val="19"/>
        <w:numPr>
          <w:ilvl w:val="0"/>
          <w:numId w:val="40"/>
        </w:numPr>
        <w:shd w:val="clear"/>
        <w:tabs>
          <w:tab w:val="left" w:pos="1860"/>
        </w:tabs>
        <w:spacing w:before="156"/>
        <w:ind w:left="1860" w:hanging="600"/>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收到质疑函的日期、质疑项目名称及项目编号/包号；</w:t>
      </w:r>
    </w:p>
    <w:p>
      <w:pPr>
        <w:pStyle w:val="19"/>
        <w:numPr>
          <w:ilvl w:val="0"/>
          <w:numId w:val="40"/>
        </w:numPr>
        <w:shd w:val="clear"/>
        <w:tabs>
          <w:tab w:val="left" w:pos="1860"/>
        </w:tabs>
        <w:spacing w:before="156"/>
        <w:ind w:left="1860" w:hanging="600"/>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质疑事项、质疑答复的具体内容、事实依据和法律依据；</w:t>
      </w:r>
    </w:p>
    <w:p>
      <w:pPr>
        <w:pStyle w:val="19"/>
        <w:numPr>
          <w:ilvl w:val="0"/>
          <w:numId w:val="40"/>
        </w:numPr>
        <w:shd w:val="clear"/>
        <w:tabs>
          <w:tab w:val="left" w:pos="1860"/>
        </w:tabs>
        <w:spacing w:before="156"/>
        <w:ind w:left="1860" w:hanging="600"/>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告知质疑供应商依法投诉的权利；</w:t>
      </w:r>
    </w:p>
    <w:p>
      <w:pPr>
        <w:pStyle w:val="19"/>
        <w:numPr>
          <w:ilvl w:val="0"/>
          <w:numId w:val="40"/>
        </w:numPr>
        <w:shd w:val="clear"/>
        <w:tabs>
          <w:tab w:val="left" w:pos="1860"/>
        </w:tabs>
        <w:spacing w:before="156"/>
        <w:ind w:left="1860" w:hanging="60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质疑答复人名称；</w:t>
      </w:r>
    </w:p>
    <w:p>
      <w:pPr>
        <w:pStyle w:val="19"/>
        <w:numPr>
          <w:ilvl w:val="0"/>
          <w:numId w:val="40"/>
        </w:numPr>
        <w:shd w:val="clear"/>
        <w:tabs>
          <w:tab w:val="left" w:pos="1860"/>
        </w:tabs>
        <w:spacing w:before="156"/>
        <w:ind w:left="1860" w:hanging="60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答复质疑的日期。</w:t>
      </w:r>
    </w:p>
    <w:p>
      <w:pPr>
        <w:shd w:val="clear"/>
        <w:spacing w:before="156" w:line="360" w:lineRule="auto"/>
        <w:ind w:left="780" w:right="4765" w:firstLine="480"/>
        <w:rPr>
          <w:b/>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 xml:space="preserve">质疑答复的内容不得涉及商业秘密。 </w:t>
      </w:r>
      <w:bookmarkStart w:id="70" w:name="37.投诉"/>
      <w:bookmarkEnd w:id="70"/>
      <w:r>
        <w:rPr>
          <w:b/>
          <w:color w:val="000000" w:themeColor="text1"/>
          <w:spacing w:val="-2"/>
          <w:sz w:val="24"/>
          <w:highlight w:val="none"/>
          <w14:textFill>
            <w14:solidFill>
              <w14:schemeClr w14:val="tx1"/>
            </w14:solidFill>
          </w14:textFill>
        </w:rPr>
        <w:t>37.投诉</w:t>
      </w:r>
    </w:p>
    <w:p>
      <w:pPr>
        <w:shd w:val="clear"/>
        <w:spacing w:line="360" w:lineRule="auto"/>
        <w:rPr>
          <w:color w:val="000000" w:themeColor="text1"/>
          <w:sz w:val="24"/>
          <w:highlight w:val="none"/>
          <w14:textFill>
            <w14:solidFill>
              <w14:schemeClr w14:val="tx1"/>
            </w14:solidFill>
          </w14:textFill>
        </w:rPr>
        <w:sectPr>
          <w:pgSz w:w="11910" w:h="16840"/>
          <w:pgMar w:top="1380" w:right="1020" w:bottom="1180" w:left="1020" w:header="878" w:footer="989" w:gutter="0"/>
          <w:cols w:space="720" w:num="1"/>
        </w:sectPr>
      </w:pPr>
    </w:p>
    <w:p>
      <w:pPr>
        <w:pStyle w:val="19"/>
        <w:numPr>
          <w:ilvl w:val="1"/>
          <w:numId w:val="41"/>
        </w:numPr>
        <w:shd w:val="clear"/>
        <w:tabs>
          <w:tab w:val="left" w:pos="1800"/>
        </w:tabs>
        <w:spacing w:before="133"/>
        <w:jc w:val="both"/>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质疑供应商对采购人、采购代理机构的答复不满意，或者采购人、采</w:t>
      </w:r>
    </w:p>
    <w:p>
      <w:pPr>
        <w:pStyle w:val="10"/>
        <w:shd w:val="clear"/>
        <w:spacing w:before="156" w:line="360" w:lineRule="auto"/>
        <w:ind w:right="805"/>
        <w:jc w:val="both"/>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 xml:space="preserve">购代理机构未在规定时间内作出答复的，可以在答复期满后 </w:t>
      </w:r>
      <w:r>
        <w:rPr>
          <w:color w:val="000000" w:themeColor="text1"/>
          <w:spacing w:val="-2"/>
          <w:highlight w:val="none"/>
          <w14:textFill>
            <w14:solidFill>
              <w14:schemeClr w14:val="tx1"/>
            </w14:solidFill>
          </w14:textFill>
        </w:rPr>
        <w:t>15</w:t>
      </w:r>
      <w:r>
        <w:rPr>
          <w:color w:val="000000" w:themeColor="text1"/>
          <w:spacing w:val="-7"/>
          <w:highlight w:val="none"/>
          <w14:textFill>
            <w14:solidFill>
              <w14:schemeClr w14:val="tx1"/>
            </w14:solidFill>
          </w14:textFill>
        </w:rPr>
        <w:t xml:space="preserve"> 个工作日内向同</w:t>
      </w:r>
      <w:r>
        <w:rPr>
          <w:color w:val="000000" w:themeColor="text1"/>
          <w:spacing w:val="-2"/>
          <w:highlight w:val="none"/>
          <w14:textFill>
            <w14:solidFill>
              <w14:schemeClr w14:val="tx1"/>
            </w14:solidFill>
          </w14:textFill>
        </w:rPr>
        <w:t>级政府采购监督管理部门提起投诉。</w:t>
      </w:r>
    </w:p>
    <w:p>
      <w:pPr>
        <w:pStyle w:val="19"/>
        <w:numPr>
          <w:ilvl w:val="1"/>
          <w:numId w:val="41"/>
        </w:numPr>
        <w:shd w:val="clear"/>
        <w:tabs>
          <w:tab w:val="left" w:pos="1800"/>
        </w:tabs>
        <w:spacing w:line="360" w:lineRule="auto"/>
        <w:ind w:left="780" w:right="777" w:firstLine="480"/>
        <w:jc w:val="both"/>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投诉人投诉时,应当提交投诉书和必要的证明材料，并按照被投诉采购</w:t>
      </w:r>
      <w:r>
        <w:rPr>
          <w:color w:val="000000" w:themeColor="text1"/>
          <w:spacing w:val="-4"/>
          <w:sz w:val="24"/>
          <w:highlight w:val="none"/>
          <w14:textFill>
            <w14:solidFill>
              <w14:schemeClr w14:val="tx1"/>
            </w14:solidFill>
          </w14:textFill>
        </w:rPr>
        <w:t>人、采购代理机构（以下简称被投诉人）和与投诉事项有关的供应商数量提供投</w:t>
      </w:r>
      <w:r>
        <w:rPr>
          <w:color w:val="000000" w:themeColor="text1"/>
          <w:spacing w:val="-2"/>
          <w:sz w:val="24"/>
          <w:highlight w:val="none"/>
          <w14:textFill>
            <w14:solidFill>
              <w14:schemeClr w14:val="tx1"/>
            </w14:solidFill>
          </w14:textFill>
        </w:rPr>
        <w:t>诉书的副本。投诉书应当包括下列内容：</w:t>
      </w:r>
    </w:p>
    <w:p>
      <w:pPr>
        <w:pStyle w:val="19"/>
        <w:numPr>
          <w:ilvl w:val="0"/>
          <w:numId w:val="42"/>
        </w:numPr>
        <w:shd w:val="clear"/>
        <w:tabs>
          <w:tab w:val="left" w:pos="1860"/>
        </w:tabs>
        <w:spacing w:line="360" w:lineRule="auto"/>
        <w:ind w:right="805" w:firstLine="48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投诉人和被投诉人的姓名或者名称、通讯地址、邮编、联系人及联系</w:t>
      </w:r>
      <w:r>
        <w:rPr>
          <w:color w:val="000000" w:themeColor="text1"/>
          <w:spacing w:val="-4"/>
          <w:sz w:val="24"/>
          <w:highlight w:val="none"/>
          <w14:textFill>
            <w14:solidFill>
              <w14:schemeClr w14:val="tx1"/>
            </w14:solidFill>
          </w14:textFill>
        </w:rPr>
        <w:t>电话；</w:t>
      </w:r>
    </w:p>
    <w:p>
      <w:pPr>
        <w:pStyle w:val="19"/>
        <w:numPr>
          <w:ilvl w:val="0"/>
          <w:numId w:val="42"/>
        </w:numPr>
        <w:shd w:val="clear"/>
        <w:tabs>
          <w:tab w:val="left" w:pos="1860"/>
        </w:tabs>
        <w:ind w:left="1860" w:hanging="600"/>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质疑和质疑答复情况说明及相关证明材料；</w:t>
      </w:r>
    </w:p>
    <w:p>
      <w:pPr>
        <w:pStyle w:val="19"/>
        <w:numPr>
          <w:ilvl w:val="0"/>
          <w:numId w:val="42"/>
        </w:numPr>
        <w:shd w:val="clear"/>
        <w:tabs>
          <w:tab w:val="left" w:pos="1860"/>
        </w:tabs>
        <w:spacing w:before="156"/>
        <w:ind w:left="1860" w:hanging="600"/>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具体、明确的投诉事项和与投诉事项相关的投诉请求；</w:t>
      </w:r>
    </w:p>
    <w:p>
      <w:pPr>
        <w:pStyle w:val="19"/>
        <w:numPr>
          <w:ilvl w:val="0"/>
          <w:numId w:val="42"/>
        </w:numPr>
        <w:shd w:val="clear"/>
        <w:tabs>
          <w:tab w:val="left" w:pos="1860"/>
        </w:tabs>
        <w:spacing w:before="156"/>
        <w:ind w:left="1860" w:hanging="60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事实依据；</w:t>
      </w:r>
    </w:p>
    <w:p>
      <w:pPr>
        <w:pStyle w:val="19"/>
        <w:numPr>
          <w:ilvl w:val="0"/>
          <w:numId w:val="42"/>
        </w:numPr>
        <w:shd w:val="clear"/>
        <w:tabs>
          <w:tab w:val="left" w:pos="1860"/>
        </w:tabs>
        <w:spacing w:before="156"/>
        <w:ind w:left="1860" w:hanging="60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法律依据；</w:t>
      </w:r>
    </w:p>
    <w:p>
      <w:pPr>
        <w:pStyle w:val="19"/>
        <w:numPr>
          <w:ilvl w:val="0"/>
          <w:numId w:val="42"/>
        </w:numPr>
        <w:shd w:val="clear"/>
        <w:tabs>
          <w:tab w:val="left" w:pos="1860"/>
        </w:tabs>
        <w:spacing w:before="156"/>
        <w:ind w:left="1860" w:hanging="60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提起投诉的日期。</w:t>
      </w:r>
    </w:p>
    <w:p>
      <w:pPr>
        <w:pStyle w:val="10"/>
        <w:shd w:val="clear"/>
        <w:spacing w:before="156" w:line="360" w:lineRule="auto"/>
        <w:ind w:right="777" w:firstLine="480"/>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投诉人为自然人的，应当由本人签字；投诉人为法人或者其他组织的，应当</w:t>
      </w:r>
      <w:r>
        <w:rPr>
          <w:color w:val="000000" w:themeColor="text1"/>
          <w:spacing w:val="-2"/>
          <w:highlight w:val="none"/>
          <w14:textFill>
            <w14:solidFill>
              <w14:schemeClr w14:val="tx1"/>
            </w14:solidFill>
          </w14:textFill>
        </w:rPr>
        <w:t>由法定代表人、主要负责人，或者其授权代表签字或者盖章，并加盖公章。</w:t>
      </w:r>
    </w:p>
    <w:p>
      <w:pPr>
        <w:pStyle w:val="19"/>
        <w:numPr>
          <w:ilvl w:val="1"/>
          <w:numId w:val="41"/>
        </w:numPr>
        <w:shd w:val="clear"/>
        <w:tabs>
          <w:tab w:val="left" w:pos="1800"/>
        </w:tabs>
        <w:spacing w:line="360" w:lineRule="auto"/>
        <w:ind w:left="780" w:right="685"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供应商质疑、投诉应当有明确的请求和必要的证明材料。供应商投诉</w:t>
      </w:r>
      <w:r>
        <w:rPr>
          <w:color w:val="000000" w:themeColor="text1"/>
          <w:spacing w:val="-1"/>
          <w:sz w:val="24"/>
          <w:highlight w:val="none"/>
          <w14:textFill>
            <w14:solidFill>
              <w14:schemeClr w14:val="tx1"/>
            </w14:solidFill>
          </w14:textFill>
        </w:rPr>
        <w:t>的事项不得超出已质疑事项的范围，但基于质疑答复内容提出的投诉事项除外。</w:t>
      </w:r>
    </w:p>
    <w:p>
      <w:pPr>
        <w:pStyle w:val="19"/>
        <w:numPr>
          <w:ilvl w:val="1"/>
          <w:numId w:val="41"/>
        </w:numPr>
        <w:shd w:val="clear"/>
        <w:tabs>
          <w:tab w:val="left" w:pos="1800"/>
        </w:tabs>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投诉书应当使用中文，并采用财政部门制定的范本。</w:t>
      </w:r>
    </w:p>
    <w:p>
      <w:pPr>
        <w:pStyle w:val="7"/>
        <w:shd w:val="clear"/>
        <w:spacing w:before="199" w:line="331" w:lineRule="auto"/>
        <w:ind w:right="6434"/>
        <w:rPr>
          <w:color w:val="000000" w:themeColor="text1"/>
          <w:highlight w:val="none"/>
          <w14:textFill>
            <w14:solidFill>
              <w14:schemeClr w14:val="tx1"/>
            </w14:solidFill>
          </w14:textFill>
        </w:rPr>
      </w:pPr>
      <w:bookmarkStart w:id="71" w:name="（十一）采购代理服务费"/>
      <w:bookmarkEnd w:id="71"/>
      <w:r>
        <w:rPr>
          <w:color w:val="000000" w:themeColor="text1"/>
          <w:spacing w:val="-2"/>
          <w:highlight w:val="none"/>
          <w14:textFill>
            <w14:solidFill>
              <w14:schemeClr w14:val="tx1"/>
            </w14:solidFill>
          </w14:textFill>
        </w:rPr>
        <w:t xml:space="preserve">（十一）采购代理服务费 </w:t>
      </w:r>
      <w:bookmarkStart w:id="72" w:name="38.收取方式和标准"/>
      <w:bookmarkEnd w:id="72"/>
      <w:r>
        <w:rPr>
          <w:color w:val="000000" w:themeColor="text1"/>
          <w:spacing w:val="-2"/>
          <w:highlight w:val="none"/>
          <w14:textFill>
            <w14:solidFill>
              <w14:schemeClr w14:val="tx1"/>
            </w14:solidFill>
          </w14:textFill>
        </w:rPr>
        <w:t>38.收取方式和标准</w:t>
      </w:r>
    </w:p>
    <w:p>
      <w:pPr>
        <w:pStyle w:val="19"/>
        <w:numPr>
          <w:ilvl w:val="1"/>
          <w:numId w:val="43"/>
        </w:numPr>
        <w:shd w:val="clear"/>
        <w:tabs>
          <w:tab w:val="left" w:pos="1800"/>
        </w:tabs>
        <w:spacing w:before="20" w:line="360" w:lineRule="auto"/>
        <w:ind w:right="865" w:firstLine="48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采购代理机构按“投标人须知前附表”规定的方式和标准收取采购代理服务费。</w:t>
      </w:r>
    </w:p>
    <w:p>
      <w:pPr>
        <w:pStyle w:val="7"/>
        <w:shd w:val="clear"/>
        <w:spacing w:before="43" w:line="331" w:lineRule="auto"/>
        <w:ind w:right="6434"/>
        <w:rPr>
          <w:color w:val="000000" w:themeColor="text1"/>
          <w:highlight w:val="none"/>
          <w14:textFill>
            <w14:solidFill>
              <w14:schemeClr w14:val="tx1"/>
            </w14:solidFill>
          </w14:textFill>
        </w:rPr>
      </w:pPr>
      <w:bookmarkStart w:id="73" w:name="（十二）无效投标和废标"/>
      <w:bookmarkEnd w:id="73"/>
      <w:r>
        <w:rPr>
          <w:color w:val="000000" w:themeColor="text1"/>
          <w:spacing w:val="-2"/>
          <w:highlight w:val="none"/>
          <w14:textFill>
            <w14:solidFill>
              <w14:schemeClr w14:val="tx1"/>
            </w14:solidFill>
          </w14:textFill>
        </w:rPr>
        <w:t xml:space="preserve">（十二）无效投标和废标 </w:t>
      </w:r>
      <w:bookmarkStart w:id="74" w:name="39.无效投标"/>
      <w:bookmarkEnd w:id="74"/>
      <w:r>
        <w:rPr>
          <w:color w:val="000000" w:themeColor="text1"/>
          <w:spacing w:val="-2"/>
          <w:highlight w:val="none"/>
          <w14:textFill>
            <w14:solidFill>
              <w14:schemeClr w14:val="tx1"/>
            </w14:solidFill>
          </w14:textFill>
        </w:rPr>
        <w:t>39.无效投标</w:t>
      </w:r>
    </w:p>
    <w:p>
      <w:pPr>
        <w:pStyle w:val="19"/>
        <w:numPr>
          <w:ilvl w:val="1"/>
          <w:numId w:val="44"/>
        </w:numPr>
        <w:shd w:val="clear"/>
        <w:tabs>
          <w:tab w:val="left" w:pos="1800"/>
        </w:tabs>
        <w:spacing w:before="19" w:line="360" w:lineRule="auto"/>
        <w:ind w:right="865" w:firstLine="480"/>
        <w:rPr>
          <w:color w:val="000000" w:themeColor="text1"/>
          <w:sz w:val="24"/>
          <w:highlight w:val="none"/>
          <w14:textFill>
            <w14:solidFill>
              <w14:schemeClr w14:val="tx1"/>
            </w14:solidFill>
          </w14:textFill>
        </w:rPr>
      </w:pPr>
      <w:r>
        <w:rPr>
          <w:color w:val="000000" w:themeColor="text1"/>
          <w:spacing w:val="-3"/>
          <w:sz w:val="24"/>
          <w:highlight w:val="none"/>
          <w14:textFill>
            <w14:solidFill>
              <w14:schemeClr w14:val="tx1"/>
            </w14:solidFill>
          </w14:textFill>
        </w:rPr>
        <w:t>投标文件存在“第四章 资格审查”、“第五章 评标方法及标准”及</w:t>
      </w:r>
      <w:r>
        <w:rPr>
          <w:color w:val="000000" w:themeColor="text1"/>
          <w:spacing w:val="-2"/>
          <w:sz w:val="24"/>
          <w:highlight w:val="none"/>
          <w14:textFill>
            <w14:solidFill>
              <w14:schemeClr w14:val="tx1"/>
            </w14:solidFill>
          </w14:textFill>
        </w:rPr>
        <w:t>本招标文件规定的投标无效情形的，其</w:t>
      </w:r>
      <w:r>
        <w:rPr>
          <w:b/>
          <w:color w:val="000000" w:themeColor="text1"/>
          <w:spacing w:val="-2"/>
          <w:sz w:val="24"/>
          <w:highlight w:val="none"/>
          <w14:textFill>
            <w14:solidFill>
              <w14:schemeClr w14:val="tx1"/>
            </w14:solidFill>
          </w14:textFill>
        </w:rPr>
        <w:t>投标无效</w:t>
      </w:r>
      <w:r>
        <w:rPr>
          <w:color w:val="000000" w:themeColor="text1"/>
          <w:spacing w:val="-2"/>
          <w:sz w:val="24"/>
          <w:highlight w:val="none"/>
          <w14:textFill>
            <w14:solidFill>
              <w14:schemeClr w14:val="tx1"/>
            </w14:solidFill>
          </w14:textFill>
        </w:rPr>
        <w:t>。</w:t>
      </w:r>
    </w:p>
    <w:p>
      <w:pPr>
        <w:pStyle w:val="7"/>
        <w:numPr>
          <w:ilvl w:val="0"/>
          <w:numId w:val="45"/>
        </w:numPr>
        <w:shd w:val="clear"/>
        <w:tabs>
          <w:tab w:val="left" w:pos="1142"/>
        </w:tabs>
        <w:spacing w:before="3"/>
        <w:ind w:left="1142" w:hanging="362"/>
        <w:rPr>
          <w:color w:val="000000" w:themeColor="text1"/>
          <w:highlight w:val="none"/>
          <w14:textFill>
            <w14:solidFill>
              <w14:schemeClr w14:val="tx1"/>
            </w14:solidFill>
          </w14:textFill>
        </w:rPr>
      </w:pPr>
      <w:bookmarkStart w:id="75" w:name="40.废标"/>
      <w:bookmarkEnd w:id="75"/>
      <w:r>
        <w:rPr>
          <w:color w:val="000000" w:themeColor="text1"/>
          <w:spacing w:val="-7"/>
          <w:highlight w:val="none"/>
          <w14:textFill>
            <w14:solidFill>
              <w14:schemeClr w14:val="tx1"/>
            </w14:solidFill>
          </w14:textFill>
        </w:rPr>
        <w:t>废标</w:t>
      </w:r>
    </w:p>
    <w:p>
      <w:pPr>
        <w:pStyle w:val="19"/>
        <w:numPr>
          <w:ilvl w:val="1"/>
          <w:numId w:val="45"/>
        </w:numPr>
        <w:shd w:val="clear"/>
        <w:tabs>
          <w:tab w:val="left" w:pos="1800"/>
        </w:tabs>
        <w:spacing w:before="139" w:line="360" w:lineRule="auto"/>
        <w:ind w:right="777" w:firstLine="480"/>
        <w:rPr>
          <w:color w:val="000000" w:themeColor="text1"/>
          <w:sz w:val="24"/>
          <w:highlight w:val="none"/>
          <w14:textFill>
            <w14:solidFill>
              <w14:schemeClr w14:val="tx1"/>
            </w14:solidFill>
          </w14:textFill>
        </w:rPr>
      </w:pPr>
      <w:r>
        <w:rPr>
          <w:color w:val="000000" w:themeColor="text1"/>
          <w:spacing w:val="-3"/>
          <w:sz w:val="24"/>
          <w:highlight w:val="none"/>
          <w14:textFill>
            <w14:solidFill>
              <w14:schemeClr w14:val="tx1"/>
            </w14:solidFill>
          </w14:textFill>
        </w:rPr>
        <w:t>在招标采购中出现有“第五章 评标方法及标准”及本招标文件规定的</w:t>
      </w:r>
      <w:r>
        <w:rPr>
          <w:color w:val="000000" w:themeColor="text1"/>
          <w:spacing w:val="-2"/>
          <w:sz w:val="24"/>
          <w:highlight w:val="none"/>
          <w14:textFill>
            <w14:solidFill>
              <w14:schemeClr w14:val="tx1"/>
            </w14:solidFill>
          </w14:textFill>
        </w:rPr>
        <w:t>废标情形的，应予以</w:t>
      </w:r>
      <w:r>
        <w:rPr>
          <w:b/>
          <w:color w:val="000000" w:themeColor="text1"/>
          <w:spacing w:val="-2"/>
          <w:sz w:val="24"/>
          <w:highlight w:val="none"/>
          <w14:textFill>
            <w14:solidFill>
              <w14:schemeClr w14:val="tx1"/>
            </w14:solidFill>
          </w14:textFill>
        </w:rPr>
        <w:t>废标</w:t>
      </w:r>
      <w:r>
        <w:rPr>
          <w:color w:val="000000" w:themeColor="text1"/>
          <w:spacing w:val="-2"/>
          <w:sz w:val="24"/>
          <w:highlight w:val="none"/>
          <w14:textFill>
            <w14:solidFill>
              <w14:schemeClr w14:val="tx1"/>
            </w14:solidFill>
          </w14:textFill>
        </w:rPr>
        <w:t>。</w:t>
      </w:r>
    </w:p>
    <w:p>
      <w:pPr>
        <w:shd w:val="clear"/>
        <w:spacing w:line="360" w:lineRule="auto"/>
        <w:rPr>
          <w:color w:val="000000" w:themeColor="text1"/>
          <w:sz w:val="24"/>
          <w:highlight w:val="none"/>
          <w14:textFill>
            <w14:solidFill>
              <w14:schemeClr w14:val="tx1"/>
            </w14:solidFill>
          </w14:textFill>
        </w:rPr>
        <w:sectPr>
          <w:pgSz w:w="11910" w:h="16840"/>
          <w:pgMar w:top="1380" w:right="1020" w:bottom="1180" w:left="1020" w:header="878" w:footer="989" w:gutter="0"/>
          <w:cols w:space="720" w:num="1"/>
        </w:sectPr>
      </w:pPr>
    </w:p>
    <w:p>
      <w:pPr>
        <w:pStyle w:val="7"/>
        <w:shd w:val="clear"/>
        <w:spacing w:before="56" w:line="331" w:lineRule="auto"/>
        <w:ind w:right="2337"/>
        <w:rPr>
          <w:color w:val="000000" w:themeColor="text1"/>
          <w:highlight w:val="none"/>
          <w14:textFill>
            <w14:solidFill>
              <w14:schemeClr w14:val="tx1"/>
            </w14:solidFill>
          </w14:textFill>
        </w:rPr>
      </w:pPr>
      <w:bookmarkStart w:id="76" w:name="（十三）落实政府采购政策（包括但不限于下列具体政策要求）"/>
      <w:bookmarkEnd w:id="76"/>
      <w:r>
        <w:rPr>
          <w:color w:val="000000" w:themeColor="text1"/>
          <w:spacing w:val="-2"/>
          <w:highlight w:val="none"/>
          <w14:textFill>
            <w14:solidFill>
              <w14:schemeClr w14:val="tx1"/>
            </w14:solidFill>
          </w14:textFill>
        </w:rPr>
        <w:t xml:space="preserve">（十三）落实政府采购政策（包括但不限于下列具体政策要求） </w:t>
      </w:r>
      <w:bookmarkStart w:id="77" w:name="41.支持国产和进口产品审批"/>
      <w:bookmarkEnd w:id="77"/>
      <w:r>
        <w:rPr>
          <w:color w:val="000000" w:themeColor="text1"/>
          <w:spacing w:val="-2"/>
          <w:highlight w:val="none"/>
          <w14:textFill>
            <w14:solidFill>
              <w14:schemeClr w14:val="tx1"/>
            </w14:solidFill>
          </w14:textFill>
        </w:rPr>
        <w:t>41.支持国产和进口产品审批</w:t>
      </w:r>
    </w:p>
    <w:p>
      <w:pPr>
        <w:pStyle w:val="19"/>
        <w:numPr>
          <w:ilvl w:val="1"/>
          <w:numId w:val="46"/>
        </w:numPr>
        <w:shd w:val="clear"/>
        <w:tabs>
          <w:tab w:val="left" w:pos="1800"/>
        </w:tabs>
        <w:spacing w:before="20" w:line="360" w:lineRule="auto"/>
        <w:ind w:right="657"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除“投标人须知前附表”另有规定外，政府采购应当采购本国货物、</w:t>
      </w:r>
      <w:r>
        <w:rPr>
          <w:color w:val="000000" w:themeColor="text1"/>
          <w:spacing w:val="-10"/>
          <w:sz w:val="24"/>
          <w:highlight w:val="none"/>
          <w14:textFill>
            <w14:solidFill>
              <w14:schemeClr w14:val="tx1"/>
            </w14:solidFill>
          </w14:textFill>
        </w:rPr>
        <w:t>工程和服务，确需采购进口产品的，采购人应当按照《政府采购进口产品管理办</w:t>
      </w:r>
      <w:r>
        <w:rPr>
          <w:color w:val="000000" w:themeColor="text1"/>
          <w:spacing w:val="-35"/>
          <w:sz w:val="24"/>
          <w:highlight w:val="none"/>
          <w14:textFill>
            <w14:solidFill>
              <w14:schemeClr w14:val="tx1"/>
            </w14:solidFill>
          </w14:textFill>
        </w:rPr>
        <w:t>法》</w:t>
      </w:r>
      <w:r>
        <w:rPr>
          <w:color w:val="000000" w:themeColor="text1"/>
          <w:spacing w:val="-3"/>
          <w:sz w:val="24"/>
          <w:highlight w:val="none"/>
          <w14:textFill>
            <w14:solidFill>
              <w14:schemeClr w14:val="tx1"/>
            </w14:solidFill>
          </w14:textFill>
        </w:rPr>
        <w:t>（</w:t>
      </w:r>
      <w:r>
        <w:rPr>
          <w:color w:val="000000" w:themeColor="text1"/>
          <w:spacing w:val="-10"/>
          <w:sz w:val="24"/>
          <w:highlight w:val="none"/>
          <w14:textFill>
            <w14:solidFill>
              <w14:schemeClr w14:val="tx1"/>
            </w14:solidFill>
          </w14:textFill>
        </w:rPr>
        <w:t>财库〔</w:t>
      </w:r>
      <w:r>
        <w:rPr>
          <w:color w:val="000000" w:themeColor="text1"/>
          <w:sz w:val="24"/>
          <w:highlight w:val="none"/>
          <w14:textFill>
            <w14:solidFill>
              <w14:schemeClr w14:val="tx1"/>
            </w14:solidFill>
          </w14:textFill>
        </w:rPr>
        <w:t>2007</w:t>
      </w:r>
      <w:r>
        <w:rPr>
          <w:color w:val="000000" w:themeColor="text1"/>
          <w:spacing w:val="-32"/>
          <w:sz w:val="24"/>
          <w:highlight w:val="none"/>
          <w14:textFill>
            <w14:solidFill>
              <w14:schemeClr w14:val="tx1"/>
            </w14:solidFill>
          </w14:textFill>
        </w:rPr>
        <w:t>〕</w:t>
      </w:r>
      <w:r>
        <w:rPr>
          <w:color w:val="000000" w:themeColor="text1"/>
          <w:sz w:val="24"/>
          <w:highlight w:val="none"/>
          <w14:textFill>
            <w14:solidFill>
              <w14:schemeClr w14:val="tx1"/>
            </w14:solidFill>
          </w14:textFill>
        </w:rPr>
        <w:t>119 号文</w:t>
      </w:r>
      <w:r>
        <w:rPr>
          <w:color w:val="000000" w:themeColor="text1"/>
          <w:spacing w:val="-32"/>
          <w:sz w:val="24"/>
          <w:highlight w:val="none"/>
          <w14:textFill>
            <w14:solidFill>
              <w14:schemeClr w14:val="tx1"/>
            </w14:solidFill>
          </w14:textFill>
        </w:rPr>
        <w:t>）</w:t>
      </w:r>
      <w:r>
        <w:rPr>
          <w:color w:val="000000" w:themeColor="text1"/>
          <w:spacing w:val="-9"/>
          <w:sz w:val="24"/>
          <w:highlight w:val="none"/>
          <w14:textFill>
            <w14:solidFill>
              <w14:schemeClr w14:val="tx1"/>
            </w14:solidFill>
          </w14:textFill>
        </w:rPr>
        <w:t>、《关于政府采购进口产品管理有关问题的通知》</w:t>
      </w:r>
    </w:p>
    <w:p>
      <w:pPr>
        <w:pStyle w:val="10"/>
        <w:shd w:val="clear"/>
        <w:spacing w:line="360" w:lineRule="auto"/>
        <w:ind w:right="777"/>
        <w:jc w:val="both"/>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（财办库〔2008〕248</w:t>
      </w:r>
      <w:r>
        <w:rPr>
          <w:color w:val="000000" w:themeColor="text1"/>
          <w:spacing w:val="-15"/>
          <w:highlight w:val="none"/>
          <w14:textFill>
            <w14:solidFill>
              <w14:schemeClr w14:val="tx1"/>
            </w14:solidFill>
          </w14:textFill>
        </w:rPr>
        <w:t xml:space="preserve"> 号</w:t>
      </w:r>
      <w:r>
        <w:rPr>
          <w:color w:val="000000" w:themeColor="text1"/>
          <w:spacing w:val="-2"/>
          <w:highlight w:val="none"/>
          <w14:textFill>
            <w14:solidFill>
              <w14:schemeClr w14:val="tx1"/>
            </w14:solidFill>
          </w14:textFill>
        </w:rPr>
        <w:t>）规定执行（进口产品审批制，科研院所监管部门另有</w:t>
      </w:r>
      <w:r>
        <w:rPr>
          <w:color w:val="000000" w:themeColor="text1"/>
          <w:highlight w:val="none"/>
          <w14:textFill>
            <w14:solidFill>
              <w14:schemeClr w14:val="tx1"/>
            </w14:solidFill>
          </w14:textFill>
        </w:rPr>
        <w:t>规定的从其规定）</w:t>
      </w:r>
      <w:r>
        <w:rPr>
          <w:color w:val="000000" w:themeColor="text1"/>
          <w:spacing w:val="-1"/>
          <w:highlight w:val="none"/>
          <w14:textFill>
            <w14:solidFill>
              <w14:schemeClr w14:val="tx1"/>
            </w14:solidFill>
          </w14:textFill>
        </w:rPr>
        <w:t>。项目若涉及采购进口产品的，具体要求详见“第三章 采购</w:t>
      </w:r>
      <w:r>
        <w:rPr>
          <w:color w:val="000000" w:themeColor="text1"/>
          <w:spacing w:val="-4"/>
          <w:highlight w:val="none"/>
          <w14:textFill>
            <w14:solidFill>
              <w14:schemeClr w14:val="tx1"/>
            </w14:solidFill>
          </w14:textFill>
        </w:rPr>
        <w:t>需求”。</w:t>
      </w:r>
    </w:p>
    <w:p>
      <w:pPr>
        <w:pStyle w:val="19"/>
        <w:numPr>
          <w:ilvl w:val="1"/>
          <w:numId w:val="46"/>
        </w:numPr>
        <w:shd w:val="clear"/>
        <w:tabs>
          <w:tab w:val="left" w:pos="1800"/>
        </w:tabs>
        <w:spacing w:line="360" w:lineRule="auto"/>
        <w:ind w:right="625" w:firstLine="48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进口产品指通过中国海关报关验放进入中国境内且产自关境外的产品，包括已经进入中国境内的进口产品。</w:t>
      </w:r>
    </w:p>
    <w:p>
      <w:pPr>
        <w:pStyle w:val="19"/>
        <w:numPr>
          <w:ilvl w:val="1"/>
          <w:numId w:val="46"/>
        </w:numPr>
        <w:shd w:val="clear"/>
        <w:tabs>
          <w:tab w:val="left" w:pos="1800"/>
        </w:tabs>
        <w:spacing w:line="360" w:lineRule="auto"/>
        <w:ind w:right="865" w:firstLine="48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若采购需求中写明允许采购进口产品，投标人应保证所投产品可履行合法报通关手续进入中国关境内。</w:t>
      </w:r>
    </w:p>
    <w:p>
      <w:pPr>
        <w:pStyle w:val="19"/>
        <w:numPr>
          <w:ilvl w:val="1"/>
          <w:numId w:val="46"/>
        </w:numPr>
        <w:shd w:val="clear"/>
        <w:tabs>
          <w:tab w:val="left" w:pos="1800"/>
        </w:tabs>
        <w:spacing w:line="360" w:lineRule="auto"/>
        <w:ind w:right="865" w:firstLine="48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若采购需求中未写明允许采购进口产品，如投标人所投产品为进口产品，其投标将被认定为</w:t>
      </w:r>
      <w:r>
        <w:rPr>
          <w:b/>
          <w:color w:val="000000" w:themeColor="text1"/>
          <w:spacing w:val="-2"/>
          <w:sz w:val="24"/>
          <w:highlight w:val="none"/>
          <w14:textFill>
            <w14:solidFill>
              <w14:schemeClr w14:val="tx1"/>
            </w14:solidFill>
          </w14:textFill>
        </w:rPr>
        <w:t>投标无效</w:t>
      </w:r>
      <w:r>
        <w:rPr>
          <w:color w:val="000000" w:themeColor="text1"/>
          <w:spacing w:val="-2"/>
          <w:sz w:val="24"/>
          <w:highlight w:val="none"/>
          <w14:textFill>
            <w14:solidFill>
              <w14:schemeClr w14:val="tx1"/>
            </w14:solidFill>
          </w14:textFill>
        </w:rPr>
        <w:t>。</w:t>
      </w:r>
    </w:p>
    <w:p>
      <w:pPr>
        <w:pStyle w:val="7"/>
        <w:numPr>
          <w:ilvl w:val="0"/>
          <w:numId w:val="47"/>
        </w:numPr>
        <w:shd w:val="clear"/>
        <w:tabs>
          <w:tab w:val="left" w:pos="1142"/>
        </w:tabs>
        <w:spacing w:before="2"/>
        <w:ind w:left="1142" w:hanging="362"/>
        <w:rPr>
          <w:color w:val="000000" w:themeColor="text1"/>
          <w:highlight w:val="none"/>
          <w14:textFill>
            <w14:solidFill>
              <w14:schemeClr w14:val="tx1"/>
            </w14:solidFill>
          </w14:textFill>
        </w:rPr>
      </w:pPr>
      <w:bookmarkStart w:id="78" w:name="42.中小企业、监狱企业及残疾人福利性单位"/>
      <w:bookmarkEnd w:id="78"/>
      <w:r>
        <w:rPr>
          <w:color w:val="000000" w:themeColor="text1"/>
          <w:spacing w:val="-3"/>
          <w:highlight w:val="none"/>
          <w14:textFill>
            <w14:solidFill>
              <w14:schemeClr w14:val="tx1"/>
            </w14:solidFill>
          </w14:textFill>
        </w:rPr>
        <w:t>中小企业、监狱企业及残疾人福利性单位</w:t>
      </w:r>
    </w:p>
    <w:p>
      <w:pPr>
        <w:pStyle w:val="19"/>
        <w:numPr>
          <w:ilvl w:val="1"/>
          <w:numId w:val="47"/>
        </w:numPr>
        <w:shd w:val="clear"/>
        <w:tabs>
          <w:tab w:val="left" w:pos="1800"/>
        </w:tabs>
        <w:spacing w:before="139" w:line="360" w:lineRule="auto"/>
        <w:ind w:right="777" w:firstLine="48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中小企业是指在中华人民共和国境内依法设立，依据国务院批准的中</w:t>
      </w:r>
      <w:r>
        <w:rPr>
          <w:color w:val="000000" w:themeColor="text1"/>
          <w:spacing w:val="-4"/>
          <w:sz w:val="24"/>
          <w:highlight w:val="none"/>
          <w14:textFill>
            <w14:solidFill>
              <w14:schemeClr w14:val="tx1"/>
            </w14:solidFill>
          </w14:textFill>
        </w:rPr>
        <w:t>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w:t>
      </w:r>
    </w:p>
    <w:p>
      <w:pPr>
        <w:pStyle w:val="10"/>
        <w:shd w:val="clear"/>
        <w:spacing w:line="360" w:lineRule="auto"/>
        <w:ind w:right="657"/>
        <w:jc w:val="both"/>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《中华人民共和国中小企业促进法》、《关于进一步加大政府采购支持中小企业</w:t>
      </w:r>
      <w:r>
        <w:rPr>
          <w:color w:val="000000" w:themeColor="text1"/>
          <w:spacing w:val="-2"/>
          <w:highlight w:val="none"/>
          <w14:textFill>
            <w14:solidFill>
              <w14:schemeClr w14:val="tx1"/>
            </w14:solidFill>
          </w14:textFill>
        </w:rPr>
        <w:t>力度的通知》（财库〔2022〕19</w:t>
      </w:r>
      <w:r>
        <w:rPr>
          <w:color w:val="000000" w:themeColor="text1"/>
          <w:spacing w:val="-13"/>
          <w:highlight w:val="none"/>
          <w14:textFill>
            <w14:solidFill>
              <w14:schemeClr w14:val="tx1"/>
            </w14:solidFill>
          </w14:textFill>
        </w:rPr>
        <w:t xml:space="preserve"> 号</w:t>
      </w:r>
      <w:r>
        <w:rPr>
          <w:color w:val="000000" w:themeColor="text1"/>
          <w:spacing w:val="-2"/>
          <w:highlight w:val="none"/>
          <w14:textFill>
            <w14:solidFill>
              <w14:schemeClr w14:val="tx1"/>
            </w14:solidFill>
          </w14:textFill>
        </w:rPr>
        <w:t>）</w:t>
      </w:r>
      <w:r>
        <w:rPr>
          <w:color w:val="000000" w:themeColor="text1"/>
          <w:spacing w:val="-3"/>
          <w:highlight w:val="none"/>
          <w14:textFill>
            <w14:solidFill>
              <w14:schemeClr w14:val="tx1"/>
            </w14:solidFill>
          </w14:textFill>
        </w:rPr>
        <w:t>、《政府采购促进中小企业发展管理办法》</w:t>
      </w:r>
    </w:p>
    <w:p>
      <w:pPr>
        <w:pStyle w:val="10"/>
        <w:shd w:val="clear"/>
        <w:spacing w:line="360" w:lineRule="auto"/>
        <w:ind w:right="77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（财库〔2020〕46</w:t>
      </w:r>
      <w:r>
        <w:rPr>
          <w:color w:val="000000" w:themeColor="text1"/>
          <w:spacing w:val="-4"/>
          <w:highlight w:val="none"/>
          <w14:textFill>
            <w14:solidFill>
              <w14:schemeClr w14:val="tx1"/>
            </w14:solidFill>
          </w14:textFill>
        </w:rPr>
        <w:t xml:space="preserve"> 号</w:t>
      </w:r>
      <w:r>
        <w:rPr>
          <w:color w:val="000000" w:themeColor="text1"/>
          <w:highlight w:val="none"/>
          <w14:textFill>
            <w14:solidFill>
              <w14:schemeClr w14:val="tx1"/>
            </w14:solidFill>
          </w14:textFill>
        </w:rPr>
        <w:t>）、《关于印发中小企业划型标准规定的通知》（工信部</w:t>
      </w:r>
      <w:r>
        <w:rPr>
          <w:color w:val="000000" w:themeColor="text1"/>
          <w:spacing w:val="-2"/>
          <w:highlight w:val="none"/>
          <w14:textFill>
            <w14:solidFill>
              <w14:schemeClr w14:val="tx1"/>
            </w14:solidFill>
          </w14:textFill>
        </w:rPr>
        <w:t>联企业〔2011〕300</w:t>
      </w:r>
      <w:r>
        <w:rPr>
          <w:color w:val="000000" w:themeColor="text1"/>
          <w:spacing w:val="-13"/>
          <w:highlight w:val="none"/>
          <w14:textFill>
            <w14:solidFill>
              <w14:schemeClr w14:val="tx1"/>
            </w14:solidFill>
          </w14:textFill>
        </w:rPr>
        <w:t xml:space="preserve"> 号</w:t>
      </w:r>
      <w:r>
        <w:rPr>
          <w:color w:val="000000" w:themeColor="text1"/>
          <w:spacing w:val="-2"/>
          <w:highlight w:val="none"/>
          <w14:textFill>
            <w14:solidFill>
              <w14:schemeClr w14:val="tx1"/>
            </w14:solidFill>
          </w14:textFill>
        </w:rPr>
        <w:t>）、《金融业企业划型标准规定》（〔2015〕309</w:t>
      </w:r>
      <w:r>
        <w:rPr>
          <w:color w:val="000000" w:themeColor="text1"/>
          <w:spacing w:val="-13"/>
          <w:highlight w:val="none"/>
          <w14:textFill>
            <w14:solidFill>
              <w14:schemeClr w14:val="tx1"/>
            </w14:solidFill>
          </w14:textFill>
        </w:rPr>
        <w:t xml:space="preserve"> 号</w:t>
      </w:r>
      <w:r>
        <w:rPr>
          <w:color w:val="000000" w:themeColor="text1"/>
          <w:spacing w:val="-2"/>
          <w:highlight w:val="none"/>
          <w14:textFill>
            <w14:solidFill>
              <w14:schemeClr w14:val="tx1"/>
            </w14:solidFill>
          </w14:textFill>
        </w:rPr>
        <w:t>）等国务院批准的中小企业划分标准执行。</w:t>
      </w:r>
    </w:p>
    <w:p>
      <w:pPr>
        <w:pStyle w:val="19"/>
        <w:numPr>
          <w:ilvl w:val="1"/>
          <w:numId w:val="47"/>
        </w:numPr>
        <w:shd w:val="clear"/>
        <w:tabs>
          <w:tab w:val="left" w:pos="1800"/>
        </w:tabs>
        <w:spacing w:line="360" w:lineRule="auto"/>
        <w:ind w:right="685" w:firstLine="48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为促进中小企业发展，依据《关于印发&lt;政府采购促进中小企业发展管</w:t>
      </w:r>
      <w:r>
        <w:rPr>
          <w:color w:val="000000" w:themeColor="text1"/>
          <w:sz w:val="24"/>
          <w:highlight w:val="none"/>
          <w14:textFill>
            <w14:solidFill>
              <w14:schemeClr w14:val="tx1"/>
            </w14:solidFill>
          </w14:textFill>
        </w:rPr>
        <w:t>理办法&gt;的通知》（财库〔2020〕46</w:t>
      </w:r>
      <w:r>
        <w:rPr>
          <w:color w:val="000000" w:themeColor="text1"/>
          <w:spacing w:val="-7"/>
          <w:sz w:val="24"/>
          <w:highlight w:val="none"/>
          <w14:textFill>
            <w14:solidFill>
              <w14:schemeClr w14:val="tx1"/>
            </w14:solidFill>
          </w14:textFill>
        </w:rPr>
        <w:t xml:space="preserve"> 号</w:t>
      </w:r>
      <w:r>
        <w:rPr>
          <w:color w:val="000000" w:themeColor="text1"/>
          <w:sz w:val="24"/>
          <w:highlight w:val="none"/>
          <w14:textFill>
            <w14:solidFill>
              <w14:schemeClr w14:val="tx1"/>
            </w14:solidFill>
          </w14:textFill>
        </w:rPr>
        <w:t>）、《财政部 司法部关于政府采购支持监狱企业发展有关问题的通知》（财库〔2014〕68</w:t>
      </w:r>
      <w:r>
        <w:rPr>
          <w:color w:val="000000" w:themeColor="text1"/>
          <w:spacing w:val="-21"/>
          <w:sz w:val="24"/>
          <w:highlight w:val="none"/>
          <w14:textFill>
            <w14:solidFill>
              <w14:schemeClr w14:val="tx1"/>
            </w14:solidFill>
          </w14:textFill>
        </w:rPr>
        <w:t xml:space="preserve"> 号</w:t>
      </w:r>
      <w:r>
        <w:rPr>
          <w:color w:val="000000" w:themeColor="text1"/>
          <w:sz w:val="24"/>
          <w:highlight w:val="none"/>
          <w14:textFill>
            <w14:solidFill>
              <w14:schemeClr w14:val="tx1"/>
            </w14:solidFill>
          </w14:textFill>
        </w:rPr>
        <w:t>）、《关于促进残疾人就业政府采购政策的通知》（财库〔2017〕141</w:t>
      </w:r>
      <w:r>
        <w:rPr>
          <w:color w:val="000000" w:themeColor="text1"/>
          <w:spacing w:val="-21"/>
          <w:sz w:val="24"/>
          <w:highlight w:val="none"/>
          <w14:textFill>
            <w14:solidFill>
              <w14:schemeClr w14:val="tx1"/>
            </w14:solidFill>
          </w14:textFill>
        </w:rPr>
        <w:t xml:space="preserve"> 号</w:t>
      </w:r>
      <w:r>
        <w:rPr>
          <w:color w:val="000000" w:themeColor="text1"/>
          <w:sz w:val="24"/>
          <w:highlight w:val="none"/>
          <w14:textFill>
            <w14:solidFill>
              <w14:schemeClr w14:val="tx1"/>
            </w14:solidFill>
          </w14:textFill>
        </w:rPr>
        <w:t>）的规定，本项目供应商如需享</w:t>
      </w:r>
      <w:r>
        <w:rPr>
          <w:color w:val="000000" w:themeColor="text1"/>
          <w:spacing w:val="-2"/>
          <w:sz w:val="24"/>
          <w:highlight w:val="none"/>
          <w14:textFill>
            <w14:solidFill>
              <w14:schemeClr w14:val="tx1"/>
            </w14:solidFill>
          </w14:textFill>
        </w:rPr>
        <w:t>受中小企业相关政策的，且符合上述文件规定的，应按本招标文件规定格式提供 “中小企业声明函”或“监狱企业证明文件”或“残疾人福利性单位声明函”，</w:t>
      </w:r>
    </w:p>
    <w:p>
      <w:pPr>
        <w:shd w:val="clear"/>
        <w:spacing w:line="360" w:lineRule="auto"/>
        <w:rPr>
          <w:color w:val="000000" w:themeColor="text1"/>
          <w:sz w:val="24"/>
          <w:highlight w:val="none"/>
          <w14:textFill>
            <w14:solidFill>
              <w14:schemeClr w14:val="tx1"/>
            </w14:solidFill>
          </w14:textFill>
        </w:rPr>
        <w:sectPr>
          <w:pgSz w:w="11910" w:h="16840"/>
          <w:pgMar w:top="1380" w:right="1020" w:bottom="1180" w:left="1020" w:header="878" w:footer="989" w:gutter="0"/>
          <w:cols w:space="720" w:num="1"/>
        </w:sectPr>
      </w:pPr>
    </w:p>
    <w:p>
      <w:pPr>
        <w:pStyle w:val="10"/>
        <w:shd w:val="clear"/>
        <w:spacing w:before="133" w:line="360" w:lineRule="auto"/>
        <w:ind w:right="685"/>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评审时，评标委员会将依据本招标文件“投标人须知前附表”规定的报价扣除比例，对供应商报价进行价格扣除，用扣除后的价格参与评审；招标公告中明确项目专门面向中小企业采购的，“中小企业声明函”为资格要求文件，供应商参与投标须按本招标文件规定格式提供“中小企业声明函”或“监狱企业证明文件”或“残疾人福利性单位声明函”等作为资格证明文件。</w:t>
      </w:r>
    </w:p>
    <w:p>
      <w:pPr>
        <w:pStyle w:val="19"/>
        <w:numPr>
          <w:ilvl w:val="1"/>
          <w:numId w:val="47"/>
        </w:numPr>
        <w:shd w:val="clear"/>
        <w:tabs>
          <w:tab w:val="left" w:pos="1860"/>
        </w:tabs>
        <w:spacing w:line="360" w:lineRule="auto"/>
        <w:ind w:right="805" w:firstLine="48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供应商提供的货物、工程或者服务符合下列情形的，享受中小企业扶</w:t>
      </w:r>
      <w:r>
        <w:rPr>
          <w:color w:val="000000" w:themeColor="text1"/>
          <w:spacing w:val="-4"/>
          <w:sz w:val="24"/>
          <w:highlight w:val="none"/>
          <w14:textFill>
            <w14:solidFill>
              <w14:schemeClr w14:val="tx1"/>
            </w14:solidFill>
          </w14:textFill>
        </w:rPr>
        <w:t>持政策：</w:t>
      </w:r>
    </w:p>
    <w:p>
      <w:pPr>
        <w:pStyle w:val="19"/>
        <w:numPr>
          <w:ilvl w:val="0"/>
          <w:numId w:val="48"/>
        </w:numPr>
        <w:shd w:val="clear"/>
        <w:tabs>
          <w:tab w:val="left" w:pos="1860"/>
        </w:tabs>
        <w:spacing w:line="360" w:lineRule="auto"/>
        <w:ind w:right="805" w:firstLine="48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在货物采购项目中，货物由中小企业制造，即货物由中小企业生产且使用该中小企业商号或者注册商标；</w:t>
      </w:r>
    </w:p>
    <w:p>
      <w:pPr>
        <w:pStyle w:val="19"/>
        <w:numPr>
          <w:ilvl w:val="0"/>
          <w:numId w:val="48"/>
        </w:numPr>
        <w:shd w:val="clear"/>
        <w:tabs>
          <w:tab w:val="left" w:pos="1860"/>
        </w:tabs>
        <w:spacing w:line="360" w:lineRule="auto"/>
        <w:ind w:right="805" w:firstLine="48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在工程采购项目中，工程由中小企业承建，即工程施工单位为中小企</w:t>
      </w:r>
      <w:r>
        <w:rPr>
          <w:color w:val="000000" w:themeColor="text1"/>
          <w:spacing w:val="-6"/>
          <w:sz w:val="24"/>
          <w:highlight w:val="none"/>
          <w14:textFill>
            <w14:solidFill>
              <w14:schemeClr w14:val="tx1"/>
            </w14:solidFill>
          </w14:textFill>
        </w:rPr>
        <w:t>业；</w:t>
      </w:r>
    </w:p>
    <w:p>
      <w:pPr>
        <w:pStyle w:val="19"/>
        <w:numPr>
          <w:ilvl w:val="0"/>
          <w:numId w:val="48"/>
        </w:numPr>
        <w:shd w:val="clear"/>
        <w:tabs>
          <w:tab w:val="left" w:pos="1860"/>
        </w:tabs>
        <w:spacing w:line="360" w:lineRule="auto"/>
        <w:ind w:right="805" w:firstLine="48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在服务采购项目中，服务由中小企业承接，即提供服务的人员为中小企业依照《中华人民共和国劳动合同法》订立劳动合同的从业人员。</w:t>
      </w:r>
    </w:p>
    <w:p>
      <w:pPr>
        <w:pStyle w:val="19"/>
        <w:numPr>
          <w:ilvl w:val="1"/>
          <w:numId w:val="47"/>
        </w:numPr>
        <w:shd w:val="clear"/>
        <w:tabs>
          <w:tab w:val="left" w:pos="1860"/>
        </w:tabs>
        <w:spacing w:line="360" w:lineRule="auto"/>
        <w:ind w:right="805" w:firstLine="48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在服务采购项目中，供应商提供的服务既有中小企业承接，也有大型企业承接的，不享受中小企业扶持政策。</w:t>
      </w:r>
    </w:p>
    <w:p>
      <w:pPr>
        <w:pStyle w:val="19"/>
        <w:numPr>
          <w:ilvl w:val="1"/>
          <w:numId w:val="47"/>
        </w:numPr>
        <w:shd w:val="clear"/>
        <w:tabs>
          <w:tab w:val="left" w:pos="1860"/>
        </w:tabs>
        <w:spacing w:line="360" w:lineRule="auto"/>
        <w:ind w:right="805" w:firstLine="48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pStyle w:val="19"/>
        <w:numPr>
          <w:ilvl w:val="1"/>
          <w:numId w:val="47"/>
        </w:numPr>
        <w:shd w:val="clear"/>
        <w:tabs>
          <w:tab w:val="left" w:pos="1860"/>
        </w:tabs>
        <w:spacing w:line="360" w:lineRule="auto"/>
        <w:ind w:right="657" w:firstLine="48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w:t>
      </w:r>
      <w:r>
        <w:rPr>
          <w:color w:val="000000" w:themeColor="text1"/>
          <w:spacing w:val="-8"/>
          <w:sz w:val="24"/>
          <w:highlight w:val="none"/>
          <w14:textFill>
            <w14:solidFill>
              <w14:schemeClr w14:val="tx1"/>
            </w14:solidFill>
          </w14:textFill>
        </w:rPr>
        <w:t>狱管理局、戒毒管理局，各地（设区的市）监狱、强制隔离戒毒所、戒毒康复所，</w:t>
      </w:r>
      <w:r>
        <w:rPr>
          <w:color w:val="000000" w:themeColor="text1"/>
          <w:spacing w:val="-2"/>
          <w:sz w:val="24"/>
          <w:highlight w:val="none"/>
          <w14:textFill>
            <w14:solidFill>
              <w14:schemeClr w14:val="tx1"/>
            </w14:solidFill>
          </w14:textFill>
        </w:rPr>
        <w:t>以及新疆生产建设兵团监狱管理局、戒毒管理局的企业。</w:t>
      </w:r>
    </w:p>
    <w:p>
      <w:pPr>
        <w:pStyle w:val="19"/>
        <w:numPr>
          <w:ilvl w:val="1"/>
          <w:numId w:val="47"/>
        </w:numPr>
        <w:shd w:val="clear"/>
        <w:tabs>
          <w:tab w:val="left" w:pos="1860"/>
        </w:tabs>
        <w:spacing w:line="360" w:lineRule="auto"/>
        <w:ind w:right="777" w:firstLine="480"/>
        <w:jc w:val="both"/>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在政府采购活动中，残疾人福利性单位视同小型、微型企业，享受预</w:t>
      </w:r>
      <w:r>
        <w:rPr>
          <w:color w:val="000000" w:themeColor="text1"/>
          <w:spacing w:val="-4"/>
          <w:sz w:val="24"/>
          <w:highlight w:val="none"/>
          <w14:textFill>
            <w14:solidFill>
              <w14:schemeClr w14:val="tx1"/>
            </w14:solidFill>
          </w14:textFill>
        </w:rPr>
        <w:t>留份额、评审中价格扣除等促进中小企业发展的政府采购政策。残疾人福利性单</w:t>
      </w:r>
      <w:r>
        <w:rPr>
          <w:color w:val="000000" w:themeColor="text1"/>
          <w:spacing w:val="-2"/>
          <w:sz w:val="24"/>
          <w:highlight w:val="none"/>
          <w14:textFill>
            <w14:solidFill>
              <w14:schemeClr w14:val="tx1"/>
            </w14:solidFill>
          </w14:textFill>
        </w:rPr>
        <w:t>位定义：享受政府采购支持政策的残疾人福利性单位应当同时满足以下条件：</w:t>
      </w:r>
    </w:p>
    <w:p>
      <w:pPr>
        <w:pStyle w:val="19"/>
        <w:numPr>
          <w:ilvl w:val="2"/>
          <w:numId w:val="47"/>
        </w:numPr>
        <w:shd w:val="clear"/>
        <w:tabs>
          <w:tab w:val="left" w:pos="2100"/>
        </w:tabs>
        <w:spacing w:line="360" w:lineRule="auto"/>
        <w:ind w:right="657" w:firstLine="480"/>
        <w:jc w:val="both"/>
        <w:rPr>
          <w:color w:val="000000" w:themeColor="text1"/>
          <w:sz w:val="24"/>
          <w:highlight w:val="none"/>
          <w14:textFill>
            <w14:solidFill>
              <w14:schemeClr w14:val="tx1"/>
            </w14:solidFill>
          </w14:textFill>
        </w:rPr>
      </w:pPr>
      <w:r>
        <w:rPr>
          <w:color w:val="000000" w:themeColor="text1"/>
          <w:spacing w:val="-4"/>
          <w:sz w:val="24"/>
          <w:highlight w:val="none"/>
          <w14:textFill>
            <w14:solidFill>
              <w14:schemeClr w14:val="tx1"/>
            </w14:solidFill>
          </w14:textFill>
        </w:rPr>
        <w:t xml:space="preserve">安置的残疾人占本单位在职职工人数的比例不低于 </w:t>
      </w:r>
      <w:r>
        <w:rPr>
          <w:color w:val="000000" w:themeColor="text1"/>
          <w:spacing w:val="-2"/>
          <w:sz w:val="24"/>
          <w:highlight w:val="none"/>
          <w14:textFill>
            <w14:solidFill>
              <w14:schemeClr w14:val="tx1"/>
            </w14:solidFill>
          </w14:textFill>
        </w:rPr>
        <w:t>25%（</w:t>
      </w:r>
      <w:r>
        <w:rPr>
          <w:color w:val="000000" w:themeColor="text1"/>
          <w:spacing w:val="-15"/>
          <w:sz w:val="24"/>
          <w:highlight w:val="none"/>
          <w14:textFill>
            <w14:solidFill>
              <w14:schemeClr w14:val="tx1"/>
            </w14:solidFill>
          </w14:textFill>
        </w:rPr>
        <w:t xml:space="preserve">含 </w:t>
      </w:r>
      <w:r>
        <w:rPr>
          <w:color w:val="000000" w:themeColor="text1"/>
          <w:spacing w:val="21"/>
          <w:sz w:val="24"/>
          <w:highlight w:val="none"/>
          <w14:textFill>
            <w14:solidFill>
              <w14:schemeClr w14:val="tx1"/>
            </w14:solidFill>
          </w14:textFill>
        </w:rPr>
        <w:t>25%</w:t>
      </w:r>
      <w:r>
        <w:rPr>
          <w:color w:val="000000" w:themeColor="text1"/>
          <w:spacing w:val="-95"/>
          <w:sz w:val="24"/>
          <w:highlight w:val="none"/>
          <w14:textFill>
            <w14:solidFill>
              <w14:schemeClr w14:val="tx1"/>
            </w14:solidFill>
          </w14:textFill>
        </w:rPr>
        <w:t>）</w:t>
      </w:r>
      <w:r>
        <w:rPr>
          <w:color w:val="000000" w:themeColor="text1"/>
          <w:spacing w:val="21"/>
          <w:sz w:val="24"/>
          <w:highlight w:val="none"/>
          <w14:textFill>
            <w14:solidFill>
              <w14:schemeClr w14:val="tx1"/>
            </w14:solidFill>
          </w14:textFill>
        </w:rPr>
        <w:t>，</w:t>
      </w:r>
      <w:r>
        <w:rPr>
          <w:color w:val="000000" w:themeColor="text1"/>
          <w:sz w:val="24"/>
          <w:highlight w:val="none"/>
          <w14:textFill>
            <w14:solidFill>
              <w14:schemeClr w14:val="tx1"/>
            </w14:solidFill>
          </w14:textFill>
        </w:rPr>
        <w:t>并且安置的残疾人人数不少于 10 人（含 10</w:t>
      </w:r>
      <w:r>
        <w:rPr>
          <w:color w:val="000000" w:themeColor="text1"/>
          <w:spacing w:val="-19"/>
          <w:sz w:val="24"/>
          <w:highlight w:val="none"/>
          <w14:textFill>
            <w14:solidFill>
              <w14:schemeClr w14:val="tx1"/>
            </w14:solidFill>
          </w14:textFill>
        </w:rPr>
        <w:t xml:space="preserve"> 人</w:t>
      </w:r>
      <w:r>
        <w:rPr>
          <w:color w:val="000000" w:themeColor="text1"/>
          <w:sz w:val="24"/>
          <w:highlight w:val="none"/>
          <w14:textFill>
            <w14:solidFill>
              <w14:schemeClr w14:val="tx1"/>
            </w14:solidFill>
          </w14:textFill>
        </w:rPr>
        <w:t>）；</w:t>
      </w:r>
    </w:p>
    <w:p>
      <w:pPr>
        <w:pStyle w:val="19"/>
        <w:numPr>
          <w:ilvl w:val="2"/>
          <w:numId w:val="47"/>
        </w:numPr>
        <w:shd w:val="clear"/>
        <w:tabs>
          <w:tab w:val="left" w:pos="2100"/>
        </w:tabs>
        <w:ind w:left="2100"/>
        <w:jc w:val="both"/>
        <w:rPr>
          <w:color w:val="000000" w:themeColor="text1"/>
          <w:sz w:val="24"/>
          <w:highlight w:val="none"/>
          <w14:textFill>
            <w14:solidFill>
              <w14:schemeClr w14:val="tx1"/>
            </w14:solidFill>
          </w14:textFill>
        </w:rPr>
      </w:pPr>
      <w:r>
        <w:rPr>
          <w:color w:val="000000" w:themeColor="text1"/>
          <w:spacing w:val="-4"/>
          <w:sz w:val="24"/>
          <w:highlight w:val="none"/>
          <w14:textFill>
            <w14:solidFill>
              <w14:schemeClr w14:val="tx1"/>
            </w14:solidFill>
          </w14:textFill>
        </w:rPr>
        <w:t xml:space="preserve">依法与安置的每位残疾人签订了 </w:t>
      </w:r>
      <w:r>
        <w:rPr>
          <w:color w:val="000000" w:themeColor="text1"/>
          <w:sz w:val="24"/>
          <w:highlight w:val="none"/>
          <w14:textFill>
            <w14:solidFill>
              <w14:schemeClr w14:val="tx1"/>
            </w14:solidFill>
          </w14:textFill>
        </w:rPr>
        <w:t>1</w:t>
      </w:r>
      <w:r>
        <w:rPr>
          <w:color w:val="000000" w:themeColor="text1"/>
          <w:spacing w:val="-15"/>
          <w:sz w:val="24"/>
          <w:highlight w:val="none"/>
          <w14:textFill>
            <w14:solidFill>
              <w14:schemeClr w14:val="tx1"/>
            </w14:solidFill>
          </w14:textFill>
        </w:rPr>
        <w:t xml:space="preserve"> 年以上</w:t>
      </w:r>
      <w:r>
        <w:rPr>
          <w:color w:val="000000" w:themeColor="text1"/>
          <w:sz w:val="24"/>
          <w:highlight w:val="none"/>
          <w14:textFill>
            <w14:solidFill>
              <w14:schemeClr w14:val="tx1"/>
            </w14:solidFill>
          </w14:textFill>
        </w:rPr>
        <w:t>（</w:t>
      </w:r>
      <w:r>
        <w:rPr>
          <w:color w:val="000000" w:themeColor="text1"/>
          <w:spacing w:val="-30"/>
          <w:sz w:val="24"/>
          <w:highlight w:val="none"/>
          <w14:textFill>
            <w14:solidFill>
              <w14:schemeClr w14:val="tx1"/>
            </w14:solidFill>
          </w14:textFill>
        </w:rPr>
        <w:t xml:space="preserve">含 </w:t>
      </w:r>
      <w:r>
        <w:rPr>
          <w:color w:val="000000" w:themeColor="text1"/>
          <w:sz w:val="24"/>
          <w:highlight w:val="none"/>
          <w14:textFill>
            <w14:solidFill>
              <w14:schemeClr w14:val="tx1"/>
            </w14:solidFill>
          </w14:textFill>
        </w:rPr>
        <w:t>1</w:t>
      </w:r>
      <w:r>
        <w:rPr>
          <w:color w:val="000000" w:themeColor="text1"/>
          <w:spacing w:val="-30"/>
          <w:sz w:val="24"/>
          <w:highlight w:val="none"/>
          <w14:textFill>
            <w14:solidFill>
              <w14:schemeClr w14:val="tx1"/>
            </w14:solidFill>
          </w14:textFill>
        </w:rPr>
        <w:t xml:space="preserve"> 年</w:t>
      </w:r>
      <w:r>
        <w:rPr>
          <w:color w:val="000000" w:themeColor="text1"/>
          <w:sz w:val="24"/>
          <w:highlight w:val="none"/>
          <w14:textFill>
            <w14:solidFill>
              <w14:schemeClr w14:val="tx1"/>
            </w14:solidFill>
          </w14:textFill>
        </w:rPr>
        <w:t>）</w:t>
      </w:r>
      <w:r>
        <w:rPr>
          <w:color w:val="000000" w:themeColor="text1"/>
          <w:spacing w:val="-2"/>
          <w:sz w:val="24"/>
          <w:highlight w:val="none"/>
          <w14:textFill>
            <w14:solidFill>
              <w14:schemeClr w14:val="tx1"/>
            </w14:solidFill>
          </w14:textFill>
        </w:rPr>
        <w:t>的劳动合同或</w:t>
      </w:r>
    </w:p>
    <w:p>
      <w:pPr>
        <w:shd w:val="clear"/>
        <w:jc w:val="both"/>
        <w:rPr>
          <w:color w:val="000000" w:themeColor="text1"/>
          <w:sz w:val="24"/>
          <w:highlight w:val="none"/>
          <w14:textFill>
            <w14:solidFill>
              <w14:schemeClr w14:val="tx1"/>
            </w14:solidFill>
          </w14:textFill>
        </w:rPr>
        <w:sectPr>
          <w:pgSz w:w="11910" w:h="16840"/>
          <w:pgMar w:top="1380" w:right="1020" w:bottom="1180" w:left="1020" w:header="878" w:footer="989" w:gutter="0"/>
          <w:cols w:space="720" w:num="1"/>
        </w:sectPr>
      </w:pPr>
    </w:p>
    <w:p>
      <w:pPr>
        <w:pStyle w:val="10"/>
        <w:shd w:val="clear"/>
        <w:spacing w:before="133"/>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服务协议；</w:t>
      </w:r>
    </w:p>
    <w:p>
      <w:pPr>
        <w:pStyle w:val="19"/>
        <w:numPr>
          <w:ilvl w:val="2"/>
          <w:numId w:val="47"/>
        </w:numPr>
        <w:shd w:val="clear"/>
        <w:tabs>
          <w:tab w:val="left" w:pos="2100"/>
        </w:tabs>
        <w:spacing w:before="156" w:line="360" w:lineRule="auto"/>
        <w:ind w:right="657" w:firstLine="480"/>
        <w:rPr>
          <w:color w:val="000000" w:themeColor="text1"/>
          <w:sz w:val="24"/>
          <w:highlight w:val="none"/>
          <w14:textFill>
            <w14:solidFill>
              <w14:schemeClr w14:val="tx1"/>
            </w14:solidFill>
          </w14:textFill>
        </w:rPr>
      </w:pPr>
      <w:r>
        <w:rPr>
          <w:color w:val="000000" w:themeColor="text1"/>
          <w:spacing w:val="-7"/>
          <w:sz w:val="24"/>
          <w:highlight w:val="none"/>
          <w14:textFill>
            <w14:solidFill>
              <w14:schemeClr w14:val="tx1"/>
            </w14:solidFill>
          </w14:textFill>
        </w:rPr>
        <w:t>为安置的每位残疾人按月足额缴纳了基本养老保险、基本医疗保险、</w:t>
      </w:r>
      <w:r>
        <w:rPr>
          <w:color w:val="000000" w:themeColor="text1"/>
          <w:spacing w:val="-2"/>
          <w:sz w:val="24"/>
          <w:highlight w:val="none"/>
          <w14:textFill>
            <w14:solidFill>
              <w14:schemeClr w14:val="tx1"/>
            </w14:solidFill>
          </w14:textFill>
        </w:rPr>
        <w:t>失业保险、工伤保险和生育保险等社会保险费；</w:t>
      </w:r>
    </w:p>
    <w:p>
      <w:pPr>
        <w:pStyle w:val="19"/>
        <w:numPr>
          <w:ilvl w:val="2"/>
          <w:numId w:val="47"/>
        </w:numPr>
        <w:shd w:val="clear"/>
        <w:tabs>
          <w:tab w:val="left" w:pos="2100"/>
        </w:tabs>
        <w:spacing w:line="360" w:lineRule="auto"/>
        <w:ind w:right="805" w:firstLine="48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通过银行等金融机构向安置的每位残疾人，按月支付了不低于单位所在区县适用的经省级人民政府批准的月最低工资标准的工资；</w:t>
      </w:r>
    </w:p>
    <w:p>
      <w:pPr>
        <w:pStyle w:val="19"/>
        <w:numPr>
          <w:ilvl w:val="2"/>
          <w:numId w:val="47"/>
        </w:numPr>
        <w:shd w:val="clear"/>
        <w:tabs>
          <w:tab w:val="left" w:pos="2100"/>
        </w:tabs>
        <w:spacing w:line="360" w:lineRule="auto"/>
        <w:ind w:right="777" w:firstLine="480"/>
        <w:jc w:val="both"/>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提供本单位制造的货物、承担的工程或者服务（以下简称产品），</w:t>
      </w:r>
      <w:r>
        <w:rPr>
          <w:color w:val="000000" w:themeColor="text1"/>
          <w:spacing w:val="-7"/>
          <w:sz w:val="24"/>
          <w:highlight w:val="none"/>
          <w14:textFill>
            <w14:solidFill>
              <w14:schemeClr w14:val="tx1"/>
            </w14:solidFill>
          </w14:textFill>
        </w:rPr>
        <w:t>或者提供其他残疾人福利性单位制造的货物</w:t>
      </w:r>
      <w:r>
        <w:rPr>
          <w:color w:val="000000" w:themeColor="text1"/>
          <w:spacing w:val="-2"/>
          <w:sz w:val="24"/>
          <w:highlight w:val="none"/>
          <w14:textFill>
            <w14:solidFill>
              <w14:schemeClr w14:val="tx1"/>
            </w14:solidFill>
          </w14:textFill>
        </w:rPr>
        <w:t>（不包括使用非残疾人福利性单位注册商标的货物）；</w:t>
      </w:r>
    </w:p>
    <w:p>
      <w:pPr>
        <w:pStyle w:val="19"/>
        <w:numPr>
          <w:ilvl w:val="2"/>
          <w:numId w:val="47"/>
        </w:numPr>
        <w:shd w:val="clear"/>
        <w:tabs>
          <w:tab w:val="left" w:pos="2100"/>
        </w:tabs>
        <w:spacing w:line="360" w:lineRule="auto"/>
        <w:ind w:right="777" w:firstLine="480"/>
        <w:jc w:val="both"/>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前款所称残疾人是指法定劳动年龄内，持有《中华人民共和国残疾</w:t>
      </w:r>
      <w:r>
        <w:rPr>
          <w:color w:val="000000" w:themeColor="text1"/>
          <w:sz w:val="24"/>
          <w:highlight w:val="none"/>
          <w14:textFill>
            <w14:solidFill>
              <w14:schemeClr w14:val="tx1"/>
            </w14:solidFill>
          </w14:textFill>
        </w:rPr>
        <w:t>人证》或者《中华人民共和国残疾军人证（1</w:t>
      </w:r>
      <w:r>
        <w:rPr>
          <w:color w:val="000000" w:themeColor="text1"/>
          <w:spacing w:val="-3"/>
          <w:sz w:val="24"/>
          <w:highlight w:val="none"/>
          <w14:textFill>
            <w14:solidFill>
              <w14:schemeClr w14:val="tx1"/>
            </w14:solidFill>
          </w14:textFill>
        </w:rPr>
        <w:t xml:space="preserve"> 至 </w:t>
      </w:r>
      <w:r>
        <w:rPr>
          <w:color w:val="000000" w:themeColor="text1"/>
          <w:sz w:val="24"/>
          <w:highlight w:val="none"/>
          <w14:textFill>
            <w14:solidFill>
              <w14:schemeClr w14:val="tx1"/>
            </w14:solidFill>
          </w14:textFill>
        </w:rPr>
        <w:t>8</w:t>
      </w:r>
      <w:r>
        <w:rPr>
          <w:color w:val="000000" w:themeColor="text1"/>
          <w:spacing w:val="-2"/>
          <w:sz w:val="24"/>
          <w:highlight w:val="none"/>
          <w14:textFill>
            <w14:solidFill>
              <w14:schemeClr w14:val="tx1"/>
            </w14:solidFill>
          </w14:textFill>
        </w:rPr>
        <w:t xml:space="preserve"> 级</w:t>
      </w:r>
      <w:r>
        <w:rPr>
          <w:color w:val="000000" w:themeColor="text1"/>
          <w:sz w:val="24"/>
          <w:highlight w:val="none"/>
          <w14:textFill>
            <w14:solidFill>
              <w14:schemeClr w14:val="tx1"/>
            </w14:solidFill>
          </w14:textFill>
        </w:rPr>
        <w:t>）》的自然人，包括具有</w:t>
      </w:r>
      <w:r>
        <w:rPr>
          <w:color w:val="000000" w:themeColor="text1"/>
          <w:spacing w:val="-8"/>
          <w:sz w:val="24"/>
          <w:highlight w:val="none"/>
          <w14:textFill>
            <w14:solidFill>
              <w14:schemeClr w14:val="tx1"/>
            </w14:solidFill>
          </w14:textFill>
        </w:rPr>
        <w:t>劳动条件和劳动意愿的精神残疾人。在职职工人数是指与残疾人福利性单位建立</w:t>
      </w:r>
      <w:r>
        <w:rPr>
          <w:color w:val="000000" w:themeColor="text1"/>
          <w:spacing w:val="-2"/>
          <w:sz w:val="24"/>
          <w:highlight w:val="none"/>
          <w14:textFill>
            <w14:solidFill>
              <w14:schemeClr w14:val="tx1"/>
            </w14:solidFill>
          </w14:textFill>
        </w:rPr>
        <w:t>劳动关系并依法签订劳动合同或服务协议的雇员人数。</w:t>
      </w:r>
    </w:p>
    <w:p>
      <w:pPr>
        <w:pStyle w:val="19"/>
        <w:numPr>
          <w:ilvl w:val="1"/>
          <w:numId w:val="47"/>
        </w:numPr>
        <w:shd w:val="clear"/>
        <w:tabs>
          <w:tab w:val="left" w:pos="1860"/>
        </w:tabs>
        <w:ind w:left="1860" w:hanging="600"/>
        <w:jc w:val="both"/>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本项目是否专门面向中小企业预留采购份额见“第一章 招标公告”。</w:t>
      </w:r>
    </w:p>
    <w:p>
      <w:pPr>
        <w:pStyle w:val="19"/>
        <w:numPr>
          <w:ilvl w:val="1"/>
          <w:numId w:val="47"/>
        </w:numPr>
        <w:shd w:val="clear"/>
        <w:tabs>
          <w:tab w:val="left" w:pos="1860"/>
        </w:tabs>
        <w:spacing w:before="156"/>
        <w:ind w:left="1860" w:hanging="600"/>
        <w:rPr>
          <w:color w:val="000000" w:themeColor="text1"/>
          <w:sz w:val="24"/>
          <w:highlight w:val="none"/>
          <w14:textFill>
            <w14:solidFill>
              <w14:schemeClr w14:val="tx1"/>
            </w14:solidFill>
          </w14:textFill>
        </w:rPr>
      </w:pPr>
      <w:r>
        <w:rPr>
          <w:color w:val="000000" w:themeColor="text1"/>
          <w:spacing w:val="-5"/>
          <w:sz w:val="24"/>
          <w:highlight w:val="none"/>
          <w14:textFill>
            <w14:solidFill>
              <w14:schemeClr w14:val="tx1"/>
            </w14:solidFill>
          </w14:textFill>
        </w:rPr>
        <w:t>采购标的对应的中小企业划分标准所属行业见“投标人须知前附表”。</w:t>
      </w:r>
    </w:p>
    <w:p>
      <w:pPr>
        <w:pStyle w:val="19"/>
        <w:numPr>
          <w:ilvl w:val="1"/>
          <w:numId w:val="47"/>
        </w:numPr>
        <w:shd w:val="clear"/>
        <w:tabs>
          <w:tab w:val="left" w:pos="1980"/>
        </w:tabs>
        <w:spacing w:before="156" w:line="360" w:lineRule="auto"/>
        <w:ind w:right="777" w:firstLine="480"/>
        <w:rPr>
          <w:color w:val="000000" w:themeColor="text1"/>
          <w:sz w:val="24"/>
          <w:highlight w:val="none"/>
          <w14:textFill>
            <w14:solidFill>
              <w14:schemeClr w14:val="tx1"/>
            </w14:solidFill>
          </w14:textFill>
        </w:rPr>
      </w:pPr>
      <w:r>
        <w:rPr>
          <w:color w:val="000000" w:themeColor="text1"/>
          <w:spacing w:val="-4"/>
          <w:sz w:val="24"/>
          <w:highlight w:val="none"/>
          <w14:textFill>
            <w14:solidFill>
              <w14:schemeClr w14:val="tx1"/>
            </w14:solidFill>
          </w14:textFill>
        </w:rPr>
        <w:t>小微企业价格评审优惠的政策调整：见“投标人须知前附表”及“第</w:t>
      </w:r>
      <w:r>
        <w:rPr>
          <w:color w:val="000000" w:themeColor="text1"/>
          <w:sz w:val="24"/>
          <w:highlight w:val="none"/>
          <w14:textFill>
            <w14:solidFill>
              <w14:schemeClr w14:val="tx1"/>
            </w14:solidFill>
          </w14:textFill>
        </w:rPr>
        <w:t>五章 评标方法及标准”。</w:t>
      </w:r>
    </w:p>
    <w:p>
      <w:pPr>
        <w:pStyle w:val="7"/>
        <w:numPr>
          <w:ilvl w:val="0"/>
          <w:numId w:val="47"/>
        </w:numPr>
        <w:shd w:val="clear"/>
        <w:tabs>
          <w:tab w:val="left" w:pos="1142"/>
        </w:tabs>
        <w:spacing w:before="2"/>
        <w:ind w:left="1142" w:hanging="362"/>
        <w:rPr>
          <w:color w:val="000000" w:themeColor="text1"/>
          <w:highlight w:val="none"/>
          <w14:textFill>
            <w14:solidFill>
              <w14:schemeClr w14:val="tx1"/>
            </w14:solidFill>
          </w14:textFill>
        </w:rPr>
      </w:pPr>
      <w:bookmarkStart w:id="79" w:name="43.政府采购节能产品、环境标志产品"/>
      <w:bookmarkEnd w:id="79"/>
      <w:r>
        <w:rPr>
          <w:color w:val="000000" w:themeColor="text1"/>
          <w:spacing w:val="-3"/>
          <w:highlight w:val="none"/>
          <w14:textFill>
            <w14:solidFill>
              <w14:schemeClr w14:val="tx1"/>
            </w14:solidFill>
          </w14:textFill>
        </w:rPr>
        <w:t>政府采购节能产品、环境标志产品</w:t>
      </w:r>
    </w:p>
    <w:p>
      <w:pPr>
        <w:pStyle w:val="19"/>
        <w:numPr>
          <w:ilvl w:val="1"/>
          <w:numId w:val="47"/>
        </w:numPr>
        <w:shd w:val="clear"/>
        <w:tabs>
          <w:tab w:val="left" w:pos="1860"/>
        </w:tabs>
        <w:spacing w:before="139" w:line="360" w:lineRule="auto"/>
        <w:ind w:right="657" w:firstLine="48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w:t>
      </w:r>
      <w:r>
        <w:rPr>
          <w:color w:val="000000" w:themeColor="text1"/>
          <w:spacing w:val="-8"/>
          <w:sz w:val="24"/>
          <w:highlight w:val="none"/>
          <w14:textFill>
            <w14:solidFill>
              <w14:schemeClr w14:val="tx1"/>
            </w14:solidFill>
          </w14:textFill>
        </w:rPr>
        <w:t>以品目清单的形式发布并适时调整。依据品目清单和认证证书实施政府优先采购</w:t>
      </w:r>
      <w:r>
        <w:rPr>
          <w:color w:val="000000" w:themeColor="text1"/>
          <w:spacing w:val="-2"/>
          <w:sz w:val="24"/>
          <w:highlight w:val="none"/>
          <w14:textFill>
            <w14:solidFill>
              <w14:schemeClr w14:val="tx1"/>
            </w14:solidFill>
          </w14:textFill>
        </w:rPr>
        <w:t>和强制采购。关于政府采购节能产品、环境标志产品的相关规定依据《关于调整</w:t>
      </w:r>
      <w:r>
        <w:rPr>
          <w:color w:val="000000" w:themeColor="text1"/>
          <w:spacing w:val="-4"/>
          <w:sz w:val="24"/>
          <w:highlight w:val="none"/>
          <w14:textFill>
            <w14:solidFill>
              <w14:schemeClr w14:val="tx1"/>
            </w14:solidFill>
          </w14:textFill>
        </w:rPr>
        <w:t>优化节能产品、环境标志产品政府采购执行机制的通知》（财库〔2019〕9 号</w:t>
      </w:r>
      <w:r>
        <w:rPr>
          <w:color w:val="000000" w:themeColor="text1"/>
          <w:spacing w:val="-99"/>
          <w:sz w:val="24"/>
          <w:highlight w:val="none"/>
          <w14:textFill>
            <w14:solidFill>
              <w14:schemeClr w14:val="tx1"/>
            </w14:solidFill>
          </w14:textFill>
        </w:rPr>
        <w:t>）</w:t>
      </w:r>
      <w:r>
        <w:rPr>
          <w:color w:val="000000" w:themeColor="text1"/>
          <w:spacing w:val="-4"/>
          <w:sz w:val="24"/>
          <w:highlight w:val="none"/>
          <w14:textFill>
            <w14:solidFill>
              <w14:schemeClr w14:val="tx1"/>
            </w14:solidFill>
          </w14:textFill>
        </w:rPr>
        <w:t>、</w:t>
      </w:r>
    </w:p>
    <w:p>
      <w:pPr>
        <w:pStyle w:val="10"/>
        <w:shd w:val="clea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《关于印发环境标志产品政府采购品目清单的通知》（财库〔2019〕18</w:t>
      </w:r>
      <w:r>
        <w:rPr>
          <w:color w:val="000000" w:themeColor="text1"/>
          <w:spacing w:val="-30"/>
          <w:highlight w:val="none"/>
          <w14:textFill>
            <w14:solidFill>
              <w14:schemeClr w14:val="tx1"/>
            </w14:solidFill>
          </w14:textFill>
        </w:rPr>
        <w:t xml:space="preserve"> 号</w:t>
      </w:r>
      <w:r>
        <w:rPr>
          <w:color w:val="000000" w:themeColor="text1"/>
          <w:highlight w:val="none"/>
          <w14:textFill>
            <w14:solidFill>
              <w14:schemeClr w14:val="tx1"/>
            </w14:solidFill>
          </w14:textFill>
        </w:rPr>
        <w:t>）</w:t>
      </w:r>
      <w:r>
        <w:rPr>
          <w:color w:val="000000" w:themeColor="text1"/>
          <w:spacing w:val="-10"/>
          <w:highlight w:val="none"/>
          <w14:textFill>
            <w14:solidFill>
              <w14:schemeClr w14:val="tx1"/>
            </w14:solidFill>
          </w14:textFill>
        </w:rPr>
        <w:t>、</w:t>
      </w:r>
    </w:p>
    <w:p>
      <w:pPr>
        <w:pStyle w:val="10"/>
        <w:shd w:val="clear"/>
        <w:spacing w:before="156"/>
        <w:jc w:val="both"/>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《关于印发节能产品政府采购品目清单的通知》（财库〔2019〕19</w:t>
      </w:r>
      <w:r>
        <w:rPr>
          <w:color w:val="000000" w:themeColor="text1"/>
          <w:spacing w:val="-13"/>
          <w:highlight w:val="none"/>
          <w14:textFill>
            <w14:solidFill>
              <w14:schemeClr w14:val="tx1"/>
            </w14:solidFill>
          </w14:textFill>
        </w:rPr>
        <w:t xml:space="preserve"> 号</w:t>
      </w:r>
      <w:r>
        <w:rPr>
          <w:color w:val="000000" w:themeColor="text1"/>
          <w:spacing w:val="-2"/>
          <w:highlight w:val="none"/>
          <w14:textFill>
            <w14:solidFill>
              <w14:schemeClr w14:val="tx1"/>
            </w14:solidFill>
          </w14:textFill>
        </w:rPr>
        <w:t>）</w:t>
      </w:r>
      <w:r>
        <w:rPr>
          <w:color w:val="000000" w:themeColor="text1"/>
          <w:spacing w:val="-4"/>
          <w:highlight w:val="none"/>
          <w14:textFill>
            <w14:solidFill>
              <w14:schemeClr w14:val="tx1"/>
            </w14:solidFill>
          </w14:textFill>
        </w:rPr>
        <w:t>的规定。</w:t>
      </w:r>
    </w:p>
    <w:p>
      <w:pPr>
        <w:pStyle w:val="19"/>
        <w:numPr>
          <w:ilvl w:val="1"/>
          <w:numId w:val="47"/>
        </w:numPr>
        <w:shd w:val="clear"/>
        <w:tabs>
          <w:tab w:val="left" w:pos="1860"/>
        </w:tabs>
        <w:spacing w:before="156" w:line="360" w:lineRule="auto"/>
        <w:ind w:right="777" w:firstLine="480"/>
        <w:jc w:val="both"/>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采购人拟采购的产品属于品目清单范围的，采购人及其委托的采购代</w:t>
      </w:r>
      <w:r>
        <w:rPr>
          <w:color w:val="000000" w:themeColor="text1"/>
          <w:spacing w:val="-4"/>
          <w:sz w:val="24"/>
          <w:highlight w:val="none"/>
          <w14:textFill>
            <w14:solidFill>
              <w14:schemeClr w14:val="tx1"/>
            </w14:solidFill>
          </w14:textFill>
        </w:rPr>
        <w:t>理机构依据国家确定的认证机构出具的、处于有效期之内的节能产品、环境标志</w:t>
      </w:r>
      <w:r>
        <w:rPr>
          <w:color w:val="000000" w:themeColor="text1"/>
          <w:spacing w:val="-2"/>
          <w:sz w:val="24"/>
          <w:highlight w:val="none"/>
          <w14:textFill>
            <w14:solidFill>
              <w14:schemeClr w14:val="tx1"/>
            </w14:solidFill>
          </w14:textFill>
        </w:rPr>
        <w:t>产品认证证书，对获得证书的产品实施政府优先采购或强制采购。</w:t>
      </w:r>
    </w:p>
    <w:p>
      <w:pPr>
        <w:pStyle w:val="19"/>
        <w:numPr>
          <w:ilvl w:val="1"/>
          <w:numId w:val="47"/>
        </w:numPr>
        <w:shd w:val="clear"/>
        <w:tabs>
          <w:tab w:val="left" w:pos="1860"/>
        </w:tabs>
        <w:spacing w:line="360" w:lineRule="auto"/>
        <w:ind w:right="777" w:firstLine="480"/>
        <w:jc w:val="both"/>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如本项目采购产品属于实施政府强制采购品目清单范围的节能产品，</w:t>
      </w:r>
      <w:r>
        <w:rPr>
          <w:color w:val="000000" w:themeColor="text1"/>
          <w:spacing w:val="-6"/>
          <w:sz w:val="24"/>
          <w:highlight w:val="none"/>
          <w14:textFill>
            <w14:solidFill>
              <w14:schemeClr w14:val="tx1"/>
            </w14:solidFill>
          </w14:textFill>
        </w:rPr>
        <w:t>则投标人所报产品必须获得国家确定的认证机构出具的、处于有效期之内的节能</w:t>
      </w:r>
    </w:p>
    <w:p>
      <w:pPr>
        <w:shd w:val="clear"/>
        <w:spacing w:line="360" w:lineRule="auto"/>
        <w:jc w:val="both"/>
        <w:rPr>
          <w:color w:val="000000" w:themeColor="text1"/>
          <w:sz w:val="24"/>
          <w:highlight w:val="none"/>
          <w14:textFill>
            <w14:solidFill>
              <w14:schemeClr w14:val="tx1"/>
            </w14:solidFill>
          </w14:textFill>
        </w:rPr>
        <w:sectPr>
          <w:pgSz w:w="11910" w:h="16840"/>
          <w:pgMar w:top="1380" w:right="1020" w:bottom="1180" w:left="1020" w:header="878" w:footer="989" w:gutter="0"/>
          <w:cols w:space="720" w:num="1"/>
        </w:sectPr>
      </w:pPr>
    </w:p>
    <w:p>
      <w:pPr>
        <w:shd w:val="clear"/>
        <w:spacing w:before="133"/>
        <w:ind w:left="78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产品认证证书，否则</w:t>
      </w:r>
      <w:r>
        <w:rPr>
          <w:b/>
          <w:color w:val="000000" w:themeColor="text1"/>
          <w:spacing w:val="-2"/>
          <w:sz w:val="24"/>
          <w:highlight w:val="none"/>
          <w14:textFill>
            <w14:solidFill>
              <w14:schemeClr w14:val="tx1"/>
            </w14:solidFill>
          </w14:textFill>
        </w:rPr>
        <w:t>投标无效</w:t>
      </w:r>
      <w:r>
        <w:rPr>
          <w:color w:val="000000" w:themeColor="text1"/>
          <w:spacing w:val="-10"/>
          <w:sz w:val="24"/>
          <w:highlight w:val="none"/>
          <w14:textFill>
            <w14:solidFill>
              <w14:schemeClr w14:val="tx1"/>
            </w14:solidFill>
          </w14:textFill>
        </w:rPr>
        <w:t>。</w:t>
      </w:r>
    </w:p>
    <w:p>
      <w:pPr>
        <w:pStyle w:val="19"/>
        <w:numPr>
          <w:ilvl w:val="1"/>
          <w:numId w:val="47"/>
        </w:numPr>
        <w:shd w:val="clear"/>
        <w:tabs>
          <w:tab w:val="left" w:pos="1860"/>
        </w:tabs>
        <w:spacing w:before="156" w:line="360" w:lineRule="auto"/>
        <w:ind w:right="805" w:firstLine="480"/>
        <w:jc w:val="both"/>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非政府强制采购的节能产品或环境标志产品，依据品目清单和认证证书实施政府优先采购。优先采购的具体规定见“第五章 评标方法及标准</w:t>
      </w:r>
      <w:r>
        <w:rPr>
          <w:color w:val="000000" w:themeColor="text1"/>
          <w:sz w:val="24"/>
          <w:highlight w:val="none"/>
          <w14:textFill>
            <w14:solidFill>
              <w14:schemeClr w14:val="tx1"/>
            </w14:solidFill>
          </w14:textFill>
        </w:rPr>
        <w:t>”（如</w:t>
      </w:r>
      <w:r>
        <w:rPr>
          <w:color w:val="000000" w:themeColor="text1"/>
          <w:spacing w:val="-4"/>
          <w:sz w:val="24"/>
          <w:highlight w:val="none"/>
          <w14:textFill>
            <w14:solidFill>
              <w14:schemeClr w14:val="tx1"/>
            </w14:solidFill>
          </w14:textFill>
        </w:rPr>
        <w:t>涉及）。</w:t>
      </w:r>
    </w:p>
    <w:p>
      <w:pPr>
        <w:pStyle w:val="19"/>
        <w:numPr>
          <w:ilvl w:val="1"/>
          <w:numId w:val="47"/>
        </w:numPr>
        <w:shd w:val="clear"/>
        <w:tabs>
          <w:tab w:val="left" w:pos="1860"/>
        </w:tabs>
        <w:spacing w:line="360" w:lineRule="auto"/>
        <w:ind w:right="777" w:firstLine="48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投标人所投产品如属于节能产品政府采购品目清单、环境标志产品政</w:t>
      </w:r>
      <w:r>
        <w:rPr>
          <w:color w:val="000000" w:themeColor="text1"/>
          <w:spacing w:val="-4"/>
          <w:sz w:val="24"/>
          <w:highlight w:val="none"/>
          <w14:textFill>
            <w14:solidFill>
              <w14:schemeClr w14:val="tx1"/>
            </w14:solidFill>
          </w14:textFill>
        </w:rPr>
        <w:t>府采购品目清单范围的，须提供国家确定的认证机构出具的、处于有效期内的产品认证证书，认证证书的产品型号与所投产品不一致的，视为未提供。属于政府强制采购产品的，已作为投标时强制性要求不再给予价格评审优惠，未提供认证证书的视为</w:t>
      </w:r>
      <w:r>
        <w:rPr>
          <w:b/>
          <w:color w:val="000000" w:themeColor="text1"/>
          <w:spacing w:val="-4"/>
          <w:sz w:val="24"/>
          <w:highlight w:val="none"/>
          <w14:textFill>
            <w14:solidFill>
              <w14:schemeClr w14:val="tx1"/>
            </w14:solidFill>
          </w14:textFill>
        </w:rPr>
        <w:t>投标无效</w:t>
      </w:r>
      <w:r>
        <w:rPr>
          <w:color w:val="000000" w:themeColor="text1"/>
          <w:spacing w:val="-4"/>
          <w:sz w:val="24"/>
          <w:highlight w:val="none"/>
          <w14:textFill>
            <w14:solidFill>
              <w14:schemeClr w14:val="tx1"/>
            </w14:solidFill>
          </w14:textFill>
        </w:rPr>
        <w:t>。属于优先采购节能产品政府采购品目清单、环境标志产品</w:t>
      </w:r>
      <w:r>
        <w:rPr>
          <w:color w:val="000000" w:themeColor="text1"/>
          <w:spacing w:val="-1"/>
          <w:sz w:val="24"/>
          <w:highlight w:val="none"/>
          <w14:textFill>
            <w14:solidFill>
              <w14:schemeClr w14:val="tx1"/>
            </w14:solidFill>
          </w14:textFill>
        </w:rPr>
        <w:t>政府采购品目清单、创新产品范围的，按照“第五章 评标方法及标准”中相关</w:t>
      </w:r>
      <w:r>
        <w:rPr>
          <w:color w:val="000000" w:themeColor="text1"/>
          <w:spacing w:val="-2"/>
          <w:sz w:val="24"/>
          <w:highlight w:val="none"/>
          <w14:textFill>
            <w14:solidFill>
              <w14:schemeClr w14:val="tx1"/>
            </w14:solidFill>
          </w14:textFill>
        </w:rPr>
        <w:t>规定在评审时给予价格评审优惠，具体详见“投标人须知前附表”及“第五章评标方法及标准”。</w:t>
      </w:r>
    </w:p>
    <w:p>
      <w:pPr>
        <w:pStyle w:val="7"/>
        <w:shd w:val="clear"/>
        <w:spacing w:before="199"/>
        <w:rPr>
          <w:color w:val="000000" w:themeColor="text1"/>
          <w:highlight w:val="none"/>
          <w14:textFill>
            <w14:solidFill>
              <w14:schemeClr w14:val="tx1"/>
            </w14:solidFill>
          </w14:textFill>
        </w:rPr>
      </w:pPr>
      <w:bookmarkStart w:id="80" w:name="44.正版软件__"/>
      <w:bookmarkEnd w:id="80"/>
      <w:bookmarkStart w:id="81" w:name="46.采购需求标准___"/>
      <w:bookmarkEnd w:id="81"/>
      <w:bookmarkStart w:id="82" w:name="（十五）其他"/>
      <w:bookmarkEnd w:id="82"/>
      <w:r>
        <w:rPr>
          <w:color w:val="000000" w:themeColor="text1"/>
          <w:spacing w:val="-2"/>
          <w:highlight w:val="none"/>
          <w14:textFill>
            <w14:solidFill>
              <w14:schemeClr w14:val="tx1"/>
            </w14:solidFill>
          </w14:textFill>
        </w:rPr>
        <w:t>（十五）</w:t>
      </w:r>
      <w:r>
        <w:rPr>
          <w:color w:val="000000" w:themeColor="text1"/>
          <w:spacing w:val="-6"/>
          <w:highlight w:val="none"/>
          <w14:textFill>
            <w14:solidFill>
              <w14:schemeClr w14:val="tx1"/>
            </w14:solidFill>
          </w14:textFill>
        </w:rPr>
        <w:t>其他</w:t>
      </w:r>
    </w:p>
    <w:p>
      <w:pPr>
        <w:pStyle w:val="7"/>
        <w:numPr>
          <w:ilvl w:val="0"/>
          <w:numId w:val="47"/>
        </w:numPr>
        <w:shd w:val="clear"/>
        <w:tabs>
          <w:tab w:val="left" w:pos="1142"/>
        </w:tabs>
        <w:spacing w:before="2"/>
        <w:ind w:left="1142" w:hanging="362"/>
        <w:rPr>
          <w:color w:val="000000" w:themeColor="text1"/>
          <w:spacing w:val="-4"/>
          <w:highlight w:val="none"/>
          <w14:textFill>
            <w14:solidFill>
              <w14:schemeClr w14:val="tx1"/>
            </w14:solidFill>
          </w14:textFill>
        </w:rPr>
      </w:pPr>
      <w:bookmarkStart w:id="83" w:name="48.需要补充的其他内容"/>
      <w:bookmarkEnd w:id="83"/>
      <w:r>
        <w:rPr>
          <w:color w:val="000000" w:themeColor="text1"/>
          <w:spacing w:val="-4"/>
          <w:highlight w:val="none"/>
          <w14:textFill>
            <w14:solidFill>
              <w14:schemeClr w14:val="tx1"/>
            </w14:solidFill>
          </w14:textFill>
        </w:rPr>
        <w:t>需要补充的其他内容</w:t>
      </w:r>
    </w:p>
    <w:p>
      <w:pPr>
        <w:pStyle w:val="19"/>
        <w:numPr>
          <w:ilvl w:val="1"/>
          <w:numId w:val="47"/>
        </w:numPr>
        <w:shd w:val="clear"/>
        <w:tabs>
          <w:tab w:val="left" w:pos="1860"/>
        </w:tabs>
        <w:spacing w:before="139" w:line="360" w:lineRule="auto"/>
        <w:ind w:right="777" w:firstLine="480"/>
        <w:jc w:val="both"/>
        <w:rPr>
          <w:color w:val="000000" w:themeColor="text1"/>
          <w:spacing w:val="-2"/>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需要补充的其他内容：见投标人须知前附表。</w:t>
      </w:r>
    </w:p>
    <w:p>
      <w:pPr>
        <w:pStyle w:val="7"/>
        <w:numPr>
          <w:ilvl w:val="0"/>
          <w:numId w:val="47"/>
        </w:numPr>
        <w:shd w:val="clear"/>
        <w:tabs>
          <w:tab w:val="left" w:pos="1142"/>
        </w:tabs>
        <w:spacing w:before="2"/>
        <w:ind w:left="1142" w:hanging="362"/>
        <w:rPr>
          <w:color w:val="000000" w:themeColor="text1"/>
          <w:spacing w:val="-4"/>
          <w:highlight w:val="none"/>
          <w14:textFill>
            <w14:solidFill>
              <w14:schemeClr w14:val="tx1"/>
            </w14:solidFill>
          </w14:textFill>
        </w:rPr>
      </w:pPr>
      <w:bookmarkStart w:id="84" w:name="49.适用法律"/>
      <w:bookmarkEnd w:id="84"/>
      <w:r>
        <w:rPr>
          <w:color w:val="000000" w:themeColor="text1"/>
          <w:spacing w:val="-4"/>
          <w:highlight w:val="none"/>
          <w14:textFill>
            <w14:solidFill>
              <w14:schemeClr w14:val="tx1"/>
            </w14:solidFill>
          </w14:textFill>
        </w:rPr>
        <w:t>适用法律</w:t>
      </w:r>
    </w:p>
    <w:p>
      <w:pPr>
        <w:pStyle w:val="19"/>
        <w:numPr>
          <w:ilvl w:val="1"/>
          <w:numId w:val="47"/>
        </w:numPr>
        <w:shd w:val="clear"/>
        <w:tabs>
          <w:tab w:val="left" w:pos="1860"/>
        </w:tabs>
        <w:spacing w:before="139" w:line="360" w:lineRule="auto"/>
        <w:ind w:right="777" w:firstLine="480"/>
        <w:jc w:val="both"/>
        <w:rPr>
          <w:color w:val="000000" w:themeColor="text1"/>
          <w:spacing w:val="-2"/>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采购人、采购代理机构及投标人的一切采购活动均适用《中华人民共和国政府采购法》、《中华人民共和国政府采购法实施条例》、《政府采购货物和服务招标投标管理办法》（财政部令第 87 号）及相关法律法规。</w:t>
      </w:r>
    </w:p>
    <w:p>
      <w:pPr>
        <w:pStyle w:val="19"/>
        <w:numPr>
          <w:ilvl w:val="1"/>
          <w:numId w:val="47"/>
        </w:numPr>
        <w:shd w:val="clear"/>
        <w:tabs>
          <w:tab w:val="left" w:pos="1860"/>
        </w:tabs>
        <w:spacing w:before="139" w:line="360" w:lineRule="auto"/>
        <w:ind w:right="777" w:firstLine="480"/>
        <w:jc w:val="both"/>
        <w:rPr>
          <w:color w:val="000000" w:themeColor="text1"/>
          <w:spacing w:val="-2"/>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政府采购合同的履行、违约责任和解决争议的方法等适用《中华人民共和国民法典》。</w:t>
      </w:r>
    </w:p>
    <w:p>
      <w:pPr>
        <w:pStyle w:val="7"/>
        <w:numPr>
          <w:ilvl w:val="0"/>
          <w:numId w:val="47"/>
        </w:numPr>
        <w:shd w:val="clear"/>
        <w:tabs>
          <w:tab w:val="left" w:pos="1142"/>
        </w:tabs>
        <w:spacing w:before="2"/>
        <w:ind w:left="1142" w:hanging="362"/>
        <w:rPr>
          <w:color w:val="000000" w:themeColor="text1"/>
          <w:spacing w:val="-4"/>
          <w:highlight w:val="none"/>
          <w14:textFill>
            <w14:solidFill>
              <w14:schemeClr w14:val="tx1"/>
            </w14:solidFill>
          </w14:textFill>
        </w:rPr>
      </w:pPr>
      <w:bookmarkStart w:id="85" w:name="50.解释权"/>
      <w:bookmarkEnd w:id="85"/>
      <w:r>
        <w:rPr>
          <w:color w:val="000000" w:themeColor="text1"/>
          <w:spacing w:val="-4"/>
          <w:highlight w:val="none"/>
          <w14:textFill>
            <w14:solidFill>
              <w14:schemeClr w14:val="tx1"/>
            </w14:solidFill>
          </w14:textFill>
        </w:rPr>
        <w:t>解释权</w:t>
      </w:r>
    </w:p>
    <w:p>
      <w:pPr>
        <w:pStyle w:val="19"/>
        <w:numPr>
          <w:ilvl w:val="1"/>
          <w:numId w:val="47"/>
        </w:numPr>
        <w:shd w:val="clear"/>
        <w:tabs>
          <w:tab w:val="left" w:pos="1860"/>
        </w:tabs>
        <w:spacing w:before="139" w:line="360" w:lineRule="auto"/>
        <w:ind w:right="777" w:firstLine="480"/>
        <w:jc w:val="both"/>
        <w:rPr>
          <w:color w:val="000000" w:themeColor="text1"/>
          <w:spacing w:val="-2"/>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本招标文件最终解释权归采购人或采购代理机构所有。</w:t>
      </w:r>
    </w:p>
    <w:p>
      <w:pPr>
        <w:shd w:val="clear"/>
        <w:rPr>
          <w:color w:val="000000" w:themeColor="text1"/>
          <w:sz w:val="24"/>
          <w:highlight w:val="none"/>
          <w14:textFill>
            <w14:solidFill>
              <w14:schemeClr w14:val="tx1"/>
            </w14:solidFill>
          </w14:textFill>
        </w:rPr>
        <w:sectPr>
          <w:pgSz w:w="11910" w:h="16840"/>
          <w:pgMar w:top="1380" w:right="1020" w:bottom="1180" w:left="1020" w:header="878" w:footer="989" w:gutter="0"/>
          <w:cols w:space="720" w:num="1"/>
        </w:sectPr>
      </w:pPr>
    </w:p>
    <w:p>
      <w:pPr>
        <w:pStyle w:val="4"/>
        <w:shd w:val="clear"/>
        <w:outlineLvl w:val="0"/>
        <w:rPr>
          <w:color w:val="000000" w:themeColor="text1"/>
          <w:highlight w:val="none"/>
          <w14:textFill>
            <w14:solidFill>
              <w14:schemeClr w14:val="tx1"/>
            </w14:solidFill>
          </w14:textFill>
        </w:rPr>
      </w:pPr>
      <w:bookmarkStart w:id="86" w:name="_bookmark11"/>
      <w:bookmarkEnd w:id="86"/>
      <w:bookmarkStart w:id="87" w:name="第三章_采购需求"/>
      <w:bookmarkEnd w:id="87"/>
      <w:bookmarkStart w:id="88" w:name="_Toc9340"/>
      <w:r>
        <w:rPr>
          <w:color w:val="000000" w:themeColor="text1"/>
          <w:spacing w:val="-5"/>
          <w:highlight w:val="none"/>
          <w14:textFill>
            <w14:solidFill>
              <w14:schemeClr w14:val="tx1"/>
            </w14:solidFill>
          </w14:textFill>
        </w:rPr>
        <w:t>第三章 采购需求</w:t>
      </w:r>
      <w:bookmarkEnd w:id="88"/>
    </w:p>
    <w:p>
      <w:pPr>
        <w:pStyle w:val="10"/>
        <w:shd w:val="clear"/>
        <w:ind w:left="0"/>
        <w:rPr>
          <w:color w:val="000000" w:themeColor="text1"/>
          <w:highlight w:val="none"/>
          <w14:textFill>
            <w14:solidFill>
              <w14:schemeClr w14:val="tx1"/>
            </w14:solidFill>
          </w14:textFill>
        </w:rPr>
      </w:pPr>
    </w:p>
    <w:p>
      <w:pPr>
        <w:shd w:val="clear"/>
        <w:spacing w:line="440" w:lineRule="exact"/>
        <w:ind w:firstLine="482" w:firstLineChars="200"/>
        <w:jc w:val="both"/>
        <w:rPr>
          <w:b/>
          <w:bCs/>
          <w:color w:val="000000" w:themeColor="text1"/>
          <w:sz w:val="24"/>
          <w:szCs w:val="24"/>
          <w:highlight w:val="none"/>
          <w14:textFill>
            <w14:solidFill>
              <w14:schemeClr w14:val="tx1"/>
            </w14:solidFill>
          </w14:textFill>
        </w:rPr>
      </w:pPr>
      <w:bookmarkStart w:id="89" w:name="一、采购标的_"/>
      <w:bookmarkEnd w:id="89"/>
      <w:bookmarkStart w:id="90" w:name="第四章_资格审查"/>
      <w:bookmarkEnd w:id="90"/>
      <w:bookmarkStart w:id="91" w:name="_bookmark12"/>
      <w:bookmarkEnd w:id="91"/>
      <w:bookmarkStart w:id="92" w:name="_bookmark15"/>
      <w:bookmarkEnd w:id="92"/>
      <w:r>
        <w:rPr>
          <w:rFonts w:hint="eastAsia"/>
          <w:b/>
          <w:color w:val="000000" w:themeColor="text1"/>
          <w:kern w:val="2"/>
          <w:sz w:val="24"/>
          <w:szCs w:val="24"/>
          <w:highlight w:val="none"/>
          <w:lang w:bidi="ar"/>
          <w14:textFill>
            <w14:solidFill>
              <w14:schemeClr w14:val="tx1"/>
            </w14:solidFill>
          </w14:textFill>
        </w:rPr>
        <w:t>一、</w:t>
      </w:r>
      <w:r>
        <w:rPr>
          <w:rFonts w:hint="eastAsia" w:ascii="仿宋" w:hAnsi="仿宋"/>
          <w:b/>
          <w:bCs/>
          <w:color w:val="000000" w:themeColor="text1"/>
          <w:kern w:val="2"/>
          <w:sz w:val="24"/>
          <w:szCs w:val="24"/>
          <w:highlight w:val="none"/>
          <w:lang w:bidi="ar"/>
          <w14:textFill>
            <w14:solidFill>
              <w14:schemeClr w14:val="tx1"/>
            </w14:solidFill>
          </w14:textFill>
        </w:rPr>
        <w:t>本项目服务团队配置要求：</w:t>
      </w:r>
    </w:p>
    <w:p>
      <w:pPr>
        <w:shd w:val="clear"/>
        <w:spacing w:line="440" w:lineRule="exact"/>
        <w:ind w:firstLine="482" w:firstLineChars="200"/>
        <w:jc w:val="both"/>
        <w:rPr>
          <w:color w:val="000000" w:themeColor="text1"/>
          <w:sz w:val="24"/>
          <w:szCs w:val="24"/>
          <w:highlight w:val="none"/>
          <w14:textFill>
            <w14:solidFill>
              <w14:schemeClr w14:val="tx1"/>
            </w14:solidFill>
          </w14:textFill>
        </w:rPr>
      </w:pPr>
      <w:r>
        <w:rPr>
          <w:rFonts w:hint="eastAsia" w:ascii="仿宋" w:hAnsi="仿宋"/>
          <w:b/>
          <w:bCs/>
          <w:color w:val="000000" w:themeColor="text1"/>
          <w:kern w:val="2"/>
          <w:sz w:val="24"/>
          <w:szCs w:val="24"/>
          <w:highlight w:val="none"/>
          <w:lang w:bidi="ar"/>
          <w14:textFill>
            <w14:solidFill>
              <w14:schemeClr w14:val="tx1"/>
            </w14:solidFill>
          </w14:textFill>
        </w:rPr>
        <w:t>第一标段（葡萄苑餐厅一楼和二楼项目）</w:t>
      </w:r>
      <w:r>
        <w:rPr>
          <w:rFonts w:hint="eastAsia" w:ascii="仿宋" w:hAnsi="仿宋"/>
          <w:color w:val="000000" w:themeColor="text1"/>
          <w:kern w:val="2"/>
          <w:sz w:val="24"/>
          <w:szCs w:val="24"/>
          <w:highlight w:val="none"/>
          <w:lang w:bidi="ar"/>
          <w14:textFill>
            <w14:solidFill>
              <w14:schemeClr w14:val="tx1"/>
            </w14:solidFill>
          </w14:textFill>
        </w:rPr>
        <w:t>工作人员不得超于</w:t>
      </w:r>
      <w:r>
        <w:rPr>
          <w:rFonts w:ascii="Times New Roman" w:hAnsi="Times New Roman" w:cs="Calibri"/>
          <w:color w:val="000000" w:themeColor="text1"/>
          <w:kern w:val="2"/>
          <w:sz w:val="24"/>
          <w:szCs w:val="24"/>
          <w:highlight w:val="none"/>
          <w:lang w:bidi="ar"/>
          <w14:textFill>
            <w14:solidFill>
              <w14:schemeClr w14:val="tx1"/>
            </w14:solidFill>
          </w14:textFill>
        </w:rPr>
        <w:t>45</w:t>
      </w:r>
      <w:r>
        <w:rPr>
          <w:rFonts w:hint="eastAsia" w:ascii="仿宋" w:hAnsi="仿宋"/>
          <w:color w:val="000000" w:themeColor="text1"/>
          <w:kern w:val="2"/>
          <w:sz w:val="24"/>
          <w:szCs w:val="24"/>
          <w:highlight w:val="none"/>
          <w:lang w:bidi="ar"/>
          <w14:textFill>
            <w14:solidFill>
              <w14:schemeClr w14:val="tx1"/>
            </w14:solidFill>
          </w14:textFill>
        </w:rPr>
        <w:t>人，岗位职数可根据餐厅实际经营项目情况调整，男性年龄55周岁以下，女性年龄50周岁以下；要求厨师不少于</w:t>
      </w:r>
      <w:r>
        <w:rPr>
          <w:rFonts w:ascii="Times New Roman" w:hAnsi="Times New Roman" w:cs="Calibri"/>
          <w:color w:val="000000" w:themeColor="text1"/>
          <w:kern w:val="2"/>
          <w:sz w:val="24"/>
          <w:szCs w:val="24"/>
          <w:highlight w:val="none"/>
          <w:lang w:bidi="ar"/>
          <w14:textFill>
            <w14:solidFill>
              <w14:schemeClr w14:val="tx1"/>
            </w14:solidFill>
          </w14:textFill>
        </w:rPr>
        <w:t>10</w:t>
      </w:r>
      <w:r>
        <w:rPr>
          <w:rFonts w:hint="eastAsia" w:ascii="仿宋" w:hAnsi="仿宋"/>
          <w:color w:val="000000" w:themeColor="text1"/>
          <w:kern w:val="2"/>
          <w:sz w:val="24"/>
          <w:szCs w:val="24"/>
          <w:highlight w:val="none"/>
          <w:lang w:bidi="ar"/>
          <w14:textFill>
            <w14:solidFill>
              <w14:schemeClr w14:val="tx1"/>
            </w14:solidFill>
          </w14:textFill>
        </w:rPr>
        <w:t>人，其中具备高级（国家职业资格三级）及以上（含三级）不少于</w:t>
      </w:r>
      <w:r>
        <w:rPr>
          <w:rFonts w:ascii="Times New Roman" w:hAnsi="Times New Roman" w:cs="Calibri"/>
          <w:color w:val="000000" w:themeColor="text1"/>
          <w:kern w:val="2"/>
          <w:sz w:val="24"/>
          <w:szCs w:val="24"/>
          <w:highlight w:val="none"/>
          <w:lang w:bidi="ar"/>
          <w14:textFill>
            <w14:solidFill>
              <w14:schemeClr w14:val="tx1"/>
            </w14:solidFill>
          </w14:textFill>
        </w:rPr>
        <w:t>2</w:t>
      </w:r>
      <w:r>
        <w:rPr>
          <w:rFonts w:hint="eastAsia" w:ascii="仿宋" w:hAnsi="仿宋"/>
          <w:color w:val="000000" w:themeColor="text1"/>
          <w:kern w:val="2"/>
          <w:sz w:val="24"/>
          <w:szCs w:val="24"/>
          <w:highlight w:val="none"/>
          <w:lang w:bidi="ar"/>
          <w14:textFill>
            <w14:solidFill>
              <w14:schemeClr w14:val="tx1"/>
            </w14:solidFill>
          </w14:textFill>
        </w:rPr>
        <w:t>名；具备中级（国家职业资格四级）及以上（含四级）不少于</w:t>
      </w:r>
      <w:r>
        <w:rPr>
          <w:rFonts w:ascii="Times New Roman" w:hAnsi="Times New Roman" w:cs="Calibri"/>
          <w:color w:val="000000" w:themeColor="text1"/>
          <w:kern w:val="2"/>
          <w:sz w:val="24"/>
          <w:szCs w:val="24"/>
          <w:highlight w:val="none"/>
          <w:lang w:bidi="ar"/>
          <w14:textFill>
            <w14:solidFill>
              <w14:schemeClr w14:val="tx1"/>
            </w14:solidFill>
          </w14:textFill>
        </w:rPr>
        <w:t>4</w:t>
      </w:r>
      <w:r>
        <w:rPr>
          <w:rFonts w:hint="eastAsia" w:ascii="仿宋" w:hAnsi="仿宋"/>
          <w:color w:val="000000" w:themeColor="text1"/>
          <w:kern w:val="2"/>
          <w:sz w:val="24"/>
          <w:szCs w:val="24"/>
          <w:highlight w:val="none"/>
          <w:lang w:bidi="ar"/>
          <w14:textFill>
            <w14:solidFill>
              <w14:schemeClr w14:val="tx1"/>
            </w14:solidFill>
          </w14:textFill>
        </w:rPr>
        <w:t>名。并提供人员配置清单及有效的身份证、健康证扫描件、健康体检报告。对无健康证或健康检测不合格者严禁使用。</w:t>
      </w:r>
    </w:p>
    <w:p>
      <w:pPr>
        <w:shd w:val="clear"/>
        <w:spacing w:line="440" w:lineRule="exact"/>
        <w:ind w:firstLine="482" w:firstLineChars="200"/>
        <w:jc w:val="both"/>
        <w:rPr>
          <w:color w:val="000000" w:themeColor="text1"/>
          <w:sz w:val="24"/>
          <w:szCs w:val="24"/>
          <w:highlight w:val="none"/>
          <w14:textFill>
            <w14:solidFill>
              <w14:schemeClr w14:val="tx1"/>
            </w14:solidFill>
          </w14:textFill>
        </w:rPr>
      </w:pPr>
      <w:r>
        <w:rPr>
          <w:rFonts w:hint="eastAsia" w:ascii="仿宋" w:hAnsi="仿宋"/>
          <w:b/>
          <w:bCs/>
          <w:color w:val="000000" w:themeColor="text1"/>
          <w:kern w:val="2"/>
          <w:sz w:val="24"/>
          <w:szCs w:val="24"/>
          <w:highlight w:val="none"/>
          <w:lang w:bidi="ar"/>
          <w14:textFill>
            <w14:solidFill>
              <w14:schemeClr w14:val="tx1"/>
            </w14:solidFill>
          </w14:textFill>
        </w:rPr>
        <w:t>第二标段（葡萄苑餐厅三楼项目）</w:t>
      </w:r>
      <w:r>
        <w:rPr>
          <w:rFonts w:hint="eastAsia" w:ascii="仿宋" w:hAnsi="仿宋"/>
          <w:color w:val="000000" w:themeColor="text1"/>
          <w:kern w:val="2"/>
          <w:sz w:val="24"/>
          <w:szCs w:val="24"/>
          <w:highlight w:val="none"/>
          <w:lang w:bidi="ar"/>
          <w14:textFill>
            <w14:solidFill>
              <w14:schemeClr w14:val="tx1"/>
            </w14:solidFill>
          </w14:textFill>
        </w:rPr>
        <w:t>工作人员不得超于</w:t>
      </w:r>
      <w:r>
        <w:rPr>
          <w:rFonts w:ascii="Times New Roman" w:hAnsi="Times New Roman" w:cs="Calibri"/>
          <w:color w:val="000000" w:themeColor="text1"/>
          <w:kern w:val="2"/>
          <w:sz w:val="24"/>
          <w:szCs w:val="24"/>
          <w:highlight w:val="none"/>
          <w:lang w:bidi="ar"/>
          <w14:textFill>
            <w14:solidFill>
              <w14:schemeClr w14:val="tx1"/>
            </w14:solidFill>
          </w14:textFill>
        </w:rPr>
        <w:t>30</w:t>
      </w:r>
      <w:r>
        <w:rPr>
          <w:rFonts w:hint="eastAsia" w:ascii="仿宋" w:hAnsi="仿宋"/>
          <w:color w:val="000000" w:themeColor="text1"/>
          <w:kern w:val="2"/>
          <w:sz w:val="24"/>
          <w:szCs w:val="24"/>
          <w:highlight w:val="none"/>
          <w:lang w:bidi="ar"/>
          <w14:textFill>
            <w14:solidFill>
              <w14:schemeClr w14:val="tx1"/>
            </w14:solidFill>
          </w14:textFill>
        </w:rPr>
        <w:t>人，岗位职数可根据餐厅实际经营项目情况调整，男性年龄55周岁以下，女性年龄50周岁以下；要求厨师不少于</w:t>
      </w:r>
      <w:r>
        <w:rPr>
          <w:rFonts w:ascii="Times New Roman" w:hAnsi="Times New Roman" w:cs="Calibri"/>
          <w:color w:val="000000" w:themeColor="text1"/>
          <w:kern w:val="2"/>
          <w:sz w:val="24"/>
          <w:szCs w:val="24"/>
          <w:highlight w:val="none"/>
          <w:lang w:bidi="ar"/>
          <w14:textFill>
            <w14:solidFill>
              <w14:schemeClr w14:val="tx1"/>
            </w14:solidFill>
          </w14:textFill>
        </w:rPr>
        <w:t>5</w:t>
      </w:r>
      <w:r>
        <w:rPr>
          <w:rFonts w:hint="eastAsia" w:ascii="仿宋" w:hAnsi="仿宋"/>
          <w:color w:val="000000" w:themeColor="text1"/>
          <w:kern w:val="2"/>
          <w:sz w:val="24"/>
          <w:szCs w:val="24"/>
          <w:highlight w:val="none"/>
          <w:lang w:bidi="ar"/>
          <w14:textFill>
            <w14:solidFill>
              <w14:schemeClr w14:val="tx1"/>
            </w14:solidFill>
          </w14:textFill>
        </w:rPr>
        <w:t>人，其中具备高级（国家职业资格三级）及以上（含三级）不少于</w:t>
      </w:r>
      <w:r>
        <w:rPr>
          <w:rFonts w:ascii="Times New Roman" w:hAnsi="Times New Roman" w:cs="Calibri"/>
          <w:color w:val="000000" w:themeColor="text1"/>
          <w:kern w:val="2"/>
          <w:sz w:val="24"/>
          <w:szCs w:val="24"/>
          <w:highlight w:val="none"/>
          <w:lang w:bidi="ar"/>
          <w14:textFill>
            <w14:solidFill>
              <w14:schemeClr w14:val="tx1"/>
            </w14:solidFill>
          </w14:textFill>
        </w:rPr>
        <w:t>1</w:t>
      </w:r>
      <w:r>
        <w:rPr>
          <w:rFonts w:hint="eastAsia" w:ascii="仿宋" w:hAnsi="仿宋"/>
          <w:color w:val="000000" w:themeColor="text1"/>
          <w:kern w:val="2"/>
          <w:sz w:val="24"/>
          <w:szCs w:val="24"/>
          <w:highlight w:val="none"/>
          <w:lang w:bidi="ar"/>
          <w14:textFill>
            <w14:solidFill>
              <w14:schemeClr w14:val="tx1"/>
            </w14:solidFill>
          </w14:textFill>
        </w:rPr>
        <w:t>名；具备中级（国家职业资格四级）及以上（含四级）不少于</w:t>
      </w:r>
      <w:r>
        <w:rPr>
          <w:rFonts w:ascii="Times New Roman" w:hAnsi="Times New Roman" w:cs="Calibri"/>
          <w:color w:val="000000" w:themeColor="text1"/>
          <w:kern w:val="2"/>
          <w:sz w:val="24"/>
          <w:szCs w:val="24"/>
          <w:highlight w:val="none"/>
          <w:lang w:bidi="ar"/>
          <w14:textFill>
            <w14:solidFill>
              <w14:schemeClr w14:val="tx1"/>
            </w14:solidFill>
          </w14:textFill>
        </w:rPr>
        <w:t>1</w:t>
      </w:r>
      <w:r>
        <w:rPr>
          <w:rFonts w:hint="eastAsia" w:ascii="仿宋" w:hAnsi="仿宋"/>
          <w:color w:val="000000" w:themeColor="text1"/>
          <w:kern w:val="2"/>
          <w:sz w:val="24"/>
          <w:szCs w:val="24"/>
          <w:highlight w:val="none"/>
          <w:lang w:bidi="ar"/>
          <w14:textFill>
            <w14:solidFill>
              <w14:schemeClr w14:val="tx1"/>
            </w14:solidFill>
          </w14:textFill>
        </w:rPr>
        <w:t>名。并提供人员配置清单及有效的身份证、健康证扫描件、健康体检报告。对无健康证或健康检测不合格者严禁使用。</w:t>
      </w:r>
    </w:p>
    <w:p>
      <w:pPr>
        <w:shd w:val="clear"/>
        <w:spacing w:line="440" w:lineRule="exact"/>
        <w:ind w:firstLine="482" w:firstLineChars="200"/>
        <w:jc w:val="both"/>
        <w:rPr>
          <w:color w:val="000000" w:themeColor="text1"/>
          <w:sz w:val="24"/>
          <w:szCs w:val="24"/>
          <w:highlight w:val="none"/>
          <w14:textFill>
            <w14:solidFill>
              <w14:schemeClr w14:val="tx1"/>
            </w14:solidFill>
          </w14:textFill>
        </w:rPr>
      </w:pPr>
      <w:r>
        <w:rPr>
          <w:rFonts w:hint="eastAsia" w:ascii="仿宋" w:hAnsi="仿宋"/>
          <w:b/>
          <w:color w:val="000000" w:themeColor="text1"/>
          <w:kern w:val="2"/>
          <w:sz w:val="24"/>
          <w:szCs w:val="24"/>
          <w:highlight w:val="none"/>
          <w:lang w:bidi="ar"/>
          <w14:textFill>
            <w14:solidFill>
              <w14:schemeClr w14:val="tx1"/>
            </w14:solidFill>
          </w14:textFill>
        </w:rPr>
        <w:t>响应文件中餐饮服务团队</w:t>
      </w:r>
      <w:r>
        <w:rPr>
          <w:rFonts w:hint="eastAsia" w:ascii="仿宋" w:hAnsi="仿宋"/>
          <w:color w:val="000000" w:themeColor="text1"/>
          <w:kern w:val="2"/>
          <w:sz w:val="24"/>
          <w:szCs w:val="24"/>
          <w:highlight w:val="none"/>
          <w:lang w:bidi="ar"/>
          <w14:textFill>
            <w14:solidFill>
              <w14:schemeClr w14:val="tx1"/>
            </w14:solidFill>
          </w14:textFill>
        </w:rPr>
        <w:t>（主管、厨师、服务人员）人员的配置需与实际派驻人员一致，派驻人员若有调整变动，需报采购方审核同意且符合相应资格要求。</w:t>
      </w:r>
    </w:p>
    <w:p>
      <w:pPr>
        <w:shd w:val="clear"/>
        <w:spacing w:line="440" w:lineRule="exact"/>
        <w:ind w:firstLine="482" w:firstLineChars="200"/>
        <w:jc w:val="both"/>
        <w:rPr>
          <w:color w:val="000000" w:themeColor="text1"/>
          <w:sz w:val="24"/>
          <w:szCs w:val="24"/>
          <w:highlight w:val="none"/>
          <w14:textFill>
            <w14:solidFill>
              <w14:schemeClr w14:val="tx1"/>
            </w14:solidFill>
          </w14:textFill>
        </w:rPr>
      </w:pPr>
      <w:r>
        <w:rPr>
          <w:rFonts w:hint="eastAsia" w:ascii="Times New Roman" w:hAnsi="Times New Roman" w:cs="Calibri"/>
          <w:b/>
          <w:bCs/>
          <w:color w:val="000000" w:themeColor="text1"/>
          <w:kern w:val="2"/>
          <w:sz w:val="24"/>
          <w:szCs w:val="24"/>
          <w:highlight w:val="none"/>
          <w:lang w:bidi="ar"/>
          <w14:textFill>
            <w14:solidFill>
              <w14:schemeClr w14:val="tx1"/>
            </w14:solidFill>
          </w14:textFill>
        </w:rPr>
        <w:t>二、</w:t>
      </w:r>
      <w:r>
        <w:rPr>
          <w:rFonts w:hint="eastAsia" w:ascii="仿宋" w:hAnsi="仿宋"/>
          <w:b/>
          <w:bCs/>
          <w:color w:val="000000" w:themeColor="text1"/>
          <w:kern w:val="2"/>
          <w:sz w:val="24"/>
          <w:szCs w:val="24"/>
          <w:highlight w:val="none"/>
          <w:lang w:bidi="ar"/>
          <w14:textFill>
            <w14:solidFill>
              <w14:schemeClr w14:val="tx1"/>
            </w14:solidFill>
          </w14:textFill>
        </w:rPr>
        <w:t>服务地点：</w:t>
      </w:r>
      <w:r>
        <w:rPr>
          <w:rFonts w:hint="eastAsia" w:ascii="仿宋" w:hAnsi="仿宋"/>
          <w:color w:val="000000" w:themeColor="text1"/>
          <w:kern w:val="2"/>
          <w:sz w:val="24"/>
          <w:szCs w:val="24"/>
          <w:highlight w:val="none"/>
          <w:lang w:bidi="ar"/>
          <w14:textFill>
            <w14:solidFill>
              <w14:schemeClr w14:val="tx1"/>
            </w14:solidFill>
          </w14:textFill>
        </w:rPr>
        <w:t>新疆农业大学亚心校区葡萄苑餐厅。</w:t>
      </w:r>
    </w:p>
    <w:p>
      <w:pPr>
        <w:pStyle w:val="8"/>
        <w:widowControl/>
        <w:shd w:val="clear"/>
        <w:spacing w:line="440" w:lineRule="exact"/>
        <w:ind w:firstLine="482" w:firstLineChars="200"/>
        <w:rPr>
          <w:rFonts w:ascii="仿宋" w:hAnsi="仿宋" w:cs="仿宋"/>
          <w:b/>
          <w:bCs/>
          <w:color w:val="000000" w:themeColor="text1"/>
          <w:sz w:val="24"/>
          <w:highlight w:val="none"/>
          <w14:textFill>
            <w14:solidFill>
              <w14:schemeClr w14:val="tx1"/>
            </w14:solidFill>
          </w14:textFill>
        </w:rPr>
      </w:pPr>
      <w:r>
        <w:rPr>
          <w:rFonts w:hint="eastAsia" w:ascii="仿宋" w:hAnsi="仿宋" w:cs="宋体"/>
          <w:b/>
          <w:bCs/>
          <w:color w:val="000000" w:themeColor="text1"/>
          <w:sz w:val="24"/>
          <w:highlight w:val="none"/>
          <w14:textFill>
            <w14:solidFill>
              <w14:schemeClr w14:val="tx1"/>
            </w14:solidFill>
          </w14:textFill>
        </w:rPr>
        <w:t>三、经营和服务内容：</w:t>
      </w:r>
    </w:p>
    <w:p>
      <w:pPr>
        <w:pStyle w:val="8"/>
        <w:widowControl/>
        <w:shd w:val="clear"/>
        <w:spacing w:line="440" w:lineRule="exact"/>
        <w:rPr>
          <w:b/>
          <w:bCs/>
          <w:color w:val="000000" w:themeColor="text1"/>
          <w:sz w:val="24"/>
          <w:highlight w:val="none"/>
          <w14:textFill>
            <w14:solidFill>
              <w14:schemeClr w14:val="tx1"/>
            </w14:solidFill>
          </w14:textFill>
        </w:rPr>
      </w:pPr>
      <w:r>
        <w:rPr>
          <w:rFonts w:hint="eastAsia" w:cs="宋体"/>
          <w:b/>
          <w:bCs/>
          <w:color w:val="000000" w:themeColor="text1"/>
          <w:sz w:val="24"/>
          <w:highlight w:val="none"/>
          <w14:textFill>
            <w14:solidFill>
              <w14:schemeClr w14:val="tx1"/>
            </w14:solidFill>
          </w14:textFill>
        </w:rPr>
        <w:t>第一标段：</w:t>
      </w:r>
      <w:r>
        <w:rPr>
          <w:rFonts w:hint="eastAsia" w:cs="宋体"/>
          <w:color w:val="000000" w:themeColor="text1"/>
          <w:sz w:val="24"/>
          <w:highlight w:val="none"/>
          <w14:textFill>
            <w14:solidFill>
              <w14:schemeClr w14:val="tx1"/>
            </w14:solidFill>
          </w14:textFill>
        </w:rPr>
        <w:t>以购买餐饮服务团队方式提供一日三餐中华传统美食服务，主要提供基本保障餐和教职工午餐。</w:t>
      </w:r>
    </w:p>
    <w:p>
      <w:pPr>
        <w:pStyle w:val="8"/>
        <w:widowControl/>
        <w:shd w:val="clear"/>
        <w:spacing w:line="440" w:lineRule="exact"/>
        <w:rPr>
          <w:b/>
          <w:bCs/>
          <w:color w:val="000000" w:themeColor="text1"/>
          <w:sz w:val="24"/>
          <w:highlight w:val="none"/>
          <w14:textFill>
            <w14:solidFill>
              <w14:schemeClr w14:val="tx1"/>
            </w14:solidFill>
          </w14:textFill>
        </w:rPr>
      </w:pPr>
      <w:r>
        <w:rPr>
          <w:rFonts w:hint="eastAsia" w:cs="宋体"/>
          <w:b/>
          <w:bCs/>
          <w:color w:val="000000" w:themeColor="text1"/>
          <w:sz w:val="24"/>
          <w:highlight w:val="none"/>
          <w14:textFill>
            <w14:solidFill>
              <w14:schemeClr w14:val="tx1"/>
            </w14:solidFill>
          </w14:textFill>
        </w:rPr>
        <w:t>第二标段</w:t>
      </w:r>
      <w:r>
        <w:rPr>
          <w:b/>
          <w:bCs/>
          <w:color w:val="000000" w:themeColor="text1"/>
          <w:sz w:val="24"/>
          <w:highlight w:val="none"/>
          <w14:textFill>
            <w14:solidFill>
              <w14:schemeClr w14:val="tx1"/>
            </w14:solidFill>
          </w14:textFill>
        </w:rPr>
        <w:t>:</w:t>
      </w:r>
      <w:r>
        <w:rPr>
          <w:rFonts w:hint="eastAsia" w:cs="宋体"/>
          <w:color w:val="000000" w:themeColor="text1"/>
          <w:sz w:val="24"/>
          <w:highlight w:val="none"/>
          <w14:textFill>
            <w14:solidFill>
              <w14:schemeClr w14:val="tx1"/>
            </w14:solidFill>
          </w14:textFill>
        </w:rPr>
        <w:t>以购买餐饮服务团队方式提供一日三餐中华传统美食服务，要求餐厅窗口数量不得低于</w:t>
      </w:r>
      <w:r>
        <w:rPr>
          <w:color w:val="000000" w:themeColor="text1"/>
          <w:sz w:val="24"/>
          <w:highlight w:val="none"/>
          <w14:textFill>
            <w14:solidFill>
              <w14:schemeClr w14:val="tx1"/>
            </w14:solidFill>
          </w14:textFill>
        </w:rPr>
        <w:t>10</w:t>
      </w:r>
      <w:r>
        <w:rPr>
          <w:rFonts w:hint="eastAsia" w:cs="宋体"/>
          <w:color w:val="000000" w:themeColor="text1"/>
          <w:sz w:val="24"/>
          <w:highlight w:val="none"/>
          <w14:textFill>
            <w14:solidFill>
              <w14:schemeClr w14:val="tx1"/>
            </w14:solidFill>
          </w14:textFill>
        </w:rPr>
        <w:t>个。</w:t>
      </w:r>
    </w:p>
    <w:p>
      <w:pPr>
        <w:pStyle w:val="8"/>
        <w:widowControl/>
        <w:shd w:val="clear"/>
        <w:spacing w:line="440" w:lineRule="exact"/>
        <w:rPr>
          <w:b/>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四、餐饮服务期限</w:t>
      </w:r>
    </w:p>
    <w:p>
      <w:pPr>
        <w:pStyle w:val="8"/>
        <w:widowControl/>
        <w:shd w:val="clear"/>
        <w:spacing w:line="440" w:lineRule="exact"/>
        <w:rPr>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餐饮服务期限</w:t>
      </w:r>
      <w:r>
        <w:rPr>
          <w:color w:val="000000" w:themeColor="text1"/>
          <w:sz w:val="24"/>
          <w:highlight w:val="none"/>
          <w14:textFill>
            <w14:solidFill>
              <w14:schemeClr w14:val="tx1"/>
            </w14:solidFill>
          </w14:textFill>
        </w:rPr>
        <w:t>3</w:t>
      </w:r>
      <w:r>
        <w:rPr>
          <w:rFonts w:hint="eastAsia" w:cs="宋体"/>
          <w:color w:val="000000" w:themeColor="text1"/>
          <w:sz w:val="24"/>
          <w:highlight w:val="none"/>
          <w14:textFill>
            <w14:solidFill>
              <w14:schemeClr w14:val="tx1"/>
            </w14:solidFill>
          </w14:textFill>
        </w:rPr>
        <w:t>年。</w:t>
      </w:r>
    </w:p>
    <w:p>
      <w:pPr>
        <w:pStyle w:val="8"/>
        <w:widowControl/>
        <w:shd w:val="clear"/>
        <w:spacing w:line="440" w:lineRule="exact"/>
        <w:rPr>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采用固定周期和不定期考核相结合，一年一综合考核。如无违法、违规、违约行为和安全责任事故，且每年综合管理考核及满意度调查都达</w:t>
      </w:r>
      <w:r>
        <w:rPr>
          <w:color w:val="000000" w:themeColor="text1"/>
          <w:sz w:val="24"/>
          <w:highlight w:val="none"/>
          <w14:textFill>
            <w14:solidFill>
              <w14:schemeClr w14:val="tx1"/>
            </w14:solidFill>
          </w14:textFill>
        </w:rPr>
        <w:t>80</w:t>
      </w:r>
      <w:r>
        <w:rPr>
          <w:rFonts w:hint="eastAsia" w:cs="宋体"/>
          <w:color w:val="000000" w:themeColor="text1"/>
          <w:sz w:val="24"/>
          <w:highlight w:val="none"/>
          <w14:textFill>
            <w14:solidFill>
              <w14:schemeClr w14:val="tx1"/>
            </w14:solidFill>
          </w14:textFill>
        </w:rPr>
        <w:t>分以上，方可继续履行下一年度合同，否则采购人有权终止合同并重新选择服务单位。</w:t>
      </w:r>
    </w:p>
    <w:p>
      <w:pPr>
        <w:pStyle w:val="8"/>
        <w:widowControl/>
        <w:shd w:val="clear"/>
        <w:spacing w:line="440" w:lineRule="exact"/>
        <w:rPr>
          <w:b/>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五、合作方式</w:t>
      </w:r>
    </w:p>
    <w:p>
      <w:pPr>
        <w:shd w:val="clear"/>
        <w:spacing w:line="440" w:lineRule="exact"/>
        <w:ind w:firstLine="480" w:firstLineChars="200"/>
        <w:jc w:val="both"/>
        <w:rPr>
          <w:rFonts w:ascii="仿宋" w:hAnsi="仿宋" w:cs="仿宋"/>
          <w:bCs/>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kern w:val="2"/>
          <w:sz w:val="24"/>
          <w:szCs w:val="24"/>
          <w:highlight w:val="none"/>
          <w:lang w:bidi="ar"/>
          <w14:textFill>
            <w14:solidFill>
              <w14:schemeClr w14:val="tx1"/>
            </w14:solidFill>
          </w14:textFill>
        </w:rPr>
        <w:t>1.</w:t>
      </w:r>
      <w:r>
        <w:rPr>
          <w:rFonts w:hint="eastAsia"/>
          <w:color w:val="000000" w:themeColor="text1"/>
          <w:kern w:val="2"/>
          <w:sz w:val="24"/>
          <w:szCs w:val="24"/>
          <w:highlight w:val="none"/>
          <w:lang w:bidi="ar"/>
          <w14:textFill>
            <w14:solidFill>
              <w14:schemeClr w14:val="tx1"/>
            </w14:solidFill>
          </w14:textFill>
        </w:rPr>
        <w:t>学</w:t>
      </w:r>
      <w:r>
        <w:rPr>
          <w:rFonts w:hint="eastAsia" w:ascii="仿宋" w:hAnsi="仿宋"/>
          <w:bCs/>
          <w:color w:val="000000" w:themeColor="text1"/>
          <w:kern w:val="2"/>
          <w:sz w:val="24"/>
          <w:szCs w:val="24"/>
          <w:highlight w:val="none"/>
          <w:lang w:bidi="ar"/>
          <w14:textFill>
            <w14:solidFill>
              <w14:schemeClr w14:val="tx1"/>
            </w14:solidFill>
          </w14:textFill>
        </w:rPr>
        <w:t>校授权后勤服务处饮食中心履行监督管理职能。</w:t>
      </w:r>
    </w:p>
    <w:p>
      <w:pPr>
        <w:shd w:val="clear"/>
        <w:spacing w:line="440" w:lineRule="exact"/>
        <w:ind w:firstLine="480" w:firstLineChars="200"/>
        <w:jc w:val="both"/>
        <w:rPr>
          <w:rFonts w:ascii="仿宋" w:hAnsi="仿宋" w:cs="仿宋"/>
          <w:bCs/>
          <w:color w:val="000000" w:themeColor="text1"/>
          <w:sz w:val="24"/>
          <w:szCs w:val="24"/>
          <w:highlight w:val="none"/>
          <w14:textFill>
            <w14:solidFill>
              <w14:schemeClr w14:val="tx1"/>
            </w14:solidFill>
          </w14:textFill>
        </w:rPr>
      </w:pPr>
      <w:r>
        <w:rPr>
          <w:rFonts w:hint="eastAsia" w:ascii="仿宋" w:hAnsi="仿宋" w:cs="仿宋"/>
          <w:bCs/>
          <w:color w:val="000000" w:themeColor="text1"/>
          <w:kern w:val="2"/>
          <w:sz w:val="24"/>
          <w:szCs w:val="24"/>
          <w:highlight w:val="none"/>
          <w:lang w:bidi="ar"/>
          <w14:textFill>
            <w14:solidFill>
              <w14:schemeClr w14:val="tx1"/>
            </w14:solidFill>
          </w14:textFill>
        </w:rPr>
        <w:t>2.</w:t>
      </w:r>
      <w:r>
        <w:rPr>
          <w:rFonts w:hint="eastAsia" w:ascii="仿宋" w:hAnsi="仿宋"/>
          <w:bCs/>
          <w:color w:val="000000" w:themeColor="text1"/>
          <w:kern w:val="2"/>
          <w:sz w:val="24"/>
          <w:szCs w:val="24"/>
          <w:highlight w:val="none"/>
          <w:lang w:bidi="ar"/>
          <w14:textFill>
            <w14:solidFill>
              <w14:schemeClr w14:val="tx1"/>
            </w14:solidFill>
          </w14:textFill>
        </w:rPr>
        <w:t>学校提供经营所需基本条件，除供水、供电、供气、供暖正常检修或相关设备出现意外等情况外，确保水、电、天然气及暖气的供应。</w:t>
      </w:r>
    </w:p>
    <w:p>
      <w:pPr>
        <w:shd w:val="clear"/>
        <w:spacing w:line="440" w:lineRule="exact"/>
        <w:ind w:firstLine="480" w:firstLineChars="200"/>
        <w:jc w:val="both"/>
        <w:rPr>
          <w:rFonts w:ascii="仿宋" w:hAnsi="仿宋" w:cs="仿宋"/>
          <w:bCs/>
          <w:color w:val="000000" w:themeColor="text1"/>
          <w:sz w:val="24"/>
          <w:szCs w:val="24"/>
          <w:highlight w:val="none"/>
          <w14:textFill>
            <w14:solidFill>
              <w14:schemeClr w14:val="tx1"/>
            </w14:solidFill>
          </w14:textFill>
        </w:rPr>
      </w:pPr>
      <w:r>
        <w:rPr>
          <w:rFonts w:hint="eastAsia" w:ascii="仿宋" w:hAnsi="仿宋" w:cs="仿宋"/>
          <w:bCs/>
          <w:color w:val="000000" w:themeColor="text1"/>
          <w:kern w:val="2"/>
          <w:sz w:val="24"/>
          <w:szCs w:val="24"/>
          <w:highlight w:val="none"/>
          <w:lang w:bidi="ar"/>
          <w14:textFill>
            <w14:solidFill>
              <w14:schemeClr w14:val="tx1"/>
            </w14:solidFill>
          </w14:textFill>
        </w:rPr>
        <w:t>3.</w:t>
      </w:r>
      <w:r>
        <w:rPr>
          <w:rFonts w:hint="eastAsia" w:ascii="仿宋" w:hAnsi="仿宋"/>
          <w:bCs/>
          <w:color w:val="000000" w:themeColor="text1"/>
          <w:kern w:val="2"/>
          <w:sz w:val="24"/>
          <w:szCs w:val="24"/>
          <w:highlight w:val="none"/>
          <w:lang w:bidi="ar"/>
          <w14:textFill>
            <w14:solidFill>
              <w14:schemeClr w14:val="tx1"/>
            </w14:solidFill>
          </w14:textFill>
        </w:rPr>
        <w:t>在经营期间，餐饮服务团队承担设备设施故障维修的经费。</w:t>
      </w:r>
    </w:p>
    <w:p>
      <w:pPr>
        <w:shd w:val="clear"/>
        <w:spacing w:line="440" w:lineRule="exact"/>
        <w:ind w:firstLine="480" w:firstLineChars="200"/>
        <w:jc w:val="both"/>
        <w:rPr>
          <w:rFonts w:ascii="仿宋" w:hAnsi="仿宋" w:cs="仿宋"/>
          <w:bCs/>
          <w:color w:val="000000" w:themeColor="text1"/>
          <w:sz w:val="24"/>
          <w:szCs w:val="24"/>
          <w:highlight w:val="none"/>
          <w14:textFill>
            <w14:solidFill>
              <w14:schemeClr w14:val="tx1"/>
            </w14:solidFill>
          </w14:textFill>
        </w:rPr>
      </w:pPr>
      <w:r>
        <w:rPr>
          <w:rFonts w:hint="eastAsia" w:ascii="仿宋" w:hAnsi="仿宋" w:cs="仿宋"/>
          <w:bCs/>
          <w:color w:val="000000" w:themeColor="text1"/>
          <w:kern w:val="2"/>
          <w:sz w:val="24"/>
          <w:szCs w:val="24"/>
          <w:highlight w:val="none"/>
          <w:lang w:bidi="ar"/>
          <w14:textFill>
            <w14:solidFill>
              <w14:schemeClr w14:val="tx1"/>
            </w14:solidFill>
          </w14:textFill>
        </w:rPr>
        <w:t>4.</w:t>
      </w:r>
      <w:r>
        <w:rPr>
          <w:rFonts w:hint="eastAsia" w:ascii="仿宋" w:hAnsi="仿宋"/>
          <w:bCs/>
          <w:color w:val="000000" w:themeColor="text1"/>
          <w:kern w:val="2"/>
          <w:sz w:val="24"/>
          <w:szCs w:val="24"/>
          <w:highlight w:val="none"/>
          <w:lang w:bidi="ar"/>
          <w14:textFill>
            <w14:solidFill>
              <w14:schemeClr w14:val="tx1"/>
            </w14:solidFill>
          </w14:textFill>
        </w:rPr>
        <w:t>餐饮服务团队需要执行学校统一采购、统一配送、统一核算，严禁自行购买食材。</w:t>
      </w:r>
    </w:p>
    <w:p>
      <w:pPr>
        <w:shd w:val="clear"/>
        <w:spacing w:line="440" w:lineRule="exact"/>
        <w:ind w:firstLine="480" w:firstLineChars="200"/>
        <w:jc w:val="both"/>
        <w:rPr>
          <w:rFonts w:ascii="仿宋" w:hAnsi="仿宋" w:cs="仿宋"/>
          <w:bCs/>
          <w:color w:val="000000" w:themeColor="text1"/>
          <w:sz w:val="24"/>
          <w:szCs w:val="24"/>
          <w:highlight w:val="none"/>
          <w14:textFill>
            <w14:solidFill>
              <w14:schemeClr w14:val="tx1"/>
            </w14:solidFill>
          </w14:textFill>
        </w:rPr>
      </w:pPr>
      <w:r>
        <w:rPr>
          <w:rFonts w:hint="eastAsia" w:ascii="仿宋" w:hAnsi="仿宋" w:cs="仿宋"/>
          <w:bCs/>
          <w:color w:val="000000" w:themeColor="text1"/>
          <w:kern w:val="2"/>
          <w:sz w:val="24"/>
          <w:szCs w:val="24"/>
          <w:highlight w:val="none"/>
          <w:lang w:bidi="ar"/>
          <w14:textFill>
            <w14:solidFill>
              <w14:schemeClr w14:val="tx1"/>
            </w14:solidFill>
          </w14:textFill>
        </w:rPr>
        <w:t>5.</w:t>
      </w:r>
      <w:r>
        <w:rPr>
          <w:rFonts w:hint="eastAsia" w:ascii="仿宋" w:hAnsi="仿宋"/>
          <w:bCs/>
          <w:color w:val="000000" w:themeColor="text1"/>
          <w:kern w:val="2"/>
          <w:sz w:val="24"/>
          <w:szCs w:val="24"/>
          <w:highlight w:val="none"/>
          <w:lang w:bidi="ar"/>
          <w14:textFill>
            <w14:solidFill>
              <w14:schemeClr w14:val="tx1"/>
            </w14:solidFill>
          </w14:textFill>
        </w:rPr>
        <w:t>餐饮服务团队遵守学校财务管理关于校园托管餐厅的统一规定，使用校园一卡通收费系统，结算</w:t>
      </w:r>
      <w:r>
        <w:rPr>
          <w:rFonts w:hint="eastAsia" w:ascii="仿宋" w:hAnsi="仿宋" w:cs="仿宋"/>
          <w:bCs/>
          <w:color w:val="000000" w:themeColor="text1"/>
          <w:kern w:val="2"/>
          <w:sz w:val="24"/>
          <w:szCs w:val="24"/>
          <w:highlight w:val="none"/>
          <w:lang w:bidi="ar"/>
          <w14:textFill>
            <w14:solidFill>
              <w14:schemeClr w14:val="tx1"/>
            </w14:solidFill>
          </w14:textFill>
        </w:rPr>
        <w:t>/</w:t>
      </w:r>
      <w:r>
        <w:rPr>
          <w:rFonts w:hint="eastAsia" w:ascii="仿宋" w:hAnsi="仿宋"/>
          <w:bCs/>
          <w:color w:val="000000" w:themeColor="text1"/>
          <w:kern w:val="2"/>
          <w:sz w:val="24"/>
          <w:szCs w:val="24"/>
          <w:highlight w:val="none"/>
          <w:lang w:bidi="ar"/>
          <w14:textFill>
            <w14:solidFill>
              <w14:schemeClr w14:val="tx1"/>
            </w14:solidFill>
          </w14:textFill>
        </w:rPr>
        <w:t>核算工作要求内容真实合法，程序符合规定，不得使用其他未经允许的收款方式。</w:t>
      </w:r>
    </w:p>
    <w:p>
      <w:pPr>
        <w:pStyle w:val="8"/>
        <w:widowControl/>
        <w:shd w:val="clear"/>
        <w:spacing w:line="440" w:lineRule="exact"/>
        <w:rPr>
          <w:b/>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w:t>
      </w:r>
      <w:r>
        <w:rPr>
          <w:rFonts w:hint="eastAsia" w:cs="宋体"/>
          <w:b/>
          <w:color w:val="000000" w:themeColor="text1"/>
          <w:sz w:val="24"/>
          <w:highlight w:val="none"/>
          <w14:textFill>
            <w14:solidFill>
              <w14:schemeClr w14:val="tx1"/>
            </w14:solidFill>
          </w14:textFill>
        </w:rPr>
        <w:t>六、财务核算</w:t>
      </w:r>
    </w:p>
    <w:p>
      <w:pPr>
        <w:shd w:val="clear"/>
        <w:spacing w:line="440" w:lineRule="exact"/>
        <w:ind w:firstLine="480" w:firstLineChars="200"/>
        <w:jc w:val="both"/>
        <w:rPr>
          <w:rFonts w:eastAsia="仿宋_GB2312"/>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kern w:val="2"/>
          <w:sz w:val="24"/>
          <w:szCs w:val="24"/>
          <w:highlight w:val="none"/>
          <w:lang w:bidi="ar"/>
          <w14:textFill>
            <w14:solidFill>
              <w14:schemeClr w14:val="tx1"/>
            </w14:solidFill>
          </w14:textFill>
        </w:rPr>
        <w:t>1.</w:t>
      </w:r>
      <w:r>
        <w:rPr>
          <w:rFonts w:hint="eastAsia"/>
          <w:color w:val="000000" w:themeColor="text1"/>
          <w:kern w:val="2"/>
          <w:sz w:val="24"/>
          <w:szCs w:val="24"/>
          <w:highlight w:val="none"/>
          <w:lang w:bidi="ar"/>
          <w14:textFill>
            <w14:solidFill>
              <w14:schemeClr w14:val="tx1"/>
            </w14:solidFill>
          </w14:textFill>
        </w:rPr>
        <w:t>餐厅财务实行收支两条线。由财务处统一结算，后勤服务处饮食中心完成二级财务核算工作，遵循学校统一安排。</w:t>
      </w:r>
    </w:p>
    <w:p>
      <w:pPr>
        <w:shd w:val="clear"/>
        <w:spacing w:line="440" w:lineRule="exact"/>
        <w:ind w:firstLine="480" w:firstLineChars="200"/>
        <w:jc w:val="both"/>
        <w:rPr>
          <w:rFonts w:eastAsia="仿宋_GB2312"/>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kern w:val="2"/>
          <w:sz w:val="24"/>
          <w:szCs w:val="24"/>
          <w:highlight w:val="none"/>
          <w:lang w:bidi="ar"/>
          <w14:textFill>
            <w14:solidFill>
              <w14:schemeClr w14:val="tx1"/>
            </w14:solidFill>
          </w14:textFill>
        </w:rPr>
        <w:t>2.</w:t>
      </w:r>
      <w:r>
        <w:rPr>
          <w:rFonts w:hint="eastAsia"/>
          <w:color w:val="000000" w:themeColor="text1"/>
          <w:kern w:val="2"/>
          <w:sz w:val="24"/>
          <w:szCs w:val="24"/>
          <w:highlight w:val="none"/>
          <w:lang w:bidi="ar"/>
          <w14:textFill>
            <w14:solidFill>
              <w14:schemeClr w14:val="tx1"/>
            </w14:solidFill>
          </w14:textFill>
        </w:rPr>
        <w:t>收入方式。一卡通、校内转账所取得收入和承接团体用餐取得的经营收入（包括校外团体）。</w:t>
      </w:r>
    </w:p>
    <w:p>
      <w:pPr>
        <w:shd w:val="clear"/>
        <w:spacing w:line="440" w:lineRule="exact"/>
        <w:ind w:firstLine="480" w:firstLineChars="200"/>
        <w:jc w:val="both"/>
        <w:rPr>
          <w:rFonts w:eastAsia="仿宋_GB2312"/>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kern w:val="2"/>
          <w:sz w:val="24"/>
          <w:szCs w:val="24"/>
          <w:highlight w:val="none"/>
          <w:lang w:bidi="ar"/>
          <w14:textFill>
            <w14:solidFill>
              <w14:schemeClr w14:val="tx1"/>
            </w14:solidFill>
          </w14:textFill>
        </w:rPr>
        <w:t>3.</w:t>
      </w:r>
      <w:r>
        <w:rPr>
          <w:rFonts w:hint="eastAsia"/>
          <w:color w:val="000000" w:themeColor="text1"/>
          <w:kern w:val="2"/>
          <w:sz w:val="24"/>
          <w:szCs w:val="24"/>
          <w:highlight w:val="none"/>
          <w:lang w:bidi="ar"/>
          <w14:textFill>
            <w14:solidFill>
              <w14:schemeClr w14:val="tx1"/>
            </w14:solidFill>
          </w14:textFill>
        </w:rPr>
        <w:t>餐饮服务费支付比例：第一标段：餐饮服务支付比例不得高于占每期收入的57%</w:t>
      </w:r>
      <w:r>
        <w:rPr>
          <w:rFonts w:hint="eastAsia"/>
          <w:color w:val="000000" w:themeColor="text1"/>
          <w:kern w:val="2"/>
          <w:sz w:val="24"/>
          <w:szCs w:val="24"/>
          <w:highlight w:val="none"/>
          <w:lang w:val="en-US" w:eastAsia="zh-CN" w:bidi="ar"/>
          <w14:textFill>
            <w14:solidFill>
              <w14:schemeClr w14:val="tx1"/>
            </w14:solidFill>
          </w14:textFill>
        </w:rPr>
        <w:t>(</w:t>
      </w:r>
      <w:r>
        <w:rPr>
          <w:rFonts w:hint="eastAsia"/>
          <w:color w:val="000000" w:themeColor="text1"/>
          <w:kern w:val="2"/>
          <w:sz w:val="24"/>
          <w:szCs w:val="24"/>
          <w:highlight w:val="none"/>
          <w:lang w:bidi="ar"/>
          <w14:textFill>
            <w14:solidFill>
              <w14:schemeClr w14:val="tx1"/>
            </w14:solidFill>
          </w14:textFill>
        </w:rPr>
        <w:t>根据实际报价执行），第二标段：餐饮服务支付比例不得高于占每期收入的</w:t>
      </w:r>
      <w:r>
        <w:rPr>
          <w:rFonts w:hint="eastAsia"/>
          <w:color w:val="000000" w:themeColor="text1"/>
          <w:kern w:val="2"/>
          <w:sz w:val="24"/>
          <w:szCs w:val="24"/>
          <w:highlight w:val="none"/>
          <w:lang w:val="en-US" w:eastAsia="zh-CN" w:bidi="ar"/>
          <w14:textFill>
            <w14:solidFill>
              <w14:schemeClr w14:val="tx1"/>
            </w14:solidFill>
          </w14:textFill>
        </w:rPr>
        <w:t>65</w:t>
      </w:r>
      <w:r>
        <w:rPr>
          <w:rFonts w:hint="eastAsia"/>
          <w:color w:val="000000" w:themeColor="text1"/>
          <w:kern w:val="2"/>
          <w:sz w:val="24"/>
          <w:szCs w:val="24"/>
          <w:highlight w:val="none"/>
          <w:lang w:bidi="ar"/>
          <w14:textFill>
            <w14:solidFill>
              <w14:schemeClr w14:val="tx1"/>
            </w14:solidFill>
          </w14:textFill>
        </w:rPr>
        <w:t>%（根据实际报价执行）。</w:t>
      </w:r>
    </w:p>
    <w:p>
      <w:pPr>
        <w:shd w:val="clear"/>
        <w:spacing w:line="440" w:lineRule="exact"/>
        <w:ind w:firstLine="480" w:firstLineChars="200"/>
        <w:jc w:val="both"/>
        <w:rPr>
          <w:rFonts w:eastAsia="仿宋_GB2312"/>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kern w:val="2"/>
          <w:sz w:val="24"/>
          <w:szCs w:val="24"/>
          <w:highlight w:val="none"/>
          <w:lang w:bidi="ar"/>
          <w14:textFill>
            <w14:solidFill>
              <w14:schemeClr w14:val="tx1"/>
            </w14:solidFill>
          </w14:textFill>
        </w:rPr>
        <w:t>4.</w:t>
      </w:r>
      <w:r>
        <w:rPr>
          <w:rFonts w:hint="eastAsia"/>
          <w:color w:val="000000" w:themeColor="text1"/>
          <w:kern w:val="2"/>
          <w:sz w:val="24"/>
          <w:szCs w:val="24"/>
          <w:highlight w:val="none"/>
          <w:lang w:bidi="ar"/>
          <w14:textFill>
            <w14:solidFill>
              <w14:schemeClr w14:val="tx1"/>
            </w14:solidFill>
          </w14:textFill>
        </w:rPr>
        <w:t>核算方式。每年按照</w:t>
      </w:r>
      <w:r>
        <w:rPr>
          <w:rFonts w:ascii="Times New Roman" w:hAnsi="Times New Roman" w:eastAsia="仿宋_GB2312" w:cs="Times New Roman"/>
          <w:color w:val="000000" w:themeColor="text1"/>
          <w:kern w:val="2"/>
          <w:sz w:val="24"/>
          <w:szCs w:val="24"/>
          <w:highlight w:val="none"/>
          <w:lang w:bidi="ar"/>
          <w14:textFill>
            <w14:solidFill>
              <w14:schemeClr w14:val="tx1"/>
            </w14:solidFill>
          </w14:textFill>
        </w:rPr>
        <w:t>8</w:t>
      </w:r>
      <w:r>
        <w:rPr>
          <w:rFonts w:hint="eastAsia"/>
          <w:color w:val="000000" w:themeColor="text1"/>
          <w:kern w:val="2"/>
          <w:sz w:val="24"/>
          <w:szCs w:val="24"/>
          <w:highlight w:val="none"/>
          <w:lang w:bidi="ar"/>
          <w14:textFill>
            <w14:solidFill>
              <w14:schemeClr w14:val="tx1"/>
            </w14:solidFill>
          </w14:textFill>
        </w:rPr>
        <w:t>个周期结算账目，执行每期食材消耗（含调味品），水电气能源消耗和其他消耗三项核算</w:t>
      </w:r>
      <w:r>
        <w:rPr>
          <w:rFonts w:hint="eastAsia"/>
          <w:b/>
          <w:bCs/>
          <w:color w:val="000000" w:themeColor="text1"/>
          <w:kern w:val="2"/>
          <w:sz w:val="24"/>
          <w:szCs w:val="24"/>
          <w:highlight w:val="none"/>
          <w:lang w:bidi="ar"/>
          <w14:textFill>
            <w14:solidFill>
              <w14:schemeClr w14:val="tx1"/>
            </w14:solidFill>
          </w14:textFill>
        </w:rPr>
        <w:t>。</w:t>
      </w:r>
      <w:r>
        <w:rPr>
          <w:rFonts w:hint="eastAsia"/>
          <w:b/>
          <w:bCs/>
          <w:color w:val="000000" w:themeColor="text1"/>
          <w:kern w:val="2"/>
          <w:sz w:val="24"/>
          <w:szCs w:val="24"/>
          <w:highlight w:val="none"/>
          <w:lang w:val="en-US" w:eastAsia="zh-CN" w:bidi="ar"/>
          <w14:textFill>
            <w14:solidFill>
              <w14:schemeClr w14:val="tx1"/>
            </w14:solidFill>
          </w14:textFill>
        </w:rPr>
        <w:t>每个标段的投标比例要与三项核算比例的合计为100%。</w:t>
      </w:r>
    </w:p>
    <w:p>
      <w:pPr>
        <w:shd w:val="clear"/>
        <w:spacing w:line="440" w:lineRule="exact"/>
        <w:ind w:firstLine="480" w:firstLineChars="200"/>
        <w:jc w:val="both"/>
        <w:rPr>
          <w:rFonts w:eastAsia="仿宋_GB2312"/>
          <w:color w:val="000000" w:themeColor="text1"/>
          <w:sz w:val="24"/>
          <w:szCs w:val="24"/>
          <w:highlight w:val="none"/>
          <w14:textFill>
            <w14:solidFill>
              <w14:schemeClr w14:val="tx1"/>
            </w14:solidFill>
          </w14:textFill>
        </w:rPr>
      </w:pPr>
      <w:r>
        <w:rPr>
          <w:rFonts w:hint="eastAsia"/>
          <w:color w:val="000000" w:themeColor="text1"/>
          <w:kern w:val="2"/>
          <w:sz w:val="24"/>
          <w:szCs w:val="24"/>
          <w:highlight w:val="none"/>
          <w:lang w:bidi="ar"/>
          <w14:textFill>
            <w14:solidFill>
              <w14:schemeClr w14:val="tx1"/>
            </w14:solidFill>
          </w14:textFill>
        </w:rPr>
        <w:t>第一标段：按期对中标人减去伙食补助的食材消耗（含调味品）占每期收入</w:t>
      </w:r>
      <w:r>
        <w:rPr>
          <w:rFonts w:ascii="Times New Roman" w:hAnsi="Times New Roman" w:eastAsia="仿宋_GB2312" w:cs="Times New Roman"/>
          <w:color w:val="000000" w:themeColor="text1"/>
          <w:kern w:val="2"/>
          <w:sz w:val="24"/>
          <w:szCs w:val="24"/>
          <w:highlight w:val="none"/>
          <w:lang w:bidi="ar"/>
          <w14:textFill>
            <w14:solidFill>
              <w14:schemeClr w14:val="tx1"/>
            </w14:solidFill>
          </w14:textFill>
        </w:rPr>
        <w:t>28%-32%</w:t>
      </w:r>
      <w:r>
        <w:rPr>
          <w:rFonts w:hint="eastAsia"/>
          <w:color w:val="000000" w:themeColor="text1"/>
          <w:kern w:val="2"/>
          <w:sz w:val="24"/>
          <w:szCs w:val="24"/>
          <w:highlight w:val="none"/>
          <w:lang w:bidi="ar"/>
          <w14:textFill>
            <w14:solidFill>
              <w14:schemeClr w14:val="tx1"/>
            </w14:solidFill>
          </w14:textFill>
        </w:rPr>
        <w:t>的指标进行核算，超出部分在采购人支付给中标人的餐饮服务费中扣除，低于的则按每期收入的</w:t>
      </w:r>
      <w:r>
        <w:rPr>
          <w:rFonts w:ascii="Times New Roman" w:hAnsi="Times New Roman" w:eastAsia="仿宋_GB2312" w:cs="Times New Roman"/>
          <w:color w:val="000000" w:themeColor="text1"/>
          <w:kern w:val="2"/>
          <w:sz w:val="24"/>
          <w:szCs w:val="24"/>
          <w:highlight w:val="none"/>
          <w:lang w:bidi="ar"/>
          <w14:textFill>
            <w14:solidFill>
              <w14:schemeClr w14:val="tx1"/>
            </w14:solidFill>
          </w14:textFill>
        </w:rPr>
        <w:t>28%-32%</w:t>
      </w:r>
      <w:r>
        <w:rPr>
          <w:rFonts w:hint="eastAsia"/>
          <w:color w:val="000000" w:themeColor="text1"/>
          <w:kern w:val="2"/>
          <w:sz w:val="24"/>
          <w:szCs w:val="24"/>
          <w:highlight w:val="none"/>
          <w:lang w:bidi="ar"/>
          <w14:textFill>
            <w14:solidFill>
              <w14:schemeClr w14:val="tx1"/>
            </w14:solidFill>
          </w14:textFill>
        </w:rPr>
        <w:t>进行核算</w:t>
      </w:r>
      <w:r>
        <w:rPr>
          <w:rFonts w:ascii="Times New Roman" w:hAnsi="Times New Roman" w:eastAsia="仿宋_GB2312" w:cs="Times New Roman"/>
          <w:color w:val="000000" w:themeColor="text1"/>
          <w:kern w:val="2"/>
          <w:sz w:val="24"/>
          <w:szCs w:val="24"/>
          <w:highlight w:val="none"/>
          <w:lang w:bidi="ar"/>
          <w14:textFill>
            <w14:solidFill>
              <w14:schemeClr w14:val="tx1"/>
            </w14:solidFill>
          </w14:textFill>
        </w:rPr>
        <w:t>;</w:t>
      </w:r>
      <w:r>
        <w:rPr>
          <w:rFonts w:hint="eastAsia"/>
          <w:color w:val="000000" w:themeColor="text1"/>
          <w:kern w:val="2"/>
          <w:sz w:val="24"/>
          <w:szCs w:val="24"/>
          <w:highlight w:val="none"/>
          <w:lang w:bidi="ar"/>
          <w14:textFill>
            <w14:solidFill>
              <w14:schemeClr w14:val="tx1"/>
            </w14:solidFill>
          </w14:textFill>
        </w:rPr>
        <w:t>按期对能源消耗占每期收入</w:t>
      </w:r>
      <w:r>
        <w:rPr>
          <w:rFonts w:ascii="Times New Roman" w:hAnsi="Times New Roman" w:eastAsia="仿宋_GB2312" w:cs="Times New Roman"/>
          <w:color w:val="000000" w:themeColor="text1"/>
          <w:kern w:val="2"/>
          <w:sz w:val="24"/>
          <w:szCs w:val="24"/>
          <w:highlight w:val="none"/>
          <w:lang w:bidi="ar"/>
          <w14:textFill>
            <w14:solidFill>
              <w14:schemeClr w14:val="tx1"/>
            </w14:solidFill>
          </w14:textFill>
        </w:rPr>
        <w:t>8</w:t>
      </w:r>
      <w:r>
        <w:rPr>
          <w:rFonts w:hint="eastAsia"/>
          <w:color w:val="000000" w:themeColor="text1"/>
          <w:kern w:val="2"/>
          <w:sz w:val="24"/>
          <w:szCs w:val="24"/>
          <w:highlight w:val="none"/>
          <w:lang w:bidi="ar"/>
          <w14:textFill>
            <w14:solidFill>
              <w14:schemeClr w14:val="tx1"/>
            </w14:solidFill>
          </w14:textFill>
        </w:rPr>
        <w:t>％的指标进行核算，超出部分在采购人支付给中标人的餐饮服务费中扣除，低于的则按每期收入的</w:t>
      </w:r>
      <w:r>
        <w:rPr>
          <w:rFonts w:ascii="Times New Roman" w:hAnsi="Times New Roman" w:eastAsia="仿宋_GB2312" w:cs="Times New Roman"/>
          <w:color w:val="000000" w:themeColor="text1"/>
          <w:kern w:val="2"/>
          <w:sz w:val="24"/>
          <w:szCs w:val="24"/>
          <w:highlight w:val="none"/>
          <w:lang w:bidi="ar"/>
          <w14:textFill>
            <w14:solidFill>
              <w14:schemeClr w14:val="tx1"/>
            </w14:solidFill>
          </w14:textFill>
        </w:rPr>
        <w:t>8</w:t>
      </w:r>
      <w:r>
        <w:rPr>
          <w:rFonts w:hint="eastAsia"/>
          <w:color w:val="000000" w:themeColor="text1"/>
          <w:kern w:val="2"/>
          <w:sz w:val="24"/>
          <w:szCs w:val="24"/>
          <w:highlight w:val="none"/>
          <w:lang w:bidi="ar"/>
          <w14:textFill>
            <w14:solidFill>
              <w14:schemeClr w14:val="tx1"/>
            </w14:solidFill>
          </w14:textFill>
        </w:rPr>
        <w:t>％进行核算；按期对其他消耗占每期收入的</w:t>
      </w:r>
      <w:r>
        <w:rPr>
          <w:rFonts w:ascii="Times New Roman" w:hAnsi="Times New Roman" w:eastAsia="仿宋_GB2312" w:cs="Times New Roman"/>
          <w:color w:val="000000" w:themeColor="text1"/>
          <w:kern w:val="2"/>
          <w:sz w:val="24"/>
          <w:szCs w:val="24"/>
          <w:highlight w:val="none"/>
          <w:lang w:bidi="ar"/>
          <w14:textFill>
            <w14:solidFill>
              <w14:schemeClr w14:val="tx1"/>
            </w14:solidFill>
          </w14:textFill>
        </w:rPr>
        <w:t>7</w:t>
      </w:r>
      <w:r>
        <w:rPr>
          <w:rFonts w:hint="eastAsia"/>
          <w:color w:val="000000" w:themeColor="text1"/>
          <w:kern w:val="2"/>
          <w:sz w:val="24"/>
          <w:szCs w:val="24"/>
          <w:highlight w:val="none"/>
          <w:lang w:bidi="ar"/>
          <w14:textFill>
            <w14:solidFill>
              <w14:schemeClr w14:val="tx1"/>
            </w14:solidFill>
          </w14:textFill>
        </w:rPr>
        <w:t>％指标进行核算，超出部分在采购人支付给中标人的餐饮服务费中扣除，低于的则按每期收入的</w:t>
      </w:r>
      <w:r>
        <w:rPr>
          <w:rFonts w:ascii="Times New Roman" w:hAnsi="Times New Roman" w:eastAsia="仿宋_GB2312" w:cs="Times New Roman"/>
          <w:color w:val="000000" w:themeColor="text1"/>
          <w:kern w:val="2"/>
          <w:sz w:val="24"/>
          <w:szCs w:val="24"/>
          <w:highlight w:val="none"/>
          <w:lang w:bidi="ar"/>
          <w14:textFill>
            <w14:solidFill>
              <w14:schemeClr w14:val="tx1"/>
            </w14:solidFill>
          </w14:textFill>
        </w:rPr>
        <w:t>7</w:t>
      </w:r>
      <w:r>
        <w:rPr>
          <w:rFonts w:hint="eastAsia"/>
          <w:color w:val="000000" w:themeColor="text1"/>
          <w:kern w:val="2"/>
          <w:sz w:val="24"/>
          <w:szCs w:val="24"/>
          <w:highlight w:val="none"/>
          <w:lang w:bidi="ar"/>
          <w14:textFill>
            <w14:solidFill>
              <w14:schemeClr w14:val="tx1"/>
            </w14:solidFill>
          </w14:textFill>
        </w:rPr>
        <w:t>％进行核算。</w:t>
      </w:r>
    </w:p>
    <w:p>
      <w:pPr>
        <w:shd w:val="clear"/>
        <w:spacing w:line="440" w:lineRule="exact"/>
        <w:ind w:firstLine="480" w:firstLineChars="200"/>
        <w:jc w:val="both"/>
        <w:rPr>
          <w:rFonts w:eastAsia="仿宋_GB2312"/>
          <w:color w:val="000000" w:themeColor="text1"/>
          <w:sz w:val="24"/>
          <w:szCs w:val="24"/>
          <w:highlight w:val="none"/>
          <w14:textFill>
            <w14:solidFill>
              <w14:schemeClr w14:val="tx1"/>
            </w14:solidFill>
          </w14:textFill>
        </w:rPr>
      </w:pPr>
      <w:r>
        <w:rPr>
          <w:rFonts w:hint="eastAsia"/>
          <w:color w:val="000000" w:themeColor="text1"/>
          <w:kern w:val="2"/>
          <w:sz w:val="24"/>
          <w:szCs w:val="24"/>
          <w:highlight w:val="none"/>
          <w:lang w:bidi="ar"/>
          <w14:textFill>
            <w14:solidFill>
              <w14:schemeClr w14:val="tx1"/>
            </w14:solidFill>
          </w14:textFill>
        </w:rPr>
        <w:t>第二标段：按期对中标人食材消耗（含调味品）占每期收入</w:t>
      </w:r>
      <w:r>
        <w:rPr>
          <w:rFonts w:ascii="Times New Roman" w:hAnsi="Times New Roman" w:eastAsia="仿宋_GB2312" w:cs="Times New Roman"/>
          <w:color w:val="000000" w:themeColor="text1"/>
          <w:kern w:val="2"/>
          <w:sz w:val="24"/>
          <w:szCs w:val="24"/>
          <w:highlight w:val="none"/>
          <w:lang w:bidi="ar"/>
          <w14:textFill>
            <w14:solidFill>
              <w14:schemeClr w14:val="tx1"/>
            </w14:solidFill>
          </w14:textFill>
        </w:rPr>
        <w:t>25%-30%</w:t>
      </w:r>
      <w:r>
        <w:rPr>
          <w:rFonts w:hint="eastAsia"/>
          <w:color w:val="000000" w:themeColor="text1"/>
          <w:kern w:val="2"/>
          <w:sz w:val="24"/>
          <w:szCs w:val="24"/>
          <w:highlight w:val="none"/>
          <w:lang w:bidi="ar"/>
          <w14:textFill>
            <w14:solidFill>
              <w14:schemeClr w14:val="tx1"/>
            </w14:solidFill>
          </w14:textFill>
        </w:rPr>
        <w:t>的指标进行核算，超出部分在采购人支付给中标人的餐饮服务费中扣除，低于的则按每期收入的</w:t>
      </w:r>
      <w:r>
        <w:rPr>
          <w:rFonts w:ascii="Times New Roman" w:hAnsi="Times New Roman" w:eastAsia="仿宋_GB2312" w:cs="Times New Roman"/>
          <w:color w:val="000000" w:themeColor="text1"/>
          <w:kern w:val="2"/>
          <w:sz w:val="24"/>
          <w:szCs w:val="24"/>
          <w:highlight w:val="none"/>
          <w:lang w:bidi="ar"/>
          <w14:textFill>
            <w14:solidFill>
              <w14:schemeClr w14:val="tx1"/>
            </w14:solidFill>
          </w14:textFill>
        </w:rPr>
        <w:t>25%-30%</w:t>
      </w:r>
      <w:r>
        <w:rPr>
          <w:rFonts w:hint="eastAsia"/>
          <w:color w:val="000000" w:themeColor="text1"/>
          <w:kern w:val="2"/>
          <w:sz w:val="24"/>
          <w:szCs w:val="24"/>
          <w:highlight w:val="none"/>
          <w:lang w:bidi="ar"/>
          <w14:textFill>
            <w14:solidFill>
              <w14:schemeClr w14:val="tx1"/>
            </w14:solidFill>
          </w14:textFill>
        </w:rPr>
        <w:t>进行核算</w:t>
      </w:r>
      <w:r>
        <w:rPr>
          <w:rFonts w:ascii="Times New Roman" w:hAnsi="Times New Roman" w:eastAsia="仿宋_GB2312" w:cs="Times New Roman"/>
          <w:color w:val="000000" w:themeColor="text1"/>
          <w:kern w:val="2"/>
          <w:sz w:val="24"/>
          <w:szCs w:val="24"/>
          <w:highlight w:val="none"/>
          <w:lang w:bidi="ar"/>
          <w14:textFill>
            <w14:solidFill>
              <w14:schemeClr w14:val="tx1"/>
            </w14:solidFill>
          </w14:textFill>
        </w:rPr>
        <w:t>;</w:t>
      </w:r>
      <w:r>
        <w:rPr>
          <w:rFonts w:hint="eastAsia"/>
          <w:color w:val="000000" w:themeColor="text1"/>
          <w:kern w:val="2"/>
          <w:sz w:val="24"/>
          <w:szCs w:val="24"/>
          <w:highlight w:val="none"/>
          <w:lang w:bidi="ar"/>
          <w14:textFill>
            <w14:solidFill>
              <w14:schemeClr w14:val="tx1"/>
            </w14:solidFill>
          </w14:textFill>
        </w:rPr>
        <w:t>按期对能源消耗占每期收入</w:t>
      </w:r>
      <w:r>
        <w:rPr>
          <w:rFonts w:ascii="Times New Roman" w:hAnsi="Times New Roman" w:eastAsia="仿宋_GB2312" w:cs="Times New Roman"/>
          <w:color w:val="000000" w:themeColor="text1"/>
          <w:kern w:val="2"/>
          <w:sz w:val="24"/>
          <w:szCs w:val="24"/>
          <w:highlight w:val="none"/>
          <w:lang w:bidi="ar"/>
          <w14:textFill>
            <w14:solidFill>
              <w14:schemeClr w14:val="tx1"/>
            </w14:solidFill>
          </w14:textFill>
        </w:rPr>
        <w:t>8</w:t>
      </w:r>
      <w:r>
        <w:rPr>
          <w:rFonts w:hint="eastAsia"/>
          <w:color w:val="000000" w:themeColor="text1"/>
          <w:kern w:val="2"/>
          <w:sz w:val="24"/>
          <w:szCs w:val="24"/>
          <w:highlight w:val="none"/>
          <w:lang w:bidi="ar"/>
          <w14:textFill>
            <w14:solidFill>
              <w14:schemeClr w14:val="tx1"/>
            </w14:solidFill>
          </w14:textFill>
        </w:rPr>
        <w:t>％的指标进行核算，超出部分在采购人支付给中标人的餐饮服务费中扣除，低于的则按每期收入的</w:t>
      </w:r>
      <w:r>
        <w:rPr>
          <w:rFonts w:ascii="Times New Roman" w:hAnsi="Times New Roman" w:eastAsia="仿宋_GB2312" w:cs="Times New Roman"/>
          <w:color w:val="000000" w:themeColor="text1"/>
          <w:kern w:val="2"/>
          <w:sz w:val="24"/>
          <w:szCs w:val="24"/>
          <w:highlight w:val="none"/>
          <w:lang w:bidi="ar"/>
          <w14:textFill>
            <w14:solidFill>
              <w14:schemeClr w14:val="tx1"/>
            </w14:solidFill>
          </w14:textFill>
        </w:rPr>
        <w:t>8</w:t>
      </w:r>
      <w:r>
        <w:rPr>
          <w:rFonts w:hint="eastAsia"/>
          <w:color w:val="000000" w:themeColor="text1"/>
          <w:kern w:val="2"/>
          <w:sz w:val="24"/>
          <w:szCs w:val="24"/>
          <w:highlight w:val="none"/>
          <w:lang w:bidi="ar"/>
          <w14:textFill>
            <w14:solidFill>
              <w14:schemeClr w14:val="tx1"/>
            </w14:solidFill>
          </w14:textFill>
        </w:rPr>
        <w:t>％进行核算；按期对其他消耗占每期收入的</w:t>
      </w:r>
      <w:r>
        <w:rPr>
          <w:rFonts w:ascii="Times New Roman" w:hAnsi="Times New Roman" w:eastAsia="仿宋_GB2312" w:cs="Times New Roman"/>
          <w:color w:val="000000" w:themeColor="text1"/>
          <w:kern w:val="2"/>
          <w:sz w:val="24"/>
          <w:szCs w:val="24"/>
          <w:highlight w:val="none"/>
          <w:lang w:bidi="ar"/>
          <w14:textFill>
            <w14:solidFill>
              <w14:schemeClr w14:val="tx1"/>
            </w14:solidFill>
          </w14:textFill>
        </w:rPr>
        <w:t>2</w:t>
      </w:r>
      <w:r>
        <w:rPr>
          <w:rFonts w:hint="eastAsia"/>
          <w:color w:val="000000" w:themeColor="text1"/>
          <w:kern w:val="2"/>
          <w:sz w:val="24"/>
          <w:szCs w:val="24"/>
          <w:highlight w:val="none"/>
          <w:lang w:bidi="ar"/>
          <w14:textFill>
            <w14:solidFill>
              <w14:schemeClr w14:val="tx1"/>
            </w14:solidFill>
          </w14:textFill>
        </w:rPr>
        <w:t>％指标进行核算，超出部分在采购人支付给中标人的餐饮服务费中扣除，低于的则按每期收入的</w:t>
      </w:r>
      <w:r>
        <w:rPr>
          <w:rFonts w:ascii="Times New Roman" w:hAnsi="Times New Roman" w:eastAsia="仿宋_GB2312" w:cs="Times New Roman"/>
          <w:color w:val="000000" w:themeColor="text1"/>
          <w:kern w:val="2"/>
          <w:sz w:val="24"/>
          <w:szCs w:val="24"/>
          <w:highlight w:val="none"/>
          <w:lang w:bidi="ar"/>
          <w14:textFill>
            <w14:solidFill>
              <w14:schemeClr w14:val="tx1"/>
            </w14:solidFill>
          </w14:textFill>
        </w:rPr>
        <w:t>2</w:t>
      </w:r>
      <w:r>
        <w:rPr>
          <w:rFonts w:hint="eastAsia"/>
          <w:color w:val="000000" w:themeColor="text1"/>
          <w:kern w:val="2"/>
          <w:sz w:val="24"/>
          <w:szCs w:val="24"/>
          <w:highlight w:val="none"/>
          <w:lang w:bidi="ar"/>
          <w14:textFill>
            <w14:solidFill>
              <w14:schemeClr w14:val="tx1"/>
            </w14:solidFill>
          </w14:textFill>
        </w:rPr>
        <w:t>％进行核算。</w:t>
      </w:r>
    </w:p>
    <w:p>
      <w:pPr>
        <w:shd w:val="clear"/>
        <w:spacing w:line="440" w:lineRule="exact"/>
        <w:ind w:firstLine="480" w:firstLineChars="200"/>
        <w:jc w:val="both"/>
        <w:rPr>
          <w:color w:val="000000" w:themeColor="text1"/>
          <w:sz w:val="24"/>
          <w:szCs w:val="24"/>
          <w:highlight w:val="none"/>
          <w14:textFill>
            <w14:solidFill>
              <w14:schemeClr w14:val="tx1"/>
            </w14:solidFill>
          </w14:textFill>
        </w:rPr>
      </w:pPr>
      <w:r>
        <w:rPr>
          <w:rFonts w:hint="eastAsia"/>
          <w:color w:val="000000" w:themeColor="text1"/>
          <w:kern w:val="2"/>
          <w:sz w:val="24"/>
          <w:szCs w:val="24"/>
          <w:highlight w:val="none"/>
          <w:lang w:bidi="ar"/>
          <w14:textFill>
            <w14:solidFill>
              <w14:schemeClr w14:val="tx1"/>
            </w14:solidFill>
          </w14:textFill>
        </w:rPr>
        <w:t>5.餐饮服务费支付</w:t>
      </w:r>
    </w:p>
    <w:p>
      <w:pPr>
        <w:shd w:val="clear"/>
        <w:spacing w:line="440" w:lineRule="exact"/>
        <w:ind w:firstLine="480" w:firstLineChars="200"/>
        <w:jc w:val="both"/>
        <w:rPr>
          <w:rFonts w:eastAsia="仿宋_GB2312"/>
          <w:color w:val="000000" w:themeColor="text1"/>
          <w:sz w:val="24"/>
          <w:szCs w:val="24"/>
          <w:highlight w:val="none"/>
          <w14:textFill>
            <w14:solidFill>
              <w14:schemeClr w14:val="tx1"/>
            </w14:solidFill>
          </w14:textFill>
        </w:rPr>
      </w:pPr>
      <w:r>
        <w:rPr>
          <w:rFonts w:hint="eastAsia"/>
          <w:color w:val="000000" w:themeColor="text1"/>
          <w:kern w:val="2"/>
          <w:sz w:val="24"/>
          <w:szCs w:val="24"/>
          <w:highlight w:val="none"/>
          <w:lang w:bidi="ar"/>
          <w14:textFill>
            <w14:solidFill>
              <w14:schemeClr w14:val="tx1"/>
            </w14:solidFill>
          </w14:textFill>
        </w:rPr>
        <w:t>第一标段：餐饮服务费是以当期总收入乘以中标时自报餐饮服务支付比例，减去食材消耗（含调味品）占比上限占每期收入比例高于</w:t>
      </w:r>
      <w:r>
        <w:rPr>
          <w:rFonts w:ascii="Times New Roman" w:hAnsi="Times New Roman" w:eastAsia="仿宋_GB2312" w:cs="Times New Roman"/>
          <w:color w:val="000000" w:themeColor="text1"/>
          <w:kern w:val="2"/>
          <w:sz w:val="24"/>
          <w:szCs w:val="24"/>
          <w:highlight w:val="none"/>
          <w:lang w:bidi="ar"/>
          <w14:textFill>
            <w14:solidFill>
              <w14:schemeClr w14:val="tx1"/>
            </w14:solidFill>
          </w14:textFill>
        </w:rPr>
        <w:t>28%-32%</w:t>
      </w:r>
      <w:r>
        <w:rPr>
          <w:rFonts w:hint="eastAsia"/>
          <w:color w:val="000000" w:themeColor="text1"/>
          <w:kern w:val="2"/>
          <w:sz w:val="24"/>
          <w:szCs w:val="24"/>
          <w:highlight w:val="none"/>
          <w:lang w:bidi="ar"/>
          <w14:textFill>
            <w14:solidFill>
              <w14:schemeClr w14:val="tx1"/>
            </w14:solidFill>
          </w14:textFill>
        </w:rPr>
        <w:t>部分，减去能源消耗占每期收入比例高于</w:t>
      </w:r>
      <w:r>
        <w:rPr>
          <w:rFonts w:ascii="Times New Roman" w:hAnsi="Times New Roman" w:eastAsia="仿宋_GB2312" w:cs="Times New Roman"/>
          <w:color w:val="000000" w:themeColor="text1"/>
          <w:kern w:val="2"/>
          <w:sz w:val="24"/>
          <w:szCs w:val="24"/>
          <w:highlight w:val="none"/>
          <w:lang w:bidi="ar"/>
          <w14:textFill>
            <w14:solidFill>
              <w14:schemeClr w14:val="tx1"/>
            </w14:solidFill>
          </w14:textFill>
        </w:rPr>
        <w:t>8</w:t>
      </w:r>
      <w:r>
        <w:rPr>
          <w:rFonts w:hint="eastAsia"/>
          <w:color w:val="000000" w:themeColor="text1"/>
          <w:kern w:val="2"/>
          <w:sz w:val="24"/>
          <w:szCs w:val="24"/>
          <w:highlight w:val="none"/>
          <w:lang w:bidi="ar"/>
          <w14:textFill>
            <w14:solidFill>
              <w14:schemeClr w14:val="tx1"/>
            </w14:solidFill>
          </w14:textFill>
        </w:rPr>
        <w:t>％部分，减去其他消耗占每期收入比例高于</w:t>
      </w:r>
      <w:r>
        <w:rPr>
          <w:rFonts w:ascii="Times New Roman" w:hAnsi="Times New Roman" w:eastAsia="仿宋_GB2312" w:cs="Times New Roman"/>
          <w:color w:val="000000" w:themeColor="text1"/>
          <w:kern w:val="2"/>
          <w:sz w:val="24"/>
          <w:szCs w:val="24"/>
          <w:highlight w:val="none"/>
          <w:lang w:bidi="ar"/>
          <w14:textFill>
            <w14:solidFill>
              <w14:schemeClr w14:val="tx1"/>
            </w14:solidFill>
          </w14:textFill>
        </w:rPr>
        <w:t>7</w:t>
      </w:r>
      <w:r>
        <w:rPr>
          <w:rFonts w:hint="eastAsia"/>
          <w:color w:val="000000" w:themeColor="text1"/>
          <w:kern w:val="2"/>
          <w:sz w:val="24"/>
          <w:szCs w:val="24"/>
          <w:highlight w:val="none"/>
          <w:lang w:bidi="ar"/>
          <w14:textFill>
            <w14:solidFill>
              <w14:schemeClr w14:val="tx1"/>
            </w14:solidFill>
          </w14:textFill>
        </w:rPr>
        <w:t>％部分，等于实际支付的餐饮服务费用（含税）。</w:t>
      </w:r>
    </w:p>
    <w:p>
      <w:pPr>
        <w:shd w:val="clear"/>
        <w:spacing w:line="440" w:lineRule="exact"/>
        <w:ind w:firstLine="480" w:firstLineChars="200"/>
        <w:jc w:val="both"/>
        <w:rPr>
          <w:rFonts w:eastAsia="仿宋_GB2312"/>
          <w:color w:val="000000" w:themeColor="text1"/>
          <w:sz w:val="24"/>
          <w:szCs w:val="24"/>
          <w:highlight w:val="none"/>
          <w14:textFill>
            <w14:solidFill>
              <w14:schemeClr w14:val="tx1"/>
            </w14:solidFill>
          </w14:textFill>
        </w:rPr>
      </w:pPr>
      <w:r>
        <w:rPr>
          <w:rFonts w:hint="eastAsia"/>
          <w:color w:val="000000" w:themeColor="text1"/>
          <w:kern w:val="2"/>
          <w:sz w:val="24"/>
          <w:szCs w:val="24"/>
          <w:highlight w:val="none"/>
          <w:lang w:bidi="ar"/>
          <w14:textFill>
            <w14:solidFill>
              <w14:schemeClr w14:val="tx1"/>
            </w14:solidFill>
          </w14:textFill>
        </w:rPr>
        <w:t>第二标段：餐饮服务费是以当期总收入乘以中标时自报餐饮服务支付比例，减去食材消耗（含调味品）占比上限占每期收入比例高于</w:t>
      </w:r>
      <w:r>
        <w:rPr>
          <w:rFonts w:ascii="Times New Roman" w:hAnsi="Times New Roman" w:eastAsia="仿宋_GB2312" w:cs="Times New Roman"/>
          <w:color w:val="000000" w:themeColor="text1"/>
          <w:kern w:val="2"/>
          <w:sz w:val="24"/>
          <w:szCs w:val="24"/>
          <w:highlight w:val="none"/>
          <w:lang w:bidi="ar"/>
          <w14:textFill>
            <w14:solidFill>
              <w14:schemeClr w14:val="tx1"/>
            </w14:solidFill>
          </w14:textFill>
        </w:rPr>
        <w:t>25%-30%</w:t>
      </w:r>
      <w:r>
        <w:rPr>
          <w:rFonts w:hint="eastAsia"/>
          <w:color w:val="000000" w:themeColor="text1"/>
          <w:kern w:val="2"/>
          <w:sz w:val="24"/>
          <w:szCs w:val="24"/>
          <w:highlight w:val="none"/>
          <w:lang w:bidi="ar"/>
          <w14:textFill>
            <w14:solidFill>
              <w14:schemeClr w14:val="tx1"/>
            </w14:solidFill>
          </w14:textFill>
        </w:rPr>
        <w:t>部分，减去能源消耗占每期收入比例高于</w:t>
      </w:r>
      <w:r>
        <w:rPr>
          <w:rFonts w:ascii="Times New Roman" w:hAnsi="Times New Roman" w:eastAsia="仿宋_GB2312" w:cs="Times New Roman"/>
          <w:color w:val="000000" w:themeColor="text1"/>
          <w:kern w:val="2"/>
          <w:sz w:val="24"/>
          <w:szCs w:val="24"/>
          <w:highlight w:val="none"/>
          <w:lang w:bidi="ar"/>
          <w14:textFill>
            <w14:solidFill>
              <w14:schemeClr w14:val="tx1"/>
            </w14:solidFill>
          </w14:textFill>
        </w:rPr>
        <w:t>8</w:t>
      </w:r>
      <w:r>
        <w:rPr>
          <w:rFonts w:hint="eastAsia"/>
          <w:color w:val="000000" w:themeColor="text1"/>
          <w:kern w:val="2"/>
          <w:sz w:val="24"/>
          <w:szCs w:val="24"/>
          <w:highlight w:val="none"/>
          <w:lang w:bidi="ar"/>
          <w14:textFill>
            <w14:solidFill>
              <w14:schemeClr w14:val="tx1"/>
            </w14:solidFill>
          </w14:textFill>
        </w:rPr>
        <w:t>％部分，减去其他消耗占每期收入比例高于</w:t>
      </w:r>
      <w:r>
        <w:rPr>
          <w:rFonts w:ascii="Times New Roman" w:hAnsi="Times New Roman" w:eastAsia="仿宋_GB2312" w:cs="Times New Roman"/>
          <w:color w:val="000000" w:themeColor="text1"/>
          <w:kern w:val="2"/>
          <w:sz w:val="24"/>
          <w:szCs w:val="24"/>
          <w:highlight w:val="none"/>
          <w:lang w:bidi="ar"/>
          <w14:textFill>
            <w14:solidFill>
              <w14:schemeClr w14:val="tx1"/>
            </w14:solidFill>
          </w14:textFill>
        </w:rPr>
        <w:t>2</w:t>
      </w:r>
      <w:r>
        <w:rPr>
          <w:rFonts w:hint="eastAsia"/>
          <w:color w:val="000000" w:themeColor="text1"/>
          <w:kern w:val="2"/>
          <w:sz w:val="24"/>
          <w:szCs w:val="24"/>
          <w:highlight w:val="none"/>
          <w:lang w:bidi="ar"/>
          <w14:textFill>
            <w14:solidFill>
              <w14:schemeClr w14:val="tx1"/>
            </w14:solidFill>
          </w14:textFill>
        </w:rPr>
        <w:t>％部分，等于实际支付的餐饮服务费用（含税）。</w:t>
      </w:r>
    </w:p>
    <w:p>
      <w:pPr>
        <w:pStyle w:val="8"/>
        <w:widowControl/>
        <w:shd w:val="clear"/>
        <w:spacing w:line="440" w:lineRule="exact"/>
        <w:rPr>
          <w:b/>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七、项目要求</w:t>
      </w:r>
    </w:p>
    <w:p>
      <w:pPr>
        <w:pStyle w:val="8"/>
        <w:widowControl/>
        <w:shd w:val="clear"/>
        <w:spacing w:line="440" w:lineRule="exact"/>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s="宋体"/>
          <w:color w:val="000000" w:themeColor="text1"/>
          <w:sz w:val="24"/>
          <w:highlight w:val="none"/>
          <w14:textFill>
            <w14:solidFill>
              <w14:schemeClr w14:val="tx1"/>
            </w14:solidFill>
          </w14:textFill>
        </w:rPr>
        <w:t>科学配置食堂从业人员岗位，对派驻的餐饮服务人员做到合法、规范用工。若发生劳动纠纷，公司将负主体责任，并独立妥善处置相关事宜。</w:t>
      </w:r>
    </w:p>
    <w:p>
      <w:pPr>
        <w:pStyle w:val="8"/>
        <w:widowControl/>
        <w:shd w:val="clear"/>
        <w:spacing w:line="440" w:lineRule="exact"/>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r>
        <w:rPr>
          <w:rFonts w:hint="eastAsia" w:cs="宋体"/>
          <w:color w:val="000000" w:themeColor="text1"/>
          <w:sz w:val="24"/>
          <w:highlight w:val="none"/>
          <w14:textFill>
            <w14:solidFill>
              <w14:schemeClr w14:val="tx1"/>
            </w14:solidFill>
          </w14:textFill>
        </w:rPr>
        <w:t>中标人使用所有员工必须执有有效的健康体检报告和健康证才能上岗，对无健康证或健康检测不合格者严禁使用。中标人特种设备操作员必须持证上岗。</w:t>
      </w:r>
    </w:p>
    <w:p>
      <w:pPr>
        <w:pStyle w:val="8"/>
        <w:widowControl/>
        <w:shd w:val="clear"/>
        <w:spacing w:line="440" w:lineRule="exact"/>
        <w:ind w:firstLine="480" w:firstLineChars="200"/>
        <w:rPr>
          <w:rFonts w:ascii="仿宋" w:hAnsi="仿宋" w:cs="仿宋"/>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w:t>
      </w:r>
      <w:r>
        <w:rPr>
          <w:rFonts w:hint="eastAsia" w:ascii="仿宋" w:hAnsi="仿宋" w:cs="宋体"/>
          <w:color w:val="000000" w:themeColor="text1"/>
          <w:sz w:val="24"/>
          <w:highlight w:val="none"/>
          <w:lang w:val="en-US" w:eastAsia="zh-CN"/>
          <w14:textFill>
            <w14:solidFill>
              <w14:schemeClr w14:val="tx1"/>
            </w14:solidFill>
          </w14:textFill>
        </w:rPr>
        <w:t>学校</w:t>
      </w:r>
      <w:r>
        <w:rPr>
          <w:rFonts w:hint="eastAsia" w:ascii="仿宋" w:hAnsi="仿宋" w:cs="宋体"/>
          <w:color w:val="000000" w:themeColor="text1"/>
          <w:sz w:val="24"/>
          <w:highlight w:val="none"/>
          <w14:textFill>
            <w14:solidFill>
              <w14:schemeClr w14:val="tx1"/>
            </w14:solidFill>
          </w14:textFill>
        </w:rPr>
        <w:t>无住宿条件，餐饮服务团队自行安排人员住宿。</w:t>
      </w:r>
    </w:p>
    <w:p>
      <w:pPr>
        <w:pStyle w:val="8"/>
        <w:widowControl/>
        <w:shd w:val="clear"/>
        <w:spacing w:line="440" w:lineRule="exact"/>
        <w:ind w:firstLine="480" w:firstLineChars="200"/>
        <w:rPr>
          <w:rFonts w:ascii="宋体" w:hAnsi="宋体" w:cs="宋体"/>
          <w:bCs/>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w:t>
      </w:r>
      <w:r>
        <w:rPr>
          <w:rFonts w:hint="eastAsia" w:ascii="仿宋" w:hAnsi="仿宋" w:cs="宋体"/>
          <w:color w:val="000000" w:themeColor="text1"/>
          <w:sz w:val="24"/>
          <w:highlight w:val="none"/>
          <w14:textFill>
            <w14:solidFill>
              <w14:schemeClr w14:val="tx1"/>
            </w14:solidFill>
          </w14:textFill>
        </w:rPr>
        <w:t>餐饮服务团队投标企业与后期运营企业一致，</w:t>
      </w:r>
      <w:r>
        <w:rPr>
          <w:rFonts w:hint="eastAsia" w:cs="宋体"/>
          <w:color w:val="000000" w:themeColor="text1"/>
          <w:sz w:val="24"/>
          <w:highlight w:val="none"/>
          <w14:textFill>
            <w14:solidFill>
              <w14:schemeClr w14:val="tx1"/>
            </w14:solidFill>
          </w14:textFill>
        </w:rPr>
        <w:t>须在营业执照经营范围内有餐饮服务和餐饮管理项目，食品经营许可证经营项目中有食品经营管理。</w:t>
      </w:r>
      <w:r>
        <w:rPr>
          <w:color w:val="000000" w:themeColor="text1"/>
          <w:sz w:val="24"/>
          <w:highlight w:val="none"/>
          <w14:textFill>
            <w14:solidFill>
              <w14:schemeClr w14:val="tx1"/>
            </w14:solidFill>
          </w14:textFill>
        </w:rPr>
        <w:br w:type="page"/>
      </w:r>
    </w:p>
    <w:p>
      <w:pPr>
        <w:shd w:val="clear"/>
        <w:rPr>
          <w:color w:val="000000" w:themeColor="text1"/>
          <w:spacing w:val="-5"/>
          <w:highlight w:val="none"/>
          <w14:textFill>
            <w14:solidFill>
              <w14:schemeClr w14:val="tx1"/>
            </w14:solidFill>
          </w14:textFill>
        </w:rPr>
      </w:pPr>
    </w:p>
    <w:p>
      <w:pPr>
        <w:pStyle w:val="4"/>
        <w:shd w:val="clear"/>
        <w:outlineLvl w:val="0"/>
        <w:rPr>
          <w:color w:val="000000" w:themeColor="text1"/>
          <w:highlight w:val="none"/>
          <w14:textFill>
            <w14:solidFill>
              <w14:schemeClr w14:val="tx1"/>
            </w14:solidFill>
          </w14:textFill>
        </w:rPr>
      </w:pPr>
      <w:bookmarkStart w:id="93" w:name="_Toc31586"/>
      <w:r>
        <w:rPr>
          <w:color w:val="000000" w:themeColor="text1"/>
          <w:spacing w:val="-5"/>
          <w:highlight w:val="none"/>
          <w14:textFill>
            <w14:solidFill>
              <w14:schemeClr w14:val="tx1"/>
            </w14:solidFill>
          </w14:textFill>
        </w:rPr>
        <w:t>第四章 资格审查</w:t>
      </w:r>
      <w:bookmarkEnd w:id="93"/>
    </w:p>
    <w:p>
      <w:pPr>
        <w:pStyle w:val="10"/>
        <w:shd w:val="clear"/>
        <w:spacing w:before="66"/>
        <w:ind w:left="0"/>
        <w:rPr>
          <w:b/>
          <w:color w:val="000000" w:themeColor="text1"/>
          <w:sz w:val="28"/>
          <w:highlight w:val="none"/>
          <w14:textFill>
            <w14:solidFill>
              <w14:schemeClr w14:val="tx1"/>
            </w14:solidFill>
          </w14:textFill>
        </w:rPr>
      </w:pPr>
    </w:p>
    <w:p>
      <w:pPr>
        <w:pStyle w:val="6"/>
        <w:shd w:val="clear"/>
        <w:rPr>
          <w:color w:val="000000" w:themeColor="text1"/>
          <w:highlight w:val="none"/>
          <w14:textFill>
            <w14:solidFill>
              <w14:schemeClr w14:val="tx1"/>
            </w14:solidFill>
          </w14:textFill>
        </w:rPr>
      </w:pPr>
      <w:bookmarkStart w:id="94" w:name="_bookmark16"/>
      <w:bookmarkEnd w:id="94"/>
      <w:bookmarkStart w:id="95" w:name="一、资格审查程序_"/>
      <w:bookmarkEnd w:id="95"/>
      <w:r>
        <w:rPr>
          <w:color w:val="000000" w:themeColor="text1"/>
          <w:spacing w:val="-5"/>
          <w:highlight w:val="none"/>
          <w14:textFill>
            <w14:solidFill>
              <w14:schemeClr w14:val="tx1"/>
            </w14:solidFill>
          </w14:textFill>
        </w:rPr>
        <w:t>一、资格审查程序</w:t>
      </w:r>
    </w:p>
    <w:p>
      <w:pPr>
        <w:pStyle w:val="19"/>
        <w:numPr>
          <w:ilvl w:val="0"/>
          <w:numId w:val="49"/>
        </w:numPr>
        <w:shd w:val="clear"/>
        <w:tabs>
          <w:tab w:val="left" w:pos="1502"/>
        </w:tabs>
        <w:spacing w:before="269" w:line="307" w:lineRule="auto"/>
        <w:ind w:right="681" w:firstLine="482"/>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开标结束后，采购人或采购代理机构将根据《资格审查要求》中的规定，对投标人进行资格审查，并形成资格审查结果。</w:t>
      </w:r>
    </w:p>
    <w:p>
      <w:pPr>
        <w:pStyle w:val="19"/>
        <w:numPr>
          <w:ilvl w:val="0"/>
          <w:numId w:val="49"/>
        </w:numPr>
        <w:shd w:val="clear"/>
        <w:tabs>
          <w:tab w:val="left" w:pos="1502"/>
        </w:tabs>
        <w:spacing w:before="1" w:line="307" w:lineRule="auto"/>
        <w:ind w:right="781" w:firstLine="482"/>
        <w:rPr>
          <w:color w:val="000000" w:themeColor="text1"/>
          <w:sz w:val="24"/>
          <w:highlight w:val="none"/>
          <w14:textFill>
            <w14:solidFill>
              <w14:schemeClr w14:val="tx1"/>
            </w14:solidFill>
          </w14:textFill>
        </w:rPr>
      </w:pPr>
      <w:r>
        <w:rPr>
          <w:color w:val="000000" w:themeColor="text1"/>
          <w:spacing w:val="-4"/>
          <w:sz w:val="24"/>
          <w:highlight w:val="none"/>
          <w14:textFill>
            <w14:solidFill>
              <w14:schemeClr w14:val="tx1"/>
            </w14:solidFill>
          </w14:textFill>
        </w:rPr>
        <w:t>投标人《资格证明文件》有任何一项不符合《资格审查要求》的，资格审</w:t>
      </w:r>
      <w:r>
        <w:rPr>
          <w:color w:val="000000" w:themeColor="text1"/>
          <w:spacing w:val="-2"/>
          <w:sz w:val="24"/>
          <w:highlight w:val="none"/>
          <w14:textFill>
            <w14:solidFill>
              <w14:schemeClr w14:val="tx1"/>
            </w14:solidFill>
          </w14:textFill>
        </w:rPr>
        <w:t>查不合格，其</w:t>
      </w:r>
      <w:r>
        <w:rPr>
          <w:b/>
          <w:color w:val="000000" w:themeColor="text1"/>
          <w:spacing w:val="-2"/>
          <w:sz w:val="24"/>
          <w:highlight w:val="none"/>
          <w14:textFill>
            <w14:solidFill>
              <w14:schemeClr w14:val="tx1"/>
            </w14:solidFill>
          </w14:textFill>
        </w:rPr>
        <w:t>投标无效</w:t>
      </w:r>
      <w:r>
        <w:rPr>
          <w:color w:val="000000" w:themeColor="text1"/>
          <w:spacing w:val="-2"/>
          <w:sz w:val="24"/>
          <w:highlight w:val="none"/>
          <w14:textFill>
            <w14:solidFill>
              <w14:schemeClr w14:val="tx1"/>
            </w14:solidFill>
          </w14:textFill>
        </w:rPr>
        <w:t>。</w:t>
      </w:r>
    </w:p>
    <w:p>
      <w:pPr>
        <w:pStyle w:val="19"/>
        <w:numPr>
          <w:ilvl w:val="0"/>
          <w:numId w:val="49"/>
        </w:numPr>
        <w:shd w:val="clear"/>
        <w:tabs>
          <w:tab w:val="left" w:pos="1502"/>
        </w:tabs>
        <w:spacing w:before="3"/>
        <w:ind w:left="1502"/>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资格审查合格的投标人不足 3</w:t>
      </w:r>
      <w:r>
        <w:rPr>
          <w:color w:val="000000" w:themeColor="text1"/>
          <w:spacing w:val="-1"/>
          <w:sz w:val="24"/>
          <w:highlight w:val="none"/>
          <w14:textFill>
            <w14:solidFill>
              <w14:schemeClr w14:val="tx1"/>
            </w14:solidFill>
          </w14:textFill>
        </w:rPr>
        <w:t xml:space="preserve"> 家的，不进行评标。</w:t>
      </w:r>
    </w:p>
    <w:p>
      <w:pPr>
        <w:shd w:val="clear"/>
        <w:spacing w:before="199"/>
        <w:ind w:left="780"/>
        <w:rPr>
          <w:b/>
          <w:color w:val="000000" w:themeColor="text1"/>
          <w:sz w:val="28"/>
          <w:highlight w:val="none"/>
          <w14:textFill>
            <w14:solidFill>
              <w14:schemeClr w14:val="tx1"/>
            </w14:solidFill>
          </w14:textFill>
        </w:rPr>
      </w:pPr>
      <w:bookmarkStart w:id="96" w:name="_bookmark17"/>
      <w:bookmarkEnd w:id="96"/>
      <w:bookmarkStart w:id="97" w:name="二、资格审查要求_"/>
      <w:bookmarkEnd w:id="97"/>
      <w:r>
        <w:rPr>
          <w:b/>
          <w:color w:val="000000" w:themeColor="text1"/>
          <w:spacing w:val="-5"/>
          <w:sz w:val="28"/>
          <w:highlight w:val="none"/>
          <w14:textFill>
            <w14:solidFill>
              <w14:schemeClr w14:val="tx1"/>
            </w14:solidFill>
          </w14:textFill>
        </w:rPr>
        <w:t>二、资格审查要求</w:t>
      </w:r>
    </w:p>
    <w:p>
      <w:pPr>
        <w:pStyle w:val="10"/>
        <w:shd w:val="clear"/>
        <w:spacing w:before="9" w:after="1"/>
        <w:ind w:left="0"/>
        <w:rPr>
          <w:b/>
          <w:color w:val="000000" w:themeColor="text1"/>
          <w:sz w:val="14"/>
          <w:highlight w:val="none"/>
          <w14:textFill>
            <w14:solidFill>
              <w14:schemeClr w14:val="tx1"/>
            </w14:solidFill>
          </w14:textFill>
        </w:rPr>
      </w:pPr>
    </w:p>
    <w:tbl>
      <w:tblPr>
        <w:tblStyle w:val="14"/>
        <w:tblW w:w="9895" w:type="dxa"/>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1817"/>
        <w:gridCol w:w="5655"/>
        <w:gridCol w:w="16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21" w:type="dxa"/>
            <w:shd w:val="clear" w:color="auto" w:fill="D7D7D7"/>
          </w:tcPr>
          <w:p>
            <w:pPr>
              <w:pStyle w:val="20"/>
              <w:keepNext w:val="0"/>
              <w:keepLines w:val="0"/>
              <w:suppressLineNumbers w:val="0"/>
              <w:shd w:val="clear"/>
              <w:spacing w:before="126" w:beforeAutospacing="0" w:after="0" w:afterAutospacing="0"/>
              <w:ind w:left="10" w:right="4"/>
              <w:jc w:val="center"/>
              <w:rPr>
                <w:rFonts w:hint="default"/>
                <w:b/>
                <w:color w:val="000000" w:themeColor="text1"/>
                <w:sz w:val="24"/>
                <w:highlight w:val="none"/>
                <w14:textFill>
                  <w14:solidFill>
                    <w14:schemeClr w14:val="tx1"/>
                  </w14:solidFill>
                </w14:textFill>
              </w:rPr>
            </w:pPr>
            <w:r>
              <w:rPr>
                <w:rFonts w:hint="default"/>
                <w:b/>
                <w:color w:val="000000" w:themeColor="text1"/>
                <w:spacing w:val="-7"/>
                <w:sz w:val="24"/>
                <w:highlight w:val="none"/>
                <w14:textFill>
                  <w14:solidFill>
                    <w14:schemeClr w14:val="tx1"/>
                  </w14:solidFill>
                </w14:textFill>
              </w:rPr>
              <w:t>序号</w:t>
            </w:r>
          </w:p>
        </w:tc>
        <w:tc>
          <w:tcPr>
            <w:tcW w:w="1817" w:type="dxa"/>
            <w:shd w:val="clear" w:color="auto" w:fill="D7D7D7"/>
          </w:tcPr>
          <w:p>
            <w:pPr>
              <w:pStyle w:val="20"/>
              <w:keepNext w:val="0"/>
              <w:keepLines w:val="0"/>
              <w:suppressLineNumbers w:val="0"/>
              <w:shd w:val="clear"/>
              <w:spacing w:before="126" w:beforeAutospacing="0" w:after="0" w:afterAutospacing="0"/>
              <w:ind w:left="425" w:right="0"/>
              <w:rPr>
                <w:rFonts w:hint="default"/>
                <w:b/>
                <w:color w:val="000000" w:themeColor="text1"/>
                <w:sz w:val="24"/>
                <w:highlight w:val="none"/>
                <w14:textFill>
                  <w14:solidFill>
                    <w14:schemeClr w14:val="tx1"/>
                  </w14:solidFill>
                </w14:textFill>
              </w:rPr>
            </w:pPr>
            <w:r>
              <w:rPr>
                <w:rFonts w:hint="default"/>
                <w:b/>
                <w:color w:val="000000" w:themeColor="text1"/>
                <w:spacing w:val="-4"/>
                <w:sz w:val="24"/>
                <w:highlight w:val="none"/>
                <w14:textFill>
                  <w14:solidFill>
                    <w14:schemeClr w14:val="tx1"/>
                  </w14:solidFill>
                </w14:textFill>
              </w:rPr>
              <w:t>审查因素</w:t>
            </w:r>
          </w:p>
        </w:tc>
        <w:tc>
          <w:tcPr>
            <w:tcW w:w="5655" w:type="dxa"/>
            <w:shd w:val="clear" w:color="auto" w:fill="D7D7D7"/>
          </w:tcPr>
          <w:p>
            <w:pPr>
              <w:pStyle w:val="20"/>
              <w:keepNext w:val="0"/>
              <w:keepLines w:val="0"/>
              <w:suppressLineNumbers w:val="0"/>
              <w:shd w:val="clear"/>
              <w:spacing w:before="126" w:beforeAutospacing="0" w:after="0" w:afterAutospacing="0"/>
              <w:ind w:left="5" w:right="0"/>
              <w:jc w:val="center"/>
              <w:rPr>
                <w:rFonts w:hint="default"/>
                <w:b/>
                <w:color w:val="000000" w:themeColor="text1"/>
                <w:sz w:val="24"/>
                <w:highlight w:val="none"/>
                <w14:textFill>
                  <w14:solidFill>
                    <w14:schemeClr w14:val="tx1"/>
                  </w14:solidFill>
                </w14:textFill>
              </w:rPr>
            </w:pPr>
            <w:r>
              <w:rPr>
                <w:rFonts w:hint="default"/>
                <w:b/>
                <w:color w:val="000000" w:themeColor="text1"/>
                <w:spacing w:val="-4"/>
                <w:sz w:val="24"/>
                <w:highlight w:val="none"/>
                <w14:textFill>
                  <w14:solidFill>
                    <w14:schemeClr w14:val="tx1"/>
                  </w14:solidFill>
                </w14:textFill>
              </w:rPr>
              <w:t>审查内容</w:t>
            </w:r>
          </w:p>
        </w:tc>
        <w:tc>
          <w:tcPr>
            <w:tcW w:w="1602" w:type="dxa"/>
            <w:shd w:val="clear" w:color="auto" w:fill="D7D7D7"/>
          </w:tcPr>
          <w:p>
            <w:pPr>
              <w:pStyle w:val="20"/>
              <w:keepNext w:val="0"/>
              <w:keepLines w:val="0"/>
              <w:suppressLineNumbers w:val="0"/>
              <w:shd w:val="clear"/>
              <w:spacing w:before="126" w:beforeAutospacing="0" w:after="0" w:afterAutospacing="0"/>
              <w:ind w:left="319" w:right="0"/>
              <w:rPr>
                <w:rFonts w:hint="default"/>
                <w:b/>
                <w:color w:val="000000" w:themeColor="text1"/>
                <w:sz w:val="24"/>
                <w:highlight w:val="none"/>
                <w14:textFill>
                  <w14:solidFill>
                    <w14:schemeClr w14:val="tx1"/>
                  </w14:solidFill>
                </w14:textFill>
              </w:rPr>
            </w:pPr>
            <w:r>
              <w:rPr>
                <w:rFonts w:hint="default"/>
                <w:b/>
                <w:color w:val="000000" w:themeColor="text1"/>
                <w:spacing w:val="-4"/>
                <w:sz w:val="24"/>
                <w:highlight w:val="none"/>
                <w14:textFill>
                  <w14:solidFill>
                    <w14:schemeClr w14:val="tx1"/>
                  </w14:solidFill>
                </w14:textFill>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trPr>
        <w:tc>
          <w:tcPr>
            <w:tcW w:w="821" w:type="dxa"/>
          </w:tcPr>
          <w:p>
            <w:pPr>
              <w:pStyle w:val="20"/>
              <w:keepNext w:val="0"/>
              <w:keepLines w:val="0"/>
              <w:suppressLineNumbers w:val="0"/>
              <w:shd w:val="clear"/>
              <w:spacing w:before="56" w:beforeAutospacing="0" w:after="0" w:afterAutospacing="0"/>
              <w:ind w:left="0" w:right="0"/>
              <w:rPr>
                <w:rFonts w:hint="default"/>
                <w:b/>
                <w:color w:val="000000" w:themeColor="text1"/>
                <w:sz w:val="24"/>
                <w:highlight w:val="none"/>
                <w14:textFill>
                  <w14:solidFill>
                    <w14:schemeClr w14:val="tx1"/>
                  </w14:solidFill>
                </w14:textFill>
              </w:rPr>
            </w:pPr>
          </w:p>
          <w:p>
            <w:pPr>
              <w:pStyle w:val="20"/>
              <w:keepNext w:val="0"/>
              <w:keepLines w:val="0"/>
              <w:suppressLineNumbers w:val="0"/>
              <w:shd w:val="clear"/>
              <w:spacing w:before="0" w:beforeAutospacing="0" w:after="0" w:afterAutospacing="0"/>
              <w:ind w:left="10" w:right="4"/>
              <w:jc w:val="center"/>
              <w:rPr>
                <w:rFonts w:hint="default"/>
                <w:b/>
                <w:color w:val="000000" w:themeColor="text1"/>
                <w:sz w:val="24"/>
                <w:highlight w:val="none"/>
                <w14:textFill>
                  <w14:solidFill>
                    <w14:schemeClr w14:val="tx1"/>
                  </w14:solidFill>
                </w14:textFill>
              </w:rPr>
            </w:pPr>
            <w:r>
              <w:rPr>
                <w:rFonts w:hint="default"/>
                <w:b/>
                <w:color w:val="000000" w:themeColor="text1"/>
                <w:spacing w:val="-10"/>
                <w:sz w:val="24"/>
                <w:highlight w:val="none"/>
                <w14:textFill>
                  <w14:solidFill>
                    <w14:schemeClr w14:val="tx1"/>
                  </w14:solidFill>
                </w14:textFill>
              </w:rPr>
              <w:t>1</w:t>
            </w:r>
          </w:p>
        </w:tc>
        <w:tc>
          <w:tcPr>
            <w:tcW w:w="1817" w:type="dxa"/>
          </w:tcPr>
          <w:p>
            <w:pPr>
              <w:pStyle w:val="20"/>
              <w:keepNext w:val="0"/>
              <w:keepLines w:val="0"/>
              <w:suppressLineNumbers w:val="0"/>
              <w:shd w:val="clear"/>
              <w:spacing w:before="56" w:beforeAutospacing="0" w:after="0" w:afterAutospacing="0"/>
              <w:ind w:left="108" w:right="95"/>
              <w:jc w:val="both"/>
              <w:rPr>
                <w:rFonts w:hint="default"/>
                <w:color w:val="000000" w:themeColor="text1"/>
                <w:sz w:val="24"/>
                <w:highlight w:val="none"/>
                <w14:textFill>
                  <w14:solidFill>
                    <w14:schemeClr w14:val="tx1"/>
                  </w14:solidFill>
                </w14:textFill>
              </w:rPr>
            </w:pPr>
            <w:r>
              <w:rPr>
                <w:rFonts w:hint="default"/>
                <w:color w:val="000000" w:themeColor="text1"/>
                <w:spacing w:val="-14"/>
                <w:sz w:val="24"/>
                <w:highlight w:val="none"/>
                <w14:textFill>
                  <w14:solidFill>
                    <w14:schemeClr w14:val="tx1"/>
                  </w14:solidFill>
                </w14:textFill>
              </w:rPr>
              <w:t>满足《政府采购法》第二十二条</w:t>
            </w:r>
            <w:r>
              <w:rPr>
                <w:rFonts w:hint="default"/>
                <w:color w:val="000000" w:themeColor="text1"/>
                <w:spacing w:val="-6"/>
                <w:sz w:val="24"/>
                <w:highlight w:val="none"/>
                <w14:textFill>
                  <w14:solidFill>
                    <w14:schemeClr w14:val="tx1"/>
                  </w14:solidFill>
                </w14:textFill>
              </w:rPr>
              <w:t>规定</w:t>
            </w:r>
          </w:p>
        </w:tc>
        <w:tc>
          <w:tcPr>
            <w:tcW w:w="5655" w:type="dxa"/>
          </w:tcPr>
          <w:p>
            <w:pPr>
              <w:pStyle w:val="20"/>
              <w:keepNext w:val="0"/>
              <w:keepLines w:val="0"/>
              <w:suppressLineNumbers w:val="0"/>
              <w:shd w:val="clear"/>
              <w:spacing w:before="56" w:beforeAutospacing="0" w:after="0" w:afterAutospacing="0"/>
              <w:ind w:left="0" w:right="0"/>
              <w:rPr>
                <w:rFonts w:hint="default"/>
                <w:b/>
                <w:color w:val="000000" w:themeColor="text1"/>
                <w:sz w:val="24"/>
                <w:highlight w:val="none"/>
                <w14:textFill>
                  <w14:solidFill>
                    <w14:schemeClr w14:val="tx1"/>
                  </w14:solidFill>
                </w14:textFill>
              </w:rPr>
            </w:pPr>
          </w:p>
          <w:p>
            <w:pPr>
              <w:pStyle w:val="20"/>
              <w:keepNext w:val="0"/>
              <w:keepLines w:val="0"/>
              <w:suppressLineNumbers w:val="0"/>
              <w:shd w:val="clear"/>
              <w:spacing w:before="0" w:beforeAutospacing="0" w:after="0" w:afterAutospacing="0"/>
              <w:ind w:left="108" w:right="0"/>
              <w:rPr>
                <w:rFonts w:hint="default"/>
                <w:color w:val="000000" w:themeColor="text1"/>
                <w:sz w:val="24"/>
                <w:highlight w:val="none"/>
                <w14:textFill>
                  <w14:solidFill>
                    <w14:schemeClr w14:val="tx1"/>
                  </w14:solidFill>
                </w14:textFill>
              </w:rPr>
            </w:pPr>
            <w:r>
              <w:rPr>
                <w:rFonts w:hint="default"/>
                <w:color w:val="000000" w:themeColor="text1"/>
                <w:spacing w:val="-1"/>
                <w:sz w:val="24"/>
                <w:highlight w:val="none"/>
                <w14:textFill>
                  <w14:solidFill>
                    <w14:schemeClr w14:val="tx1"/>
                  </w14:solidFill>
                </w14:textFill>
              </w:rPr>
              <w:t>具体规定见“第一章 招标公告”</w:t>
            </w:r>
          </w:p>
        </w:tc>
        <w:tc>
          <w:tcPr>
            <w:tcW w:w="1602"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9" w:hRule="atLeast"/>
        </w:trPr>
        <w:tc>
          <w:tcPr>
            <w:tcW w:w="821" w:type="dxa"/>
          </w:tcPr>
          <w:p>
            <w:pPr>
              <w:pStyle w:val="20"/>
              <w:keepNext w:val="0"/>
              <w:keepLines w:val="0"/>
              <w:suppressLineNumbers w:val="0"/>
              <w:shd w:val="clear"/>
              <w:spacing w:before="0" w:beforeAutospacing="0" w:after="0" w:afterAutospacing="0"/>
              <w:ind w:left="0" w:right="0"/>
              <w:rPr>
                <w:rFonts w:hint="default"/>
                <w:b/>
                <w:color w:val="000000" w:themeColor="text1"/>
                <w:sz w:val="24"/>
                <w:highlight w:val="none"/>
                <w14:textFill>
                  <w14:solidFill>
                    <w14:schemeClr w14:val="tx1"/>
                  </w14:solidFill>
                </w14:textFill>
              </w:rPr>
            </w:pPr>
          </w:p>
          <w:p>
            <w:pPr>
              <w:pStyle w:val="20"/>
              <w:keepNext w:val="0"/>
              <w:keepLines w:val="0"/>
              <w:suppressLineNumbers w:val="0"/>
              <w:shd w:val="clear"/>
              <w:spacing w:before="0" w:beforeAutospacing="0" w:after="0" w:afterAutospacing="0"/>
              <w:ind w:left="0" w:right="0"/>
              <w:rPr>
                <w:rFonts w:hint="default"/>
                <w:b/>
                <w:color w:val="000000" w:themeColor="text1"/>
                <w:sz w:val="24"/>
                <w:highlight w:val="none"/>
                <w14:textFill>
                  <w14:solidFill>
                    <w14:schemeClr w14:val="tx1"/>
                  </w14:solidFill>
                </w14:textFill>
              </w:rPr>
            </w:pPr>
          </w:p>
          <w:p>
            <w:pPr>
              <w:pStyle w:val="20"/>
              <w:keepNext w:val="0"/>
              <w:keepLines w:val="0"/>
              <w:suppressLineNumbers w:val="0"/>
              <w:shd w:val="clear"/>
              <w:spacing w:before="0" w:beforeAutospacing="0" w:after="0" w:afterAutospacing="0"/>
              <w:ind w:left="0" w:right="0"/>
              <w:rPr>
                <w:rFonts w:hint="default"/>
                <w:b/>
                <w:color w:val="000000" w:themeColor="text1"/>
                <w:sz w:val="24"/>
                <w:highlight w:val="none"/>
                <w14:textFill>
                  <w14:solidFill>
                    <w14:schemeClr w14:val="tx1"/>
                  </w14:solidFill>
                </w14:textFill>
              </w:rPr>
            </w:pPr>
          </w:p>
          <w:p>
            <w:pPr>
              <w:pStyle w:val="20"/>
              <w:keepNext w:val="0"/>
              <w:keepLines w:val="0"/>
              <w:suppressLineNumbers w:val="0"/>
              <w:shd w:val="clear"/>
              <w:spacing w:before="59" w:beforeAutospacing="0" w:after="0" w:afterAutospacing="0"/>
              <w:ind w:left="0" w:right="0"/>
              <w:rPr>
                <w:rFonts w:hint="default"/>
                <w:b/>
                <w:color w:val="000000" w:themeColor="text1"/>
                <w:sz w:val="24"/>
                <w:highlight w:val="none"/>
                <w14:textFill>
                  <w14:solidFill>
                    <w14:schemeClr w14:val="tx1"/>
                  </w14:solidFill>
                </w14:textFill>
              </w:rPr>
            </w:pPr>
          </w:p>
          <w:p>
            <w:pPr>
              <w:pStyle w:val="20"/>
              <w:keepNext w:val="0"/>
              <w:keepLines w:val="0"/>
              <w:suppressLineNumbers w:val="0"/>
              <w:shd w:val="clear"/>
              <w:spacing w:before="1" w:beforeAutospacing="0" w:after="0" w:afterAutospacing="0"/>
              <w:ind w:left="10" w:right="2"/>
              <w:jc w:val="center"/>
              <w:rPr>
                <w:rFonts w:hint="default"/>
                <w:b/>
                <w:color w:val="000000" w:themeColor="text1"/>
                <w:sz w:val="24"/>
                <w:highlight w:val="none"/>
                <w14:textFill>
                  <w14:solidFill>
                    <w14:schemeClr w14:val="tx1"/>
                  </w14:solidFill>
                </w14:textFill>
              </w:rPr>
            </w:pPr>
            <w:r>
              <w:rPr>
                <w:rFonts w:hint="default"/>
                <w:b/>
                <w:color w:val="000000" w:themeColor="text1"/>
                <w:spacing w:val="-2"/>
                <w:sz w:val="24"/>
                <w:highlight w:val="none"/>
                <w14:textFill>
                  <w14:solidFill>
                    <w14:schemeClr w14:val="tx1"/>
                  </w14:solidFill>
                </w14:textFill>
              </w:rPr>
              <w:t>1-</w:t>
            </w:r>
            <w:r>
              <w:rPr>
                <w:rFonts w:hint="default"/>
                <w:b/>
                <w:color w:val="000000" w:themeColor="text1"/>
                <w:spacing w:val="-10"/>
                <w:sz w:val="24"/>
                <w:highlight w:val="none"/>
                <w14:textFill>
                  <w14:solidFill>
                    <w14:schemeClr w14:val="tx1"/>
                  </w14:solidFill>
                </w14:textFill>
              </w:rPr>
              <w:t>1</w:t>
            </w:r>
          </w:p>
        </w:tc>
        <w:tc>
          <w:tcPr>
            <w:tcW w:w="1817" w:type="dxa"/>
          </w:tcPr>
          <w:p>
            <w:pPr>
              <w:pStyle w:val="20"/>
              <w:keepNext w:val="0"/>
              <w:keepLines w:val="0"/>
              <w:suppressLineNumbers w:val="0"/>
              <w:shd w:val="clear"/>
              <w:spacing w:before="0" w:beforeAutospacing="0" w:after="0" w:afterAutospacing="0"/>
              <w:ind w:left="0" w:right="0"/>
              <w:rPr>
                <w:rFonts w:hint="default"/>
                <w:b/>
                <w:color w:val="000000" w:themeColor="text1"/>
                <w:sz w:val="24"/>
                <w:highlight w:val="none"/>
                <w14:textFill>
                  <w14:solidFill>
                    <w14:schemeClr w14:val="tx1"/>
                  </w14:solidFill>
                </w14:textFill>
              </w:rPr>
            </w:pPr>
          </w:p>
          <w:p>
            <w:pPr>
              <w:pStyle w:val="20"/>
              <w:keepNext w:val="0"/>
              <w:keepLines w:val="0"/>
              <w:suppressLineNumbers w:val="0"/>
              <w:shd w:val="clear"/>
              <w:spacing w:before="0" w:beforeAutospacing="0" w:after="0" w:afterAutospacing="0"/>
              <w:ind w:left="0" w:right="0"/>
              <w:rPr>
                <w:rFonts w:hint="default"/>
                <w:b/>
                <w:color w:val="000000" w:themeColor="text1"/>
                <w:sz w:val="24"/>
                <w:highlight w:val="none"/>
                <w14:textFill>
                  <w14:solidFill>
                    <w14:schemeClr w14:val="tx1"/>
                  </w14:solidFill>
                </w14:textFill>
              </w:rPr>
            </w:pPr>
          </w:p>
          <w:p>
            <w:pPr>
              <w:pStyle w:val="20"/>
              <w:keepNext w:val="0"/>
              <w:keepLines w:val="0"/>
              <w:suppressLineNumbers w:val="0"/>
              <w:shd w:val="clear"/>
              <w:spacing w:before="215" w:beforeAutospacing="0" w:after="0" w:afterAutospacing="0"/>
              <w:ind w:left="0" w:right="0"/>
              <w:rPr>
                <w:rFonts w:hint="default"/>
                <w:b/>
                <w:color w:val="000000" w:themeColor="text1"/>
                <w:sz w:val="24"/>
                <w:highlight w:val="none"/>
                <w14:textFill>
                  <w14:solidFill>
                    <w14:schemeClr w14:val="tx1"/>
                  </w14:solidFill>
                </w14:textFill>
              </w:rPr>
            </w:pPr>
          </w:p>
          <w:p>
            <w:pPr>
              <w:pStyle w:val="20"/>
              <w:keepNext w:val="0"/>
              <w:keepLines w:val="0"/>
              <w:suppressLineNumbers w:val="0"/>
              <w:shd w:val="clear"/>
              <w:spacing w:before="1" w:beforeAutospacing="0" w:after="0" w:afterAutospacing="0"/>
              <w:ind w:left="108" w:right="95"/>
              <w:rPr>
                <w:rFonts w:hint="default"/>
                <w:color w:val="000000" w:themeColor="text1"/>
                <w:sz w:val="24"/>
                <w:highlight w:val="none"/>
                <w14:textFill>
                  <w14:solidFill>
                    <w14:schemeClr w14:val="tx1"/>
                  </w14:solidFill>
                </w14:textFill>
              </w:rPr>
            </w:pPr>
            <w:r>
              <w:rPr>
                <w:rFonts w:hint="default"/>
                <w:color w:val="000000" w:themeColor="text1"/>
                <w:spacing w:val="24"/>
                <w:sz w:val="24"/>
                <w:highlight w:val="none"/>
                <w14:textFill>
                  <w14:solidFill>
                    <w14:schemeClr w14:val="tx1"/>
                  </w14:solidFill>
                </w14:textFill>
              </w:rPr>
              <w:t>营业执照等证</w:t>
            </w:r>
            <w:r>
              <w:rPr>
                <w:rFonts w:hint="default"/>
                <w:color w:val="000000" w:themeColor="text1"/>
                <w:spacing w:val="-4"/>
                <w:sz w:val="24"/>
                <w:highlight w:val="none"/>
                <w14:textFill>
                  <w14:solidFill>
                    <w14:schemeClr w14:val="tx1"/>
                  </w14:solidFill>
                </w14:textFill>
              </w:rPr>
              <w:t>明文件</w:t>
            </w:r>
          </w:p>
        </w:tc>
        <w:tc>
          <w:tcPr>
            <w:tcW w:w="5655" w:type="dxa"/>
          </w:tcPr>
          <w:p>
            <w:pPr>
              <w:pStyle w:val="20"/>
              <w:keepNext w:val="0"/>
              <w:keepLines w:val="0"/>
              <w:suppressLineNumbers w:val="0"/>
              <w:shd w:val="clear"/>
              <w:spacing w:before="0" w:beforeAutospacing="0" w:after="0" w:afterAutospacing="0" w:line="360" w:lineRule="exact"/>
              <w:ind w:left="108" w:right="83"/>
              <w:rPr>
                <w:rFonts w:hint="default"/>
                <w:color w:val="000000" w:themeColor="text1"/>
                <w:sz w:val="24"/>
                <w:szCs w:val="24"/>
                <w:highlight w:val="none"/>
                <w14:textFill>
                  <w14:solidFill>
                    <w14:schemeClr w14:val="tx1"/>
                  </w14:solidFill>
                </w14:textFill>
              </w:rPr>
            </w:pPr>
            <w:r>
              <w:rPr>
                <w:rFonts w:hint="default"/>
                <w:color w:val="000000" w:themeColor="text1"/>
                <w:spacing w:val="-26"/>
                <w:sz w:val="24"/>
                <w:szCs w:val="24"/>
                <w:highlight w:val="none"/>
                <w14:textFill>
                  <w14:solidFill>
                    <w14:schemeClr w14:val="tx1"/>
                  </w14:solidFill>
                </w14:textFill>
              </w:rPr>
              <w:t>投标人为企业</w:t>
            </w:r>
            <w:r>
              <w:rPr>
                <w:rFonts w:hint="default"/>
                <w:color w:val="000000" w:themeColor="text1"/>
                <w:spacing w:val="-12"/>
                <w:sz w:val="24"/>
                <w:szCs w:val="24"/>
                <w:highlight w:val="none"/>
                <w14:textFill>
                  <w14:solidFill>
                    <w14:schemeClr w14:val="tx1"/>
                  </w14:solidFill>
                </w14:textFill>
              </w:rPr>
              <w:t>（包括合伙企业</w:t>
            </w:r>
            <w:r>
              <w:rPr>
                <w:rFonts w:hint="default"/>
                <w:color w:val="000000" w:themeColor="text1"/>
                <w:spacing w:val="-92"/>
                <w:sz w:val="24"/>
                <w:szCs w:val="24"/>
                <w:highlight w:val="none"/>
                <w14:textFill>
                  <w14:solidFill>
                    <w14:schemeClr w14:val="tx1"/>
                  </w14:solidFill>
                </w14:textFill>
              </w:rPr>
              <w:t>）</w:t>
            </w:r>
            <w:r>
              <w:rPr>
                <w:rFonts w:hint="default"/>
                <w:color w:val="000000" w:themeColor="text1"/>
                <w:spacing w:val="-29"/>
                <w:sz w:val="24"/>
                <w:szCs w:val="24"/>
                <w:highlight w:val="none"/>
                <w14:textFill>
                  <w14:solidFill>
                    <w14:schemeClr w14:val="tx1"/>
                  </w14:solidFill>
                </w14:textFill>
              </w:rPr>
              <w:t>的，应提供有效的“营</w:t>
            </w:r>
            <w:r>
              <w:rPr>
                <w:rFonts w:hint="default"/>
                <w:color w:val="000000" w:themeColor="text1"/>
                <w:spacing w:val="-2"/>
                <w:sz w:val="24"/>
                <w:szCs w:val="24"/>
                <w:highlight w:val="none"/>
                <w14:textFill>
                  <w14:solidFill>
                    <w14:schemeClr w14:val="tx1"/>
                  </w14:solidFill>
                </w14:textFill>
              </w:rPr>
              <w:t>业执照”；</w:t>
            </w:r>
            <w:r>
              <w:rPr>
                <w:rFonts w:hint="default"/>
                <w:color w:val="000000" w:themeColor="text1"/>
                <w:spacing w:val="-20"/>
                <w:sz w:val="24"/>
                <w:szCs w:val="24"/>
                <w:highlight w:val="none"/>
                <w14:textFill>
                  <w14:solidFill>
                    <w14:schemeClr w14:val="tx1"/>
                  </w14:solidFill>
                </w14:textFill>
              </w:rPr>
              <w:t>投标人为事业单位的，应提供有效的“事业单位法人</w:t>
            </w:r>
            <w:r>
              <w:rPr>
                <w:rFonts w:hint="default"/>
                <w:color w:val="000000" w:themeColor="text1"/>
                <w:sz w:val="24"/>
                <w:szCs w:val="24"/>
                <w:highlight w:val="none"/>
                <w14:textFill>
                  <w14:solidFill>
                    <w14:schemeClr w14:val="tx1"/>
                  </w14:solidFill>
                </w14:textFill>
              </w:rPr>
              <w:t>证书” ；</w:t>
            </w:r>
            <w:r>
              <w:rPr>
                <w:rFonts w:hint="default"/>
                <w:color w:val="000000" w:themeColor="text1"/>
                <w:spacing w:val="-12"/>
                <w:sz w:val="24"/>
                <w:szCs w:val="24"/>
                <w:highlight w:val="none"/>
                <w14:textFill>
                  <w14:solidFill>
                    <w14:schemeClr w14:val="tx1"/>
                  </w14:solidFill>
                </w14:textFill>
              </w:rPr>
              <w:t>投标人是非企业机构的，应提供有效的“执业许可</w:t>
            </w:r>
            <w:r>
              <w:rPr>
                <w:rFonts w:hint="default"/>
                <w:color w:val="000000" w:themeColor="text1"/>
                <w:spacing w:val="-2"/>
                <w:sz w:val="24"/>
                <w:szCs w:val="24"/>
                <w:highlight w:val="none"/>
                <w14:textFill>
                  <w14:solidFill>
                    <w14:schemeClr w14:val="tx1"/>
                  </w14:solidFill>
                </w14:textFill>
              </w:rPr>
              <w:t>证”、“登记证书”等证明文件；</w:t>
            </w:r>
            <w:r>
              <w:rPr>
                <w:rFonts w:hint="default"/>
                <w:color w:val="000000" w:themeColor="text1"/>
                <w:spacing w:val="-19"/>
                <w:sz w:val="24"/>
                <w:szCs w:val="24"/>
                <w:highlight w:val="none"/>
                <w14:textFill>
                  <w14:solidFill>
                    <w14:schemeClr w14:val="tx1"/>
                  </w14:solidFill>
                </w14:textFill>
              </w:rPr>
              <w:t>投标人是个体工商户的，应提供有效的“个体工商户</w:t>
            </w:r>
            <w:r>
              <w:rPr>
                <w:rFonts w:hint="default"/>
                <w:color w:val="000000" w:themeColor="text1"/>
                <w:spacing w:val="-2"/>
                <w:sz w:val="24"/>
                <w:szCs w:val="24"/>
                <w:highlight w:val="none"/>
                <w14:textFill>
                  <w14:solidFill>
                    <w14:schemeClr w14:val="tx1"/>
                  </w14:solidFill>
                </w14:textFill>
              </w:rPr>
              <w:t>营业执照”；</w:t>
            </w:r>
            <w:r>
              <w:rPr>
                <w:rFonts w:hint="default"/>
                <w:color w:val="000000" w:themeColor="text1"/>
                <w:spacing w:val="-24"/>
                <w:sz w:val="24"/>
                <w:szCs w:val="24"/>
                <w:highlight w:val="none"/>
                <w14:textFill>
                  <w14:solidFill>
                    <w14:schemeClr w14:val="tx1"/>
                  </w14:solidFill>
                </w14:textFill>
              </w:rPr>
              <w:t>投标人是自然人的，应提供有效的自然人身份证明。</w:t>
            </w:r>
          </w:p>
        </w:tc>
        <w:tc>
          <w:tcPr>
            <w:tcW w:w="1602" w:type="dxa"/>
          </w:tcPr>
          <w:p>
            <w:pPr>
              <w:pStyle w:val="20"/>
              <w:keepNext w:val="0"/>
              <w:keepLines w:val="0"/>
              <w:suppressLineNumbers w:val="0"/>
              <w:shd w:val="clear"/>
              <w:spacing w:before="0" w:beforeAutospacing="0" w:after="0" w:afterAutospacing="0"/>
              <w:ind w:left="0" w:right="0"/>
              <w:rPr>
                <w:rFonts w:hint="default"/>
                <w:b/>
                <w:color w:val="000000" w:themeColor="text1"/>
                <w:sz w:val="24"/>
                <w:highlight w:val="none"/>
                <w14:textFill>
                  <w14:solidFill>
                    <w14:schemeClr w14:val="tx1"/>
                  </w14:solidFill>
                </w14:textFill>
              </w:rPr>
            </w:pPr>
          </w:p>
          <w:p>
            <w:pPr>
              <w:pStyle w:val="20"/>
              <w:keepNext w:val="0"/>
              <w:keepLines w:val="0"/>
              <w:suppressLineNumbers w:val="0"/>
              <w:shd w:val="clear"/>
              <w:spacing w:before="0" w:beforeAutospacing="0" w:after="0" w:afterAutospacing="0"/>
              <w:ind w:left="0" w:right="0"/>
              <w:rPr>
                <w:rFonts w:hint="default"/>
                <w:b/>
                <w:color w:val="000000" w:themeColor="text1"/>
                <w:sz w:val="24"/>
                <w:highlight w:val="none"/>
                <w14:textFill>
                  <w14:solidFill>
                    <w14:schemeClr w14:val="tx1"/>
                  </w14:solidFill>
                </w14:textFill>
              </w:rPr>
            </w:pPr>
          </w:p>
          <w:p>
            <w:pPr>
              <w:pStyle w:val="20"/>
              <w:keepNext w:val="0"/>
              <w:keepLines w:val="0"/>
              <w:suppressLineNumbers w:val="0"/>
              <w:shd w:val="clear"/>
              <w:spacing w:before="59" w:beforeAutospacing="0" w:after="0" w:afterAutospacing="0"/>
              <w:ind w:left="0" w:right="0"/>
              <w:rPr>
                <w:rFonts w:hint="default"/>
                <w:b/>
                <w:color w:val="000000" w:themeColor="text1"/>
                <w:sz w:val="24"/>
                <w:highlight w:val="none"/>
                <w14:textFill>
                  <w14:solidFill>
                    <w14:schemeClr w14:val="tx1"/>
                  </w14:solidFill>
                </w14:textFill>
              </w:rPr>
            </w:pPr>
          </w:p>
          <w:p>
            <w:pPr>
              <w:pStyle w:val="20"/>
              <w:keepNext w:val="0"/>
              <w:keepLines w:val="0"/>
              <w:suppressLineNumbers w:val="0"/>
              <w:shd w:val="clear"/>
              <w:spacing w:before="1" w:beforeAutospacing="0" w:after="0" w:afterAutospacing="0"/>
              <w:ind w:left="108" w:right="281"/>
              <w:jc w:val="both"/>
              <w:rPr>
                <w:rFonts w:hint="default"/>
                <w:color w:val="000000" w:themeColor="text1"/>
                <w:sz w:val="24"/>
                <w:highlight w:val="none"/>
                <w14:textFill>
                  <w14:solidFill>
                    <w14:schemeClr w14:val="tx1"/>
                  </w14:solidFill>
                </w14:textFill>
              </w:rPr>
            </w:pPr>
            <w:r>
              <w:rPr>
                <w:rFonts w:hint="default"/>
                <w:color w:val="000000" w:themeColor="text1"/>
                <w:spacing w:val="-2"/>
                <w:sz w:val="24"/>
                <w:highlight w:val="none"/>
                <w14:textFill>
                  <w14:solidFill>
                    <w14:schemeClr w14:val="tx1"/>
                  </w14:solidFill>
                </w14:textFill>
              </w:rPr>
              <w:t>提供证明文件的电子件或电子证照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trPr>
        <w:tc>
          <w:tcPr>
            <w:tcW w:w="821" w:type="dxa"/>
          </w:tcPr>
          <w:p>
            <w:pPr>
              <w:pStyle w:val="20"/>
              <w:keepNext w:val="0"/>
              <w:keepLines w:val="0"/>
              <w:suppressLineNumbers w:val="0"/>
              <w:shd w:val="clear"/>
              <w:spacing w:before="55" w:beforeAutospacing="0" w:after="0" w:afterAutospacing="0"/>
              <w:ind w:left="0" w:right="0"/>
              <w:rPr>
                <w:rFonts w:hint="default"/>
                <w:b/>
                <w:color w:val="000000" w:themeColor="text1"/>
                <w:sz w:val="24"/>
                <w:highlight w:val="none"/>
                <w14:textFill>
                  <w14:solidFill>
                    <w14:schemeClr w14:val="tx1"/>
                  </w14:solidFill>
                </w14:textFill>
              </w:rPr>
            </w:pPr>
          </w:p>
          <w:p>
            <w:pPr>
              <w:pStyle w:val="20"/>
              <w:keepNext w:val="0"/>
              <w:keepLines w:val="0"/>
              <w:suppressLineNumbers w:val="0"/>
              <w:shd w:val="clear"/>
              <w:spacing w:before="0" w:beforeAutospacing="0" w:after="0" w:afterAutospacing="0"/>
              <w:ind w:left="10" w:right="2"/>
              <w:jc w:val="center"/>
              <w:rPr>
                <w:rFonts w:hint="default"/>
                <w:b/>
                <w:color w:val="000000" w:themeColor="text1"/>
                <w:sz w:val="24"/>
                <w:highlight w:val="none"/>
                <w14:textFill>
                  <w14:solidFill>
                    <w14:schemeClr w14:val="tx1"/>
                  </w14:solidFill>
                </w14:textFill>
              </w:rPr>
            </w:pPr>
            <w:r>
              <w:rPr>
                <w:rFonts w:hint="default"/>
                <w:b/>
                <w:color w:val="000000" w:themeColor="text1"/>
                <w:spacing w:val="-2"/>
                <w:sz w:val="24"/>
                <w:highlight w:val="none"/>
                <w14:textFill>
                  <w14:solidFill>
                    <w14:schemeClr w14:val="tx1"/>
                  </w14:solidFill>
                </w14:textFill>
              </w:rPr>
              <w:t>1-</w:t>
            </w:r>
            <w:r>
              <w:rPr>
                <w:rFonts w:hint="default"/>
                <w:b/>
                <w:color w:val="000000" w:themeColor="text1"/>
                <w:spacing w:val="-10"/>
                <w:sz w:val="24"/>
                <w:highlight w:val="none"/>
                <w14:textFill>
                  <w14:solidFill>
                    <w14:schemeClr w14:val="tx1"/>
                  </w14:solidFill>
                </w14:textFill>
              </w:rPr>
              <w:t>2</w:t>
            </w:r>
          </w:p>
        </w:tc>
        <w:tc>
          <w:tcPr>
            <w:tcW w:w="1817" w:type="dxa"/>
          </w:tcPr>
          <w:p>
            <w:pPr>
              <w:pStyle w:val="20"/>
              <w:keepNext w:val="0"/>
              <w:keepLines w:val="0"/>
              <w:suppressLineNumbers w:val="0"/>
              <w:shd w:val="clear"/>
              <w:spacing w:before="211" w:beforeAutospacing="0" w:after="0" w:afterAutospacing="0"/>
              <w:ind w:left="108" w:right="95"/>
              <w:rPr>
                <w:rFonts w:hint="default"/>
                <w:color w:val="000000" w:themeColor="text1"/>
                <w:sz w:val="24"/>
                <w:highlight w:val="none"/>
                <w14:textFill>
                  <w14:solidFill>
                    <w14:schemeClr w14:val="tx1"/>
                  </w14:solidFill>
                </w14:textFill>
              </w:rPr>
            </w:pPr>
            <w:r>
              <w:rPr>
                <w:rFonts w:hint="default"/>
                <w:color w:val="000000" w:themeColor="text1"/>
                <w:spacing w:val="24"/>
                <w:sz w:val="24"/>
                <w:highlight w:val="none"/>
                <w14:textFill>
                  <w14:solidFill>
                    <w14:schemeClr w14:val="tx1"/>
                  </w14:solidFill>
                </w14:textFill>
              </w:rPr>
              <w:t>投标人</w:t>
            </w:r>
            <w:r>
              <w:rPr>
                <w:rFonts w:hint="eastAsia"/>
                <w:color w:val="000000" w:themeColor="text1"/>
                <w:sz w:val="24"/>
                <w:szCs w:val="24"/>
                <w:highlight w:val="none"/>
                <w14:textFill>
                  <w14:solidFill>
                    <w14:schemeClr w14:val="tx1"/>
                  </w14:solidFill>
                </w14:textFill>
              </w:rPr>
              <w:t>具有良好的商业信誉和健全的财务会计制度</w:t>
            </w:r>
          </w:p>
        </w:tc>
        <w:tc>
          <w:tcPr>
            <w:tcW w:w="5655" w:type="dxa"/>
          </w:tcPr>
          <w:p>
            <w:pPr>
              <w:pStyle w:val="20"/>
              <w:keepNext w:val="0"/>
              <w:keepLines w:val="0"/>
              <w:numPr>
                <w:ilvl w:val="0"/>
                <w:numId w:val="0"/>
              </w:numPr>
              <w:suppressLineNumbers w:val="0"/>
              <w:shd w:val="clear"/>
              <w:spacing w:before="0" w:beforeAutospacing="0" w:after="0" w:afterAutospacing="0" w:line="360" w:lineRule="exact"/>
              <w:ind w:left="0" w:leftChars="0" w:right="95" w:rightChars="0"/>
              <w:rPr>
                <w:rFonts w:hint="default"/>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经审计的最近一个年度（2023年）的财务状况报告或开标时间前一年内银行出具的资信证明，成立不满一个月不提供。</w:t>
            </w:r>
          </w:p>
        </w:tc>
        <w:tc>
          <w:tcPr>
            <w:tcW w:w="1602" w:type="dxa"/>
          </w:tcPr>
          <w:p>
            <w:pPr>
              <w:pStyle w:val="20"/>
              <w:keepNext w:val="0"/>
              <w:keepLines w:val="0"/>
              <w:suppressLineNumbers w:val="0"/>
              <w:shd w:val="clear"/>
              <w:spacing w:before="55" w:beforeAutospacing="0" w:after="0" w:afterAutospacing="0"/>
              <w:ind w:left="108" w:right="96"/>
              <w:jc w:val="both"/>
              <w:rPr>
                <w:rFonts w:hint="default"/>
                <w:color w:val="000000" w:themeColor="text1"/>
                <w:sz w:val="24"/>
                <w:highlight w:val="none"/>
                <w14:textFill>
                  <w14:solidFill>
                    <w14:schemeClr w14:val="tx1"/>
                  </w14:solidFill>
                </w14:textFill>
              </w:rPr>
            </w:pPr>
            <w:r>
              <w:rPr>
                <w:rFonts w:hint="default"/>
                <w:color w:val="000000" w:themeColor="text1"/>
                <w:spacing w:val="-2"/>
                <w:sz w:val="24"/>
                <w:highlight w:val="none"/>
                <w14:textFill>
                  <w14:solidFill>
                    <w14:schemeClr w14:val="tx1"/>
                  </w14:solidFill>
                </w14:textFill>
              </w:rPr>
              <w:t>提供证明文件的电子件或电子证照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trPr>
        <w:tc>
          <w:tcPr>
            <w:tcW w:w="821" w:type="dxa"/>
          </w:tcPr>
          <w:p>
            <w:pPr>
              <w:pStyle w:val="20"/>
              <w:keepNext w:val="0"/>
              <w:keepLines w:val="0"/>
              <w:suppressLineNumbers w:val="0"/>
              <w:shd w:val="clear"/>
              <w:spacing w:before="0" w:beforeAutospacing="0" w:after="0" w:afterAutospacing="0"/>
              <w:ind w:left="0" w:right="0"/>
              <w:rPr>
                <w:rFonts w:hint="default"/>
                <w:b/>
                <w:color w:val="000000" w:themeColor="text1"/>
                <w:sz w:val="24"/>
                <w:highlight w:val="none"/>
                <w14:textFill>
                  <w14:solidFill>
                    <w14:schemeClr w14:val="tx1"/>
                  </w14:solidFill>
                </w14:textFill>
              </w:rPr>
            </w:pPr>
          </w:p>
          <w:p>
            <w:pPr>
              <w:pStyle w:val="20"/>
              <w:keepNext w:val="0"/>
              <w:keepLines w:val="0"/>
              <w:suppressLineNumbers w:val="0"/>
              <w:shd w:val="clear"/>
              <w:spacing w:before="0" w:beforeAutospacing="0" w:after="0" w:afterAutospacing="0"/>
              <w:ind w:left="0" w:right="0"/>
              <w:rPr>
                <w:rFonts w:hint="default"/>
                <w:b/>
                <w:color w:val="000000" w:themeColor="text1"/>
                <w:sz w:val="24"/>
                <w:highlight w:val="none"/>
                <w14:textFill>
                  <w14:solidFill>
                    <w14:schemeClr w14:val="tx1"/>
                  </w14:solidFill>
                </w14:textFill>
              </w:rPr>
            </w:pPr>
          </w:p>
          <w:p>
            <w:pPr>
              <w:pStyle w:val="20"/>
              <w:keepNext w:val="0"/>
              <w:keepLines w:val="0"/>
              <w:suppressLineNumbers w:val="0"/>
              <w:shd w:val="clear"/>
              <w:spacing w:before="0" w:beforeAutospacing="0" w:after="0" w:afterAutospacing="0"/>
              <w:ind w:left="0" w:right="0"/>
              <w:rPr>
                <w:rFonts w:hint="default"/>
                <w:b/>
                <w:color w:val="000000" w:themeColor="text1"/>
                <w:sz w:val="24"/>
                <w:highlight w:val="none"/>
                <w14:textFill>
                  <w14:solidFill>
                    <w14:schemeClr w14:val="tx1"/>
                  </w14:solidFill>
                </w14:textFill>
              </w:rPr>
            </w:pPr>
          </w:p>
          <w:p>
            <w:pPr>
              <w:pStyle w:val="20"/>
              <w:keepNext w:val="0"/>
              <w:keepLines w:val="0"/>
              <w:suppressLineNumbers w:val="0"/>
              <w:shd w:val="clear"/>
              <w:spacing w:before="0" w:beforeAutospacing="0" w:after="0" w:afterAutospacing="0"/>
              <w:ind w:left="0" w:right="0"/>
              <w:rPr>
                <w:rFonts w:hint="default"/>
                <w:b/>
                <w:color w:val="000000" w:themeColor="text1"/>
                <w:sz w:val="24"/>
                <w:highlight w:val="none"/>
                <w14:textFill>
                  <w14:solidFill>
                    <w14:schemeClr w14:val="tx1"/>
                  </w14:solidFill>
                </w14:textFill>
              </w:rPr>
            </w:pPr>
          </w:p>
          <w:p>
            <w:pPr>
              <w:pStyle w:val="20"/>
              <w:keepNext w:val="0"/>
              <w:keepLines w:val="0"/>
              <w:suppressLineNumbers w:val="0"/>
              <w:shd w:val="clear"/>
              <w:spacing w:before="211" w:beforeAutospacing="0" w:after="0" w:afterAutospacing="0"/>
              <w:ind w:left="0" w:right="0"/>
              <w:rPr>
                <w:rFonts w:hint="default"/>
                <w:b/>
                <w:color w:val="000000" w:themeColor="text1"/>
                <w:sz w:val="24"/>
                <w:highlight w:val="none"/>
                <w14:textFill>
                  <w14:solidFill>
                    <w14:schemeClr w14:val="tx1"/>
                  </w14:solidFill>
                </w14:textFill>
              </w:rPr>
            </w:pPr>
          </w:p>
          <w:p>
            <w:pPr>
              <w:pStyle w:val="20"/>
              <w:keepNext w:val="0"/>
              <w:keepLines w:val="0"/>
              <w:suppressLineNumbers w:val="0"/>
              <w:shd w:val="clear"/>
              <w:spacing w:before="1" w:beforeAutospacing="0" w:after="0" w:afterAutospacing="0"/>
              <w:ind w:left="10" w:right="2"/>
              <w:jc w:val="center"/>
              <w:rPr>
                <w:rFonts w:hint="default"/>
                <w:b/>
                <w:color w:val="000000" w:themeColor="text1"/>
                <w:spacing w:val="-2"/>
                <w:sz w:val="24"/>
                <w:highlight w:val="none"/>
                <w14:textFill>
                  <w14:solidFill>
                    <w14:schemeClr w14:val="tx1"/>
                  </w14:solidFill>
                </w14:textFill>
              </w:rPr>
            </w:pPr>
            <w:r>
              <w:rPr>
                <w:rFonts w:hint="default"/>
                <w:b/>
                <w:color w:val="000000" w:themeColor="text1"/>
                <w:spacing w:val="-2"/>
                <w:sz w:val="24"/>
                <w:highlight w:val="none"/>
                <w14:textFill>
                  <w14:solidFill>
                    <w14:schemeClr w14:val="tx1"/>
                  </w14:solidFill>
                </w14:textFill>
              </w:rPr>
              <w:t>1-</w:t>
            </w:r>
            <w:r>
              <w:rPr>
                <w:rFonts w:hint="default"/>
                <w:b/>
                <w:color w:val="000000" w:themeColor="text1"/>
                <w:spacing w:val="-10"/>
                <w:sz w:val="24"/>
                <w:highlight w:val="none"/>
                <w14:textFill>
                  <w14:solidFill>
                    <w14:schemeClr w14:val="tx1"/>
                  </w14:solidFill>
                </w14:textFill>
              </w:rPr>
              <w:t>3</w:t>
            </w:r>
          </w:p>
        </w:tc>
        <w:tc>
          <w:tcPr>
            <w:tcW w:w="1817" w:type="dxa"/>
          </w:tcPr>
          <w:p>
            <w:pPr>
              <w:pStyle w:val="20"/>
              <w:keepNext w:val="0"/>
              <w:keepLines w:val="0"/>
              <w:suppressLineNumbers w:val="0"/>
              <w:shd w:val="clear"/>
              <w:spacing w:before="0" w:beforeAutospacing="0" w:after="0" w:afterAutospacing="0"/>
              <w:ind w:left="0" w:right="0"/>
              <w:rPr>
                <w:rFonts w:hint="default"/>
                <w:b/>
                <w:color w:val="000000" w:themeColor="text1"/>
                <w:sz w:val="24"/>
                <w:highlight w:val="none"/>
                <w14:textFill>
                  <w14:solidFill>
                    <w14:schemeClr w14:val="tx1"/>
                  </w14:solidFill>
                </w14:textFill>
              </w:rPr>
            </w:pPr>
          </w:p>
          <w:p>
            <w:pPr>
              <w:pStyle w:val="20"/>
              <w:keepNext w:val="0"/>
              <w:keepLines w:val="0"/>
              <w:suppressLineNumbers w:val="0"/>
              <w:shd w:val="clear"/>
              <w:spacing w:before="0" w:beforeAutospacing="0" w:after="0" w:afterAutospacing="0"/>
              <w:ind w:left="0" w:right="0"/>
              <w:rPr>
                <w:rFonts w:hint="default"/>
                <w:b/>
                <w:color w:val="000000" w:themeColor="text1"/>
                <w:sz w:val="24"/>
                <w:highlight w:val="none"/>
                <w14:textFill>
                  <w14:solidFill>
                    <w14:schemeClr w14:val="tx1"/>
                  </w14:solidFill>
                </w14:textFill>
              </w:rPr>
            </w:pPr>
          </w:p>
          <w:p>
            <w:pPr>
              <w:pStyle w:val="20"/>
              <w:keepNext w:val="0"/>
              <w:keepLines w:val="0"/>
              <w:suppressLineNumbers w:val="0"/>
              <w:shd w:val="clear"/>
              <w:spacing w:before="0" w:beforeAutospacing="0" w:after="0" w:afterAutospacing="0"/>
              <w:ind w:left="0" w:right="0"/>
              <w:rPr>
                <w:rFonts w:hint="default"/>
                <w:b/>
                <w:color w:val="000000" w:themeColor="text1"/>
                <w:sz w:val="24"/>
                <w:highlight w:val="none"/>
                <w14:textFill>
                  <w14:solidFill>
                    <w14:schemeClr w14:val="tx1"/>
                  </w14:solidFill>
                </w14:textFill>
              </w:rPr>
            </w:pPr>
          </w:p>
          <w:p>
            <w:pPr>
              <w:pStyle w:val="20"/>
              <w:keepNext w:val="0"/>
              <w:keepLines w:val="0"/>
              <w:suppressLineNumbers w:val="0"/>
              <w:shd w:val="clear"/>
              <w:spacing w:before="0" w:beforeAutospacing="0" w:after="0" w:afterAutospacing="0"/>
              <w:ind w:left="0" w:right="0"/>
              <w:rPr>
                <w:rFonts w:hint="default"/>
                <w:b/>
                <w:color w:val="000000" w:themeColor="text1"/>
                <w:sz w:val="24"/>
                <w:highlight w:val="none"/>
                <w14:textFill>
                  <w14:solidFill>
                    <w14:schemeClr w14:val="tx1"/>
                  </w14:solidFill>
                </w14:textFill>
              </w:rPr>
            </w:pPr>
          </w:p>
          <w:p>
            <w:pPr>
              <w:pStyle w:val="20"/>
              <w:keepNext w:val="0"/>
              <w:keepLines w:val="0"/>
              <w:suppressLineNumbers w:val="0"/>
              <w:shd w:val="clear"/>
              <w:spacing w:before="55" w:beforeAutospacing="0" w:after="0" w:afterAutospacing="0"/>
              <w:ind w:left="0" w:right="0"/>
              <w:rPr>
                <w:rFonts w:hint="default"/>
                <w:b/>
                <w:color w:val="000000" w:themeColor="text1"/>
                <w:sz w:val="24"/>
                <w:highlight w:val="none"/>
                <w14:textFill>
                  <w14:solidFill>
                    <w14:schemeClr w14:val="tx1"/>
                  </w14:solidFill>
                </w14:textFill>
              </w:rPr>
            </w:pPr>
          </w:p>
          <w:p>
            <w:pPr>
              <w:pStyle w:val="20"/>
              <w:keepNext w:val="0"/>
              <w:keepLines w:val="0"/>
              <w:suppressLineNumbers w:val="0"/>
              <w:shd w:val="clear"/>
              <w:spacing w:before="1" w:beforeAutospacing="0" w:after="0" w:afterAutospacing="0"/>
              <w:ind w:left="108" w:right="95"/>
              <w:rPr>
                <w:rFonts w:hint="default"/>
                <w:color w:val="000000" w:themeColor="text1"/>
                <w:spacing w:val="24"/>
                <w:sz w:val="24"/>
                <w:highlight w:val="none"/>
                <w14:textFill>
                  <w14:solidFill>
                    <w14:schemeClr w14:val="tx1"/>
                  </w14:solidFill>
                </w14:textFill>
              </w:rPr>
            </w:pPr>
            <w:r>
              <w:rPr>
                <w:rFonts w:hint="default"/>
                <w:color w:val="000000" w:themeColor="text1"/>
                <w:spacing w:val="24"/>
                <w:sz w:val="24"/>
                <w:highlight w:val="none"/>
                <w14:textFill>
                  <w14:solidFill>
                    <w14:schemeClr w14:val="tx1"/>
                  </w14:solidFill>
                </w14:textFill>
              </w:rPr>
              <w:t>投标人信用记</w:t>
            </w:r>
            <w:r>
              <w:rPr>
                <w:rFonts w:hint="default"/>
                <w:color w:val="000000" w:themeColor="text1"/>
                <w:spacing w:val="-10"/>
                <w:sz w:val="24"/>
                <w:highlight w:val="none"/>
                <w14:textFill>
                  <w14:solidFill>
                    <w14:schemeClr w14:val="tx1"/>
                  </w14:solidFill>
                </w14:textFill>
              </w:rPr>
              <w:t>录</w:t>
            </w:r>
          </w:p>
        </w:tc>
        <w:tc>
          <w:tcPr>
            <w:tcW w:w="5655" w:type="dxa"/>
          </w:tcPr>
          <w:p>
            <w:pPr>
              <w:pStyle w:val="20"/>
              <w:keepNext w:val="0"/>
              <w:keepLines w:val="0"/>
              <w:suppressLineNumbers w:val="0"/>
              <w:shd w:val="clear"/>
              <w:spacing w:before="0" w:beforeAutospacing="0" w:after="0" w:afterAutospacing="0" w:line="360" w:lineRule="exact"/>
              <w:ind w:left="108" w:right="95"/>
              <w:rPr>
                <w:rFonts w:hint="default"/>
                <w:color w:val="000000" w:themeColor="text1"/>
                <w:sz w:val="24"/>
                <w:szCs w:val="24"/>
                <w:highlight w:val="none"/>
                <w14:textFill>
                  <w14:solidFill>
                    <w14:schemeClr w14:val="tx1"/>
                  </w14:solidFill>
                </w14:textFill>
              </w:rPr>
            </w:pPr>
            <w:r>
              <w:rPr>
                <w:rFonts w:hint="default"/>
                <w:color w:val="000000" w:themeColor="text1"/>
                <w:spacing w:val="-2"/>
                <w:sz w:val="24"/>
                <w:szCs w:val="24"/>
                <w:highlight w:val="none"/>
                <w14:textFill>
                  <w14:solidFill>
                    <w14:schemeClr w14:val="tx1"/>
                  </w14:solidFill>
                </w14:textFill>
              </w:rPr>
              <w:t xml:space="preserve">查询渠道：信用中国网站和中国政府采购网（ </w:t>
            </w:r>
            <w:r>
              <w:rPr>
                <w:rFonts w:hint="default"/>
                <w:color w:val="000000" w:themeColor="text1"/>
                <w:highlight w:val="none"/>
                <w14:textFill>
                  <w14:solidFill>
                    <w14:schemeClr w14:val="tx1"/>
                  </w14:solidFill>
                </w14:textFill>
              </w:rPr>
              <w:fldChar w:fldCharType="begin"/>
            </w:r>
            <w:r>
              <w:rPr>
                <w:rFonts w:hint="default"/>
                <w:color w:val="000000" w:themeColor="text1"/>
                <w:highlight w:val="none"/>
                <w14:textFill>
                  <w14:solidFill>
                    <w14:schemeClr w14:val="tx1"/>
                  </w14:solidFill>
                </w14:textFill>
              </w:rPr>
              <w:instrText xml:space="preserve"> HYPERLINK "http://www.creditchina.gov.cn/" \h </w:instrText>
            </w:r>
            <w:r>
              <w:rPr>
                <w:rFonts w:hint="default"/>
                <w:color w:val="000000" w:themeColor="text1"/>
                <w:highlight w:val="none"/>
                <w14:textFill>
                  <w14:solidFill>
                    <w14:schemeClr w14:val="tx1"/>
                  </w14:solidFill>
                </w14:textFill>
              </w:rPr>
              <w:fldChar w:fldCharType="separate"/>
            </w:r>
            <w:r>
              <w:rPr>
                <w:rFonts w:hint="default"/>
                <w:color w:val="000000" w:themeColor="text1"/>
                <w:spacing w:val="-4"/>
                <w:sz w:val="24"/>
                <w:szCs w:val="24"/>
                <w:highlight w:val="none"/>
                <w14:textFill>
                  <w14:solidFill>
                    <w14:schemeClr w14:val="tx1"/>
                  </w14:solidFill>
                </w14:textFill>
              </w:rPr>
              <w:t>www.creditchina.gov.cn</w:t>
            </w:r>
            <w:r>
              <w:rPr>
                <w:rFonts w:hint="default"/>
                <w:color w:val="000000" w:themeColor="text1"/>
                <w:spacing w:val="-4"/>
                <w:sz w:val="24"/>
                <w:szCs w:val="24"/>
                <w:highlight w:val="none"/>
                <w14:textFill>
                  <w14:solidFill>
                    <w14:schemeClr w14:val="tx1"/>
                  </w14:solidFill>
                </w14:textFill>
              </w:rPr>
              <w:fldChar w:fldCharType="end"/>
            </w:r>
            <w:r>
              <w:rPr>
                <w:rFonts w:hint="default"/>
                <w:color w:val="000000" w:themeColor="text1"/>
                <w:spacing w:val="-4"/>
                <w:sz w:val="24"/>
                <w:szCs w:val="24"/>
                <w:highlight w:val="none"/>
                <w14:textFill>
                  <w14:solidFill>
                    <w14:schemeClr w14:val="tx1"/>
                  </w14:solidFill>
                </w14:textFill>
              </w:rPr>
              <w:t xml:space="preserve"> 、</w:t>
            </w:r>
            <w:r>
              <w:rPr>
                <w:rFonts w:hint="default"/>
                <w:color w:val="000000" w:themeColor="text1"/>
                <w:highlight w:val="none"/>
                <w14:textFill>
                  <w14:solidFill>
                    <w14:schemeClr w14:val="tx1"/>
                  </w14:solidFill>
                </w14:textFill>
              </w:rPr>
              <w:fldChar w:fldCharType="begin"/>
            </w:r>
            <w:r>
              <w:rPr>
                <w:rFonts w:hint="default"/>
                <w:color w:val="000000" w:themeColor="text1"/>
                <w:highlight w:val="none"/>
                <w14:textFill>
                  <w14:solidFill>
                    <w14:schemeClr w14:val="tx1"/>
                  </w14:solidFill>
                </w14:textFill>
              </w:rPr>
              <w:instrText xml:space="preserve"> HYPERLINK "http://www.ccgp.gov.cn/" \h </w:instrText>
            </w:r>
            <w:r>
              <w:rPr>
                <w:rFonts w:hint="default"/>
                <w:color w:val="000000" w:themeColor="text1"/>
                <w:highlight w:val="none"/>
                <w14:textFill>
                  <w14:solidFill>
                    <w14:schemeClr w14:val="tx1"/>
                  </w14:solidFill>
                </w14:textFill>
              </w:rPr>
              <w:fldChar w:fldCharType="separate"/>
            </w:r>
            <w:r>
              <w:rPr>
                <w:rFonts w:hint="default"/>
                <w:color w:val="000000" w:themeColor="text1"/>
                <w:spacing w:val="-4"/>
                <w:sz w:val="24"/>
                <w:szCs w:val="24"/>
                <w:highlight w:val="none"/>
                <w14:textFill>
                  <w14:solidFill>
                    <w14:schemeClr w14:val="tx1"/>
                  </w14:solidFill>
                </w14:textFill>
              </w:rPr>
              <w:t>www.ccgp.gov.cn</w:t>
            </w:r>
            <w:r>
              <w:rPr>
                <w:rFonts w:hint="default"/>
                <w:color w:val="000000" w:themeColor="text1"/>
                <w:spacing w:val="-4"/>
                <w:sz w:val="24"/>
                <w:szCs w:val="24"/>
                <w:highlight w:val="none"/>
                <w14:textFill>
                  <w14:solidFill>
                    <w14:schemeClr w14:val="tx1"/>
                  </w14:solidFill>
                </w14:textFill>
              </w:rPr>
              <w:fldChar w:fldCharType="end"/>
            </w:r>
            <w:r>
              <w:rPr>
                <w:rFonts w:hint="default"/>
                <w:color w:val="000000" w:themeColor="text1"/>
                <w:spacing w:val="-4"/>
                <w:sz w:val="24"/>
                <w:szCs w:val="24"/>
                <w:highlight w:val="none"/>
                <w14:textFill>
                  <w14:solidFill>
                    <w14:schemeClr w14:val="tx1"/>
                  </w14:solidFill>
                </w14:textFill>
              </w:rPr>
              <w:t>）；</w:t>
            </w:r>
            <w:r>
              <w:rPr>
                <w:rFonts w:hint="default"/>
                <w:color w:val="000000" w:themeColor="text1"/>
                <w:spacing w:val="-14"/>
                <w:sz w:val="24"/>
                <w:szCs w:val="24"/>
                <w:highlight w:val="none"/>
                <w14:textFill>
                  <w14:solidFill>
                    <w14:schemeClr w14:val="tx1"/>
                  </w14:solidFill>
                </w14:textFill>
              </w:rPr>
              <w:t>截止时点：投标截止时间以后、资格审查阶段采购</w:t>
            </w:r>
            <w:r>
              <w:rPr>
                <w:rFonts w:hint="default"/>
                <w:color w:val="000000" w:themeColor="text1"/>
                <w:spacing w:val="-2"/>
                <w:sz w:val="24"/>
                <w:szCs w:val="24"/>
                <w:highlight w:val="none"/>
                <w14:textFill>
                  <w14:solidFill>
                    <w14:schemeClr w14:val="tx1"/>
                  </w14:solidFill>
                </w14:textFill>
              </w:rPr>
              <w:t>人或采购代理机构的实际查询时间；</w:t>
            </w:r>
          </w:p>
          <w:p>
            <w:pPr>
              <w:pStyle w:val="20"/>
              <w:keepNext w:val="0"/>
              <w:keepLines w:val="0"/>
              <w:suppressLineNumbers w:val="0"/>
              <w:shd w:val="clear"/>
              <w:spacing w:before="0" w:beforeAutospacing="0" w:after="0" w:afterAutospacing="0" w:line="360" w:lineRule="exact"/>
              <w:ind w:left="108" w:right="95"/>
              <w:rPr>
                <w:rFonts w:hint="default"/>
                <w:color w:val="000000" w:themeColor="text1"/>
                <w:sz w:val="24"/>
                <w:szCs w:val="24"/>
                <w:highlight w:val="none"/>
                <w14:textFill>
                  <w14:solidFill>
                    <w14:schemeClr w14:val="tx1"/>
                  </w14:solidFill>
                </w14:textFill>
              </w:rPr>
            </w:pPr>
            <w:r>
              <w:rPr>
                <w:rFonts w:hint="default"/>
                <w:color w:val="000000" w:themeColor="text1"/>
                <w:spacing w:val="-9"/>
                <w:sz w:val="24"/>
                <w:szCs w:val="24"/>
                <w:highlight w:val="none"/>
                <w14:textFill>
                  <w14:solidFill>
                    <w14:schemeClr w14:val="tx1"/>
                  </w14:solidFill>
                </w14:textFill>
              </w:rPr>
              <w:t>信用信息查询记录和证据留存具体方式：查询结果</w:t>
            </w:r>
            <w:r>
              <w:rPr>
                <w:rFonts w:hint="default"/>
                <w:color w:val="000000" w:themeColor="text1"/>
                <w:spacing w:val="-10"/>
                <w:sz w:val="24"/>
                <w:szCs w:val="24"/>
                <w:highlight w:val="none"/>
                <w14:textFill>
                  <w14:solidFill>
                    <w14:schemeClr w14:val="tx1"/>
                  </w14:solidFill>
                </w14:textFill>
              </w:rPr>
              <w:t>网页打印页作为查询记录和证据，与其他采购文件</w:t>
            </w:r>
            <w:r>
              <w:rPr>
                <w:rFonts w:hint="default"/>
                <w:color w:val="000000" w:themeColor="text1"/>
                <w:spacing w:val="-2"/>
                <w:sz w:val="24"/>
                <w:szCs w:val="24"/>
                <w:highlight w:val="none"/>
                <w14:textFill>
                  <w14:solidFill>
                    <w14:schemeClr w14:val="tx1"/>
                  </w14:solidFill>
                </w14:textFill>
              </w:rPr>
              <w:t>一并保存；</w:t>
            </w:r>
          </w:p>
          <w:p>
            <w:pPr>
              <w:pStyle w:val="20"/>
              <w:keepNext w:val="0"/>
              <w:keepLines w:val="0"/>
              <w:suppressLineNumbers w:val="0"/>
              <w:shd w:val="clear"/>
              <w:spacing w:before="0" w:beforeAutospacing="0" w:after="0" w:afterAutospacing="0" w:line="360" w:lineRule="exact"/>
              <w:ind w:left="108" w:right="83"/>
              <w:rPr>
                <w:rFonts w:hint="default"/>
                <w:color w:val="000000" w:themeColor="text1"/>
                <w:sz w:val="24"/>
                <w:szCs w:val="24"/>
                <w:highlight w:val="none"/>
                <w14:textFill>
                  <w14:solidFill>
                    <w14:schemeClr w14:val="tx1"/>
                  </w14:solidFill>
                </w14:textFill>
              </w:rPr>
            </w:pPr>
            <w:r>
              <w:rPr>
                <w:rFonts w:hint="default"/>
                <w:color w:val="000000" w:themeColor="text1"/>
                <w:spacing w:val="-6"/>
                <w:sz w:val="24"/>
                <w:szCs w:val="24"/>
                <w:highlight w:val="none"/>
                <w14:textFill>
                  <w14:solidFill>
                    <w14:schemeClr w14:val="tx1"/>
                  </w14:solidFill>
                </w14:textFill>
              </w:rPr>
              <w:t>信用信息的使用原则：经认定的被列入失信被执行</w:t>
            </w:r>
            <w:r>
              <w:rPr>
                <w:rFonts w:hint="default"/>
                <w:color w:val="000000" w:themeColor="text1"/>
                <w:spacing w:val="-22"/>
                <w:sz w:val="24"/>
                <w:szCs w:val="24"/>
                <w:highlight w:val="none"/>
                <w14:textFill>
                  <w14:solidFill>
                    <w14:schemeClr w14:val="tx1"/>
                  </w14:solidFill>
                </w14:textFill>
              </w:rPr>
              <w:t>人、重大税收违法失信主体、政府采购严重违法失信</w:t>
            </w:r>
            <w:r>
              <w:rPr>
                <w:rFonts w:hint="default"/>
                <w:color w:val="000000" w:themeColor="text1"/>
                <w:spacing w:val="-16"/>
                <w:sz w:val="24"/>
                <w:szCs w:val="24"/>
                <w:highlight w:val="none"/>
                <w14:textFill>
                  <w14:solidFill>
                    <w14:schemeClr w14:val="tx1"/>
                  </w14:solidFill>
                </w14:textFill>
              </w:rPr>
              <w:t>行为记录名单的投标人，其</w:t>
            </w:r>
            <w:r>
              <w:rPr>
                <w:rFonts w:hint="default"/>
                <w:b/>
                <w:color w:val="000000" w:themeColor="text1"/>
                <w:spacing w:val="-12"/>
                <w:sz w:val="24"/>
                <w:szCs w:val="24"/>
                <w:highlight w:val="none"/>
                <w14:textFill>
                  <w14:solidFill>
                    <w14:schemeClr w14:val="tx1"/>
                  </w14:solidFill>
                </w14:textFill>
              </w:rPr>
              <w:t>投标无效</w:t>
            </w:r>
            <w:r>
              <w:rPr>
                <w:rFonts w:hint="default"/>
                <w:color w:val="000000" w:themeColor="text1"/>
                <w:spacing w:val="-19"/>
                <w:sz w:val="24"/>
                <w:szCs w:val="24"/>
                <w:highlight w:val="none"/>
                <w14:textFill>
                  <w14:solidFill>
                    <w14:schemeClr w14:val="tx1"/>
                  </w14:solidFill>
                </w14:textFill>
              </w:rPr>
              <w:t>。联合体形式投</w:t>
            </w:r>
            <w:r>
              <w:rPr>
                <w:rFonts w:hint="default"/>
                <w:color w:val="000000" w:themeColor="text1"/>
                <w:spacing w:val="-21"/>
                <w:sz w:val="24"/>
                <w:szCs w:val="24"/>
                <w:highlight w:val="none"/>
                <w14:textFill>
                  <w14:solidFill>
                    <w14:schemeClr w14:val="tx1"/>
                  </w14:solidFill>
                </w14:textFill>
              </w:rPr>
              <w:t>标的，联合体成员存在不良信用记录，视同联合体存</w:t>
            </w:r>
            <w:r>
              <w:rPr>
                <w:rFonts w:hint="default"/>
                <w:color w:val="000000" w:themeColor="text1"/>
                <w:spacing w:val="-2"/>
                <w:sz w:val="24"/>
                <w:szCs w:val="24"/>
                <w:highlight w:val="none"/>
                <w14:textFill>
                  <w14:solidFill>
                    <w14:schemeClr w14:val="tx1"/>
                  </w14:solidFill>
                </w14:textFill>
              </w:rPr>
              <w:t>在不良信用记录。</w:t>
            </w:r>
          </w:p>
        </w:tc>
        <w:tc>
          <w:tcPr>
            <w:tcW w:w="1602" w:type="dxa"/>
          </w:tcPr>
          <w:p>
            <w:pPr>
              <w:pStyle w:val="20"/>
              <w:keepNext w:val="0"/>
              <w:keepLines w:val="0"/>
              <w:suppressLineNumbers w:val="0"/>
              <w:shd w:val="clear"/>
              <w:spacing w:before="0" w:beforeAutospacing="0" w:after="0" w:afterAutospacing="0"/>
              <w:ind w:left="0" w:right="0"/>
              <w:rPr>
                <w:rFonts w:hint="default"/>
                <w:b/>
                <w:color w:val="000000" w:themeColor="text1"/>
                <w:sz w:val="24"/>
                <w:highlight w:val="none"/>
                <w14:textFill>
                  <w14:solidFill>
                    <w14:schemeClr w14:val="tx1"/>
                  </w14:solidFill>
                </w14:textFill>
              </w:rPr>
            </w:pPr>
          </w:p>
          <w:p>
            <w:pPr>
              <w:pStyle w:val="20"/>
              <w:keepNext w:val="0"/>
              <w:keepLines w:val="0"/>
              <w:suppressLineNumbers w:val="0"/>
              <w:shd w:val="clear"/>
              <w:spacing w:before="0" w:beforeAutospacing="0" w:after="0" w:afterAutospacing="0"/>
              <w:ind w:left="0" w:right="0"/>
              <w:rPr>
                <w:rFonts w:hint="default"/>
                <w:b/>
                <w:color w:val="000000" w:themeColor="text1"/>
                <w:sz w:val="24"/>
                <w:highlight w:val="none"/>
                <w14:textFill>
                  <w14:solidFill>
                    <w14:schemeClr w14:val="tx1"/>
                  </w14:solidFill>
                </w14:textFill>
              </w:rPr>
            </w:pPr>
          </w:p>
          <w:p>
            <w:pPr>
              <w:pStyle w:val="20"/>
              <w:keepNext w:val="0"/>
              <w:keepLines w:val="0"/>
              <w:suppressLineNumbers w:val="0"/>
              <w:shd w:val="clear"/>
              <w:spacing w:before="211" w:beforeAutospacing="0" w:after="0" w:afterAutospacing="0"/>
              <w:ind w:left="0" w:right="0"/>
              <w:rPr>
                <w:rFonts w:hint="default"/>
                <w:b/>
                <w:color w:val="000000" w:themeColor="text1"/>
                <w:sz w:val="24"/>
                <w:highlight w:val="none"/>
                <w14:textFill>
                  <w14:solidFill>
                    <w14:schemeClr w14:val="tx1"/>
                  </w14:solidFill>
                </w14:textFill>
              </w:rPr>
            </w:pPr>
          </w:p>
          <w:p>
            <w:pPr>
              <w:pStyle w:val="20"/>
              <w:keepNext w:val="0"/>
              <w:keepLines w:val="0"/>
              <w:suppressLineNumbers w:val="0"/>
              <w:shd w:val="clear"/>
              <w:spacing w:before="1" w:beforeAutospacing="0" w:after="0" w:afterAutospacing="0"/>
              <w:ind w:left="108" w:right="41"/>
              <w:rPr>
                <w:rFonts w:hint="default"/>
                <w:color w:val="000000" w:themeColor="text1"/>
                <w:spacing w:val="-2"/>
                <w:sz w:val="24"/>
                <w:highlight w:val="none"/>
                <w14:textFill>
                  <w14:solidFill>
                    <w14:schemeClr w14:val="tx1"/>
                  </w14:solidFill>
                </w14:textFill>
              </w:rPr>
            </w:pPr>
            <w:r>
              <w:rPr>
                <w:rFonts w:hint="default"/>
                <w:color w:val="000000" w:themeColor="text1"/>
                <w:spacing w:val="-2"/>
                <w:sz w:val="24"/>
                <w:highlight w:val="none"/>
                <w14:textFill>
                  <w14:solidFill>
                    <w14:schemeClr w14:val="tx1"/>
                  </w14:solidFill>
                </w14:textFill>
              </w:rPr>
              <w:t xml:space="preserve">无须投标人 </w:t>
            </w:r>
            <w:r>
              <w:rPr>
                <w:rFonts w:hint="default"/>
                <w:color w:val="000000" w:themeColor="text1"/>
                <w:spacing w:val="-12"/>
                <w:sz w:val="24"/>
                <w:highlight w:val="none"/>
                <w14:textFill>
                  <w14:solidFill>
                    <w14:schemeClr w14:val="tx1"/>
                  </w14:solidFill>
                </w14:textFill>
              </w:rPr>
              <w:t>提供，由采购</w:t>
            </w:r>
            <w:r>
              <w:rPr>
                <w:rFonts w:hint="default"/>
                <w:color w:val="000000" w:themeColor="text1"/>
                <w:spacing w:val="-2"/>
                <w:sz w:val="24"/>
                <w:highlight w:val="none"/>
                <w14:textFill>
                  <w14:solidFill>
                    <w14:schemeClr w14:val="tx1"/>
                  </w14:solidFill>
                </w14:textFill>
              </w:rPr>
              <w:t>人或采购代理机构查询。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2" w:hRule="atLeast"/>
        </w:trPr>
        <w:tc>
          <w:tcPr>
            <w:tcW w:w="821" w:type="dxa"/>
          </w:tcPr>
          <w:p>
            <w:pPr>
              <w:pStyle w:val="20"/>
              <w:keepNext w:val="0"/>
              <w:keepLines w:val="0"/>
              <w:suppressLineNumbers w:val="0"/>
              <w:shd w:val="clear"/>
              <w:spacing w:before="1" w:beforeAutospacing="0" w:after="0" w:afterAutospacing="0"/>
              <w:ind w:left="10" w:right="2"/>
              <w:jc w:val="center"/>
              <w:rPr>
                <w:rFonts w:hint="default"/>
                <w:b/>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1-4</w:t>
            </w:r>
          </w:p>
        </w:tc>
        <w:tc>
          <w:tcPr>
            <w:tcW w:w="1817" w:type="dxa"/>
          </w:tcPr>
          <w:p>
            <w:pPr>
              <w:pStyle w:val="20"/>
              <w:keepNext w:val="0"/>
              <w:keepLines w:val="0"/>
              <w:suppressLineNumbers w:val="0"/>
              <w:shd w:val="clear"/>
              <w:spacing w:before="1" w:beforeAutospacing="0" w:after="0" w:afterAutospacing="0"/>
              <w:ind w:left="108" w:right="95"/>
              <w:rPr>
                <w:rFonts w:hint="default"/>
                <w:color w:val="000000" w:themeColor="text1"/>
                <w:spacing w:val="24"/>
                <w:sz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有依法缴纳税收和社会保障资金的良好记录</w:t>
            </w:r>
          </w:p>
        </w:tc>
        <w:tc>
          <w:tcPr>
            <w:tcW w:w="5655" w:type="dxa"/>
          </w:tcPr>
          <w:p>
            <w:pPr>
              <w:pStyle w:val="20"/>
              <w:keepNext w:val="0"/>
              <w:keepLines w:val="0"/>
              <w:suppressLineNumbers w:val="0"/>
              <w:shd w:val="clear"/>
              <w:spacing w:before="0" w:beforeAutospacing="0" w:after="0" w:afterAutospacing="0" w:line="360" w:lineRule="exact"/>
              <w:ind w:left="5" w:right="-15"/>
              <w:rPr>
                <w:rFonts w:hint="default"/>
                <w:color w:val="000000" w:themeColor="text1"/>
                <w:spacing w:val="-6"/>
                <w:sz w:val="24"/>
                <w:szCs w:val="24"/>
                <w:highlight w:val="none"/>
                <w14:textFill>
                  <w14:solidFill>
                    <w14:schemeClr w14:val="tx1"/>
                  </w14:solidFill>
                </w14:textFill>
              </w:rPr>
            </w:pPr>
            <w:r>
              <w:rPr>
                <w:rFonts w:hint="default"/>
                <w:color w:val="000000" w:themeColor="text1"/>
                <w:spacing w:val="-2"/>
                <w:sz w:val="24"/>
                <w:szCs w:val="24"/>
                <w:highlight w:val="none"/>
                <w14:textFill>
                  <w14:solidFill>
                    <w14:schemeClr w14:val="tx1"/>
                  </w14:solidFill>
                </w14:textFill>
              </w:rPr>
              <w:t>依法缴纳税收和社会保障资金的相关材料（提供提交投标文件截止时间前一年内至少一个月依法缴纳税收及缴纳社会保障资金的证明材料。投标人依法享受缓</w:t>
            </w:r>
            <w:r>
              <w:rPr>
                <w:rFonts w:hint="default"/>
                <w:color w:val="000000" w:themeColor="text1"/>
                <w:spacing w:val="-1"/>
                <w:sz w:val="24"/>
                <w:szCs w:val="24"/>
                <w:highlight w:val="none"/>
                <w14:textFill>
                  <w14:solidFill>
                    <w14:schemeClr w14:val="tx1"/>
                  </w14:solidFill>
                </w14:textFill>
              </w:rPr>
              <w:t>缴、免缴税收、社会保障资金的提供证明材料，成立</w:t>
            </w:r>
            <w:r>
              <w:rPr>
                <w:rFonts w:hint="default"/>
                <w:color w:val="000000" w:themeColor="text1"/>
                <w:sz w:val="24"/>
                <w:szCs w:val="24"/>
                <w:highlight w:val="none"/>
                <w14:textFill>
                  <w14:solidFill>
                    <w14:schemeClr w14:val="tx1"/>
                  </w14:solidFill>
                </w14:textFill>
              </w:rPr>
              <w:t>不满一个月不提供）；</w:t>
            </w:r>
          </w:p>
        </w:tc>
        <w:tc>
          <w:tcPr>
            <w:tcW w:w="1602" w:type="dxa"/>
          </w:tcPr>
          <w:p>
            <w:pPr>
              <w:pStyle w:val="20"/>
              <w:keepNext w:val="0"/>
              <w:keepLines w:val="0"/>
              <w:suppressLineNumbers w:val="0"/>
              <w:shd w:val="clear"/>
              <w:spacing w:before="1" w:beforeAutospacing="0" w:after="0" w:afterAutospacing="0"/>
              <w:ind w:left="108" w:right="41"/>
              <w:rPr>
                <w:rFonts w:hint="default"/>
                <w:color w:val="000000" w:themeColor="text1"/>
                <w:spacing w:val="-2"/>
                <w:sz w:val="24"/>
                <w:highlight w:val="none"/>
                <w14:textFill>
                  <w14:solidFill>
                    <w14:schemeClr w14:val="tx1"/>
                  </w14:solidFill>
                </w14:textFill>
              </w:rPr>
            </w:pPr>
            <w:r>
              <w:rPr>
                <w:rFonts w:hint="default"/>
                <w:color w:val="000000" w:themeColor="text1"/>
                <w:spacing w:val="-2"/>
                <w:sz w:val="24"/>
                <w:highlight w:val="none"/>
                <w14:textFill>
                  <w14:solidFill>
                    <w14:schemeClr w14:val="tx1"/>
                  </w14:solidFill>
                </w14:textFill>
              </w:rPr>
              <w:t>提供证明文件的电子件或电子证照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0" w:hRule="atLeast"/>
        </w:trPr>
        <w:tc>
          <w:tcPr>
            <w:tcW w:w="821" w:type="dxa"/>
          </w:tcPr>
          <w:p>
            <w:pPr>
              <w:pStyle w:val="20"/>
              <w:keepNext w:val="0"/>
              <w:keepLines w:val="0"/>
              <w:suppressLineNumbers w:val="0"/>
              <w:shd w:val="clear"/>
              <w:spacing w:before="1" w:beforeAutospacing="0" w:after="0" w:afterAutospacing="0"/>
              <w:ind w:left="10" w:right="2"/>
              <w:jc w:val="center"/>
              <w:rPr>
                <w:rFonts w:hint="default"/>
                <w:b/>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1-5</w:t>
            </w:r>
          </w:p>
        </w:tc>
        <w:tc>
          <w:tcPr>
            <w:tcW w:w="1817" w:type="dxa"/>
          </w:tcPr>
          <w:p>
            <w:pPr>
              <w:pStyle w:val="20"/>
              <w:keepNext w:val="0"/>
              <w:keepLines w:val="0"/>
              <w:suppressLineNumbers w:val="0"/>
              <w:shd w:val="clear"/>
              <w:spacing w:before="115" w:beforeAutospacing="0" w:after="0" w:afterAutospacing="0"/>
              <w:ind w:left="5" w:right="-15"/>
              <w:rPr>
                <w:rFonts w:hint="default"/>
                <w:color w:val="000000" w:themeColor="text1"/>
                <w:sz w:val="24"/>
                <w:szCs w:val="24"/>
                <w:highlight w:val="none"/>
                <w14:textFill>
                  <w14:solidFill>
                    <w14:schemeClr w14:val="tx1"/>
                  </w14:solidFill>
                </w14:textFill>
              </w:rPr>
            </w:pPr>
            <w:r>
              <w:rPr>
                <w:rFonts w:hint="default"/>
                <w:color w:val="000000" w:themeColor="text1"/>
                <w:spacing w:val="-1"/>
                <w:sz w:val="24"/>
                <w:highlight w:val="none"/>
                <w14:textFill>
                  <w14:solidFill>
                    <w14:schemeClr w14:val="tx1"/>
                  </w14:solidFill>
                </w14:textFill>
              </w:rPr>
              <w:t>具备履行合同所必需的设备和专业技术能力的证明材</w:t>
            </w:r>
            <w:r>
              <w:rPr>
                <w:rFonts w:hint="default"/>
                <w:color w:val="000000" w:themeColor="text1"/>
                <w:sz w:val="24"/>
                <w:highlight w:val="none"/>
                <w14:textFill>
                  <w14:solidFill>
                    <w14:schemeClr w14:val="tx1"/>
                  </w14:solidFill>
                </w14:textFill>
              </w:rPr>
              <w:t>料</w:t>
            </w:r>
          </w:p>
        </w:tc>
        <w:tc>
          <w:tcPr>
            <w:tcW w:w="5655" w:type="dxa"/>
          </w:tcPr>
          <w:p>
            <w:pPr>
              <w:pStyle w:val="20"/>
              <w:keepNext w:val="0"/>
              <w:keepLines w:val="0"/>
              <w:suppressLineNumbers w:val="0"/>
              <w:shd w:val="clear"/>
              <w:spacing w:before="0" w:beforeAutospacing="0" w:after="0" w:afterAutospacing="0" w:line="360" w:lineRule="exact"/>
              <w:ind w:left="5" w:right="-15"/>
              <w:rPr>
                <w:rFonts w:hint="default"/>
                <w:color w:val="000000" w:themeColor="text1"/>
                <w:spacing w:val="-2"/>
                <w:sz w:val="24"/>
                <w:szCs w:val="24"/>
                <w:highlight w:val="none"/>
                <w14:textFill>
                  <w14:solidFill>
                    <w14:schemeClr w14:val="tx1"/>
                  </w14:solidFill>
                </w14:textFill>
              </w:rPr>
            </w:pPr>
            <w:r>
              <w:rPr>
                <w:rFonts w:hint="default"/>
                <w:color w:val="000000" w:themeColor="text1"/>
                <w:spacing w:val="-1"/>
                <w:sz w:val="24"/>
                <w:szCs w:val="24"/>
                <w:highlight w:val="none"/>
                <w14:textFill>
                  <w14:solidFill>
                    <w14:schemeClr w14:val="tx1"/>
                  </w14:solidFill>
                </w14:textFill>
              </w:rPr>
              <w:t>具备履行合同所必需的设备和专业技术能力的证明材</w:t>
            </w:r>
            <w:r>
              <w:rPr>
                <w:rFonts w:hint="default"/>
                <w:color w:val="000000" w:themeColor="text1"/>
                <w:sz w:val="24"/>
                <w:szCs w:val="24"/>
                <w:highlight w:val="none"/>
                <w14:textFill>
                  <w14:solidFill>
                    <w14:schemeClr w14:val="tx1"/>
                  </w14:solidFill>
                </w14:textFill>
              </w:rPr>
              <w:t>料</w:t>
            </w:r>
          </w:p>
        </w:tc>
        <w:tc>
          <w:tcPr>
            <w:tcW w:w="1602" w:type="dxa"/>
          </w:tcPr>
          <w:p>
            <w:pPr>
              <w:pStyle w:val="20"/>
              <w:keepNext w:val="0"/>
              <w:keepLines w:val="0"/>
              <w:suppressLineNumbers w:val="0"/>
              <w:shd w:val="clear"/>
              <w:spacing w:before="1" w:beforeAutospacing="0" w:after="0" w:afterAutospacing="0"/>
              <w:ind w:left="108" w:right="41"/>
              <w:rPr>
                <w:rFonts w:hint="default"/>
                <w:color w:val="000000" w:themeColor="text1"/>
                <w:spacing w:val="-2"/>
                <w:sz w:val="24"/>
                <w:highlight w:val="none"/>
                <w14:textFill>
                  <w14:solidFill>
                    <w14:schemeClr w14:val="tx1"/>
                  </w14:solidFill>
                </w14:textFill>
              </w:rPr>
            </w:pPr>
            <w:r>
              <w:rPr>
                <w:rFonts w:hint="eastAsia"/>
                <w:color w:val="000000" w:themeColor="text1"/>
                <w:spacing w:val="-2"/>
                <w:sz w:val="24"/>
                <w:highlight w:val="none"/>
                <w14:textFill>
                  <w14:solidFill>
                    <w14:schemeClr w14:val="tx1"/>
                  </w14:solidFill>
                </w14:textFill>
              </w:rPr>
              <w:t>提供加盖公章的承诺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21" w:type="dxa"/>
          </w:tcPr>
          <w:p>
            <w:pPr>
              <w:pStyle w:val="20"/>
              <w:keepNext w:val="0"/>
              <w:keepLines w:val="0"/>
              <w:suppressLineNumbers w:val="0"/>
              <w:shd w:val="clear"/>
              <w:spacing w:before="1" w:beforeAutospacing="0" w:after="0" w:afterAutospacing="0"/>
              <w:ind w:left="10" w:right="2"/>
              <w:jc w:val="center"/>
              <w:rPr>
                <w:rFonts w:hint="default"/>
                <w:b/>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2-1</w:t>
            </w:r>
          </w:p>
        </w:tc>
        <w:tc>
          <w:tcPr>
            <w:tcW w:w="1817" w:type="dxa"/>
          </w:tcPr>
          <w:p>
            <w:pPr>
              <w:pStyle w:val="20"/>
              <w:keepNext w:val="0"/>
              <w:keepLines w:val="0"/>
              <w:suppressLineNumbers w:val="0"/>
              <w:shd w:val="clear"/>
              <w:spacing w:before="95" w:beforeAutospacing="0" w:after="0" w:afterAutospacing="0"/>
              <w:ind w:left="0" w:right="0"/>
              <w:rPr>
                <w:rFonts w:hint="default"/>
                <w:b/>
                <w:color w:val="000000" w:themeColor="text1"/>
                <w:sz w:val="24"/>
                <w:highlight w:val="none"/>
                <w14:textFill>
                  <w14:solidFill>
                    <w14:schemeClr w14:val="tx1"/>
                  </w14:solidFill>
                </w14:textFill>
              </w:rPr>
            </w:pPr>
          </w:p>
          <w:p>
            <w:pPr>
              <w:pStyle w:val="20"/>
              <w:keepNext w:val="0"/>
              <w:keepLines w:val="0"/>
              <w:suppressLineNumbers w:val="0"/>
              <w:shd w:val="clear"/>
              <w:spacing w:before="0" w:beforeAutospacing="0" w:after="0" w:afterAutospacing="0"/>
              <w:ind w:left="108" w:right="0"/>
              <w:rPr>
                <w:rFonts w:hint="default"/>
                <w:color w:val="000000" w:themeColor="text1"/>
                <w:spacing w:val="-1"/>
                <w:sz w:val="24"/>
                <w:highlight w:val="none"/>
                <w14:textFill>
                  <w14:solidFill>
                    <w14:schemeClr w14:val="tx1"/>
                  </w14:solidFill>
                </w14:textFill>
              </w:rPr>
            </w:pPr>
            <w:r>
              <w:rPr>
                <w:rFonts w:hint="default"/>
                <w:color w:val="000000" w:themeColor="text1"/>
                <w:spacing w:val="-2"/>
                <w:sz w:val="24"/>
                <w:highlight w:val="none"/>
                <w14:textFill>
                  <w14:solidFill>
                    <w14:schemeClr w14:val="tx1"/>
                  </w14:solidFill>
                </w14:textFill>
              </w:rPr>
              <w:t>中小企业政策</w:t>
            </w:r>
          </w:p>
        </w:tc>
        <w:tc>
          <w:tcPr>
            <w:tcW w:w="5655" w:type="dxa"/>
          </w:tcPr>
          <w:p>
            <w:pPr>
              <w:pStyle w:val="20"/>
              <w:keepNext w:val="0"/>
              <w:keepLines w:val="0"/>
              <w:suppressLineNumbers w:val="0"/>
              <w:shd w:val="clear"/>
              <w:spacing w:before="0" w:beforeAutospacing="0" w:after="0" w:afterAutospacing="0" w:line="360" w:lineRule="exact"/>
              <w:ind w:left="0" w:right="43"/>
              <w:rPr>
                <w:rFonts w:hint="default"/>
                <w:color w:val="000000" w:themeColor="text1"/>
                <w:spacing w:val="-1"/>
                <w:sz w:val="24"/>
                <w:szCs w:val="24"/>
                <w:highlight w:val="none"/>
                <w14:textFill>
                  <w14:solidFill>
                    <w14:schemeClr w14:val="tx1"/>
                  </w14:solidFill>
                </w14:textFill>
              </w:rPr>
            </w:pPr>
            <w:r>
              <w:rPr>
                <w:rFonts w:hint="default"/>
                <w:color w:val="000000" w:themeColor="text1"/>
                <w:spacing w:val="-2"/>
                <w:sz w:val="24"/>
                <w:szCs w:val="24"/>
                <w:highlight w:val="none"/>
                <w14:textFill>
                  <w14:solidFill>
                    <w14:schemeClr w14:val="tx1"/>
                  </w14:solidFill>
                </w14:textFill>
              </w:rPr>
              <w:t>落实政府采购政策的资格要求：供应商应为</w:t>
            </w:r>
            <w:r>
              <w:rPr>
                <w:rFonts w:hint="eastAsia"/>
                <w:color w:val="000000" w:themeColor="text1"/>
                <w:spacing w:val="-2"/>
                <w:sz w:val="24"/>
                <w:szCs w:val="24"/>
                <w:highlight w:val="none"/>
                <w14:textFill>
                  <w14:solidFill>
                    <w14:schemeClr w14:val="tx1"/>
                  </w14:solidFill>
                </w14:textFill>
              </w:rPr>
              <w:t>小微</w:t>
            </w:r>
            <w:r>
              <w:rPr>
                <w:rFonts w:hint="default"/>
                <w:color w:val="000000" w:themeColor="text1"/>
                <w:spacing w:val="-2"/>
                <w:sz w:val="24"/>
                <w:szCs w:val="24"/>
                <w:highlight w:val="none"/>
                <w14:textFill>
                  <w14:solidFill>
                    <w14:schemeClr w14:val="tx1"/>
                  </w14:solidFill>
                </w14:textFill>
              </w:rPr>
              <w:t>企业</w:t>
            </w:r>
          </w:p>
        </w:tc>
        <w:tc>
          <w:tcPr>
            <w:tcW w:w="1602" w:type="dxa"/>
          </w:tcPr>
          <w:p>
            <w:pPr>
              <w:pStyle w:val="20"/>
              <w:keepNext w:val="0"/>
              <w:keepLines w:val="0"/>
              <w:suppressLineNumbers w:val="0"/>
              <w:shd w:val="clear"/>
              <w:spacing w:before="1" w:beforeAutospacing="0" w:after="0" w:afterAutospacing="0"/>
              <w:ind w:left="108" w:right="41"/>
              <w:rPr>
                <w:rFonts w:hint="default"/>
                <w:color w:val="000000" w:themeColor="text1"/>
                <w:spacing w:val="-2"/>
                <w:sz w:val="24"/>
                <w:highlight w:val="none"/>
                <w14:textFill>
                  <w14:solidFill>
                    <w14:schemeClr w14:val="tx1"/>
                  </w14:solidFill>
                </w14:textFill>
              </w:rPr>
            </w:pPr>
            <w:r>
              <w:rPr>
                <w:rFonts w:hint="eastAsia"/>
                <w:color w:val="000000" w:themeColor="text1"/>
                <w:spacing w:val="-2"/>
                <w:sz w:val="24"/>
                <w:highlight w:val="none"/>
                <w14:textFill>
                  <w14:solidFill>
                    <w14:schemeClr w14:val="tx1"/>
                  </w14:solidFill>
                </w14:textFill>
              </w:rPr>
              <w:t>提供《中小企业声明函》的盖章原件</w:t>
            </w:r>
            <w:r>
              <w:rPr>
                <w:rFonts w:hint="default"/>
                <w:color w:val="000000" w:themeColor="text1"/>
                <w:spacing w:val="-1"/>
                <w:sz w:val="24"/>
                <w:highlight w:val="none"/>
                <w14:textFill>
                  <w14:solidFill>
                    <w14:schemeClr w14:val="tx1"/>
                  </w14:solidFill>
                </w14:textFill>
              </w:rPr>
              <w:t>扫描件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21" w:type="dxa"/>
          </w:tcPr>
          <w:p>
            <w:pPr>
              <w:pStyle w:val="20"/>
              <w:keepNext w:val="0"/>
              <w:keepLines w:val="0"/>
              <w:suppressLineNumbers w:val="0"/>
              <w:shd w:val="clear"/>
              <w:spacing w:before="23" w:beforeAutospacing="0" w:after="0" w:afterAutospacing="0"/>
              <w:ind w:left="0" w:right="0"/>
              <w:rPr>
                <w:rFonts w:hint="default"/>
                <w:b/>
                <w:color w:val="000000" w:themeColor="text1"/>
                <w:sz w:val="24"/>
                <w:highlight w:val="none"/>
                <w14:textFill>
                  <w14:solidFill>
                    <w14:schemeClr w14:val="tx1"/>
                  </w14:solidFill>
                </w14:textFill>
              </w:rPr>
            </w:pPr>
          </w:p>
          <w:p>
            <w:pPr>
              <w:pStyle w:val="20"/>
              <w:keepNext w:val="0"/>
              <w:keepLines w:val="0"/>
              <w:suppressLineNumbers w:val="0"/>
              <w:shd w:val="clear"/>
              <w:spacing w:before="0" w:beforeAutospacing="0" w:after="0" w:afterAutospacing="0"/>
              <w:ind w:left="10" w:right="4"/>
              <w:jc w:val="center"/>
              <w:rPr>
                <w:rFonts w:hint="default"/>
                <w:b/>
                <w:color w:val="000000" w:themeColor="text1"/>
                <w:spacing w:val="-2"/>
                <w:sz w:val="24"/>
                <w:highlight w:val="none"/>
                <w14:textFill>
                  <w14:solidFill>
                    <w14:schemeClr w14:val="tx1"/>
                  </w14:solidFill>
                </w14:textFill>
              </w:rPr>
            </w:pPr>
            <w:r>
              <w:rPr>
                <w:rFonts w:hint="default"/>
                <w:b/>
                <w:color w:val="000000" w:themeColor="text1"/>
                <w:spacing w:val="-10"/>
                <w:sz w:val="24"/>
                <w:highlight w:val="none"/>
                <w14:textFill>
                  <w14:solidFill>
                    <w14:schemeClr w14:val="tx1"/>
                  </w14:solidFill>
                </w14:textFill>
              </w:rPr>
              <w:t>3</w:t>
            </w:r>
          </w:p>
        </w:tc>
        <w:tc>
          <w:tcPr>
            <w:tcW w:w="1817" w:type="dxa"/>
          </w:tcPr>
          <w:p>
            <w:pPr>
              <w:pStyle w:val="20"/>
              <w:keepNext w:val="0"/>
              <w:keepLines w:val="0"/>
              <w:suppressLineNumbers w:val="0"/>
              <w:shd w:val="clear"/>
              <w:spacing w:before="179" w:beforeAutospacing="0" w:after="0" w:afterAutospacing="0"/>
              <w:ind w:left="108" w:right="95"/>
              <w:rPr>
                <w:rFonts w:hint="default"/>
                <w:color w:val="000000" w:themeColor="text1"/>
                <w:spacing w:val="24"/>
                <w:sz w:val="24"/>
                <w:highlight w:val="none"/>
                <w14:textFill>
                  <w14:solidFill>
                    <w14:schemeClr w14:val="tx1"/>
                  </w14:solidFill>
                </w14:textFill>
              </w:rPr>
            </w:pPr>
            <w:r>
              <w:rPr>
                <w:rFonts w:hint="default"/>
                <w:color w:val="000000" w:themeColor="text1"/>
                <w:spacing w:val="24"/>
                <w:sz w:val="24"/>
                <w:highlight w:val="none"/>
                <w14:textFill>
                  <w14:solidFill>
                    <w14:schemeClr w14:val="tx1"/>
                  </w14:solidFill>
                </w14:textFill>
              </w:rPr>
              <w:t>本项目的特定</w:t>
            </w:r>
            <w:r>
              <w:rPr>
                <w:rFonts w:hint="default"/>
                <w:color w:val="000000" w:themeColor="text1"/>
                <w:spacing w:val="-4"/>
                <w:sz w:val="24"/>
                <w:highlight w:val="none"/>
                <w14:textFill>
                  <w14:solidFill>
                    <w14:schemeClr w14:val="tx1"/>
                  </w14:solidFill>
                </w14:textFill>
              </w:rPr>
              <w:t>资格要求</w:t>
            </w:r>
          </w:p>
        </w:tc>
        <w:tc>
          <w:tcPr>
            <w:tcW w:w="5655" w:type="dxa"/>
          </w:tcPr>
          <w:p>
            <w:pPr>
              <w:pStyle w:val="20"/>
              <w:keepNext w:val="0"/>
              <w:keepLines w:val="0"/>
              <w:suppressLineNumbers w:val="0"/>
              <w:shd w:val="clear"/>
              <w:spacing w:before="0" w:beforeAutospacing="0" w:after="0" w:afterAutospacing="0" w:line="360" w:lineRule="exact"/>
              <w:ind w:left="0" w:right="0"/>
              <w:rPr>
                <w:rFonts w:hint="default"/>
                <w:color w:val="000000" w:themeColor="text1"/>
                <w:spacing w:val="-12"/>
                <w:sz w:val="24"/>
                <w:szCs w:val="24"/>
                <w:highlight w:val="none"/>
                <w14:textFill>
                  <w14:solidFill>
                    <w14:schemeClr w14:val="tx1"/>
                  </w14:solidFill>
                </w14:textFill>
              </w:rPr>
            </w:pPr>
            <w:r>
              <w:rPr>
                <w:rFonts w:hint="eastAsia"/>
                <w:color w:val="000000" w:themeColor="text1"/>
                <w:spacing w:val="-12"/>
                <w:sz w:val="24"/>
                <w:szCs w:val="24"/>
                <w:highlight w:val="none"/>
                <w14:textFill>
                  <w14:solidFill>
                    <w14:schemeClr w14:val="tx1"/>
                  </w14:solidFill>
                </w14:textFill>
              </w:rPr>
              <w:t>有效的《餐饮服务许可证》或《食品经营许可证》；</w:t>
            </w:r>
          </w:p>
          <w:p>
            <w:pPr>
              <w:pStyle w:val="20"/>
              <w:keepNext w:val="0"/>
              <w:keepLines w:val="0"/>
              <w:suppressLineNumbers w:val="0"/>
              <w:shd w:val="clear"/>
              <w:spacing w:before="0" w:beforeAutospacing="0" w:after="0" w:afterAutospacing="0" w:line="360" w:lineRule="exact"/>
              <w:ind w:left="108" w:right="0"/>
              <w:rPr>
                <w:rFonts w:hint="default"/>
                <w:color w:val="000000" w:themeColor="text1"/>
                <w:spacing w:val="-12"/>
                <w:sz w:val="24"/>
                <w:szCs w:val="24"/>
                <w:highlight w:val="none"/>
                <w14:textFill>
                  <w14:solidFill>
                    <w14:schemeClr w14:val="tx1"/>
                  </w14:solidFill>
                </w14:textFill>
              </w:rPr>
            </w:pPr>
          </w:p>
        </w:tc>
        <w:tc>
          <w:tcPr>
            <w:tcW w:w="1602" w:type="dxa"/>
          </w:tcPr>
          <w:p>
            <w:pPr>
              <w:pStyle w:val="20"/>
              <w:keepNext w:val="0"/>
              <w:keepLines w:val="0"/>
              <w:suppressLineNumbers w:val="0"/>
              <w:shd w:val="clear"/>
              <w:spacing w:before="0" w:beforeAutospacing="0" w:after="0" w:afterAutospacing="0"/>
              <w:ind w:left="108" w:right="96"/>
              <w:jc w:val="both"/>
              <w:rPr>
                <w:rFonts w:hint="default"/>
                <w:color w:val="000000" w:themeColor="text1"/>
                <w:spacing w:val="-12"/>
                <w:sz w:val="24"/>
                <w:highlight w:val="none"/>
                <w14:textFill>
                  <w14:solidFill>
                    <w14:schemeClr w14:val="tx1"/>
                  </w14:solidFill>
                </w14:textFill>
              </w:rPr>
            </w:pPr>
            <w:r>
              <w:rPr>
                <w:rFonts w:hint="default"/>
                <w:color w:val="000000" w:themeColor="text1"/>
                <w:spacing w:val="-2"/>
                <w:sz w:val="24"/>
                <w:highlight w:val="none"/>
                <w14:textFill>
                  <w14:solidFill>
                    <w14:schemeClr w14:val="tx1"/>
                  </w14:solidFill>
                </w14:textFill>
              </w:rPr>
              <w:t>提供证明文件的电子件或电子证照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21" w:type="dxa"/>
          </w:tcPr>
          <w:p>
            <w:pPr>
              <w:pStyle w:val="20"/>
              <w:keepNext w:val="0"/>
              <w:keepLines w:val="0"/>
              <w:suppressLineNumbers w:val="0"/>
              <w:shd w:val="clear"/>
              <w:spacing w:before="23" w:beforeAutospacing="0" w:after="0" w:afterAutospacing="0"/>
              <w:ind w:left="0" w:right="0"/>
              <w:rPr>
                <w:rFonts w:hint="default"/>
                <w:b/>
                <w:color w:val="000000" w:themeColor="text1"/>
                <w:sz w:val="24"/>
                <w:highlight w:val="none"/>
                <w14:textFill>
                  <w14:solidFill>
                    <w14:schemeClr w14:val="tx1"/>
                  </w14:solidFill>
                </w14:textFill>
              </w:rPr>
            </w:pPr>
          </w:p>
          <w:p>
            <w:pPr>
              <w:pStyle w:val="20"/>
              <w:keepNext w:val="0"/>
              <w:keepLines w:val="0"/>
              <w:suppressLineNumbers w:val="0"/>
              <w:shd w:val="clear"/>
              <w:spacing w:before="0" w:beforeAutospacing="0" w:after="0" w:afterAutospacing="0"/>
              <w:ind w:left="10" w:right="4"/>
              <w:jc w:val="center"/>
              <w:rPr>
                <w:rFonts w:hint="default"/>
                <w:b/>
                <w:color w:val="000000" w:themeColor="text1"/>
                <w:spacing w:val="-10"/>
                <w:sz w:val="24"/>
                <w:highlight w:val="none"/>
                <w14:textFill>
                  <w14:solidFill>
                    <w14:schemeClr w14:val="tx1"/>
                  </w14:solidFill>
                </w14:textFill>
              </w:rPr>
            </w:pPr>
            <w:r>
              <w:rPr>
                <w:rFonts w:hint="default"/>
                <w:b/>
                <w:color w:val="000000" w:themeColor="text1"/>
                <w:spacing w:val="-10"/>
                <w:sz w:val="24"/>
                <w:highlight w:val="none"/>
                <w14:textFill>
                  <w14:solidFill>
                    <w14:schemeClr w14:val="tx1"/>
                  </w14:solidFill>
                </w14:textFill>
              </w:rPr>
              <w:t>3</w:t>
            </w:r>
            <w:r>
              <w:rPr>
                <w:rFonts w:hint="eastAsia"/>
                <w:b/>
                <w:color w:val="000000" w:themeColor="text1"/>
                <w:spacing w:val="-10"/>
                <w:sz w:val="24"/>
                <w:highlight w:val="none"/>
                <w14:textFill>
                  <w14:solidFill>
                    <w14:schemeClr w14:val="tx1"/>
                  </w14:solidFill>
                </w14:textFill>
              </w:rPr>
              <w:t>-1</w:t>
            </w:r>
          </w:p>
        </w:tc>
        <w:tc>
          <w:tcPr>
            <w:tcW w:w="1817" w:type="dxa"/>
          </w:tcPr>
          <w:p>
            <w:pPr>
              <w:pStyle w:val="20"/>
              <w:keepNext w:val="0"/>
              <w:keepLines w:val="0"/>
              <w:suppressLineNumbers w:val="0"/>
              <w:shd w:val="clear"/>
              <w:spacing w:before="179" w:beforeAutospacing="0" w:after="0" w:afterAutospacing="0"/>
              <w:ind w:left="108" w:right="95"/>
              <w:rPr>
                <w:rFonts w:hint="default"/>
                <w:color w:val="000000" w:themeColor="text1"/>
                <w:spacing w:val="24"/>
                <w:sz w:val="24"/>
                <w:highlight w:val="none"/>
                <w14:textFill>
                  <w14:solidFill>
                    <w14:schemeClr w14:val="tx1"/>
                  </w14:solidFill>
                </w14:textFill>
              </w:rPr>
            </w:pPr>
            <w:r>
              <w:rPr>
                <w:rFonts w:hint="default"/>
                <w:color w:val="000000" w:themeColor="text1"/>
                <w:spacing w:val="24"/>
                <w:sz w:val="24"/>
                <w:highlight w:val="none"/>
                <w14:textFill>
                  <w14:solidFill>
                    <w14:schemeClr w14:val="tx1"/>
                  </w14:solidFill>
                </w14:textFill>
              </w:rPr>
              <w:t>本项目的</w:t>
            </w:r>
            <w:r>
              <w:rPr>
                <w:rFonts w:hint="eastAsia"/>
                <w:color w:val="000000" w:themeColor="text1"/>
                <w:spacing w:val="24"/>
                <w:sz w:val="24"/>
                <w:highlight w:val="none"/>
                <w:lang w:val="en-US" w:eastAsia="zh-CN"/>
                <w14:textFill>
                  <w14:solidFill>
                    <w14:schemeClr w14:val="tx1"/>
                  </w14:solidFill>
                </w14:textFill>
              </w:rPr>
              <w:t>其他</w:t>
            </w:r>
            <w:r>
              <w:rPr>
                <w:rFonts w:hint="default"/>
                <w:color w:val="000000" w:themeColor="text1"/>
                <w:spacing w:val="-4"/>
                <w:sz w:val="24"/>
                <w:highlight w:val="none"/>
                <w14:textFill>
                  <w14:solidFill>
                    <w14:schemeClr w14:val="tx1"/>
                  </w14:solidFill>
                </w14:textFill>
              </w:rPr>
              <w:t>要求</w:t>
            </w:r>
          </w:p>
        </w:tc>
        <w:tc>
          <w:tcPr>
            <w:tcW w:w="5655" w:type="dxa"/>
          </w:tcPr>
          <w:p>
            <w:pPr>
              <w:pStyle w:val="20"/>
              <w:keepNext w:val="0"/>
              <w:keepLines w:val="0"/>
              <w:numPr>
                <w:ilvl w:val="0"/>
                <w:numId w:val="50"/>
              </w:numPr>
              <w:suppressLineNumbers w:val="0"/>
              <w:shd w:val="clear"/>
              <w:spacing w:before="0" w:beforeAutospacing="0" w:after="0" w:afterAutospacing="0" w:line="360" w:lineRule="exact"/>
              <w:ind w:left="0" w:right="0"/>
              <w:rPr>
                <w:rFonts w:hint="default"/>
                <w:color w:val="000000" w:themeColor="text1"/>
                <w:spacing w:val="-2"/>
                <w:sz w:val="24"/>
                <w:szCs w:val="24"/>
                <w:highlight w:val="none"/>
                <w14:textFill>
                  <w14:solidFill>
                    <w14:schemeClr w14:val="tx1"/>
                  </w14:solidFill>
                </w14:textFill>
              </w:rPr>
            </w:pPr>
            <w:r>
              <w:rPr>
                <w:rFonts w:hint="default"/>
                <w:color w:val="000000" w:themeColor="text1"/>
                <w:spacing w:val="-5"/>
                <w:sz w:val="24"/>
                <w:szCs w:val="24"/>
                <w:highlight w:val="none"/>
                <w14:textFill>
                  <w14:solidFill>
                    <w14:schemeClr w14:val="tx1"/>
                  </w14:solidFill>
                </w14:textFill>
              </w:rPr>
              <w:t>单位负责人为同一人或者存在直接控股、</w:t>
            </w:r>
            <w:r>
              <w:rPr>
                <w:rFonts w:hint="default"/>
                <w:color w:val="000000" w:themeColor="text1"/>
                <w:spacing w:val="-2"/>
                <w:sz w:val="24"/>
                <w:szCs w:val="24"/>
                <w:highlight w:val="none"/>
                <w14:textFill>
                  <w14:solidFill>
                    <w14:schemeClr w14:val="tx1"/>
                  </w14:solidFill>
                </w14:textFill>
              </w:rPr>
              <w:t>管理关系的不同供应商，不得参加同一合同项下的政府采购活动；</w:t>
            </w:r>
          </w:p>
          <w:p>
            <w:pPr>
              <w:pStyle w:val="20"/>
              <w:keepNext w:val="0"/>
              <w:keepLines w:val="0"/>
              <w:numPr>
                <w:ilvl w:val="0"/>
                <w:numId w:val="50"/>
              </w:numPr>
              <w:suppressLineNumbers w:val="0"/>
              <w:shd w:val="clear"/>
              <w:spacing w:before="0" w:beforeAutospacing="0" w:after="0" w:afterAutospacing="0" w:line="360" w:lineRule="exact"/>
              <w:ind w:left="0" w:right="0"/>
              <w:rPr>
                <w:rFonts w:hint="default"/>
                <w:color w:val="000000" w:themeColor="text1"/>
                <w:spacing w:val="-2"/>
                <w:sz w:val="24"/>
                <w:szCs w:val="24"/>
                <w:highlight w:val="none"/>
                <w14:textFill>
                  <w14:solidFill>
                    <w14:schemeClr w14:val="tx1"/>
                  </w14:solidFill>
                </w14:textFill>
              </w:rPr>
            </w:pPr>
            <w:r>
              <w:rPr>
                <w:rFonts w:hint="eastAsia"/>
                <w:color w:val="000000" w:themeColor="text1"/>
                <w:spacing w:val="-12"/>
                <w:sz w:val="24"/>
                <w:szCs w:val="24"/>
                <w:highlight w:val="none"/>
                <w14:textFill>
                  <w14:solidFill>
                    <w14:schemeClr w14:val="tx1"/>
                  </w14:solidFill>
                </w14:textFill>
              </w:rPr>
              <w:t>除单一来源采购项目外，为采购项目提供整体设计、规范编制或者项目管理、监理、检测等服务的供应商，不得再参加该采购项目的其他采购活动。</w:t>
            </w:r>
          </w:p>
        </w:tc>
        <w:tc>
          <w:tcPr>
            <w:tcW w:w="1602" w:type="dxa"/>
          </w:tcPr>
          <w:p>
            <w:pPr>
              <w:pStyle w:val="20"/>
              <w:keepNext w:val="0"/>
              <w:keepLines w:val="0"/>
              <w:suppressLineNumbers w:val="0"/>
              <w:shd w:val="clear"/>
              <w:spacing w:before="0" w:beforeAutospacing="0" w:after="0" w:afterAutospacing="0"/>
              <w:ind w:left="0" w:right="0"/>
              <w:rPr>
                <w:rFonts w:hint="default"/>
                <w:color w:val="000000" w:themeColor="text1"/>
                <w:spacing w:val="-2"/>
                <w:sz w:val="24"/>
                <w:highlight w:val="none"/>
                <w14:textFill>
                  <w14:solidFill>
                    <w14:schemeClr w14:val="tx1"/>
                  </w14:solidFill>
                </w14:textFill>
              </w:rPr>
            </w:pPr>
            <w:r>
              <w:rPr>
                <w:rFonts w:hint="eastAsia"/>
                <w:color w:val="000000" w:themeColor="text1"/>
                <w:spacing w:val="-2"/>
                <w:sz w:val="24"/>
                <w:highlight w:val="none"/>
                <w14:textFill>
                  <w14:solidFill>
                    <w14:schemeClr w14:val="tx1"/>
                  </w14:solidFill>
                </w14:textFill>
              </w:rPr>
              <w:t>提供加盖公章的承诺</w:t>
            </w:r>
          </w:p>
        </w:tc>
      </w:tr>
    </w:tbl>
    <w:p>
      <w:pPr>
        <w:pStyle w:val="10"/>
        <w:shd w:val="clear"/>
        <w:spacing w:before="5"/>
        <w:ind w:left="0"/>
        <w:rPr>
          <w:b/>
          <w:color w:val="000000" w:themeColor="text1"/>
          <w:sz w:val="4"/>
          <w:highlight w:val="none"/>
          <w14:textFill>
            <w14:solidFill>
              <w14:schemeClr w14:val="tx1"/>
            </w14:solidFill>
          </w14:textFill>
        </w:rPr>
      </w:pPr>
    </w:p>
    <w:p>
      <w:pPr>
        <w:shd w:val="clear"/>
        <w:rPr>
          <w:color w:val="000000" w:themeColor="text1"/>
          <w:spacing w:val="-7"/>
          <w:highlight w:val="none"/>
          <w14:textFill>
            <w14:solidFill>
              <w14:schemeClr w14:val="tx1"/>
            </w14:solidFill>
          </w14:textFill>
        </w:rPr>
      </w:pPr>
      <w:bookmarkStart w:id="98" w:name="_bookmark18"/>
      <w:bookmarkEnd w:id="98"/>
      <w:bookmarkStart w:id="99" w:name="第五章_评标方法及标准(综合评分法)"/>
      <w:bookmarkEnd w:id="99"/>
      <w:r>
        <w:rPr>
          <w:color w:val="000000" w:themeColor="text1"/>
          <w:spacing w:val="-7"/>
          <w:highlight w:val="none"/>
          <w14:textFill>
            <w14:solidFill>
              <w14:schemeClr w14:val="tx1"/>
            </w14:solidFill>
          </w14:textFill>
        </w:rPr>
        <w:br w:type="page"/>
      </w:r>
    </w:p>
    <w:p>
      <w:pPr>
        <w:pStyle w:val="4"/>
        <w:shd w:val="clear"/>
        <w:outlineLvl w:val="0"/>
        <w:rPr>
          <w:color w:val="000000" w:themeColor="text1"/>
          <w:highlight w:val="none"/>
          <w14:textFill>
            <w14:solidFill>
              <w14:schemeClr w14:val="tx1"/>
            </w14:solidFill>
          </w14:textFill>
        </w:rPr>
      </w:pPr>
      <w:bookmarkStart w:id="100" w:name="_Toc29620"/>
      <w:r>
        <w:rPr>
          <w:color w:val="000000" w:themeColor="text1"/>
          <w:spacing w:val="-7"/>
          <w:highlight w:val="none"/>
          <w14:textFill>
            <w14:solidFill>
              <w14:schemeClr w14:val="tx1"/>
            </w14:solidFill>
          </w14:textFill>
        </w:rPr>
        <w:t>第五章 评标方法及标准(综合评分法)</w:t>
      </w:r>
      <w:bookmarkEnd w:id="100"/>
    </w:p>
    <w:p>
      <w:pPr>
        <w:pStyle w:val="10"/>
        <w:shd w:val="clear"/>
        <w:spacing w:before="379" w:line="360" w:lineRule="auto"/>
        <w:ind w:right="777" w:firstLine="480"/>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根据《中华人民共和国政府采购法》及其实施条例、《政府采购货物和服务</w:t>
      </w:r>
      <w:r>
        <w:rPr>
          <w:color w:val="000000" w:themeColor="text1"/>
          <w:spacing w:val="-2"/>
          <w:highlight w:val="none"/>
          <w14:textFill>
            <w14:solidFill>
              <w14:schemeClr w14:val="tx1"/>
            </w14:solidFill>
          </w14:textFill>
        </w:rPr>
        <w:t>招标投标管理办法》及相关法律法规确定以下评标方法及标准。</w:t>
      </w:r>
    </w:p>
    <w:p>
      <w:pPr>
        <w:pStyle w:val="6"/>
        <w:shd w:val="clear"/>
        <w:spacing w:before="152"/>
        <w:rPr>
          <w:color w:val="000000" w:themeColor="text1"/>
          <w:highlight w:val="none"/>
          <w14:textFill>
            <w14:solidFill>
              <w14:schemeClr w14:val="tx1"/>
            </w14:solidFill>
          </w14:textFill>
        </w:rPr>
      </w:pPr>
      <w:bookmarkStart w:id="101" w:name="_bookmark19"/>
      <w:bookmarkEnd w:id="101"/>
      <w:r>
        <w:rPr>
          <w:color w:val="000000" w:themeColor="text1"/>
          <w:spacing w:val="-5"/>
          <w:highlight w:val="none"/>
          <w14:textFill>
            <w14:solidFill>
              <w14:schemeClr w14:val="tx1"/>
            </w14:solidFill>
          </w14:textFill>
        </w:rPr>
        <w:t>一、评标方法</w:t>
      </w:r>
    </w:p>
    <w:p>
      <w:pPr>
        <w:pStyle w:val="19"/>
        <w:numPr>
          <w:ilvl w:val="0"/>
          <w:numId w:val="51"/>
        </w:numPr>
        <w:shd w:val="clear"/>
        <w:tabs>
          <w:tab w:val="left" w:pos="1502"/>
        </w:tabs>
        <w:spacing w:before="308" w:line="360" w:lineRule="auto"/>
        <w:ind w:right="777" w:firstLine="482"/>
        <w:jc w:val="both"/>
        <w:rPr>
          <w:color w:val="000000" w:themeColor="text1"/>
          <w:sz w:val="24"/>
          <w:highlight w:val="none"/>
          <w14:textFill>
            <w14:solidFill>
              <w14:schemeClr w14:val="tx1"/>
            </w14:solidFill>
          </w14:textFill>
        </w:rPr>
      </w:pPr>
      <w:r>
        <w:rPr>
          <w:b/>
          <w:color w:val="000000" w:themeColor="text1"/>
          <w:spacing w:val="-2"/>
          <w:sz w:val="24"/>
          <w:highlight w:val="none"/>
          <w14:textFill>
            <w14:solidFill>
              <w14:schemeClr w14:val="tx1"/>
            </w14:solidFill>
          </w14:textFill>
        </w:rPr>
        <w:t>本项目采用综合评分法</w:t>
      </w:r>
      <w:r>
        <w:rPr>
          <w:color w:val="000000" w:themeColor="text1"/>
          <w:spacing w:val="-13"/>
          <w:sz w:val="24"/>
          <w:highlight w:val="none"/>
          <w14:textFill>
            <w14:solidFill>
              <w14:schemeClr w14:val="tx1"/>
            </w14:solidFill>
          </w14:textFill>
        </w:rPr>
        <w:t>。综合评分法，是指投标文件满足招标文件全部实</w:t>
      </w:r>
      <w:r>
        <w:rPr>
          <w:color w:val="000000" w:themeColor="text1"/>
          <w:spacing w:val="-12"/>
          <w:sz w:val="24"/>
          <w:highlight w:val="none"/>
          <w14:textFill>
            <w14:solidFill>
              <w14:schemeClr w14:val="tx1"/>
            </w14:solidFill>
          </w14:textFill>
        </w:rPr>
        <w:t>质性要求，且按照评审因素的量化指标评审得分最高的投标人为中标候选人的评</w:t>
      </w:r>
      <w:r>
        <w:rPr>
          <w:color w:val="000000" w:themeColor="text1"/>
          <w:spacing w:val="-4"/>
          <w:sz w:val="24"/>
          <w:highlight w:val="none"/>
          <w14:textFill>
            <w14:solidFill>
              <w14:schemeClr w14:val="tx1"/>
            </w14:solidFill>
          </w14:textFill>
        </w:rPr>
        <w:t>标方法。</w:t>
      </w:r>
    </w:p>
    <w:p>
      <w:pPr>
        <w:pStyle w:val="6"/>
        <w:shd w:val="clear"/>
        <w:spacing w:before="151"/>
        <w:rPr>
          <w:color w:val="000000" w:themeColor="text1"/>
          <w:highlight w:val="none"/>
          <w14:textFill>
            <w14:solidFill>
              <w14:schemeClr w14:val="tx1"/>
            </w14:solidFill>
          </w14:textFill>
        </w:rPr>
      </w:pPr>
      <w:bookmarkStart w:id="102" w:name="_bookmark20"/>
      <w:bookmarkEnd w:id="102"/>
      <w:r>
        <w:rPr>
          <w:color w:val="000000" w:themeColor="text1"/>
          <w:spacing w:val="-5"/>
          <w:highlight w:val="none"/>
          <w14:textFill>
            <w14:solidFill>
              <w14:schemeClr w14:val="tx1"/>
            </w14:solidFill>
          </w14:textFill>
        </w:rPr>
        <w:t>二、评标程序</w:t>
      </w:r>
    </w:p>
    <w:p>
      <w:pPr>
        <w:pStyle w:val="7"/>
        <w:shd w:val="clear"/>
        <w:spacing w:before="310"/>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（一）</w:t>
      </w:r>
      <w:r>
        <w:rPr>
          <w:color w:val="000000" w:themeColor="text1"/>
          <w:spacing w:val="-4"/>
          <w:highlight w:val="none"/>
          <w14:textFill>
            <w14:solidFill>
              <w14:schemeClr w14:val="tx1"/>
            </w14:solidFill>
          </w14:textFill>
        </w:rPr>
        <w:t>符合性审查</w:t>
      </w:r>
    </w:p>
    <w:p>
      <w:pPr>
        <w:pStyle w:val="19"/>
        <w:numPr>
          <w:ilvl w:val="0"/>
          <w:numId w:val="51"/>
        </w:numPr>
        <w:shd w:val="clear"/>
        <w:tabs>
          <w:tab w:val="left" w:pos="1500"/>
        </w:tabs>
        <w:spacing w:before="216" w:line="360" w:lineRule="auto"/>
        <w:ind w:right="777" w:firstLine="480"/>
        <w:jc w:val="both"/>
        <w:rPr>
          <w:color w:val="000000" w:themeColor="text1"/>
          <w:sz w:val="24"/>
          <w:highlight w:val="none"/>
          <w14:textFill>
            <w14:solidFill>
              <w14:schemeClr w14:val="tx1"/>
            </w14:solidFill>
          </w14:textFill>
        </w:rPr>
      </w:pPr>
      <w:r>
        <w:rPr>
          <w:color w:val="000000" w:themeColor="text1"/>
          <w:spacing w:val="-5"/>
          <w:sz w:val="24"/>
          <w:highlight w:val="none"/>
          <w14:textFill>
            <w14:solidFill>
              <w14:schemeClr w14:val="tx1"/>
            </w14:solidFill>
          </w14:textFill>
        </w:rPr>
        <w:t>评标委员会应当对通过资格审查的投标人的投标文件进行符合性审查，以</w:t>
      </w:r>
      <w:r>
        <w:rPr>
          <w:color w:val="000000" w:themeColor="text1"/>
          <w:spacing w:val="-8"/>
          <w:sz w:val="24"/>
          <w:highlight w:val="none"/>
          <w14:textFill>
            <w14:solidFill>
              <w14:schemeClr w14:val="tx1"/>
            </w14:solidFill>
          </w14:textFill>
        </w:rPr>
        <w:t>确定其是否满足招标文件的实质性要求。投标人必须通过符合性审查的全部评审</w:t>
      </w:r>
      <w:r>
        <w:rPr>
          <w:color w:val="000000" w:themeColor="text1"/>
          <w:spacing w:val="-4"/>
          <w:sz w:val="24"/>
          <w:highlight w:val="none"/>
          <w14:textFill>
            <w14:solidFill>
              <w14:schemeClr w14:val="tx1"/>
            </w14:solidFill>
          </w14:textFill>
        </w:rPr>
        <w:t>指标，不满足招标文件的实质性要求的，其</w:t>
      </w:r>
      <w:r>
        <w:rPr>
          <w:b/>
          <w:color w:val="000000" w:themeColor="text1"/>
          <w:spacing w:val="-4"/>
          <w:sz w:val="24"/>
          <w:highlight w:val="none"/>
          <w14:textFill>
            <w14:solidFill>
              <w14:schemeClr w14:val="tx1"/>
            </w14:solidFill>
          </w14:textFill>
        </w:rPr>
        <w:t>投标无效</w:t>
      </w:r>
      <w:r>
        <w:rPr>
          <w:color w:val="000000" w:themeColor="text1"/>
          <w:spacing w:val="-4"/>
          <w:sz w:val="24"/>
          <w:highlight w:val="none"/>
          <w14:textFill>
            <w14:solidFill>
              <w14:schemeClr w14:val="tx1"/>
            </w14:solidFill>
          </w14:textFill>
        </w:rPr>
        <w:t>。具体内容详本章“四、评</w:t>
      </w:r>
      <w:r>
        <w:rPr>
          <w:color w:val="000000" w:themeColor="text1"/>
          <w:spacing w:val="-2"/>
          <w:sz w:val="24"/>
          <w:highlight w:val="none"/>
          <w14:textFill>
            <w14:solidFill>
              <w14:schemeClr w14:val="tx1"/>
            </w14:solidFill>
          </w14:textFill>
        </w:rPr>
        <w:t>标标准”中的“（一）符合性审查”。</w:t>
      </w:r>
    </w:p>
    <w:p>
      <w:pPr>
        <w:pStyle w:val="10"/>
        <w:shd w:val="clear"/>
        <w:spacing w:line="360" w:lineRule="auto"/>
        <w:ind w:right="777" w:firstLine="480"/>
        <w:jc w:val="both"/>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 xml:space="preserve">通过符合性审查的有效供应商不足 </w:t>
      </w:r>
      <w:r>
        <w:rPr>
          <w:color w:val="000000" w:themeColor="text1"/>
          <w:spacing w:val="-4"/>
          <w:highlight w:val="none"/>
          <w14:textFill>
            <w14:solidFill>
              <w14:schemeClr w14:val="tx1"/>
            </w14:solidFill>
          </w14:textFill>
        </w:rPr>
        <w:t>3</w:t>
      </w:r>
      <w:r>
        <w:rPr>
          <w:color w:val="000000" w:themeColor="text1"/>
          <w:spacing w:val="-15"/>
          <w:highlight w:val="none"/>
          <w14:textFill>
            <w14:solidFill>
              <w14:schemeClr w14:val="tx1"/>
            </w14:solidFill>
          </w14:textFill>
        </w:rPr>
        <w:t xml:space="preserve"> 家的应当终止采购活动，发布项目终止</w:t>
      </w:r>
      <w:r>
        <w:rPr>
          <w:color w:val="000000" w:themeColor="text1"/>
          <w:spacing w:val="-2"/>
          <w:highlight w:val="none"/>
          <w14:textFill>
            <w14:solidFill>
              <w14:schemeClr w14:val="tx1"/>
            </w14:solidFill>
          </w14:textFill>
        </w:rPr>
        <w:t>公告并说明原因，重新开展采购活动。</w:t>
      </w:r>
    </w:p>
    <w:p>
      <w:pPr>
        <w:pStyle w:val="7"/>
        <w:shd w:val="clear"/>
        <w:spacing w:before="60"/>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（二）</w:t>
      </w:r>
      <w:r>
        <w:rPr>
          <w:color w:val="000000" w:themeColor="text1"/>
          <w:spacing w:val="-3"/>
          <w:highlight w:val="none"/>
          <w14:textFill>
            <w14:solidFill>
              <w14:schemeClr w14:val="tx1"/>
            </w14:solidFill>
          </w14:textFill>
        </w:rPr>
        <w:t>投标文件澄清及修正</w:t>
      </w:r>
    </w:p>
    <w:p>
      <w:pPr>
        <w:pStyle w:val="19"/>
        <w:numPr>
          <w:ilvl w:val="0"/>
          <w:numId w:val="51"/>
        </w:numPr>
        <w:shd w:val="clear"/>
        <w:tabs>
          <w:tab w:val="left" w:pos="1500"/>
        </w:tabs>
        <w:spacing w:before="216" w:line="360" w:lineRule="auto"/>
        <w:ind w:right="652" w:firstLine="480"/>
        <w:rPr>
          <w:color w:val="000000" w:themeColor="text1"/>
          <w:sz w:val="24"/>
          <w:highlight w:val="none"/>
          <w14:textFill>
            <w14:solidFill>
              <w14:schemeClr w14:val="tx1"/>
            </w14:solidFill>
          </w14:textFill>
        </w:rPr>
      </w:pPr>
      <w:r>
        <w:rPr>
          <w:color w:val="000000" w:themeColor="text1"/>
          <w:spacing w:val="-8"/>
          <w:sz w:val="24"/>
          <w:highlight w:val="none"/>
          <w14:textFill>
            <w14:solidFill>
              <w14:schemeClr w14:val="tx1"/>
            </w14:solidFill>
          </w14:textFill>
        </w:rPr>
        <w:t>评标期间，对于投标文件中含义不明确、同类问题表述不一致或者有明显文字和计算错误的内容需要投标人作出必要的澄清、说明或者补正的，评标委员会应</w:t>
      </w:r>
      <w:r>
        <w:rPr>
          <w:color w:val="000000" w:themeColor="text1"/>
          <w:spacing w:val="-14"/>
          <w:sz w:val="24"/>
          <w:highlight w:val="none"/>
          <w14:textFill>
            <w14:solidFill>
              <w14:schemeClr w14:val="tx1"/>
            </w14:solidFill>
          </w14:textFill>
        </w:rPr>
        <w:t>当在政采云平台评标系统中以书面形式要求投标人作出必要的澄清、说明或者补正。</w:t>
      </w:r>
    </w:p>
    <w:p>
      <w:pPr>
        <w:pStyle w:val="19"/>
        <w:numPr>
          <w:ilvl w:val="0"/>
          <w:numId w:val="51"/>
        </w:numPr>
        <w:shd w:val="clear"/>
        <w:tabs>
          <w:tab w:val="left" w:pos="1500"/>
        </w:tabs>
        <w:spacing w:line="360" w:lineRule="auto"/>
        <w:ind w:right="777" w:firstLine="480"/>
        <w:rPr>
          <w:color w:val="000000" w:themeColor="text1"/>
          <w:sz w:val="24"/>
          <w:highlight w:val="none"/>
          <w14:textFill>
            <w14:solidFill>
              <w14:schemeClr w14:val="tx1"/>
            </w14:solidFill>
          </w14:textFill>
        </w:rPr>
      </w:pPr>
      <w:r>
        <w:rPr>
          <w:color w:val="000000" w:themeColor="text1"/>
          <w:spacing w:val="-4"/>
          <w:sz w:val="24"/>
          <w:highlight w:val="none"/>
          <w14:textFill>
            <w14:solidFill>
              <w14:schemeClr w14:val="tx1"/>
            </w14:solidFill>
          </w14:textFill>
        </w:rPr>
        <w:t>投标人应按照评标委员会要求在规定时间内作出澄清、说明或者补正，澄</w:t>
      </w:r>
      <w:r>
        <w:rPr>
          <w:color w:val="000000" w:themeColor="text1"/>
          <w:spacing w:val="-2"/>
          <w:sz w:val="24"/>
          <w:highlight w:val="none"/>
          <w14:textFill>
            <w14:solidFill>
              <w14:schemeClr w14:val="tx1"/>
            </w14:solidFill>
          </w14:textFill>
        </w:rPr>
        <w:t>清、说明或者补正不得超出投标文件的范围或者改变投标文件的实质性内容。</w:t>
      </w:r>
    </w:p>
    <w:p>
      <w:pPr>
        <w:pStyle w:val="19"/>
        <w:numPr>
          <w:ilvl w:val="0"/>
          <w:numId w:val="51"/>
        </w:numPr>
        <w:shd w:val="clear"/>
        <w:tabs>
          <w:tab w:val="left" w:pos="1500"/>
        </w:tabs>
        <w:spacing w:line="360" w:lineRule="auto"/>
        <w:ind w:right="777" w:firstLine="480"/>
        <w:rPr>
          <w:color w:val="000000" w:themeColor="text1"/>
          <w:sz w:val="24"/>
          <w:highlight w:val="none"/>
          <w14:textFill>
            <w14:solidFill>
              <w14:schemeClr w14:val="tx1"/>
            </w14:solidFill>
          </w14:textFill>
        </w:rPr>
      </w:pPr>
      <w:r>
        <w:rPr>
          <w:color w:val="000000" w:themeColor="text1"/>
          <w:spacing w:val="-4"/>
          <w:sz w:val="24"/>
          <w:highlight w:val="none"/>
          <w14:textFill>
            <w14:solidFill>
              <w14:schemeClr w14:val="tx1"/>
            </w14:solidFill>
          </w14:textFill>
        </w:rPr>
        <w:t>投标人的澄清、说明或者补正是其投标文件的有效组成部分，澄清、说明</w:t>
      </w:r>
      <w:r>
        <w:rPr>
          <w:color w:val="000000" w:themeColor="text1"/>
          <w:spacing w:val="-2"/>
          <w:sz w:val="24"/>
          <w:highlight w:val="none"/>
          <w14:textFill>
            <w14:solidFill>
              <w14:schemeClr w14:val="tx1"/>
            </w14:solidFill>
          </w14:textFill>
        </w:rPr>
        <w:t>或者补正应当在政采云平台评标系统中加盖电子印章后提交。</w:t>
      </w:r>
    </w:p>
    <w:p>
      <w:pPr>
        <w:pStyle w:val="19"/>
        <w:numPr>
          <w:ilvl w:val="0"/>
          <w:numId w:val="51"/>
        </w:numPr>
        <w:shd w:val="clear"/>
        <w:tabs>
          <w:tab w:val="left" w:pos="1500"/>
        </w:tabs>
        <w:spacing w:line="360" w:lineRule="auto"/>
        <w:ind w:right="777" w:firstLine="480"/>
        <w:jc w:val="both"/>
        <w:rPr>
          <w:color w:val="000000" w:themeColor="text1"/>
          <w:sz w:val="24"/>
          <w:highlight w:val="none"/>
          <w14:textFill>
            <w14:solidFill>
              <w14:schemeClr w14:val="tx1"/>
            </w14:solidFill>
          </w14:textFill>
        </w:rPr>
      </w:pPr>
      <w:r>
        <w:rPr>
          <w:color w:val="000000" w:themeColor="text1"/>
          <w:spacing w:val="-12"/>
          <w:sz w:val="24"/>
          <w:highlight w:val="none"/>
          <w14:textFill>
            <w14:solidFill>
              <w14:schemeClr w14:val="tx1"/>
            </w14:solidFill>
          </w14:textFill>
        </w:rPr>
        <w:t>报价合理性说明：评标委员会认为投标人的报价明显低于其他通过符合性</w:t>
      </w:r>
      <w:r>
        <w:rPr>
          <w:color w:val="000000" w:themeColor="text1"/>
          <w:spacing w:val="-4"/>
          <w:sz w:val="24"/>
          <w:highlight w:val="none"/>
          <w14:textFill>
            <w14:solidFill>
              <w14:schemeClr w14:val="tx1"/>
            </w14:solidFill>
          </w14:textFill>
        </w:rPr>
        <w:t>审查投标人的报价，有可能影响服务质量或者不能诚信履约的，应当要求该投标人在合理的时间内提供说明，必要时提交相关证明材料；若投标人不能证明其报</w:t>
      </w:r>
      <w:r>
        <w:rPr>
          <w:color w:val="000000" w:themeColor="text1"/>
          <w:spacing w:val="-2"/>
          <w:sz w:val="24"/>
          <w:highlight w:val="none"/>
          <w14:textFill>
            <w14:solidFill>
              <w14:schemeClr w14:val="tx1"/>
            </w14:solidFill>
          </w14:textFill>
        </w:rPr>
        <w:t>价合理性的，评标委员会应当将其作</w:t>
      </w:r>
      <w:r>
        <w:rPr>
          <w:b/>
          <w:color w:val="000000" w:themeColor="text1"/>
          <w:spacing w:val="-2"/>
          <w:sz w:val="24"/>
          <w:highlight w:val="none"/>
          <w14:textFill>
            <w14:solidFill>
              <w14:schemeClr w14:val="tx1"/>
            </w14:solidFill>
          </w14:textFill>
        </w:rPr>
        <w:t>无效投标</w:t>
      </w:r>
      <w:r>
        <w:rPr>
          <w:color w:val="000000" w:themeColor="text1"/>
          <w:spacing w:val="-2"/>
          <w:sz w:val="24"/>
          <w:highlight w:val="none"/>
          <w14:textFill>
            <w14:solidFill>
              <w14:schemeClr w14:val="tx1"/>
            </w14:solidFill>
          </w14:textFill>
        </w:rPr>
        <w:t>处理。</w:t>
      </w:r>
    </w:p>
    <w:p>
      <w:pPr>
        <w:shd w:val="clear"/>
        <w:spacing w:line="360" w:lineRule="auto"/>
        <w:jc w:val="both"/>
        <w:rPr>
          <w:color w:val="000000" w:themeColor="text1"/>
          <w:sz w:val="24"/>
          <w:highlight w:val="none"/>
          <w14:textFill>
            <w14:solidFill>
              <w14:schemeClr w14:val="tx1"/>
            </w14:solidFill>
          </w14:textFill>
        </w:rPr>
        <w:sectPr>
          <w:pgSz w:w="11910" w:h="16840"/>
          <w:pgMar w:top="1380" w:right="1020" w:bottom="1180" w:left="1020" w:header="878" w:footer="989" w:gutter="0"/>
          <w:cols w:space="720" w:num="1"/>
        </w:sectPr>
      </w:pPr>
    </w:p>
    <w:p>
      <w:pPr>
        <w:pStyle w:val="19"/>
        <w:numPr>
          <w:ilvl w:val="0"/>
          <w:numId w:val="51"/>
        </w:numPr>
        <w:shd w:val="clear"/>
        <w:tabs>
          <w:tab w:val="left" w:pos="1500"/>
        </w:tabs>
        <w:spacing w:before="133" w:line="360" w:lineRule="auto"/>
        <w:ind w:right="777" w:firstLine="480"/>
        <w:jc w:val="both"/>
        <w:rPr>
          <w:color w:val="000000" w:themeColor="text1"/>
          <w:sz w:val="24"/>
          <w:highlight w:val="none"/>
          <w14:textFill>
            <w14:solidFill>
              <w14:schemeClr w14:val="tx1"/>
            </w14:solidFill>
          </w14:textFill>
        </w:rPr>
      </w:pPr>
      <w:r>
        <w:rPr>
          <w:color w:val="000000" w:themeColor="text1"/>
          <w:spacing w:val="-8"/>
          <w:sz w:val="24"/>
          <w:highlight w:val="none"/>
          <w14:textFill>
            <w14:solidFill>
              <w14:schemeClr w14:val="tx1"/>
            </w14:solidFill>
          </w14:textFill>
        </w:rPr>
        <w:t>投标报价须包含招标文件全部内容，如分项报价表有缺漏视为已含在其他</w:t>
      </w:r>
      <w:r>
        <w:rPr>
          <w:color w:val="000000" w:themeColor="text1"/>
          <w:spacing w:val="-4"/>
          <w:sz w:val="24"/>
          <w:highlight w:val="none"/>
          <w14:textFill>
            <w14:solidFill>
              <w14:schemeClr w14:val="tx1"/>
            </w14:solidFill>
          </w14:textFill>
        </w:rPr>
        <w:t>各项报价中，将不对投标总价进行调整。评标委员会有权要求投标人在评标现场合理的时间内对此进行书面确认，投标人不确认的，视为将一个采购包中的内容</w:t>
      </w:r>
      <w:r>
        <w:rPr>
          <w:color w:val="000000" w:themeColor="text1"/>
          <w:spacing w:val="-2"/>
          <w:sz w:val="24"/>
          <w:highlight w:val="none"/>
          <w14:textFill>
            <w14:solidFill>
              <w14:schemeClr w14:val="tx1"/>
            </w14:solidFill>
          </w14:textFill>
        </w:rPr>
        <w:t>拆分投标，其</w:t>
      </w:r>
      <w:r>
        <w:rPr>
          <w:b/>
          <w:color w:val="000000" w:themeColor="text1"/>
          <w:spacing w:val="-2"/>
          <w:sz w:val="24"/>
          <w:highlight w:val="none"/>
          <w14:textFill>
            <w14:solidFill>
              <w14:schemeClr w14:val="tx1"/>
            </w14:solidFill>
          </w14:textFill>
        </w:rPr>
        <w:t>投标无效</w:t>
      </w:r>
      <w:r>
        <w:rPr>
          <w:color w:val="000000" w:themeColor="text1"/>
          <w:spacing w:val="-2"/>
          <w:sz w:val="24"/>
          <w:highlight w:val="none"/>
          <w14:textFill>
            <w14:solidFill>
              <w14:schemeClr w14:val="tx1"/>
            </w14:solidFill>
          </w14:textFill>
        </w:rPr>
        <w:t>。</w:t>
      </w:r>
    </w:p>
    <w:p>
      <w:pPr>
        <w:pStyle w:val="19"/>
        <w:numPr>
          <w:ilvl w:val="0"/>
          <w:numId w:val="51"/>
        </w:numPr>
        <w:shd w:val="clear"/>
        <w:tabs>
          <w:tab w:val="left" w:pos="1500"/>
        </w:tabs>
        <w:spacing w:line="360" w:lineRule="auto"/>
        <w:ind w:right="777" w:firstLine="480"/>
        <w:rPr>
          <w:color w:val="000000" w:themeColor="text1"/>
          <w:sz w:val="24"/>
          <w:highlight w:val="none"/>
          <w14:textFill>
            <w14:solidFill>
              <w14:schemeClr w14:val="tx1"/>
            </w14:solidFill>
          </w14:textFill>
        </w:rPr>
      </w:pPr>
      <w:r>
        <w:rPr>
          <w:color w:val="000000" w:themeColor="text1"/>
          <w:spacing w:val="-4"/>
          <w:sz w:val="24"/>
          <w:highlight w:val="none"/>
          <w14:textFill>
            <w14:solidFill>
              <w14:schemeClr w14:val="tx1"/>
            </w14:solidFill>
          </w14:textFill>
        </w:rPr>
        <w:t>投标文件报价出现前后不一致的，除招标文件另有规定外，按照下列规定修正：</w:t>
      </w:r>
    </w:p>
    <w:p>
      <w:pPr>
        <w:pStyle w:val="19"/>
        <w:numPr>
          <w:ilvl w:val="1"/>
          <w:numId w:val="51"/>
        </w:numPr>
        <w:shd w:val="clear"/>
        <w:tabs>
          <w:tab w:val="left" w:pos="1680"/>
        </w:tabs>
        <w:spacing w:line="360" w:lineRule="auto"/>
        <w:ind w:right="657" w:firstLine="480"/>
        <w:rPr>
          <w:color w:val="000000" w:themeColor="text1"/>
          <w:sz w:val="24"/>
          <w:highlight w:val="none"/>
          <w14:textFill>
            <w14:solidFill>
              <w14:schemeClr w14:val="tx1"/>
            </w14:solidFill>
          </w14:textFill>
        </w:rPr>
      </w:pPr>
      <w:r>
        <w:rPr>
          <w:color w:val="000000" w:themeColor="text1"/>
          <w:spacing w:val="-10"/>
          <w:sz w:val="24"/>
          <w:highlight w:val="none"/>
          <w14:textFill>
            <w14:solidFill>
              <w14:schemeClr w14:val="tx1"/>
            </w14:solidFill>
          </w14:textFill>
        </w:rPr>
        <w:t>投标文件中开标一览表</w:t>
      </w:r>
      <w:r>
        <w:rPr>
          <w:color w:val="000000" w:themeColor="text1"/>
          <w:spacing w:val="-2"/>
          <w:sz w:val="24"/>
          <w:highlight w:val="none"/>
          <w14:textFill>
            <w14:solidFill>
              <w14:schemeClr w14:val="tx1"/>
            </w14:solidFill>
          </w14:textFill>
        </w:rPr>
        <w:t>（报价表</w:t>
      </w:r>
      <w:r>
        <w:rPr>
          <w:color w:val="000000" w:themeColor="text1"/>
          <w:spacing w:val="-77"/>
          <w:sz w:val="24"/>
          <w:highlight w:val="none"/>
          <w14:textFill>
            <w14:solidFill>
              <w14:schemeClr w14:val="tx1"/>
            </w14:solidFill>
          </w14:textFill>
        </w:rPr>
        <w:t>）</w:t>
      </w:r>
      <w:r>
        <w:rPr>
          <w:color w:val="000000" w:themeColor="text1"/>
          <w:spacing w:val="-2"/>
          <w:sz w:val="24"/>
          <w:highlight w:val="none"/>
          <w14:textFill>
            <w14:solidFill>
              <w14:schemeClr w14:val="tx1"/>
            </w14:solidFill>
          </w14:textFill>
        </w:rPr>
        <w:t>内容与投标文件中相应内容不一致的，以开标一览表（报价表）为准；</w:t>
      </w:r>
    </w:p>
    <w:p>
      <w:pPr>
        <w:pStyle w:val="19"/>
        <w:numPr>
          <w:ilvl w:val="1"/>
          <w:numId w:val="51"/>
        </w:numPr>
        <w:shd w:val="clear"/>
        <w:tabs>
          <w:tab w:val="left" w:pos="1680"/>
        </w:tabs>
        <w:ind w:left="1680"/>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大写金额和小写金额不一致的，以大写金额为准；</w:t>
      </w:r>
    </w:p>
    <w:p>
      <w:pPr>
        <w:pStyle w:val="19"/>
        <w:numPr>
          <w:ilvl w:val="1"/>
          <w:numId w:val="51"/>
        </w:numPr>
        <w:shd w:val="clear"/>
        <w:tabs>
          <w:tab w:val="left" w:pos="1680"/>
        </w:tabs>
        <w:spacing w:before="156" w:line="360" w:lineRule="auto"/>
        <w:ind w:right="745" w:firstLine="48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单价金额小数点或者百分比有明显错位的，以开标一览表的总价为准，并修改单价；</w:t>
      </w:r>
    </w:p>
    <w:p>
      <w:pPr>
        <w:pStyle w:val="19"/>
        <w:numPr>
          <w:ilvl w:val="1"/>
          <w:numId w:val="51"/>
        </w:numPr>
        <w:shd w:val="clear"/>
        <w:tabs>
          <w:tab w:val="left" w:pos="1680"/>
        </w:tabs>
        <w:ind w:left="1680"/>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总价金额与按单价汇总金额不一致的，以单价金额计算结果为准。</w:t>
      </w:r>
    </w:p>
    <w:p>
      <w:pPr>
        <w:pStyle w:val="10"/>
        <w:shd w:val="clear"/>
        <w:spacing w:before="156" w:line="360" w:lineRule="auto"/>
        <w:ind w:right="777" w:firstLine="480"/>
        <w:jc w:val="both"/>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 xml:space="preserve">同时出现两种以上不一致的，按照 </w:t>
      </w:r>
      <w:r>
        <w:rPr>
          <w:color w:val="000000" w:themeColor="text1"/>
          <w:spacing w:val="-2"/>
          <w:highlight w:val="none"/>
          <w14:textFill>
            <w14:solidFill>
              <w14:schemeClr w14:val="tx1"/>
            </w14:solidFill>
          </w14:textFill>
        </w:rPr>
        <w:t>8.1—8.4</w:t>
      </w:r>
      <w:r>
        <w:rPr>
          <w:color w:val="000000" w:themeColor="text1"/>
          <w:spacing w:val="-7"/>
          <w:highlight w:val="none"/>
          <w14:textFill>
            <w14:solidFill>
              <w14:schemeClr w14:val="tx1"/>
            </w14:solidFill>
          </w14:textFill>
        </w:rPr>
        <w:t xml:space="preserve"> 的顺序修正。修正后的报价采</w:t>
      </w:r>
      <w:r>
        <w:rPr>
          <w:color w:val="000000" w:themeColor="text1"/>
          <w:spacing w:val="-4"/>
          <w:highlight w:val="none"/>
          <w14:textFill>
            <w14:solidFill>
              <w14:schemeClr w14:val="tx1"/>
            </w14:solidFill>
          </w14:textFill>
        </w:rPr>
        <w:t>用书面形式，并加盖公章，或者由法定代表人或其授权的代表签字，经投标人确</w:t>
      </w:r>
      <w:r>
        <w:rPr>
          <w:color w:val="000000" w:themeColor="text1"/>
          <w:spacing w:val="-2"/>
          <w:highlight w:val="none"/>
          <w14:textFill>
            <w14:solidFill>
              <w14:schemeClr w14:val="tx1"/>
            </w14:solidFill>
          </w14:textFill>
        </w:rPr>
        <w:t>认后产生约束力，投标人不确认的，其</w:t>
      </w:r>
      <w:r>
        <w:rPr>
          <w:b/>
          <w:color w:val="000000" w:themeColor="text1"/>
          <w:spacing w:val="-2"/>
          <w:highlight w:val="none"/>
          <w14:textFill>
            <w14:solidFill>
              <w14:schemeClr w14:val="tx1"/>
            </w14:solidFill>
          </w14:textFill>
        </w:rPr>
        <w:t>投标无效</w:t>
      </w:r>
      <w:r>
        <w:rPr>
          <w:color w:val="000000" w:themeColor="text1"/>
          <w:spacing w:val="-2"/>
          <w:highlight w:val="none"/>
          <w14:textFill>
            <w14:solidFill>
              <w14:schemeClr w14:val="tx1"/>
            </w14:solidFill>
          </w14:textFill>
        </w:rPr>
        <w:t>。</w:t>
      </w:r>
    </w:p>
    <w:p>
      <w:pPr>
        <w:pStyle w:val="7"/>
        <w:shd w:val="clear"/>
        <w:spacing w:before="60"/>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（三）</w:t>
      </w:r>
      <w:r>
        <w:rPr>
          <w:color w:val="000000" w:themeColor="text1"/>
          <w:spacing w:val="-4"/>
          <w:highlight w:val="none"/>
          <w14:textFill>
            <w14:solidFill>
              <w14:schemeClr w14:val="tx1"/>
            </w14:solidFill>
          </w14:textFill>
        </w:rPr>
        <w:t>比较与评价</w:t>
      </w:r>
    </w:p>
    <w:p>
      <w:pPr>
        <w:pStyle w:val="19"/>
        <w:numPr>
          <w:ilvl w:val="0"/>
          <w:numId w:val="51"/>
        </w:numPr>
        <w:shd w:val="clear"/>
        <w:tabs>
          <w:tab w:val="left" w:pos="1500"/>
        </w:tabs>
        <w:spacing w:before="216" w:line="360" w:lineRule="auto"/>
        <w:ind w:right="777" w:firstLine="480"/>
        <w:jc w:val="both"/>
        <w:rPr>
          <w:color w:val="000000" w:themeColor="text1"/>
          <w:sz w:val="24"/>
          <w:highlight w:val="none"/>
          <w14:textFill>
            <w14:solidFill>
              <w14:schemeClr w14:val="tx1"/>
            </w14:solidFill>
          </w14:textFill>
        </w:rPr>
      </w:pPr>
      <w:r>
        <w:rPr>
          <w:color w:val="000000" w:themeColor="text1"/>
          <w:spacing w:val="-6"/>
          <w:sz w:val="24"/>
          <w:highlight w:val="none"/>
          <w14:textFill>
            <w14:solidFill>
              <w14:schemeClr w14:val="tx1"/>
            </w14:solidFill>
          </w14:textFill>
        </w:rPr>
        <w:t>评标委员会应当按照招标文件中规定的评标方法和标准，对符合性审查合</w:t>
      </w:r>
      <w:r>
        <w:rPr>
          <w:color w:val="000000" w:themeColor="text1"/>
          <w:spacing w:val="-4"/>
          <w:sz w:val="24"/>
          <w:highlight w:val="none"/>
          <w14:textFill>
            <w14:solidFill>
              <w14:schemeClr w14:val="tx1"/>
            </w14:solidFill>
          </w14:textFill>
        </w:rPr>
        <w:t>格的投标文件进行商务和技术评估，综合比较与评价；未通过符合性审查的投标文件不得进入比较与评价。评审因素包括投标报价、商务技术以及落实政府采购</w:t>
      </w:r>
      <w:r>
        <w:rPr>
          <w:color w:val="000000" w:themeColor="text1"/>
          <w:spacing w:val="-2"/>
          <w:sz w:val="24"/>
          <w:highlight w:val="none"/>
          <w14:textFill>
            <w14:solidFill>
              <w14:schemeClr w14:val="tx1"/>
            </w14:solidFill>
          </w14:textFill>
        </w:rPr>
        <w:t>政策。评审因素及标准见本章“四、评标标准”。</w:t>
      </w:r>
    </w:p>
    <w:p>
      <w:pPr>
        <w:pStyle w:val="19"/>
        <w:numPr>
          <w:ilvl w:val="0"/>
          <w:numId w:val="51"/>
        </w:numPr>
        <w:shd w:val="clear"/>
        <w:tabs>
          <w:tab w:val="left" w:pos="1620"/>
        </w:tabs>
        <w:ind w:left="1620" w:hanging="360"/>
        <w:jc w:val="both"/>
        <w:rPr>
          <w:color w:val="000000" w:themeColor="text1"/>
          <w:sz w:val="24"/>
          <w:highlight w:val="none"/>
          <w14:textFill>
            <w14:solidFill>
              <w14:schemeClr w14:val="tx1"/>
            </w14:solidFill>
          </w14:textFill>
        </w:rPr>
      </w:pPr>
      <w:r>
        <w:rPr>
          <w:color w:val="000000" w:themeColor="text1"/>
          <w:spacing w:val="-8"/>
          <w:sz w:val="24"/>
          <w:highlight w:val="none"/>
          <w14:textFill>
            <w14:solidFill>
              <w14:schemeClr w14:val="tx1"/>
            </w14:solidFill>
          </w14:textFill>
        </w:rPr>
        <w:t xml:space="preserve">有效投标人不足 </w:t>
      </w:r>
      <w:r>
        <w:rPr>
          <w:color w:val="000000" w:themeColor="text1"/>
          <w:spacing w:val="-2"/>
          <w:sz w:val="24"/>
          <w:highlight w:val="none"/>
          <w14:textFill>
            <w14:solidFill>
              <w14:schemeClr w14:val="tx1"/>
            </w14:solidFill>
          </w14:textFill>
        </w:rPr>
        <w:t>3</w:t>
      </w:r>
      <w:r>
        <w:rPr>
          <w:color w:val="000000" w:themeColor="text1"/>
          <w:spacing w:val="-12"/>
          <w:sz w:val="24"/>
          <w:highlight w:val="none"/>
          <w14:textFill>
            <w14:solidFill>
              <w14:schemeClr w14:val="tx1"/>
            </w14:solidFill>
          </w14:textFill>
        </w:rPr>
        <w:t xml:space="preserve"> 家的应按</w:t>
      </w:r>
      <w:r>
        <w:rPr>
          <w:b/>
          <w:color w:val="000000" w:themeColor="text1"/>
          <w:spacing w:val="-2"/>
          <w:sz w:val="24"/>
          <w:highlight w:val="none"/>
          <w14:textFill>
            <w14:solidFill>
              <w14:schemeClr w14:val="tx1"/>
            </w14:solidFill>
          </w14:textFill>
        </w:rPr>
        <w:t>废标</w:t>
      </w:r>
      <w:r>
        <w:rPr>
          <w:color w:val="000000" w:themeColor="text1"/>
          <w:spacing w:val="-5"/>
          <w:sz w:val="24"/>
          <w:highlight w:val="none"/>
          <w14:textFill>
            <w14:solidFill>
              <w14:schemeClr w14:val="tx1"/>
            </w14:solidFill>
          </w14:textFill>
        </w:rPr>
        <w:t>处理。</w:t>
      </w:r>
    </w:p>
    <w:p>
      <w:pPr>
        <w:pStyle w:val="7"/>
        <w:shd w:val="clear"/>
        <w:spacing w:before="216"/>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（四）</w:t>
      </w:r>
      <w:r>
        <w:rPr>
          <w:color w:val="000000" w:themeColor="text1"/>
          <w:spacing w:val="-4"/>
          <w:highlight w:val="none"/>
          <w14:textFill>
            <w14:solidFill>
              <w14:schemeClr w14:val="tx1"/>
            </w14:solidFill>
          </w14:textFill>
        </w:rPr>
        <w:t>报价评审</w:t>
      </w:r>
    </w:p>
    <w:p>
      <w:pPr>
        <w:pStyle w:val="19"/>
        <w:numPr>
          <w:ilvl w:val="0"/>
          <w:numId w:val="51"/>
        </w:numPr>
        <w:shd w:val="clear"/>
        <w:tabs>
          <w:tab w:val="left" w:pos="1620"/>
        </w:tabs>
        <w:spacing w:before="216"/>
        <w:ind w:left="1620" w:hanging="36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投标报价评审</w:t>
      </w:r>
    </w:p>
    <w:p>
      <w:pPr>
        <w:pStyle w:val="19"/>
        <w:numPr>
          <w:ilvl w:val="1"/>
          <w:numId w:val="51"/>
        </w:numPr>
        <w:shd w:val="clear"/>
        <w:tabs>
          <w:tab w:val="left" w:pos="1800"/>
        </w:tabs>
        <w:spacing w:before="156" w:line="360" w:lineRule="auto"/>
        <w:ind w:right="777" w:firstLine="480"/>
        <w:jc w:val="both"/>
        <w:rPr>
          <w:color w:val="000000" w:themeColor="text1"/>
          <w:sz w:val="24"/>
          <w:highlight w:val="none"/>
          <w14:textFill>
            <w14:solidFill>
              <w14:schemeClr w14:val="tx1"/>
            </w14:solidFill>
          </w14:textFill>
        </w:rPr>
      </w:pPr>
      <w:r>
        <w:rPr>
          <w:color w:val="000000" w:themeColor="text1"/>
          <w:spacing w:val="-4"/>
          <w:sz w:val="24"/>
          <w:highlight w:val="none"/>
          <w14:textFill>
            <w14:solidFill>
              <w14:schemeClr w14:val="tx1"/>
            </w14:solidFill>
          </w14:textFill>
        </w:rPr>
        <w:t xml:space="preserve">服务项目的价格分值占总分值的比重不得低于 </w:t>
      </w:r>
      <w:r>
        <w:rPr>
          <w:color w:val="000000" w:themeColor="text1"/>
          <w:spacing w:val="-2"/>
          <w:sz w:val="24"/>
          <w:highlight w:val="none"/>
          <w14:textFill>
            <w14:solidFill>
              <w14:schemeClr w14:val="tx1"/>
            </w14:solidFill>
          </w14:textFill>
        </w:rPr>
        <w:t>10%</w:t>
      </w:r>
      <w:r>
        <w:rPr>
          <w:color w:val="000000" w:themeColor="text1"/>
          <w:spacing w:val="-15"/>
          <w:sz w:val="24"/>
          <w:highlight w:val="none"/>
          <w14:textFill>
            <w14:solidFill>
              <w14:schemeClr w14:val="tx1"/>
            </w14:solidFill>
          </w14:textFill>
        </w:rPr>
        <w:t>。执行国家统一定价</w:t>
      </w:r>
      <w:r>
        <w:rPr>
          <w:color w:val="000000" w:themeColor="text1"/>
          <w:spacing w:val="-4"/>
          <w:sz w:val="24"/>
          <w:highlight w:val="none"/>
          <w14:textFill>
            <w14:solidFill>
              <w14:schemeClr w14:val="tx1"/>
            </w14:solidFill>
          </w14:textFill>
        </w:rPr>
        <w:t>标准和采用固定价格采购的项目，其价格不列为评审因素。价格分应当采用低价优先法计算，即满足招标文件要求且投标价格最低的投标报价为评标基准价，其</w:t>
      </w:r>
      <w:r>
        <w:rPr>
          <w:color w:val="000000" w:themeColor="text1"/>
          <w:spacing w:val="-2"/>
          <w:sz w:val="24"/>
          <w:highlight w:val="none"/>
          <w14:textFill>
            <w14:solidFill>
              <w14:schemeClr w14:val="tx1"/>
            </w14:solidFill>
          </w14:textFill>
        </w:rPr>
        <w:t>价格分为满分。其他投标人的价格分统一按照下列公式计算：</w:t>
      </w:r>
    </w:p>
    <w:p>
      <w:pPr>
        <w:pStyle w:val="10"/>
        <w:shd w:val="clear"/>
        <w:ind w:left="1260"/>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投标报价得分=(评标基准价／投标报价)×价格分值</w:t>
      </w:r>
    </w:p>
    <w:p>
      <w:pPr>
        <w:pStyle w:val="10"/>
        <w:shd w:val="clear"/>
        <w:spacing w:before="156"/>
        <w:ind w:left="1260"/>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评标过程中，不得去掉报价中的最高报价和最低报价。</w:t>
      </w:r>
    </w:p>
    <w:p>
      <w:pPr>
        <w:shd w:val="clear"/>
        <w:rPr>
          <w:color w:val="000000" w:themeColor="text1"/>
          <w:highlight w:val="none"/>
          <w14:textFill>
            <w14:solidFill>
              <w14:schemeClr w14:val="tx1"/>
            </w14:solidFill>
          </w14:textFill>
        </w:rPr>
        <w:sectPr>
          <w:pgSz w:w="11910" w:h="16840"/>
          <w:pgMar w:top="1380" w:right="1020" w:bottom="1180" w:left="1020" w:header="878" w:footer="989" w:gutter="0"/>
          <w:cols w:space="720" w:num="1"/>
        </w:sectPr>
      </w:pPr>
    </w:p>
    <w:p>
      <w:pPr>
        <w:pStyle w:val="19"/>
        <w:numPr>
          <w:ilvl w:val="1"/>
          <w:numId w:val="51"/>
        </w:numPr>
        <w:shd w:val="clear"/>
        <w:tabs>
          <w:tab w:val="left" w:pos="1800"/>
        </w:tabs>
        <w:spacing w:before="133"/>
        <w:ind w:left="1800" w:hanging="540"/>
        <w:rPr>
          <w:color w:val="000000" w:themeColor="text1"/>
          <w:sz w:val="24"/>
          <w:highlight w:val="none"/>
          <w14:textFill>
            <w14:solidFill>
              <w14:schemeClr w14:val="tx1"/>
            </w14:solidFill>
          </w14:textFill>
        </w:rPr>
      </w:pPr>
      <w:r>
        <w:rPr>
          <w:color w:val="000000" w:themeColor="text1"/>
          <w:spacing w:val="-12"/>
          <w:sz w:val="24"/>
          <w:highlight w:val="none"/>
          <w14:textFill>
            <w14:solidFill>
              <w14:schemeClr w14:val="tx1"/>
            </w14:solidFill>
          </w14:textFill>
        </w:rPr>
        <w:t>除算术修正和落实政府采购政策的价格扣除外，不对投标报价进行调整；</w:t>
      </w:r>
    </w:p>
    <w:p>
      <w:pPr>
        <w:pStyle w:val="19"/>
        <w:numPr>
          <w:ilvl w:val="1"/>
          <w:numId w:val="51"/>
        </w:numPr>
        <w:shd w:val="clear"/>
        <w:tabs>
          <w:tab w:val="left" w:pos="1800"/>
        </w:tabs>
        <w:spacing w:before="156"/>
        <w:ind w:left="1800" w:hanging="540"/>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价格分值见本章“四、评标标准”。</w:t>
      </w:r>
    </w:p>
    <w:p>
      <w:pPr>
        <w:pStyle w:val="19"/>
        <w:numPr>
          <w:ilvl w:val="0"/>
          <w:numId w:val="51"/>
        </w:numPr>
        <w:shd w:val="clear"/>
        <w:tabs>
          <w:tab w:val="left" w:pos="1620"/>
        </w:tabs>
        <w:spacing w:before="156"/>
        <w:ind w:left="1620" w:hanging="36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政府采购政策评审</w:t>
      </w:r>
    </w:p>
    <w:p>
      <w:pPr>
        <w:pStyle w:val="19"/>
        <w:numPr>
          <w:ilvl w:val="1"/>
          <w:numId w:val="51"/>
        </w:numPr>
        <w:shd w:val="clear"/>
        <w:tabs>
          <w:tab w:val="left" w:pos="1800"/>
        </w:tabs>
        <w:spacing w:before="156" w:line="360" w:lineRule="auto"/>
        <w:ind w:right="777" w:firstLine="480"/>
        <w:jc w:val="both"/>
        <w:rPr>
          <w:color w:val="000000" w:themeColor="text1"/>
          <w:sz w:val="24"/>
          <w:highlight w:val="none"/>
          <w14:textFill>
            <w14:solidFill>
              <w14:schemeClr w14:val="tx1"/>
            </w14:solidFill>
          </w14:textFill>
        </w:rPr>
      </w:pPr>
      <w:r>
        <w:rPr>
          <w:color w:val="000000" w:themeColor="text1"/>
          <w:spacing w:val="-9"/>
          <w:sz w:val="24"/>
          <w:highlight w:val="none"/>
          <w14:textFill>
            <w14:solidFill>
              <w14:schemeClr w14:val="tx1"/>
            </w14:solidFill>
          </w14:textFill>
        </w:rPr>
        <w:t>非专门面向中小企业的采购项目或采购包，对符合规定的小微企业</w:t>
      </w:r>
      <w:r>
        <w:rPr>
          <w:color w:val="000000" w:themeColor="text1"/>
          <w:spacing w:val="-2"/>
          <w:sz w:val="24"/>
          <w:highlight w:val="none"/>
          <w14:textFill>
            <w14:solidFill>
              <w14:schemeClr w14:val="tx1"/>
            </w14:solidFill>
          </w14:textFill>
        </w:rPr>
        <w:t>（含</w:t>
      </w:r>
      <w:r>
        <w:rPr>
          <w:color w:val="000000" w:themeColor="text1"/>
          <w:spacing w:val="-4"/>
          <w:sz w:val="24"/>
          <w:highlight w:val="none"/>
          <w14:textFill>
            <w14:solidFill>
              <w14:schemeClr w14:val="tx1"/>
            </w14:solidFill>
          </w14:textFill>
        </w:rPr>
        <w:t>监狱企业、残疾人福利性单位、联合体各方均为小微企业的联合体、符合小微企业划分标准的个体工商户视同小微企业）报价按照本招标文件“投标人须知前附表”中的规定扣除，对小微企业中的监狱企业、残疾人福利性单位、采购产品纳</w:t>
      </w:r>
      <w:r>
        <w:rPr>
          <w:color w:val="000000" w:themeColor="text1"/>
          <w:spacing w:val="-8"/>
          <w:sz w:val="24"/>
          <w:highlight w:val="none"/>
          <w14:textFill>
            <w14:solidFill>
              <w14:schemeClr w14:val="tx1"/>
            </w14:solidFill>
          </w14:textFill>
        </w:rPr>
        <w:t>入创新产品应用示范推荐目录内企业、采购产品获得节能产品或环境标志产品认</w:t>
      </w:r>
      <w:r>
        <w:rPr>
          <w:color w:val="000000" w:themeColor="text1"/>
          <w:spacing w:val="-4"/>
          <w:sz w:val="24"/>
          <w:highlight w:val="none"/>
          <w14:textFill>
            <w14:solidFill>
              <w14:schemeClr w14:val="tx1"/>
            </w14:solidFill>
          </w14:textFill>
        </w:rPr>
        <w:t>证证书的企业报价按照本招标文件“投标人须知前附表”中的规定扣除，用扣除</w:t>
      </w:r>
      <w:r>
        <w:rPr>
          <w:color w:val="000000" w:themeColor="text1"/>
          <w:spacing w:val="-2"/>
          <w:sz w:val="24"/>
          <w:highlight w:val="none"/>
          <w14:textFill>
            <w14:solidFill>
              <w14:schemeClr w14:val="tx1"/>
            </w14:solidFill>
          </w14:textFill>
        </w:rPr>
        <w:t>后的价格计算评审基准价。</w:t>
      </w:r>
    </w:p>
    <w:p>
      <w:pPr>
        <w:pStyle w:val="19"/>
        <w:numPr>
          <w:ilvl w:val="1"/>
          <w:numId w:val="51"/>
        </w:numPr>
        <w:shd w:val="clear"/>
        <w:tabs>
          <w:tab w:val="left" w:pos="1800"/>
        </w:tabs>
        <w:spacing w:line="360" w:lineRule="auto"/>
        <w:ind w:right="685" w:firstLine="48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参加政府采购活动的小微企业（含节能环保、创新产品企业）未提供 “中小企业声明函”的；监狱企业未提供“监狱企业证明文件”的；残疾人福利性单位未提供“残疾人福利性单位声明函”的；不得享受相应的价格扣除优惠。</w:t>
      </w:r>
      <w:r>
        <w:rPr>
          <w:color w:val="000000" w:themeColor="text1"/>
          <w:spacing w:val="-6"/>
          <w:sz w:val="24"/>
          <w:highlight w:val="none"/>
          <w14:textFill>
            <w14:solidFill>
              <w14:schemeClr w14:val="tx1"/>
            </w14:solidFill>
          </w14:textFill>
        </w:rPr>
        <w:t>组成联合体或者接受分包的小微企业与联合体内其他企业、分包企业之间存在直</w:t>
      </w:r>
      <w:r>
        <w:rPr>
          <w:color w:val="000000" w:themeColor="text1"/>
          <w:spacing w:val="-2"/>
          <w:sz w:val="24"/>
          <w:highlight w:val="none"/>
          <w14:textFill>
            <w14:solidFill>
              <w14:schemeClr w14:val="tx1"/>
            </w14:solidFill>
          </w14:textFill>
        </w:rPr>
        <w:t>接控股、管理关系的，不得享受价格扣除优惠。若供应商同时属于小型或微型企</w:t>
      </w:r>
      <w:r>
        <w:rPr>
          <w:color w:val="000000" w:themeColor="text1"/>
          <w:sz w:val="24"/>
          <w:highlight w:val="none"/>
          <w14:textFill>
            <w14:solidFill>
              <w14:schemeClr w14:val="tx1"/>
            </w14:solidFill>
          </w14:textFill>
        </w:rPr>
        <w:t>业、监狱企业、残疾人福利性单位 中的两种及以上，将不重复享受小微企业价</w:t>
      </w:r>
      <w:r>
        <w:rPr>
          <w:color w:val="000000" w:themeColor="text1"/>
          <w:spacing w:val="-2"/>
          <w:sz w:val="24"/>
          <w:highlight w:val="none"/>
          <w14:textFill>
            <w14:solidFill>
              <w14:schemeClr w14:val="tx1"/>
            </w14:solidFill>
          </w14:textFill>
        </w:rPr>
        <w:t>格扣减的优惠政策。</w:t>
      </w:r>
    </w:p>
    <w:p>
      <w:pPr>
        <w:pStyle w:val="10"/>
        <w:shd w:val="clear"/>
        <w:spacing w:line="360" w:lineRule="auto"/>
        <w:ind w:right="777" w:firstLine="480"/>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组成联合体或者接受分包的小微企业与联合体内其他企业、分包企业之间存</w:t>
      </w:r>
      <w:r>
        <w:rPr>
          <w:color w:val="000000" w:themeColor="text1"/>
          <w:spacing w:val="-2"/>
          <w:highlight w:val="none"/>
          <w14:textFill>
            <w14:solidFill>
              <w14:schemeClr w14:val="tx1"/>
            </w14:solidFill>
          </w14:textFill>
        </w:rPr>
        <w:t>在直接控股、管理关系的，不享受价格扣除优惠政策。</w:t>
      </w:r>
    </w:p>
    <w:p>
      <w:pPr>
        <w:pStyle w:val="10"/>
        <w:shd w:val="clear"/>
        <w:ind w:left="1260"/>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价格扣除比例对小型企业和微型企业同等对待，不作区分。</w:t>
      </w:r>
    </w:p>
    <w:p>
      <w:pPr>
        <w:pStyle w:val="19"/>
        <w:numPr>
          <w:ilvl w:val="1"/>
          <w:numId w:val="51"/>
        </w:numPr>
        <w:shd w:val="clear"/>
        <w:tabs>
          <w:tab w:val="left" w:pos="1800"/>
        </w:tabs>
        <w:spacing w:before="156" w:line="360" w:lineRule="auto"/>
        <w:ind w:right="865" w:firstLine="48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专门面向中小企业、预留部分采购份额面向中小企业采购的项目或采购包，评审时不再进行价格扣除。</w:t>
      </w:r>
    </w:p>
    <w:p>
      <w:pPr>
        <w:pStyle w:val="19"/>
        <w:numPr>
          <w:ilvl w:val="1"/>
          <w:numId w:val="51"/>
        </w:numPr>
        <w:shd w:val="clear"/>
        <w:tabs>
          <w:tab w:val="left" w:pos="1800"/>
        </w:tabs>
        <w:spacing w:line="360" w:lineRule="auto"/>
        <w:ind w:right="777" w:firstLine="48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对于未预留份额专门面向中小企业的政府采购项目，以及预留份额政</w:t>
      </w:r>
      <w:r>
        <w:rPr>
          <w:color w:val="000000" w:themeColor="text1"/>
          <w:spacing w:val="-4"/>
          <w:sz w:val="24"/>
          <w:highlight w:val="none"/>
          <w14:textFill>
            <w14:solidFill>
              <w14:schemeClr w14:val="tx1"/>
            </w14:solidFill>
          </w14:textFill>
        </w:rPr>
        <w:t xml:space="preserve">府采购项目中的非预留部分标项，对小型和微型企业的投标报价给予 </w:t>
      </w:r>
      <w:r>
        <w:rPr>
          <w:color w:val="000000" w:themeColor="text1"/>
          <w:spacing w:val="-2"/>
          <w:sz w:val="24"/>
          <w:highlight w:val="none"/>
          <w14:textFill>
            <w14:solidFill>
              <w14:schemeClr w14:val="tx1"/>
            </w14:solidFill>
          </w14:textFill>
        </w:rPr>
        <w:t>10%-20%的</w:t>
      </w:r>
      <w:r>
        <w:rPr>
          <w:color w:val="000000" w:themeColor="text1"/>
          <w:spacing w:val="-4"/>
          <w:sz w:val="24"/>
          <w:highlight w:val="none"/>
          <w14:textFill>
            <w14:solidFill>
              <w14:schemeClr w14:val="tx1"/>
            </w14:solidFill>
          </w14:textFill>
        </w:rPr>
        <w:t>扣除，用扣除后的价格参与评审。接受大中型企业与小微企业组成联合体或者允</w:t>
      </w:r>
      <w:r>
        <w:rPr>
          <w:color w:val="000000" w:themeColor="text1"/>
          <w:spacing w:val="-6"/>
          <w:sz w:val="24"/>
          <w:highlight w:val="none"/>
          <w14:textFill>
            <w14:solidFill>
              <w14:schemeClr w14:val="tx1"/>
            </w14:solidFill>
          </w14:textFill>
        </w:rPr>
        <w:t>许大中型企业向一家或者多家小微企业分包的政府采购项目，对于联合体协议书</w:t>
      </w:r>
      <w:r>
        <w:rPr>
          <w:color w:val="000000" w:themeColor="text1"/>
          <w:spacing w:val="-4"/>
          <w:sz w:val="24"/>
          <w:highlight w:val="none"/>
          <w14:textFill>
            <w14:solidFill>
              <w14:schemeClr w14:val="tx1"/>
            </w14:solidFill>
          </w14:textFill>
        </w:rPr>
        <w:t xml:space="preserve">或者分包意向协议书约定小微企业的合同份额占到合同总金额 </w:t>
      </w:r>
      <w:r>
        <w:rPr>
          <w:color w:val="000000" w:themeColor="text1"/>
          <w:spacing w:val="-2"/>
          <w:sz w:val="24"/>
          <w:highlight w:val="none"/>
          <w14:textFill>
            <w14:solidFill>
              <w14:schemeClr w14:val="tx1"/>
            </w14:solidFill>
          </w14:textFill>
        </w:rPr>
        <w:t>30%以上的，对联</w:t>
      </w:r>
      <w:r>
        <w:rPr>
          <w:color w:val="000000" w:themeColor="text1"/>
          <w:spacing w:val="-6"/>
          <w:sz w:val="24"/>
          <w:highlight w:val="none"/>
          <w14:textFill>
            <w14:solidFill>
              <w14:schemeClr w14:val="tx1"/>
            </w14:solidFill>
          </w14:textFill>
        </w:rPr>
        <w:t xml:space="preserve">合体或者大中型企业的报价给予 </w:t>
      </w:r>
      <w:r>
        <w:rPr>
          <w:color w:val="000000" w:themeColor="text1"/>
          <w:spacing w:val="-2"/>
          <w:sz w:val="24"/>
          <w:highlight w:val="none"/>
          <w14:textFill>
            <w14:solidFill>
              <w14:schemeClr w14:val="tx1"/>
            </w14:solidFill>
          </w14:textFill>
        </w:rPr>
        <w:t>4%-6%的扣除，用扣除后的价格参加评审。组成</w:t>
      </w:r>
      <w:r>
        <w:rPr>
          <w:color w:val="000000" w:themeColor="text1"/>
          <w:spacing w:val="-6"/>
          <w:sz w:val="24"/>
          <w:highlight w:val="none"/>
          <w14:textFill>
            <w14:solidFill>
              <w14:schemeClr w14:val="tx1"/>
            </w14:solidFill>
          </w14:textFill>
        </w:rPr>
        <w:t>联合体或者接受分包的小微企业与联合体内其他企业、分包企业之间存在直接控</w:t>
      </w:r>
    </w:p>
    <w:p>
      <w:pPr>
        <w:shd w:val="clear"/>
        <w:spacing w:line="360" w:lineRule="auto"/>
        <w:rPr>
          <w:color w:val="000000" w:themeColor="text1"/>
          <w:sz w:val="24"/>
          <w:highlight w:val="none"/>
          <w14:textFill>
            <w14:solidFill>
              <w14:schemeClr w14:val="tx1"/>
            </w14:solidFill>
          </w14:textFill>
        </w:rPr>
        <w:sectPr>
          <w:pgSz w:w="11910" w:h="16840"/>
          <w:pgMar w:top="1380" w:right="1020" w:bottom="1180" w:left="1020" w:header="878" w:footer="989" w:gutter="0"/>
          <w:cols w:space="720" w:num="1"/>
        </w:sectPr>
      </w:pPr>
    </w:p>
    <w:p>
      <w:pPr>
        <w:pStyle w:val="10"/>
        <w:shd w:val="clear"/>
        <w:spacing w:before="133"/>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股、管理关系的，不享受价格扣除优惠政策。</w:t>
      </w:r>
    </w:p>
    <w:p>
      <w:pPr>
        <w:pStyle w:val="7"/>
        <w:shd w:val="clear"/>
        <w:spacing w:before="216"/>
        <w:rPr>
          <w:color w:val="000000" w:themeColor="text1"/>
          <w:highlight w:val="none"/>
          <w14:textFill>
            <w14:solidFill>
              <w14:schemeClr w14:val="tx1"/>
            </w14:solidFill>
          </w14:textFill>
        </w:rPr>
      </w:pPr>
      <w:bookmarkStart w:id="103" w:name="（五）评标得分及复核"/>
      <w:bookmarkEnd w:id="103"/>
      <w:r>
        <w:rPr>
          <w:color w:val="000000" w:themeColor="text1"/>
          <w:spacing w:val="-2"/>
          <w:highlight w:val="none"/>
          <w14:textFill>
            <w14:solidFill>
              <w14:schemeClr w14:val="tx1"/>
            </w14:solidFill>
          </w14:textFill>
        </w:rPr>
        <w:t>（五）</w:t>
      </w:r>
      <w:r>
        <w:rPr>
          <w:color w:val="000000" w:themeColor="text1"/>
          <w:spacing w:val="-4"/>
          <w:highlight w:val="none"/>
          <w14:textFill>
            <w14:solidFill>
              <w14:schemeClr w14:val="tx1"/>
            </w14:solidFill>
          </w14:textFill>
        </w:rPr>
        <w:t>评标得分及复核</w:t>
      </w:r>
    </w:p>
    <w:p>
      <w:pPr>
        <w:pStyle w:val="19"/>
        <w:numPr>
          <w:ilvl w:val="0"/>
          <w:numId w:val="51"/>
        </w:numPr>
        <w:shd w:val="clear"/>
        <w:tabs>
          <w:tab w:val="left" w:pos="1622"/>
        </w:tabs>
        <w:spacing w:before="264" w:line="355" w:lineRule="auto"/>
        <w:ind w:right="801" w:firstLine="482"/>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评标过程中，各项分值一般精确到小数点后两位，评标得分应为商务评分、技术评分、报价评分之和。评标委员会各成员应汇总每个投标人的得分。</w:t>
      </w:r>
    </w:p>
    <w:p>
      <w:pPr>
        <w:pStyle w:val="19"/>
        <w:numPr>
          <w:ilvl w:val="0"/>
          <w:numId w:val="51"/>
        </w:numPr>
        <w:shd w:val="clear"/>
        <w:tabs>
          <w:tab w:val="left" w:pos="1622"/>
        </w:tabs>
        <w:spacing w:line="352" w:lineRule="auto"/>
        <w:ind w:right="657" w:firstLine="482"/>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评标结果汇总完成后，采购代理机构应对评标结果进行复核。经复核发</w:t>
      </w:r>
      <w:r>
        <w:rPr>
          <w:color w:val="000000" w:themeColor="text1"/>
          <w:spacing w:val="-20"/>
          <w:sz w:val="24"/>
          <w:highlight w:val="none"/>
          <w14:textFill>
            <w14:solidFill>
              <w14:schemeClr w14:val="tx1"/>
            </w14:solidFill>
          </w14:textFill>
        </w:rPr>
        <w:t>现存在以下情形之一的，评标委员会应当当场修改评标结果，并在评标报告中记载：</w:t>
      </w:r>
    </w:p>
    <w:p>
      <w:pPr>
        <w:pStyle w:val="19"/>
        <w:numPr>
          <w:ilvl w:val="1"/>
          <w:numId w:val="51"/>
        </w:numPr>
        <w:shd w:val="clear"/>
        <w:tabs>
          <w:tab w:val="left" w:pos="1802"/>
        </w:tabs>
        <w:ind w:left="1802" w:hanging="540"/>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分值汇总计算错误的；</w:t>
      </w:r>
    </w:p>
    <w:p>
      <w:pPr>
        <w:pStyle w:val="19"/>
        <w:numPr>
          <w:ilvl w:val="1"/>
          <w:numId w:val="51"/>
        </w:numPr>
        <w:shd w:val="clear"/>
        <w:tabs>
          <w:tab w:val="left" w:pos="1802"/>
        </w:tabs>
        <w:spacing w:before="148"/>
        <w:ind w:left="1802" w:hanging="540"/>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分项评分超出评分标准范围的；</w:t>
      </w:r>
    </w:p>
    <w:p>
      <w:pPr>
        <w:pStyle w:val="19"/>
        <w:numPr>
          <w:ilvl w:val="1"/>
          <w:numId w:val="51"/>
        </w:numPr>
        <w:shd w:val="clear"/>
        <w:tabs>
          <w:tab w:val="left" w:pos="1802"/>
        </w:tabs>
        <w:spacing w:before="147"/>
        <w:ind w:left="1802" w:hanging="540"/>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评标委员会成员对客观评审因素评分不一致的；</w:t>
      </w:r>
    </w:p>
    <w:p>
      <w:pPr>
        <w:pStyle w:val="19"/>
        <w:numPr>
          <w:ilvl w:val="1"/>
          <w:numId w:val="51"/>
        </w:numPr>
        <w:shd w:val="clear"/>
        <w:tabs>
          <w:tab w:val="left" w:pos="1802"/>
        </w:tabs>
        <w:spacing w:before="149"/>
        <w:ind w:left="1802" w:hanging="540"/>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经评标委员会认定评分畸高、畸低的。</w:t>
      </w:r>
    </w:p>
    <w:p>
      <w:pPr>
        <w:pStyle w:val="19"/>
        <w:numPr>
          <w:ilvl w:val="0"/>
          <w:numId w:val="51"/>
        </w:numPr>
        <w:shd w:val="clear"/>
        <w:tabs>
          <w:tab w:val="left" w:pos="1622"/>
        </w:tabs>
        <w:spacing w:before="148" w:line="352" w:lineRule="auto"/>
        <w:ind w:right="801" w:firstLine="482"/>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各投标人的最终得分为评标委员会所有成员对各投标人评标得分汇总后的算术平均值。</w:t>
      </w:r>
    </w:p>
    <w:p>
      <w:pPr>
        <w:pStyle w:val="19"/>
        <w:numPr>
          <w:ilvl w:val="1"/>
          <w:numId w:val="51"/>
        </w:numPr>
        <w:shd w:val="clear"/>
        <w:tabs>
          <w:tab w:val="left" w:pos="1802"/>
        </w:tabs>
        <w:spacing w:before="2" w:line="355" w:lineRule="auto"/>
        <w:ind w:right="777" w:firstLine="482"/>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除资格性检查认定错误、分值汇总计算错误、分项评分超出评分标准</w:t>
      </w:r>
      <w:r>
        <w:rPr>
          <w:color w:val="000000" w:themeColor="text1"/>
          <w:spacing w:val="-4"/>
          <w:sz w:val="24"/>
          <w:highlight w:val="none"/>
          <w14:textFill>
            <w14:solidFill>
              <w14:schemeClr w14:val="tx1"/>
            </w14:solidFill>
          </w14:textFill>
        </w:rPr>
        <w:t>范围、客观分评分不一致、经评标委员会一致认定评分畸高、畸低的情形外，采购人或者采购代理机构不得以任何理由组织重新评审。采购人、采购代理机构发</w:t>
      </w:r>
      <w:r>
        <w:rPr>
          <w:color w:val="000000" w:themeColor="text1"/>
          <w:spacing w:val="-6"/>
          <w:sz w:val="24"/>
          <w:highlight w:val="none"/>
          <w14:textFill>
            <w14:solidFill>
              <w14:schemeClr w14:val="tx1"/>
            </w14:solidFill>
          </w14:textFill>
        </w:rPr>
        <w:t>现评标委员会未按照招标文件规定的评审标准进行评审的，应当重新开展采购活</w:t>
      </w:r>
      <w:r>
        <w:rPr>
          <w:color w:val="000000" w:themeColor="text1"/>
          <w:spacing w:val="-2"/>
          <w:sz w:val="24"/>
          <w:highlight w:val="none"/>
          <w14:textFill>
            <w14:solidFill>
              <w14:schemeClr w14:val="tx1"/>
            </w14:solidFill>
          </w14:textFill>
        </w:rPr>
        <w:t>动，并同时书面报告本级财政部门。</w:t>
      </w:r>
    </w:p>
    <w:p>
      <w:pPr>
        <w:pStyle w:val="19"/>
        <w:numPr>
          <w:ilvl w:val="1"/>
          <w:numId w:val="51"/>
        </w:numPr>
        <w:shd w:val="clear"/>
        <w:tabs>
          <w:tab w:val="left" w:pos="1802"/>
        </w:tabs>
        <w:spacing w:line="355" w:lineRule="auto"/>
        <w:ind w:right="861" w:firstLine="482"/>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采购人或者采购代理机构不得通过对样品进行检测、对投标人进行考察等方式改变评审结果。</w:t>
      </w:r>
    </w:p>
    <w:p>
      <w:pPr>
        <w:pStyle w:val="7"/>
        <w:shd w:val="clear"/>
        <w:spacing w:before="1"/>
        <w:rPr>
          <w:color w:val="000000" w:themeColor="text1"/>
          <w:highlight w:val="none"/>
          <w14:textFill>
            <w14:solidFill>
              <w14:schemeClr w14:val="tx1"/>
            </w14:solidFill>
          </w14:textFill>
        </w:rPr>
      </w:pPr>
      <w:bookmarkStart w:id="104" w:name="（六）排序与推荐"/>
      <w:bookmarkEnd w:id="104"/>
      <w:r>
        <w:rPr>
          <w:color w:val="000000" w:themeColor="text1"/>
          <w:spacing w:val="-2"/>
          <w:highlight w:val="none"/>
          <w14:textFill>
            <w14:solidFill>
              <w14:schemeClr w14:val="tx1"/>
            </w14:solidFill>
          </w14:textFill>
        </w:rPr>
        <w:t>（六）</w:t>
      </w:r>
      <w:r>
        <w:rPr>
          <w:color w:val="000000" w:themeColor="text1"/>
          <w:spacing w:val="-4"/>
          <w:highlight w:val="none"/>
          <w14:textFill>
            <w14:solidFill>
              <w14:schemeClr w14:val="tx1"/>
            </w14:solidFill>
          </w14:textFill>
        </w:rPr>
        <w:t>排序与推荐</w:t>
      </w:r>
    </w:p>
    <w:p>
      <w:pPr>
        <w:pStyle w:val="19"/>
        <w:numPr>
          <w:ilvl w:val="0"/>
          <w:numId w:val="51"/>
        </w:numPr>
        <w:shd w:val="clear"/>
        <w:tabs>
          <w:tab w:val="left" w:pos="1620"/>
        </w:tabs>
        <w:spacing w:before="216" w:line="360" w:lineRule="auto"/>
        <w:ind w:right="657" w:firstLine="48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评标结果按评审后得分由高到低顺序排列。投标文件满足招标文件全部</w:t>
      </w:r>
      <w:r>
        <w:rPr>
          <w:color w:val="000000" w:themeColor="text1"/>
          <w:spacing w:val="-12"/>
          <w:sz w:val="24"/>
          <w:highlight w:val="none"/>
          <w14:textFill>
            <w14:solidFill>
              <w14:schemeClr w14:val="tx1"/>
            </w14:solidFill>
          </w14:textFill>
        </w:rPr>
        <w:t>实质性要求，且按照评审因素的量化指标评审得分最高的投标人为排名第一的中</w:t>
      </w:r>
      <w:r>
        <w:rPr>
          <w:color w:val="000000" w:themeColor="text1"/>
          <w:spacing w:val="-18"/>
          <w:sz w:val="24"/>
          <w:highlight w:val="none"/>
          <w14:textFill>
            <w14:solidFill>
              <w14:schemeClr w14:val="tx1"/>
            </w14:solidFill>
          </w14:textFill>
        </w:rPr>
        <w:t>标候选人。得分相同的，按投标报价由低到高顺序排列。得分且投标报价相同的，</w:t>
      </w:r>
      <w:r>
        <w:rPr>
          <w:color w:val="000000" w:themeColor="text1"/>
          <w:spacing w:val="-2"/>
          <w:sz w:val="24"/>
          <w:highlight w:val="none"/>
          <w14:textFill>
            <w14:solidFill>
              <w14:schemeClr w14:val="tx1"/>
            </w14:solidFill>
          </w14:textFill>
        </w:rPr>
        <w:t>按技术指标优劣顺序排列。</w:t>
      </w:r>
    </w:p>
    <w:p>
      <w:pPr>
        <w:pStyle w:val="19"/>
        <w:numPr>
          <w:ilvl w:val="0"/>
          <w:numId w:val="51"/>
        </w:numPr>
        <w:shd w:val="clear"/>
        <w:tabs>
          <w:tab w:val="left" w:pos="1620"/>
        </w:tabs>
        <w:ind w:left="1620" w:hanging="360"/>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中标候选人推荐家数详见“投标人须知前附表”。</w:t>
      </w:r>
    </w:p>
    <w:p>
      <w:pPr>
        <w:pStyle w:val="7"/>
        <w:shd w:val="clear"/>
        <w:spacing w:before="216"/>
        <w:rPr>
          <w:color w:val="000000" w:themeColor="text1"/>
          <w:highlight w:val="none"/>
          <w14:textFill>
            <w14:solidFill>
              <w14:schemeClr w14:val="tx1"/>
            </w14:solidFill>
          </w14:textFill>
        </w:rPr>
      </w:pPr>
      <w:bookmarkStart w:id="105" w:name="（七）编写评标报告"/>
      <w:bookmarkEnd w:id="105"/>
      <w:r>
        <w:rPr>
          <w:color w:val="000000" w:themeColor="text1"/>
          <w:spacing w:val="-2"/>
          <w:highlight w:val="none"/>
          <w14:textFill>
            <w14:solidFill>
              <w14:schemeClr w14:val="tx1"/>
            </w14:solidFill>
          </w14:textFill>
        </w:rPr>
        <w:t>（七）</w:t>
      </w:r>
      <w:r>
        <w:rPr>
          <w:color w:val="000000" w:themeColor="text1"/>
          <w:spacing w:val="-4"/>
          <w:highlight w:val="none"/>
          <w14:textFill>
            <w14:solidFill>
              <w14:schemeClr w14:val="tx1"/>
            </w14:solidFill>
          </w14:textFill>
        </w:rPr>
        <w:t>编写评标报告</w:t>
      </w:r>
    </w:p>
    <w:p>
      <w:pPr>
        <w:pStyle w:val="19"/>
        <w:numPr>
          <w:ilvl w:val="0"/>
          <w:numId w:val="51"/>
        </w:numPr>
        <w:shd w:val="clear"/>
        <w:tabs>
          <w:tab w:val="left" w:pos="1620"/>
        </w:tabs>
        <w:spacing w:before="216" w:line="360" w:lineRule="auto"/>
        <w:ind w:right="777" w:firstLine="480"/>
        <w:jc w:val="both"/>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评标委员会根据全体评标成员签字的原始评标记录和评标结果编写评标</w:t>
      </w:r>
      <w:r>
        <w:rPr>
          <w:color w:val="000000" w:themeColor="text1"/>
          <w:spacing w:val="-4"/>
          <w:sz w:val="24"/>
          <w:highlight w:val="none"/>
          <w14:textFill>
            <w14:solidFill>
              <w14:schemeClr w14:val="tx1"/>
            </w14:solidFill>
          </w14:textFill>
        </w:rPr>
        <w:t>报告。评标委员会应当在评标报告上签名，对自己的评审意见承担法律责任。评</w:t>
      </w:r>
      <w:r>
        <w:rPr>
          <w:color w:val="000000" w:themeColor="text1"/>
          <w:spacing w:val="-7"/>
          <w:sz w:val="24"/>
          <w:highlight w:val="none"/>
          <w14:textFill>
            <w14:solidFill>
              <w14:schemeClr w14:val="tx1"/>
            </w14:solidFill>
          </w14:textFill>
        </w:rPr>
        <w:t>标委员会成员对需要共同认定的事项存在争议的，应当按照少数服从多数的原则</w:t>
      </w:r>
    </w:p>
    <w:p>
      <w:pPr>
        <w:shd w:val="clear"/>
        <w:spacing w:line="360" w:lineRule="auto"/>
        <w:jc w:val="both"/>
        <w:rPr>
          <w:color w:val="000000" w:themeColor="text1"/>
          <w:sz w:val="24"/>
          <w:highlight w:val="none"/>
          <w14:textFill>
            <w14:solidFill>
              <w14:schemeClr w14:val="tx1"/>
            </w14:solidFill>
          </w14:textFill>
        </w:rPr>
        <w:sectPr>
          <w:pgSz w:w="11910" w:h="16840"/>
          <w:pgMar w:top="1380" w:right="1020" w:bottom="1180" w:left="1020" w:header="878" w:footer="989" w:gutter="0"/>
          <w:cols w:space="720" w:num="1"/>
        </w:sectPr>
      </w:pPr>
    </w:p>
    <w:p>
      <w:pPr>
        <w:pStyle w:val="10"/>
        <w:shd w:val="clear"/>
        <w:spacing w:before="133" w:line="360" w:lineRule="auto"/>
        <w:ind w:right="777"/>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作出结论。持不同意见的评标委员会成员应当在评标报告上签署不同意见，并说</w:t>
      </w:r>
      <w:r>
        <w:rPr>
          <w:color w:val="000000" w:themeColor="text1"/>
          <w:spacing w:val="-2"/>
          <w:highlight w:val="none"/>
          <w14:textFill>
            <w14:solidFill>
              <w14:schemeClr w14:val="tx1"/>
            </w14:solidFill>
          </w14:textFill>
        </w:rPr>
        <w:t>明理由，否则视为同意评标报告。</w:t>
      </w:r>
    </w:p>
    <w:p>
      <w:pPr>
        <w:pStyle w:val="7"/>
        <w:shd w:val="clear"/>
        <w:spacing w:before="60"/>
        <w:rPr>
          <w:color w:val="000000" w:themeColor="text1"/>
          <w:highlight w:val="none"/>
          <w14:textFill>
            <w14:solidFill>
              <w14:schemeClr w14:val="tx1"/>
            </w14:solidFill>
          </w14:textFill>
        </w:rPr>
      </w:pPr>
      <w:bookmarkStart w:id="106" w:name="（八）投标无效及应予废标的情形"/>
      <w:bookmarkEnd w:id="106"/>
      <w:r>
        <w:rPr>
          <w:color w:val="000000" w:themeColor="text1"/>
          <w:spacing w:val="-2"/>
          <w:highlight w:val="none"/>
          <w14:textFill>
            <w14:solidFill>
              <w14:schemeClr w14:val="tx1"/>
            </w14:solidFill>
          </w14:textFill>
        </w:rPr>
        <w:t>（八）</w:t>
      </w:r>
      <w:r>
        <w:rPr>
          <w:color w:val="000000" w:themeColor="text1"/>
          <w:spacing w:val="-3"/>
          <w:highlight w:val="none"/>
          <w14:textFill>
            <w14:solidFill>
              <w14:schemeClr w14:val="tx1"/>
            </w14:solidFill>
          </w14:textFill>
        </w:rPr>
        <w:t>投标无效及应予废标的情形</w:t>
      </w:r>
    </w:p>
    <w:p>
      <w:pPr>
        <w:pStyle w:val="19"/>
        <w:numPr>
          <w:ilvl w:val="0"/>
          <w:numId w:val="51"/>
        </w:numPr>
        <w:shd w:val="clear"/>
        <w:tabs>
          <w:tab w:val="left" w:pos="1622"/>
        </w:tabs>
        <w:spacing w:before="264"/>
        <w:ind w:left="1622" w:hanging="36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投标人存在下列情形之一的，</w:t>
      </w:r>
      <w:r>
        <w:rPr>
          <w:b/>
          <w:color w:val="000000" w:themeColor="text1"/>
          <w:spacing w:val="-2"/>
          <w:sz w:val="24"/>
          <w:highlight w:val="none"/>
          <w14:textFill>
            <w14:solidFill>
              <w14:schemeClr w14:val="tx1"/>
            </w14:solidFill>
          </w14:textFill>
        </w:rPr>
        <w:t>投标无效</w:t>
      </w:r>
      <w:r>
        <w:rPr>
          <w:color w:val="000000" w:themeColor="text1"/>
          <w:spacing w:val="-10"/>
          <w:sz w:val="24"/>
          <w:highlight w:val="none"/>
          <w14:textFill>
            <w14:solidFill>
              <w14:schemeClr w14:val="tx1"/>
            </w14:solidFill>
          </w14:textFill>
        </w:rPr>
        <w:t>：</w:t>
      </w:r>
    </w:p>
    <w:p>
      <w:pPr>
        <w:pStyle w:val="19"/>
        <w:numPr>
          <w:ilvl w:val="1"/>
          <w:numId w:val="51"/>
        </w:numPr>
        <w:shd w:val="clear"/>
        <w:tabs>
          <w:tab w:val="left" w:pos="1802"/>
        </w:tabs>
        <w:spacing w:before="148"/>
        <w:ind w:left="1802" w:hanging="540"/>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投标人不具备《中华人民共和国政府采购法》第二十二条规定条件；</w:t>
      </w:r>
    </w:p>
    <w:p>
      <w:pPr>
        <w:pStyle w:val="19"/>
        <w:numPr>
          <w:ilvl w:val="1"/>
          <w:numId w:val="51"/>
        </w:numPr>
        <w:shd w:val="clear"/>
        <w:tabs>
          <w:tab w:val="left" w:pos="1802"/>
        </w:tabs>
        <w:spacing w:before="149"/>
        <w:ind w:left="1802" w:hanging="540"/>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投标文件未按招标文件要求签署、盖章的；</w:t>
      </w:r>
    </w:p>
    <w:p>
      <w:pPr>
        <w:pStyle w:val="19"/>
        <w:numPr>
          <w:ilvl w:val="1"/>
          <w:numId w:val="51"/>
        </w:numPr>
        <w:shd w:val="clear"/>
        <w:tabs>
          <w:tab w:val="left" w:pos="1802"/>
        </w:tabs>
        <w:spacing w:before="147" w:line="355" w:lineRule="auto"/>
        <w:ind w:right="657" w:firstLine="482"/>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不具备招标文件中规定的资格要求的（投标人未提供有效资格文件的，视为投标人不具备招标文件中规定的资格要求）；</w:t>
      </w:r>
    </w:p>
    <w:p>
      <w:pPr>
        <w:pStyle w:val="19"/>
        <w:numPr>
          <w:ilvl w:val="1"/>
          <w:numId w:val="51"/>
        </w:numPr>
        <w:shd w:val="clear"/>
        <w:tabs>
          <w:tab w:val="left" w:pos="1802"/>
        </w:tabs>
        <w:spacing w:line="310" w:lineRule="exact"/>
        <w:ind w:left="1802" w:hanging="540"/>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投标文件提供虚假材料的；</w:t>
      </w:r>
    </w:p>
    <w:p>
      <w:pPr>
        <w:pStyle w:val="19"/>
        <w:numPr>
          <w:ilvl w:val="1"/>
          <w:numId w:val="51"/>
        </w:numPr>
        <w:shd w:val="clear"/>
        <w:tabs>
          <w:tab w:val="left" w:pos="1802"/>
        </w:tabs>
        <w:spacing w:before="146" w:line="355" w:lineRule="auto"/>
        <w:ind w:right="861" w:firstLine="482"/>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投标文件不满足招标文件中标注“★”号的实质性条款（或指标）要</w:t>
      </w:r>
      <w:r>
        <w:rPr>
          <w:color w:val="000000" w:themeColor="text1"/>
          <w:spacing w:val="-4"/>
          <w:sz w:val="24"/>
          <w:highlight w:val="none"/>
          <w14:textFill>
            <w14:solidFill>
              <w14:schemeClr w14:val="tx1"/>
            </w14:solidFill>
          </w14:textFill>
        </w:rPr>
        <w:t>求的；</w:t>
      </w:r>
    </w:p>
    <w:p>
      <w:pPr>
        <w:pStyle w:val="19"/>
        <w:numPr>
          <w:ilvl w:val="1"/>
          <w:numId w:val="51"/>
        </w:numPr>
        <w:shd w:val="clear"/>
        <w:tabs>
          <w:tab w:val="left" w:pos="1802"/>
        </w:tabs>
        <w:spacing w:line="310" w:lineRule="exact"/>
        <w:ind w:left="1802" w:hanging="540"/>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投标人报价超过招标文件中规定的最高限价或者预算金额的；</w:t>
      </w:r>
    </w:p>
    <w:p>
      <w:pPr>
        <w:pStyle w:val="19"/>
        <w:numPr>
          <w:ilvl w:val="1"/>
          <w:numId w:val="51"/>
        </w:numPr>
        <w:shd w:val="clear"/>
        <w:tabs>
          <w:tab w:val="left" w:pos="1802"/>
        </w:tabs>
        <w:spacing w:before="146"/>
        <w:ind w:left="1802" w:hanging="540"/>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联合体的供应商未提交各方共同签署的联合体协议的；</w:t>
      </w:r>
    </w:p>
    <w:p>
      <w:pPr>
        <w:pStyle w:val="19"/>
        <w:numPr>
          <w:ilvl w:val="1"/>
          <w:numId w:val="51"/>
        </w:numPr>
        <w:shd w:val="clear"/>
        <w:tabs>
          <w:tab w:val="left" w:pos="1802"/>
        </w:tabs>
        <w:spacing w:before="149"/>
        <w:ind w:left="1802" w:hanging="540"/>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投标人未按招标文件的规定交纳投标保证金的；</w:t>
      </w:r>
    </w:p>
    <w:p>
      <w:pPr>
        <w:pStyle w:val="19"/>
        <w:numPr>
          <w:ilvl w:val="1"/>
          <w:numId w:val="51"/>
        </w:numPr>
        <w:shd w:val="clear"/>
        <w:tabs>
          <w:tab w:val="left" w:pos="1802"/>
        </w:tabs>
        <w:spacing w:before="149" w:line="352" w:lineRule="auto"/>
        <w:ind w:right="981" w:firstLine="482"/>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评审期间,投标人没有按评标委员会的要求提交经授权代表签字的澄清、说明、补正或改变了投标文件的实质性内容的；</w:t>
      </w:r>
    </w:p>
    <w:p>
      <w:pPr>
        <w:pStyle w:val="19"/>
        <w:numPr>
          <w:ilvl w:val="1"/>
          <w:numId w:val="51"/>
        </w:numPr>
        <w:shd w:val="clear"/>
        <w:tabs>
          <w:tab w:val="left" w:pos="1922"/>
        </w:tabs>
        <w:spacing w:before="2" w:line="355" w:lineRule="auto"/>
        <w:ind w:right="777" w:firstLine="482"/>
        <w:rPr>
          <w:color w:val="000000" w:themeColor="text1"/>
          <w:sz w:val="24"/>
          <w:highlight w:val="none"/>
          <w14:textFill>
            <w14:solidFill>
              <w14:schemeClr w14:val="tx1"/>
            </w14:solidFill>
          </w14:textFill>
        </w:rPr>
      </w:pPr>
      <w:r>
        <w:rPr>
          <w:color w:val="000000" w:themeColor="text1"/>
          <w:spacing w:val="-16"/>
          <w:sz w:val="24"/>
          <w:highlight w:val="none"/>
          <w14:textFill>
            <w14:solidFill>
              <w14:schemeClr w14:val="tx1"/>
            </w14:solidFill>
          </w14:textFill>
        </w:rPr>
        <w:t>投标人对采购人、采购代理机构、评标委员会及其工作人员施加影响,</w:t>
      </w:r>
      <w:r>
        <w:rPr>
          <w:color w:val="000000" w:themeColor="text1"/>
          <w:spacing w:val="-2"/>
          <w:sz w:val="24"/>
          <w:highlight w:val="none"/>
          <w14:textFill>
            <w14:solidFill>
              <w14:schemeClr w14:val="tx1"/>
            </w14:solidFill>
          </w14:textFill>
        </w:rPr>
        <w:t>有碍公平、公正的；</w:t>
      </w:r>
    </w:p>
    <w:p>
      <w:pPr>
        <w:pStyle w:val="19"/>
        <w:numPr>
          <w:ilvl w:val="1"/>
          <w:numId w:val="51"/>
        </w:numPr>
        <w:shd w:val="clear"/>
        <w:tabs>
          <w:tab w:val="left" w:pos="1922"/>
        </w:tabs>
        <w:spacing w:line="308" w:lineRule="exact"/>
        <w:ind w:left="1922" w:hanging="660"/>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投标文件含有采购人不能接受的附加条件的；</w:t>
      </w:r>
    </w:p>
    <w:p>
      <w:pPr>
        <w:pStyle w:val="19"/>
        <w:numPr>
          <w:ilvl w:val="1"/>
          <w:numId w:val="51"/>
        </w:numPr>
        <w:shd w:val="clear"/>
        <w:tabs>
          <w:tab w:val="left" w:pos="1922"/>
        </w:tabs>
        <w:spacing w:before="149"/>
        <w:ind w:left="1922" w:hanging="660"/>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法律、法规、规章规定属于投标无效的其他情形。</w:t>
      </w:r>
    </w:p>
    <w:p>
      <w:pPr>
        <w:pStyle w:val="19"/>
        <w:numPr>
          <w:ilvl w:val="0"/>
          <w:numId w:val="51"/>
        </w:numPr>
        <w:shd w:val="clear"/>
        <w:tabs>
          <w:tab w:val="left" w:pos="1622"/>
        </w:tabs>
        <w:spacing w:before="149"/>
        <w:ind w:left="1622" w:hanging="36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有下列情形之一的，视为投标人串通投标，其</w:t>
      </w:r>
      <w:r>
        <w:rPr>
          <w:b/>
          <w:color w:val="000000" w:themeColor="text1"/>
          <w:spacing w:val="-2"/>
          <w:sz w:val="24"/>
          <w:highlight w:val="none"/>
          <w14:textFill>
            <w14:solidFill>
              <w14:schemeClr w14:val="tx1"/>
            </w14:solidFill>
          </w14:textFill>
        </w:rPr>
        <w:t>投标无效</w:t>
      </w:r>
      <w:r>
        <w:rPr>
          <w:color w:val="000000" w:themeColor="text1"/>
          <w:spacing w:val="-10"/>
          <w:sz w:val="24"/>
          <w:highlight w:val="none"/>
          <w14:textFill>
            <w14:solidFill>
              <w14:schemeClr w14:val="tx1"/>
            </w14:solidFill>
          </w14:textFill>
        </w:rPr>
        <w:t>：</w:t>
      </w:r>
    </w:p>
    <w:p>
      <w:pPr>
        <w:pStyle w:val="19"/>
        <w:numPr>
          <w:ilvl w:val="1"/>
          <w:numId w:val="51"/>
        </w:numPr>
        <w:shd w:val="clear"/>
        <w:tabs>
          <w:tab w:val="left" w:pos="1802"/>
        </w:tabs>
        <w:spacing w:before="146"/>
        <w:ind w:left="1802" w:hanging="540"/>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不同投标人的投标文件由同一单位或者个人编制；</w:t>
      </w:r>
    </w:p>
    <w:p>
      <w:pPr>
        <w:pStyle w:val="19"/>
        <w:numPr>
          <w:ilvl w:val="1"/>
          <w:numId w:val="51"/>
        </w:numPr>
        <w:shd w:val="clear"/>
        <w:tabs>
          <w:tab w:val="left" w:pos="1802"/>
        </w:tabs>
        <w:spacing w:before="149"/>
        <w:ind w:left="1802" w:hanging="540"/>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不同投标人委托同一单位或者个人办理投标事宜；</w:t>
      </w:r>
    </w:p>
    <w:p>
      <w:pPr>
        <w:pStyle w:val="19"/>
        <w:numPr>
          <w:ilvl w:val="1"/>
          <w:numId w:val="51"/>
        </w:numPr>
        <w:shd w:val="clear"/>
        <w:tabs>
          <w:tab w:val="left" w:pos="1802"/>
        </w:tabs>
        <w:spacing w:before="149"/>
        <w:ind w:left="1802" w:hanging="540"/>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不同投标人的投标文件载明的项目管理成员或者联系人员为同一人；</w:t>
      </w:r>
    </w:p>
    <w:p>
      <w:pPr>
        <w:pStyle w:val="19"/>
        <w:numPr>
          <w:ilvl w:val="1"/>
          <w:numId w:val="51"/>
        </w:numPr>
        <w:shd w:val="clear"/>
        <w:tabs>
          <w:tab w:val="left" w:pos="1802"/>
        </w:tabs>
        <w:spacing w:before="146"/>
        <w:ind w:left="1802" w:hanging="540"/>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不同投标人的投标文件异常一致或者投标报价呈规律性差异；</w:t>
      </w:r>
    </w:p>
    <w:p>
      <w:pPr>
        <w:pStyle w:val="19"/>
        <w:numPr>
          <w:ilvl w:val="1"/>
          <w:numId w:val="51"/>
        </w:numPr>
        <w:shd w:val="clear"/>
        <w:tabs>
          <w:tab w:val="left" w:pos="1802"/>
        </w:tabs>
        <w:spacing w:before="149"/>
        <w:ind w:left="1802" w:hanging="540"/>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不同投标人的投标文件相互混装；</w:t>
      </w:r>
    </w:p>
    <w:p>
      <w:pPr>
        <w:pStyle w:val="19"/>
        <w:numPr>
          <w:ilvl w:val="1"/>
          <w:numId w:val="51"/>
        </w:numPr>
        <w:shd w:val="clear"/>
        <w:tabs>
          <w:tab w:val="left" w:pos="1802"/>
        </w:tabs>
        <w:spacing w:before="149"/>
        <w:ind w:left="1802" w:hanging="540"/>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不同投标人的投标保证金从同一单位或者个人的账户转出；</w:t>
      </w:r>
    </w:p>
    <w:p>
      <w:pPr>
        <w:pStyle w:val="19"/>
        <w:numPr>
          <w:ilvl w:val="1"/>
          <w:numId w:val="51"/>
        </w:numPr>
        <w:shd w:val="clear"/>
        <w:tabs>
          <w:tab w:val="left" w:pos="1802"/>
        </w:tabs>
        <w:spacing w:before="146" w:line="355" w:lineRule="auto"/>
        <w:ind w:right="861" w:firstLine="482"/>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不同投标人使用同一电脑（</w:t>
      </w:r>
      <w:r>
        <w:rPr>
          <w:color w:val="000000" w:themeColor="text1"/>
          <w:spacing w:val="-7"/>
          <w:sz w:val="24"/>
          <w:highlight w:val="none"/>
          <w14:textFill>
            <w14:solidFill>
              <w14:schemeClr w14:val="tx1"/>
            </w14:solidFill>
          </w14:textFill>
        </w:rPr>
        <w:t xml:space="preserve">机器特征值一致：如 </w:t>
      </w:r>
      <w:r>
        <w:rPr>
          <w:color w:val="000000" w:themeColor="text1"/>
          <w:spacing w:val="-2"/>
          <w:sz w:val="24"/>
          <w:highlight w:val="none"/>
          <w14:textFill>
            <w14:solidFill>
              <w14:schemeClr w14:val="tx1"/>
            </w14:solidFill>
          </w14:textFill>
        </w:rPr>
        <w:t>MAC</w:t>
      </w:r>
      <w:r>
        <w:rPr>
          <w:color w:val="000000" w:themeColor="text1"/>
          <w:spacing w:val="-14"/>
          <w:sz w:val="24"/>
          <w:highlight w:val="none"/>
          <w14:textFill>
            <w14:solidFill>
              <w14:schemeClr w14:val="tx1"/>
            </w14:solidFill>
          </w14:textFill>
        </w:rPr>
        <w:t xml:space="preserve"> 地址等</w:t>
      </w:r>
      <w:r>
        <w:rPr>
          <w:color w:val="000000" w:themeColor="text1"/>
          <w:spacing w:val="-2"/>
          <w:sz w:val="24"/>
          <w:highlight w:val="none"/>
          <w14:textFill>
            <w14:solidFill>
              <w14:schemeClr w14:val="tx1"/>
            </w14:solidFill>
          </w14:textFill>
        </w:rPr>
        <w:t>）或使用同一电子密钥，编制或上传电子投标文件；</w:t>
      </w:r>
    </w:p>
    <w:p>
      <w:pPr>
        <w:pStyle w:val="19"/>
        <w:numPr>
          <w:ilvl w:val="1"/>
          <w:numId w:val="51"/>
        </w:numPr>
        <w:shd w:val="clear"/>
        <w:tabs>
          <w:tab w:val="left" w:pos="1802"/>
        </w:tabs>
        <w:spacing w:line="310" w:lineRule="exact"/>
        <w:ind w:left="1802" w:hanging="540"/>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法律、法规、规章规定属于投标人串通投标的其他情形。</w:t>
      </w:r>
    </w:p>
    <w:p>
      <w:pPr>
        <w:shd w:val="clear"/>
        <w:spacing w:line="310" w:lineRule="exact"/>
        <w:rPr>
          <w:color w:val="000000" w:themeColor="text1"/>
          <w:sz w:val="24"/>
          <w:highlight w:val="none"/>
          <w14:textFill>
            <w14:solidFill>
              <w14:schemeClr w14:val="tx1"/>
            </w14:solidFill>
          </w14:textFill>
        </w:rPr>
        <w:sectPr>
          <w:pgSz w:w="11910" w:h="16840"/>
          <w:pgMar w:top="1380" w:right="1020" w:bottom="1180" w:left="1020" w:header="878" w:footer="989" w:gutter="0"/>
          <w:cols w:space="720" w:num="1"/>
        </w:sectPr>
      </w:pPr>
    </w:p>
    <w:p>
      <w:pPr>
        <w:pStyle w:val="19"/>
        <w:numPr>
          <w:ilvl w:val="0"/>
          <w:numId w:val="51"/>
        </w:numPr>
        <w:shd w:val="clear"/>
        <w:tabs>
          <w:tab w:val="left" w:pos="1622"/>
        </w:tabs>
        <w:spacing w:before="181" w:line="355" w:lineRule="auto"/>
        <w:ind w:right="801" w:firstLine="482"/>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根据《中华人民共和国政府采购法》第三十六条之规定，在招标采购过程中，出现下列情形之一的，应予</w:t>
      </w:r>
      <w:r>
        <w:rPr>
          <w:b/>
          <w:color w:val="000000" w:themeColor="text1"/>
          <w:spacing w:val="-2"/>
          <w:sz w:val="24"/>
          <w:highlight w:val="none"/>
          <w14:textFill>
            <w14:solidFill>
              <w14:schemeClr w14:val="tx1"/>
            </w14:solidFill>
          </w14:textFill>
        </w:rPr>
        <w:t>废标</w:t>
      </w:r>
      <w:r>
        <w:rPr>
          <w:color w:val="000000" w:themeColor="text1"/>
          <w:spacing w:val="-2"/>
          <w:sz w:val="24"/>
          <w:highlight w:val="none"/>
          <w14:textFill>
            <w14:solidFill>
              <w14:schemeClr w14:val="tx1"/>
            </w14:solidFill>
          </w14:textFill>
        </w:rPr>
        <w:t>：</w:t>
      </w:r>
    </w:p>
    <w:p>
      <w:pPr>
        <w:pStyle w:val="19"/>
        <w:numPr>
          <w:ilvl w:val="1"/>
          <w:numId w:val="51"/>
        </w:numPr>
        <w:shd w:val="clear"/>
        <w:tabs>
          <w:tab w:val="left" w:pos="1802"/>
        </w:tabs>
        <w:spacing w:line="310" w:lineRule="exact"/>
        <w:ind w:left="1802" w:hanging="540"/>
        <w:rPr>
          <w:color w:val="000000" w:themeColor="text1"/>
          <w:sz w:val="24"/>
          <w:highlight w:val="none"/>
          <w14:textFill>
            <w14:solidFill>
              <w14:schemeClr w14:val="tx1"/>
            </w14:solidFill>
          </w14:textFill>
        </w:rPr>
      </w:pPr>
      <w:r>
        <w:rPr>
          <w:color w:val="000000" w:themeColor="text1"/>
          <w:spacing w:val="-14"/>
          <w:sz w:val="24"/>
          <w:highlight w:val="none"/>
          <w14:textFill>
            <w14:solidFill>
              <w14:schemeClr w14:val="tx1"/>
            </w14:solidFill>
          </w14:textFill>
        </w:rPr>
        <w:t xml:space="preserve">符合专业条件的供应商或者对招标文件作实质响应的供应商不足 </w:t>
      </w:r>
      <w:r>
        <w:rPr>
          <w:color w:val="000000" w:themeColor="text1"/>
          <w:spacing w:val="-12"/>
          <w:sz w:val="24"/>
          <w:highlight w:val="none"/>
          <w14:textFill>
            <w14:solidFill>
              <w14:schemeClr w14:val="tx1"/>
            </w14:solidFill>
          </w14:textFill>
        </w:rPr>
        <w:t>3</w:t>
      </w:r>
      <w:r>
        <w:rPr>
          <w:color w:val="000000" w:themeColor="text1"/>
          <w:spacing w:val="-24"/>
          <w:sz w:val="24"/>
          <w:highlight w:val="none"/>
          <w14:textFill>
            <w14:solidFill>
              <w14:schemeClr w14:val="tx1"/>
            </w14:solidFill>
          </w14:textFill>
        </w:rPr>
        <w:t xml:space="preserve"> 家的；</w:t>
      </w:r>
    </w:p>
    <w:p>
      <w:pPr>
        <w:pStyle w:val="19"/>
        <w:numPr>
          <w:ilvl w:val="1"/>
          <w:numId w:val="51"/>
        </w:numPr>
        <w:shd w:val="clear"/>
        <w:tabs>
          <w:tab w:val="left" w:pos="1802"/>
        </w:tabs>
        <w:spacing w:before="146"/>
        <w:ind w:left="1802" w:hanging="540"/>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出现影响采购公正的违法、违规行为的；</w:t>
      </w:r>
    </w:p>
    <w:p>
      <w:pPr>
        <w:pStyle w:val="19"/>
        <w:numPr>
          <w:ilvl w:val="1"/>
          <w:numId w:val="51"/>
        </w:numPr>
        <w:shd w:val="clear"/>
        <w:tabs>
          <w:tab w:val="left" w:pos="1802"/>
        </w:tabs>
        <w:spacing w:before="149"/>
        <w:ind w:left="1802" w:hanging="540"/>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投标人的报价均超过了采购预算，采购人不能支付的；</w:t>
      </w:r>
    </w:p>
    <w:p>
      <w:pPr>
        <w:pStyle w:val="19"/>
        <w:numPr>
          <w:ilvl w:val="1"/>
          <w:numId w:val="51"/>
        </w:numPr>
        <w:shd w:val="clear"/>
        <w:tabs>
          <w:tab w:val="left" w:pos="1802"/>
        </w:tabs>
        <w:spacing w:before="149"/>
        <w:ind w:left="1802" w:hanging="540"/>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因重大变故，采购任务取消的；</w:t>
      </w:r>
    </w:p>
    <w:p>
      <w:pPr>
        <w:pStyle w:val="19"/>
        <w:numPr>
          <w:ilvl w:val="1"/>
          <w:numId w:val="51"/>
        </w:numPr>
        <w:shd w:val="clear"/>
        <w:tabs>
          <w:tab w:val="left" w:pos="1802"/>
        </w:tabs>
        <w:spacing w:before="146"/>
        <w:ind w:left="1802" w:hanging="540"/>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法律、法规、规章规定属于废标的其他情形。</w:t>
      </w:r>
    </w:p>
    <w:p>
      <w:pPr>
        <w:pStyle w:val="19"/>
        <w:numPr>
          <w:ilvl w:val="0"/>
          <w:numId w:val="51"/>
        </w:numPr>
        <w:shd w:val="clear"/>
        <w:tabs>
          <w:tab w:val="left" w:pos="1622"/>
        </w:tabs>
        <w:spacing w:before="149"/>
        <w:ind w:left="1622" w:hanging="360"/>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废标后，采购人应当将废标理由通知所有投标人。</w:t>
      </w:r>
    </w:p>
    <w:p>
      <w:pPr>
        <w:pStyle w:val="7"/>
        <w:shd w:val="clear"/>
        <w:spacing w:before="161"/>
        <w:rPr>
          <w:color w:val="000000" w:themeColor="text1"/>
          <w:highlight w:val="none"/>
          <w14:textFill>
            <w14:solidFill>
              <w14:schemeClr w14:val="tx1"/>
            </w14:solidFill>
          </w14:textFill>
        </w:rPr>
      </w:pPr>
      <w:bookmarkStart w:id="107" w:name="（九）停止评标的情形"/>
      <w:bookmarkEnd w:id="107"/>
      <w:r>
        <w:rPr>
          <w:color w:val="000000" w:themeColor="text1"/>
          <w:spacing w:val="-2"/>
          <w:highlight w:val="none"/>
          <w14:textFill>
            <w14:solidFill>
              <w14:schemeClr w14:val="tx1"/>
            </w14:solidFill>
          </w14:textFill>
        </w:rPr>
        <w:t>（九）</w:t>
      </w:r>
      <w:r>
        <w:rPr>
          <w:color w:val="000000" w:themeColor="text1"/>
          <w:spacing w:val="-4"/>
          <w:highlight w:val="none"/>
          <w14:textFill>
            <w14:solidFill>
              <w14:schemeClr w14:val="tx1"/>
            </w14:solidFill>
          </w14:textFill>
        </w:rPr>
        <w:t>停止评标的情形</w:t>
      </w:r>
    </w:p>
    <w:p>
      <w:pPr>
        <w:pStyle w:val="19"/>
        <w:numPr>
          <w:ilvl w:val="0"/>
          <w:numId w:val="51"/>
        </w:numPr>
        <w:shd w:val="clear"/>
        <w:tabs>
          <w:tab w:val="left" w:pos="1620"/>
        </w:tabs>
        <w:spacing w:before="216" w:line="360" w:lineRule="auto"/>
        <w:ind w:right="777" w:firstLine="480"/>
        <w:jc w:val="both"/>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评标委员会发现招标文件存在歧义、重大缺陷导致评标工作无法进行，</w:t>
      </w:r>
      <w:r>
        <w:rPr>
          <w:color w:val="000000" w:themeColor="text1"/>
          <w:spacing w:val="-4"/>
          <w:sz w:val="24"/>
          <w:highlight w:val="none"/>
          <w14:textFill>
            <w14:solidFill>
              <w14:schemeClr w14:val="tx1"/>
            </w14:solidFill>
          </w14:textFill>
        </w:rPr>
        <w:t>或者招标文件内容违反国家有关强制性规定的，应当停止评标工作，与采购人或者采购代理机构沟通并作书面记录。采购人或者采购代理机构确认后，应当修改</w:t>
      </w:r>
      <w:r>
        <w:rPr>
          <w:color w:val="000000" w:themeColor="text1"/>
          <w:spacing w:val="-2"/>
          <w:sz w:val="24"/>
          <w:highlight w:val="none"/>
          <w14:textFill>
            <w14:solidFill>
              <w14:schemeClr w14:val="tx1"/>
            </w14:solidFill>
          </w14:textFill>
        </w:rPr>
        <w:t>招标文件，重新组织采购活动。</w:t>
      </w:r>
    </w:p>
    <w:p>
      <w:pPr>
        <w:pStyle w:val="7"/>
        <w:shd w:val="clear"/>
        <w:spacing w:before="60"/>
        <w:rPr>
          <w:color w:val="000000" w:themeColor="text1"/>
          <w:highlight w:val="none"/>
          <w14:textFill>
            <w14:solidFill>
              <w14:schemeClr w14:val="tx1"/>
            </w14:solidFill>
          </w14:textFill>
        </w:rPr>
      </w:pPr>
      <w:bookmarkStart w:id="108" w:name="（十）重新开展采购"/>
      <w:bookmarkEnd w:id="108"/>
      <w:r>
        <w:rPr>
          <w:color w:val="000000" w:themeColor="text1"/>
          <w:spacing w:val="-2"/>
          <w:highlight w:val="none"/>
          <w14:textFill>
            <w14:solidFill>
              <w14:schemeClr w14:val="tx1"/>
            </w14:solidFill>
          </w14:textFill>
        </w:rPr>
        <w:t>（十）</w:t>
      </w:r>
      <w:r>
        <w:rPr>
          <w:color w:val="000000" w:themeColor="text1"/>
          <w:spacing w:val="-4"/>
          <w:highlight w:val="none"/>
          <w14:textFill>
            <w14:solidFill>
              <w14:schemeClr w14:val="tx1"/>
            </w14:solidFill>
          </w14:textFill>
        </w:rPr>
        <w:t>重新开展采购</w:t>
      </w:r>
    </w:p>
    <w:p>
      <w:pPr>
        <w:pStyle w:val="19"/>
        <w:numPr>
          <w:ilvl w:val="0"/>
          <w:numId w:val="51"/>
        </w:numPr>
        <w:shd w:val="clear"/>
        <w:tabs>
          <w:tab w:val="left" w:pos="1622"/>
        </w:tabs>
        <w:spacing w:before="264" w:line="352" w:lineRule="auto"/>
        <w:ind w:right="801" w:firstLine="482"/>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有《中华人民共和国政府采购法》第七十一条、第七十二条规定的违法行为之一，影响或者可能影响中标结果的，依照下列规定处理：</w:t>
      </w:r>
    </w:p>
    <w:p>
      <w:pPr>
        <w:pStyle w:val="19"/>
        <w:numPr>
          <w:ilvl w:val="1"/>
          <w:numId w:val="51"/>
        </w:numPr>
        <w:shd w:val="clear"/>
        <w:tabs>
          <w:tab w:val="left" w:pos="1802"/>
        </w:tabs>
        <w:spacing w:before="2"/>
        <w:ind w:left="1802" w:hanging="540"/>
        <w:rPr>
          <w:color w:val="000000" w:themeColor="text1"/>
          <w:sz w:val="24"/>
          <w:highlight w:val="none"/>
          <w14:textFill>
            <w14:solidFill>
              <w14:schemeClr w14:val="tx1"/>
            </w14:solidFill>
          </w14:textFill>
        </w:rPr>
      </w:pPr>
      <w:r>
        <w:rPr>
          <w:color w:val="000000" w:themeColor="text1"/>
          <w:spacing w:val="-12"/>
          <w:sz w:val="24"/>
          <w:highlight w:val="none"/>
          <w14:textFill>
            <w14:solidFill>
              <w14:schemeClr w14:val="tx1"/>
            </w14:solidFill>
          </w14:textFill>
        </w:rPr>
        <w:t>未确定中标供应商的，终止本次政府采购活动，重新开展政府采购活动。</w:t>
      </w:r>
    </w:p>
    <w:p>
      <w:pPr>
        <w:pStyle w:val="19"/>
        <w:numPr>
          <w:ilvl w:val="1"/>
          <w:numId w:val="51"/>
        </w:numPr>
        <w:shd w:val="clear"/>
        <w:tabs>
          <w:tab w:val="left" w:pos="1802"/>
        </w:tabs>
        <w:spacing w:before="148" w:line="352" w:lineRule="auto"/>
        <w:ind w:right="777" w:firstLine="482"/>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已确定中标供应商但尚未签订政府采购合同的，中标结果无效，从合</w:t>
      </w:r>
      <w:r>
        <w:rPr>
          <w:color w:val="000000" w:themeColor="text1"/>
          <w:spacing w:val="-4"/>
          <w:sz w:val="24"/>
          <w:highlight w:val="none"/>
          <w14:textFill>
            <w14:solidFill>
              <w14:schemeClr w14:val="tx1"/>
            </w14:solidFill>
          </w14:textFill>
        </w:rPr>
        <w:t>格的中标候选人中另行确定中标供应商；没有合格的中标候选人的，重新开展政</w:t>
      </w:r>
      <w:r>
        <w:rPr>
          <w:color w:val="000000" w:themeColor="text1"/>
          <w:spacing w:val="-2"/>
          <w:sz w:val="24"/>
          <w:highlight w:val="none"/>
          <w14:textFill>
            <w14:solidFill>
              <w14:schemeClr w14:val="tx1"/>
            </w14:solidFill>
          </w14:textFill>
        </w:rPr>
        <w:t>府采购活动。</w:t>
      </w:r>
    </w:p>
    <w:p>
      <w:pPr>
        <w:pStyle w:val="19"/>
        <w:numPr>
          <w:ilvl w:val="1"/>
          <w:numId w:val="51"/>
        </w:numPr>
        <w:shd w:val="clear"/>
        <w:tabs>
          <w:tab w:val="left" w:pos="1802"/>
        </w:tabs>
        <w:spacing w:before="4" w:line="352" w:lineRule="auto"/>
        <w:ind w:right="861" w:firstLine="482"/>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政府采购合同已签订但尚未履行的，撤销合同，从合格的中标候选人中另行确定中标供应商；没有合格的中标候选人的，重新开展政府采购活动。</w:t>
      </w:r>
    </w:p>
    <w:p>
      <w:pPr>
        <w:pStyle w:val="19"/>
        <w:numPr>
          <w:ilvl w:val="1"/>
          <w:numId w:val="51"/>
        </w:numPr>
        <w:shd w:val="clear"/>
        <w:tabs>
          <w:tab w:val="left" w:pos="1802"/>
        </w:tabs>
        <w:spacing w:before="2" w:line="355" w:lineRule="auto"/>
        <w:ind w:right="861" w:firstLine="482"/>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政府采购合同已经履行，给采购人、供应商造成损失的，由责任人承担赔偿责任。</w:t>
      </w:r>
    </w:p>
    <w:p>
      <w:pPr>
        <w:pStyle w:val="19"/>
        <w:numPr>
          <w:ilvl w:val="1"/>
          <w:numId w:val="51"/>
        </w:numPr>
        <w:shd w:val="clear"/>
        <w:tabs>
          <w:tab w:val="left" w:pos="1802"/>
        </w:tabs>
        <w:spacing w:line="355" w:lineRule="auto"/>
        <w:ind w:right="657" w:firstLine="482"/>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政府采购当事人有其他违反《中华人民共和国政府采购法》或者《中华人民共和国政府采购法实施条例》等法律法规规定的行为，经改正后仍然影响或</w:t>
      </w:r>
      <w:r>
        <w:rPr>
          <w:color w:val="000000" w:themeColor="text1"/>
          <w:spacing w:val="-9"/>
          <w:sz w:val="24"/>
          <w:highlight w:val="none"/>
          <w14:textFill>
            <w14:solidFill>
              <w14:schemeClr w14:val="tx1"/>
            </w14:solidFill>
          </w14:textFill>
        </w:rPr>
        <w:t xml:space="preserve">者可能影响中标结果或者依法被认定为中标无效的，依照 </w:t>
      </w:r>
      <w:r>
        <w:rPr>
          <w:color w:val="000000" w:themeColor="text1"/>
          <w:spacing w:val="-2"/>
          <w:sz w:val="24"/>
          <w:highlight w:val="none"/>
          <w14:textFill>
            <w14:solidFill>
              <w14:schemeClr w14:val="tx1"/>
            </w14:solidFill>
          </w14:textFill>
        </w:rPr>
        <w:t>24.1—24.4</w:t>
      </w:r>
      <w:r>
        <w:rPr>
          <w:color w:val="000000" w:themeColor="text1"/>
          <w:spacing w:val="-9"/>
          <w:sz w:val="24"/>
          <w:highlight w:val="none"/>
          <w14:textFill>
            <w14:solidFill>
              <w14:schemeClr w14:val="tx1"/>
            </w14:solidFill>
          </w14:textFill>
        </w:rPr>
        <w:t xml:space="preserve"> 规定处理。</w:t>
      </w:r>
    </w:p>
    <w:p>
      <w:pPr>
        <w:pStyle w:val="6"/>
        <w:shd w:val="clear"/>
        <w:spacing w:before="94"/>
        <w:rPr>
          <w:color w:val="000000" w:themeColor="text1"/>
          <w:highlight w:val="none"/>
          <w14:textFill>
            <w14:solidFill>
              <w14:schemeClr w14:val="tx1"/>
            </w14:solidFill>
          </w14:textFill>
        </w:rPr>
      </w:pPr>
      <w:bookmarkStart w:id="109" w:name="_bookmark21"/>
      <w:bookmarkEnd w:id="109"/>
      <w:r>
        <w:rPr>
          <w:color w:val="000000" w:themeColor="text1"/>
          <w:spacing w:val="-5"/>
          <w:highlight w:val="none"/>
          <w14:textFill>
            <w14:solidFill>
              <w14:schemeClr w14:val="tx1"/>
            </w14:solidFill>
          </w14:textFill>
        </w:rPr>
        <w:t>三、评标其他要求</w:t>
      </w:r>
    </w:p>
    <w:p>
      <w:pPr>
        <w:pStyle w:val="10"/>
        <w:shd w:val="clear"/>
        <w:spacing w:before="310"/>
        <w:ind w:left="1260"/>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【可根据项目的情况增加上述内容中未包含的要求】</w:t>
      </w:r>
    </w:p>
    <w:p>
      <w:pPr>
        <w:shd w:val="clear"/>
        <w:rPr>
          <w:color w:val="000000" w:themeColor="text1"/>
          <w:highlight w:val="none"/>
          <w14:textFill>
            <w14:solidFill>
              <w14:schemeClr w14:val="tx1"/>
            </w14:solidFill>
          </w14:textFill>
        </w:rPr>
        <w:sectPr>
          <w:pgSz w:w="11910" w:h="16840"/>
          <w:pgMar w:top="1380" w:right="1020" w:bottom="1180" w:left="1020" w:header="878" w:footer="989" w:gutter="0"/>
          <w:cols w:space="720" w:num="1"/>
        </w:sectPr>
      </w:pPr>
    </w:p>
    <w:p>
      <w:pPr>
        <w:pStyle w:val="6"/>
        <w:shd w:val="clear"/>
        <w:spacing w:before="185"/>
        <w:rPr>
          <w:color w:val="000000" w:themeColor="text1"/>
          <w:highlight w:val="none"/>
          <w14:textFill>
            <w14:solidFill>
              <w14:schemeClr w14:val="tx1"/>
            </w14:solidFill>
          </w14:textFill>
        </w:rPr>
      </w:pPr>
      <w:bookmarkStart w:id="110" w:name="_bookmark22"/>
      <w:bookmarkEnd w:id="110"/>
      <w:r>
        <w:rPr>
          <w:color w:val="000000" w:themeColor="text1"/>
          <w:spacing w:val="-5"/>
          <w:highlight w:val="none"/>
          <w14:textFill>
            <w14:solidFill>
              <w14:schemeClr w14:val="tx1"/>
            </w14:solidFill>
          </w14:textFill>
        </w:rPr>
        <w:t>四、评标标准</w:t>
      </w:r>
    </w:p>
    <w:p>
      <w:pPr>
        <w:shd w:val="clear"/>
        <w:spacing w:before="308"/>
        <w:ind w:left="780"/>
        <w:rPr>
          <w:b/>
          <w:color w:val="000000" w:themeColor="text1"/>
          <w:sz w:val="24"/>
          <w:highlight w:val="none"/>
          <w14:textFill>
            <w14:solidFill>
              <w14:schemeClr w14:val="tx1"/>
            </w14:solidFill>
          </w14:textFill>
        </w:rPr>
      </w:pPr>
      <w:r>
        <w:rPr>
          <w:b/>
          <w:color w:val="000000" w:themeColor="text1"/>
          <w:spacing w:val="-2"/>
          <w:sz w:val="24"/>
          <w:highlight w:val="none"/>
          <w14:textFill>
            <w14:solidFill>
              <w14:schemeClr w14:val="tx1"/>
            </w14:solidFill>
          </w14:textFill>
        </w:rPr>
        <w:t>（一）</w:t>
      </w:r>
      <w:r>
        <w:rPr>
          <w:b/>
          <w:color w:val="000000" w:themeColor="text1"/>
          <w:spacing w:val="-4"/>
          <w:sz w:val="24"/>
          <w:highlight w:val="none"/>
          <w14:textFill>
            <w14:solidFill>
              <w14:schemeClr w14:val="tx1"/>
            </w14:solidFill>
          </w14:textFill>
        </w:rPr>
        <w:t>符合性审查表</w:t>
      </w:r>
    </w:p>
    <w:p>
      <w:pPr>
        <w:pStyle w:val="10"/>
        <w:shd w:val="clear"/>
        <w:spacing w:before="10"/>
        <w:ind w:left="0"/>
        <w:rPr>
          <w:b/>
          <w:color w:val="000000" w:themeColor="text1"/>
          <w:sz w:val="10"/>
          <w:highlight w:val="none"/>
          <w14:textFill>
            <w14:solidFill>
              <w14:schemeClr w14:val="tx1"/>
            </w14:solidFill>
          </w14:textFill>
        </w:rPr>
      </w:pPr>
    </w:p>
    <w:tbl>
      <w:tblPr>
        <w:tblStyle w:val="14"/>
        <w:tblW w:w="0" w:type="auto"/>
        <w:tblInd w:w="3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2"/>
        <w:gridCol w:w="1302"/>
        <w:gridCol w:w="5477"/>
        <w:gridCol w:w="866"/>
        <w:gridCol w:w="10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512" w:type="dxa"/>
            <w:vMerge w:val="restart"/>
            <w:shd w:val="clear" w:color="auto" w:fill="D7D7D7"/>
          </w:tcPr>
          <w:p>
            <w:pPr>
              <w:pStyle w:val="20"/>
              <w:keepNext w:val="0"/>
              <w:keepLines w:val="0"/>
              <w:suppressLineNumbers w:val="0"/>
              <w:shd w:val="clear"/>
              <w:spacing w:before="193" w:beforeAutospacing="0" w:after="0" w:afterAutospacing="0" w:line="273" w:lineRule="auto"/>
              <w:ind w:left="149" w:right="141"/>
              <w:rPr>
                <w:rFonts w:hint="default"/>
                <w:b/>
                <w:color w:val="000000" w:themeColor="text1"/>
                <w:sz w:val="21"/>
                <w:highlight w:val="none"/>
                <w14:textFill>
                  <w14:solidFill>
                    <w14:schemeClr w14:val="tx1"/>
                  </w14:solidFill>
                </w14:textFill>
              </w:rPr>
            </w:pPr>
            <w:r>
              <w:rPr>
                <w:rFonts w:hint="default"/>
                <w:b/>
                <w:color w:val="000000" w:themeColor="text1"/>
                <w:spacing w:val="-10"/>
                <w:sz w:val="21"/>
                <w:highlight w:val="none"/>
                <w14:textFill>
                  <w14:solidFill>
                    <w14:schemeClr w14:val="tx1"/>
                  </w14:solidFill>
                </w14:textFill>
              </w:rPr>
              <w:t>序号</w:t>
            </w:r>
          </w:p>
        </w:tc>
        <w:tc>
          <w:tcPr>
            <w:tcW w:w="1302" w:type="dxa"/>
            <w:vMerge w:val="restart"/>
            <w:shd w:val="clear" w:color="auto" w:fill="D7D7D7"/>
          </w:tcPr>
          <w:p>
            <w:pPr>
              <w:pStyle w:val="20"/>
              <w:keepNext w:val="0"/>
              <w:keepLines w:val="0"/>
              <w:suppressLineNumbers w:val="0"/>
              <w:shd w:val="clear"/>
              <w:spacing w:before="76" w:beforeAutospacing="0" w:after="0" w:afterAutospacing="0"/>
              <w:ind w:left="0" w:right="0"/>
              <w:rPr>
                <w:rFonts w:hint="default"/>
                <w:b/>
                <w:color w:val="000000" w:themeColor="text1"/>
                <w:sz w:val="21"/>
                <w:highlight w:val="none"/>
                <w14:textFill>
                  <w14:solidFill>
                    <w14:schemeClr w14:val="tx1"/>
                  </w14:solidFill>
                </w14:textFill>
              </w:rPr>
            </w:pPr>
          </w:p>
          <w:p>
            <w:pPr>
              <w:pStyle w:val="20"/>
              <w:keepNext w:val="0"/>
              <w:keepLines w:val="0"/>
              <w:suppressLineNumbers w:val="0"/>
              <w:shd w:val="clear"/>
              <w:spacing w:before="0" w:beforeAutospacing="0" w:after="0" w:afterAutospacing="0"/>
              <w:ind w:left="124" w:right="0"/>
              <w:rPr>
                <w:rFonts w:hint="default"/>
                <w:b/>
                <w:color w:val="000000" w:themeColor="text1"/>
                <w:sz w:val="21"/>
                <w:highlight w:val="none"/>
                <w14:textFill>
                  <w14:solidFill>
                    <w14:schemeClr w14:val="tx1"/>
                  </w14:solidFill>
                </w14:textFill>
              </w:rPr>
            </w:pPr>
            <w:r>
              <w:rPr>
                <w:rFonts w:hint="default"/>
                <w:b/>
                <w:color w:val="000000" w:themeColor="text1"/>
                <w:spacing w:val="-4"/>
                <w:sz w:val="21"/>
                <w:highlight w:val="none"/>
                <w14:textFill>
                  <w14:solidFill>
                    <w14:schemeClr w14:val="tx1"/>
                  </w14:solidFill>
                </w14:textFill>
              </w:rPr>
              <w:t>审查项名称</w:t>
            </w:r>
          </w:p>
        </w:tc>
        <w:tc>
          <w:tcPr>
            <w:tcW w:w="5477" w:type="dxa"/>
            <w:vMerge w:val="restart"/>
            <w:shd w:val="clear" w:color="auto" w:fill="D7D7D7"/>
          </w:tcPr>
          <w:p>
            <w:pPr>
              <w:pStyle w:val="20"/>
              <w:keepNext w:val="0"/>
              <w:keepLines w:val="0"/>
              <w:suppressLineNumbers w:val="0"/>
              <w:shd w:val="clear"/>
              <w:spacing w:before="76" w:beforeAutospacing="0" w:after="0" w:afterAutospacing="0"/>
              <w:ind w:left="0" w:right="0"/>
              <w:rPr>
                <w:rFonts w:hint="default"/>
                <w:b/>
                <w:color w:val="000000" w:themeColor="text1"/>
                <w:sz w:val="21"/>
                <w:highlight w:val="none"/>
                <w14:textFill>
                  <w14:solidFill>
                    <w14:schemeClr w14:val="tx1"/>
                  </w14:solidFill>
                </w14:textFill>
              </w:rPr>
            </w:pPr>
          </w:p>
          <w:p>
            <w:pPr>
              <w:pStyle w:val="20"/>
              <w:keepNext w:val="0"/>
              <w:keepLines w:val="0"/>
              <w:suppressLineNumbers w:val="0"/>
              <w:shd w:val="clear"/>
              <w:spacing w:before="0" w:beforeAutospacing="0" w:after="0" w:afterAutospacing="0"/>
              <w:ind w:left="9" w:right="0"/>
              <w:jc w:val="center"/>
              <w:rPr>
                <w:rFonts w:hint="default"/>
                <w:b/>
                <w:color w:val="000000" w:themeColor="text1"/>
                <w:sz w:val="21"/>
                <w:highlight w:val="none"/>
                <w14:textFill>
                  <w14:solidFill>
                    <w14:schemeClr w14:val="tx1"/>
                  </w14:solidFill>
                </w14:textFill>
              </w:rPr>
            </w:pPr>
            <w:r>
              <w:rPr>
                <w:rFonts w:hint="default"/>
                <w:b/>
                <w:color w:val="000000" w:themeColor="text1"/>
                <w:spacing w:val="-4"/>
                <w:sz w:val="21"/>
                <w:highlight w:val="none"/>
                <w14:textFill>
                  <w14:solidFill>
                    <w14:schemeClr w14:val="tx1"/>
                  </w14:solidFill>
                </w14:textFill>
              </w:rPr>
              <w:t>审查内容</w:t>
            </w:r>
          </w:p>
        </w:tc>
        <w:tc>
          <w:tcPr>
            <w:tcW w:w="1954" w:type="dxa"/>
            <w:gridSpan w:val="2"/>
            <w:shd w:val="clear" w:color="auto" w:fill="D7D7D7"/>
          </w:tcPr>
          <w:p>
            <w:pPr>
              <w:pStyle w:val="20"/>
              <w:keepNext w:val="0"/>
              <w:keepLines w:val="0"/>
              <w:suppressLineNumbers w:val="0"/>
              <w:shd w:val="clear"/>
              <w:spacing w:before="102" w:beforeAutospacing="0" w:after="0" w:afterAutospacing="0"/>
              <w:ind w:left="555" w:right="0"/>
              <w:rPr>
                <w:rFonts w:hint="default"/>
                <w:b/>
                <w:color w:val="000000" w:themeColor="text1"/>
                <w:sz w:val="21"/>
                <w:highlight w:val="none"/>
                <w14:textFill>
                  <w14:solidFill>
                    <w14:schemeClr w14:val="tx1"/>
                  </w14:solidFill>
                </w14:textFill>
              </w:rPr>
            </w:pPr>
            <w:r>
              <w:rPr>
                <w:rFonts w:hint="default"/>
                <w:b/>
                <w:color w:val="000000" w:themeColor="text1"/>
                <w:spacing w:val="-4"/>
                <w:sz w:val="21"/>
                <w:highlight w:val="none"/>
                <w14:textFill>
                  <w14:solidFill>
                    <w14:schemeClr w14:val="tx1"/>
                  </w14:solidFill>
                </w14:textFill>
              </w:rPr>
              <w:t>审查结果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512" w:type="dxa"/>
            <w:vMerge w:val="continue"/>
            <w:tcBorders>
              <w:top w:val="nil"/>
            </w:tcBorders>
            <w:shd w:val="clear" w:color="auto" w:fill="D7D7D7"/>
          </w:tcPr>
          <w:p>
            <w:pPr>
              <w:keepNext w:val="0"/>
              <w:keepLines w:val="0"/>
              <w:suppressLineNumbers w:val="0"/>
              <w:shd w:val="clear"/>
              <w:spacing w:before="0" w:beforeAutospacing="0" w:after="0" w:afterAutospacing="0"/>
              <w:ind w:left="0" w:right="0"/>
              <w:rPr>
                <w:rFonts w:hint="default"/>
                <w:color w:val="000000" w:themeColor="text1"/>
                <w:sz w:val="2"/>
                <w:szCs w:val="2"/>
                <w:highlight w:val="none"/>
                <w14:textFill>
                  <w14:solidFill>
                    <w14:schemeClr w14:val="tx1"/>
                  </w14:solidFill>
                </w14:textFill>
              </w:rPr>
            </w:pPr>
          </w:p>
        </w:tc>
        <w:tc>
          <w:tcPr>
            <w:tcW w:w="1302" w:type="dxa"/>
            <w:vMerge w:val="continue"/>
            <w:tcBorders>
              <w:top w:val="nil"/>
            </w:tcBorders>
            <w:shd w:val="clear" w:color="auto" w:fill="D7D7D7"/>
          </w:tcPr>
          <w:p>
            <w:pPr>
              <w:keepNext w:val="0"/>
              <w:keepLines w:val="0"/>
              <w:suppressLineNumbers w:val="0"/>
              <w:shd w:val="clear"/>
              <w:spacing w:before="0" w:beforeAutospacing="0" w:after="0" w:afterAutospacing="0"/>
              <w:ind w:left="0" w:right="0"/>
              <w:rPr>
                <w:rFonts w:hint="default"/>
                <w:color w:val="000000" w:themeColor="text1"/>
                <w:sz w:val="2"/>
                <w:szCs w:val="2"/>
                <w:highlight w:val="none"/>
                <w14:textFill>
                  <w14:solidFill>
                    <w14:schemeClr w14:val="tx1"/>
                  </w14:solidFill>
                </w14:textFill>
              </w:rPr>
            </w:pPr>
          </w:p>
        </w:tc>
        <w:tc>
          <w:tcPr>
            <w:tcW w:w="5477" w:type="dxa"/>
            <w:vMerge w:val="continue"/>
            <w:tcBorders>
              <w:top w:val="nil"/>
            </w:tcBorders>
            <w:shd w:val="clear" w:color="auto" w:fill="D7D7D7"/>
          </w:tcPr>
          <w:p>
            <w:pPr>
              <w:keepNext w:val="0"/>
              <w:keepLines w:val="0"/>
              <w:suppressLineNumbers w:val="0"/>
              <w:shd w:val="clear"/>
              <w:spacing w:before="0" w:beforeAutospacing="0" w:after="0" w:afterAutospacing="0"/>
              <w:ind w:left="0" w:right="0"/>
              <w:rPr>
                <w:rFonts w:hint="default"/>
                <w:color w:val="000000" w:themeColor="text1"/>
                <w:sz w:val="2"/>
                <w:szCs w:val="2"/>
                <w:highlight w:val="none"/>
                <w14:textFill>
                  <w14:solidFill>
                    <w14:schemeClr w14:val="tx1"/>
                  </w14:solidFill>
                </w14:textFill>
              </w:rPr>
            </w:pPr>
          </w:p>
        </w:tc>
        <w:tc>
          <w:tcPr>
            <w:tcW w:w="866" w:type="dxa"/>
            <w:shd w:val="clear" w:color="auto" w:fill="D7D7D7"/>
          </w:tcPr>
          <w:p>
            <w:pPr>
              <w:pStyle w:val="20"/>
              <w:keepNext w:val="0"/>
              <w:keepLines w:val="0"/>
              <w:suppressLineNumbers w:val="0"/>
              <w:shd w:val="clear"/>
              <w:spacing w:before="101" w:beforeAutospacing="0" w:after="0" w:afterAutospacing="0"/>
              <w:ind w:left="221" w:right="0"/>
              <w:rPr>
                <w:rFonts w:hint="default"/>
                <w:b/>
                <w:color w:val="000000" w:themeColor="text1"/>
                <w:sz w:val="21"/>
                <w:highlight w:val="none"/>
                <w14:textFill>
                  <w14:solidFill>
                    <w14:schemeClr w14:val="tx1"/>
                  </w14:solidFill>
                </w14:textFill>
              </w:rPr>
            </w:pPr>
            <w:r>
              <w:rPr>
                <w:rFonts w:hint="default"/>
                <w:b/>
                <w:color w:val="000000" w:themeColor="text1"/>
                <w:spacing w:val="-6"/>
                <w:sz w:val="21"/>
                <w:highlight w:val="none"/>
                <w14:textFill>
                  <w14:solidFill>
                    <w14:schemeClr w14:val="tx1"/>
                  </w14:solidFill>
                </w14:textFill>
              </w:rPr>
              <w:t>符合</w:t>
            </w:r>
          </w:p>
        </w:tc>
        <w:tc>
          <w:tcPr>
            <w:tcW w:w="1088" w:type="dxa"/>
            <w:shd w:val="clear" w:color="auto" w:fill="D7D7D7"/>
          </w:tcPr>
          <w:p>
            <w:pPr>
              <w:pStyle w:val="20"/>
              <w:keepNext w:val="0"/>
              <w:keepLines w:val="0"/>
              <w:suppressLineNumbers w:val="0"/>
              <w:shd w:val="clear"/>
              <w:spacing w:before="101" w:beforeAutospacing="0" w:after="0" w:afterAutospacing="0"/>
              <w:ind w:left="226" w:right="0"/>
              <w:rPr>
                <w:rFonts w:hint="default"/>
                <w:b/>
                <w:color w:val="000000" w:themeColor="text1"/>
                <w:sz w:val="21"/>
                <w:highlight w:val="none"/>
                <w14:textFill>
                  <w14:solidFill>
                    <w14:schemeClr w14:val="tx1"/>
                  </w14:solidFill>
                </w14:textFill>
              </w:rPr>
            </w:pPr>
            <w:r>
              <w:rPr>
                <w:rFonts w:hint="default"/>
                <w:b/>
                <w:color w:val="000000" w:themeColor="text1"/>
                <w:spacing w:val="-5"/>
                <w:sz w:val="21"/>
                <w:highlight w:val="none"/>
                <w14:textFill>
                  <w14:solidFill>
                    <w14:schemeClr w14:val="tx1"/>
                  </w14:solidFill>
                </w14:textFill>
              </w:rPr>
              <w:t>不符合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512" w:type="dxa"/>
          </w:tcPr>
          <w:p>
            <w:pPr>
              <w:pStyle w:val="20"/>
              <w:keepNext w:val="0"/>
              <w:keepLines w:val="0"/>
              <w:suppressLineNumbers w:val="0"/>
              <w:shd w:val="clear"/>
              <w:spacing w:before="270" w:beforeAutospacing="0" w:after="0" w:afterAutospacing="0"/>
              <w:ind w:left="7" w:right="0"/>
              <w:jc w:val="center"/>
              <w:rPr>
                <w:rFonts w:hint="default"/>
                <w:color w:val="000000" w:themeColor="text1"/>
                <w:sz w:val="21"/>
                <w:highlight w:val="none"/>
                <w14:textFill>
                  <w14:solidFill>
                    <w14:schemeClr w14:val="tx1"/>
                  </w14:solidFill>
                </w14:textFill>
              </w:rPr>
            </w:pPr>
            <w:r>
              <w:rPr>
                <w:rFonts w:hint="default"/>
                <w:color w:val="000000" w:themeColor="text1"/>
                <w:spacing w:val="-10"/>
                <w:sz w:val="21"/>
                <w:highlight w:val="none"/>
                <w14:textFill>
                  <w14:solidFill>
                    <w14:schemeClr w14:val="tx1"/>
                  </w14:solidFill>
                </w14:textFill>
              </w:rPr>
              <w:t>1</w:t>
            </w:r>
          </w:p>
        </w:tc>
        <w:tc>
          <w:tcPr>
            <w:tcW w:w="1302" w:type="dxa"/>
          </w:tcPr>
          <w:p>
            <w:pPr>
              <w:pStyle w:val="20"/>
              <w:keepNext w:val="0"/>
              <w:keepLines w:val="0"/>
              <w:suppressLineNumbers w:val="0"/>
              <w:shd w:val="clear"/>
              <w:spacing w:before="114" w:beforeAutospacing="0" w:after="0" w:afterAutospacing="0" w:line="273" w:lineRule="auto"/>
              <w:ind w:left="107" w:right="133"/>
              <w:rPr>
                <w:rFonts w:hint="default"/>
                <w:color w:val="000000" w:themeColor="text1"/>
                <w:sz w:val="21"/>
                <w:highlight w:val="none"/>
                <w14:textFill>
                  <w14:solidFill>
                    <w14:schemeClr w14:val="tx1"/>
                  </w14:solidFill>
                </w14:textFill>
              </w:rPr>
            </w:pPr>
            <w:r>
              <w:rPr>
                <w:rFonts w:hint="default"/>
                <w:color w:val="000000" w:themeColor="text1"/>
                <w:spacing w:val="-2"/>
                <w:sz w:val="21"/>
                <w:highlight w:val="none"/>
                <w14:textFill>
                  <w14:solidFill>
                    <w14:schemeClr w14:val="tx1"/>
                  </w14:solidFill>
                </w14:textFill>
              </w:rPr>
              <w:t>投标文件签</w:t>
            </w:r>
            <w:r>
              <w:rPr>
                <w:rFonts w:hint="default"/>
                <w:color w:val="000000" w:themeColor="text1"/>
                <w:spacing w:val="-10"/>
                <w:sz w:val="21"/>
                <w:highlight w:val="none"/>
                <w14:textFill>
                  <w14:solidFill>
                    <w14:schemeClr w14:val="tx1"/>
                  </w14:solidFill>
                </w14:textFill>
              </w:rPr>
              <w:t>署</w:t>
            </w:r>
          </w:p>
        </w:tc>
        <w:tc>
          <w:tcPr>
            <w:tcW w:w="5477" w:type="dxa"/>
          </w:tcPr>
          <w:p>
            <w:pPr>
              <w:pStyle w:val="20"/>
              <w:keepNext w:val="0"/>
              <w:keepLines w:val="0"/>
              <w:suppressLineNumbers w:val="0"/>
              <w:shd w:val="clear"/>
              <w:spacing w:before="270" w:beforeAutospacing="0" w:after="0" w:afterAutospacing="0"/>
              <w:ind w:left="106" w:right="0"/>
              <w:rPr>
                <w:rFonts w:hint="default"/>
                <w:color w:val="000000" w:themeColor="text1"/>
                <w:sz w:val="21"/>
                <w:highlight w:val="none"/>
                <w14:textFill>
                  <w14:solidFill>
                    <w14:schemeClr w14:val="tx1"/>
                  </w14:solidFill>
                </w14:textFill>
              </w:rPr>
            </w:pPr>
            <w:r>
              <w:rPr>
                <w:rFonts w:hint="default"/>
                <w:color w:val="000000" w:themeColor="text1"/>
                <w:spacing w:val="-3"/>
                <w:sz w:val="21"/>
                <w:highlight w:val="none"/>
                <w14:textFill>
                  <w14:solidFill>
                    <w14:schemeClr w14:val="tx1"/>
                  </w14:solidFill>
                </w14:textFill>
              </w:rPr>
              <w:t>投标文件按招标文件要求签署、盖章的</w:t>
            </w:r>
          </w:p>
        </w:tc>
        <w:tc>
          <w:tcPr>
            <w:tcW w:w="866"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088"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12" w:type="dxa"/>
          </w:tcPr>
          <w:p>
            <w:pPr>
              <w:pStyle w:val="20"/>
              <w:keepNext w:val="0"/>
              <w:keepLines w:val="0"/>
              <w:suppressLineNumbers w:val="0"/>
              <w:shd w:val="clear"/>
              <w:spacing w:before="55" w:beforeAutospacing="0" w:after="0" w:afterAutospacing="0"/>
              <w:ind w:left="0" w:right="0"/>
              <w:rPr>
                <w:rFonts w:hint="default"/>
                <w:b/>
                <w:color w:val="000000" w:themeColor="text1"/>
                <w:sz w:val="21"/>
                <w:highlight w:val="none"/>
                <w14:textFill>
                  <w14:solidFill>
                    <w14:schemeClr w14:val="tx1"/>
                  </w14:solidFill>
                </w14:textFill>
              </w:rPr>
            </w:pPr>
          </w:p>
          <w:p>
            <w:pPr>
              <w:pStyle w:val="20"/>
              <w:keepNext w:val="0"/>
              <w:keepLines w:val="0"/>
              <w:suppressLineNumbers w:val="0"/>
              <w:shd w:val="clear"/>
              <w:spacing w:before="0" w:beforeAutospacing="0" w:after="0" w:afterAutospacing="0"/>
              <w:ind w:left="7" w:right="0"/>
              <w:jc w:val="center"/>
              <w:rPr>
                <w:rFonts w:hint="default"/>
                <w:color w:val="000000" w:themeColor="text1"/>
                <w:sz w:val="21"/>
                <w:highlight w:val="none"/>
                <w14:textFill>
                  <w14:solidFill>
                    <w14:schemeClr w14:val="tx1"/>
                  </w14:solidFill>
                </w14:textFill>
              </w:rPr>
            </w:pPr>
            <w:r>
              <w:rPr>
                <w:rFonts w:hint="default"/>
                <w:color w:val="000000" w:themeColor="text1"/>
                <w:spacing w:val="-10"/>
                <w:sz w:val="21"/>
                <w:highlight w:val="none"/>
                <w14:textFill>
                  <w14:solidFill>
                    <w14:schemeClr w14:val="tx1"/>
                  </w14:solidFill>
                </w14:textFill>
              </w:rPr>
              <w:t>2</w:t>
            </w:r>
          </w:p>
        </w:tc>
        <w:tc>
          <w:tcPr>
            <w:tcW w:w="1302" w:type="dxa"/>
          </w:tcPr>
          <w:p>
            <w:pPr>
              <w:pStyle w:val="20"/>
              <w:keepNext w:val="0"/>
              <w:keepLines w:val="0"/>
              <w:suppressLineNumbers w:val="0"/>
              <w:shd w:val="clear"/>
              <w:spacing w:before="55" w:beforeAutospacing="0" w:after="0" w:afterAutospacing="0"/>
              <w:ind w:left="0" w:right="0"/>
              <w:rPr>
                <w:rFonts w:hint="default"/>
                <w:b/>
                <w:color w:val="000000" w:themeColor="text1"/>
                <w:sz w:val="21"/>
                <w:highlight w:val="none"/>
                <w14:textFill>
                  <w14:solidFill>
                    <w14:schemeClr w14:val="tx1"/>
                  </w14:solidFill>
                </w14:textFill>
              </w:rPr>
            </w:pPr>
          </w:p>
          <w:p>
            <w:pPr>
              <w:pStyle w:val="20"/>
              <w:keepNext w:val="0"/>
              <w:keepLines w:val="0"/>
              <w:suppressLineNumbers w:val="0"/>
              <w:shd w:val="clear"/>
              <w:spacing w:before="0" w:beforeAutospacing="0" w:after="0" w:afterAutospacing="0"/>
              <w:ind w:left="107" w:right="0"/>
              <w:rPr>
                <w:rFonts w:hint="default"/>
                <w:color w:val="000000" w:themeColor="text1"/>
                <w:sz w:val="21"/>
                <w:highlight w:val="none"/>
                <w14:textFill>
                  <w14:solidFill>
                    <w14:schemeClr w14:val="tx1"/>
                  </w14:solidFill>
                </w14:textFill>
              </w:rPr>
            </w:pPr>
            <w:r>
              <w:rPr>
                <w:rFonts w:hint="default"/>
                <w:color w:val="000000" w:themeColor="text1"/>
                <w:spacing w:val="-4"/>
                <w:sz w:val="21"/>
                <w:highlight w:val="none"/>
                <w14:textFill>
                  <w14:solidFill>
                    <w14:schemeClr w14:val="tx1"/>
                  </w14:solidFill>
                </w14:textFill>
              </w:rPr>
              <w:t>实质性要求</w:t>
            </w:r>
          </w:p>
        </w:tc>
        <w:tc>
          <w:tcPr>
            <w:tcW w:w="5477" w:type="dxa"/>
          </w:tcPr>
          <w:p>
            <w:pPr>
              <w:pStyle w:val="20"/>
              <w:keepNext w:val="0"/>
              <w:keepLines w:val="0"/>
              <w:suppressLineNumbers w:val="0"/>
              <w:shd w:val="clear"/>
              <w:spacing w:before="172" w:beforeAutospacing="0" w:after="0" w:afterAutospacing="0" w:line="273" w:lineRule="auto"/>
              <w:ind w:left="106" w:right="109"/>
              <w:rPr>
                <w:rFonts w:hint="default"/>
                <w:color w:val="000000" w:themeColor="text1"/>
                <w:sz w:val="21"/>
                <w:highlight w:val="none"/>
                <w14:textFill>
                  <w14:solidFill>
                    <w14:schemeClr w14:val="tx1"/>
                  </w14:solidFill>
                </w14:textFill>
              </w:rPr>
            </w:pPr>
            <w:r>
              <w:rPr>
                <w:rFonts w:hint="default"/>
                <w:color w:val="000000" w:themeColor="text1"/>
                <w:spacing w:val="-2"/>
                <w:sz w:val="21"/>
                <w:highlight w:val="none"/>
                <w14:textFill>
                  <w14:solidFill>
                    <w14:schemeClr w14:val="tx1"/>
                  </w14:solidFill>
                </w14:textFill>
              </w:rPr>
              <w:t>投标文件满足招标文件中标注“★”号的实质性条款（或指标）要求的，具体详见“实质性响应一览表”</w:t>
            </w:r>
          </w:p>
        </w:tc>
        <w:tc>
          <w:tcPr>
            <w:tcW w:w="866"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088"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512" w:type="dxa"/>
          </w:tcPr>
          <w:p>
            <w:pPr>
              <w:pStyle w:val="20"/>
              <w:keepNext w:val="0"/>
              <w:keepLines w:val="0"/>
              <w:suppressLineNumbers w:val="0"/>
              <w:shd w:val="clear"/>
              <w:spacing w:before="205" w:beforeAutospacing="0" w:after="0" w:afterAutospacing="0"/>
              <w:ind w:left="7" w:right="0"/>
              <w:jc w:val="center"/>
              <w:rPr>
                <w:rFonts w:hint="default"/>
                <w:color w:val="000000" w:themeColor="text1"/>
                <w:sz w:val="21"/>
                <w:highlight w:val="none"/>
                <w14:textFill>
                  <w14:solidFill>
                    <w14:schemeClr w14:val="tx1"/>
                  </w14:solidFill>
                </w14:textFill>
              </w:rPr>
            </w:pPr>
            <w:r>
              <w:rPr>
                <w:rFonts w:hint="default"/>
                <w:color w:val="000000" w:themeColor="text1"/>
                <w:spacing w:val="-10"/>
                <w:sz w:val="21"/>
                <w:highlight w:val="none"/>
                <w14:textFill>
                  <w14:solidFill>
                    <w14:schemeClr w14:val="tx1"/>
                  </w14:solidFill>
                </w14:textFill>
              </w:rPr>
              <w:t>3</w:t>
            </w:r>
          </w:p>
        </w:tc>
        <w:tc>
          <w:tcPr>
            <w:tcW w:w="1302" w:type="dxa"/>
          </w:tcPr>
          <w:p>
            <w:pPr>
              <w:pStyle w:val="20"/>
              <w:keepNext w:val="0"/>
              <w:keepLines w:val="0"/>
              <w:suppressLineNumbers w:val="0"/>
              <w:shd w:val="clear"/>
              <w:spacing w:before="205" w:beforeAutospacing="0" w:after="0" w:afterAutospacing="0"/>
              <w:ind w:left="107" w:right="0"/>
              <w:rPr>
                <w:rFonts w:hint="default"/>
                <w:color w:val="000000" w:themeColor="text1"/>
                <w:sz w:val="21"/>
                <w:highlight w:val="none"/>
                <w14:textFill>
                  <w14:solidFill>
                    <w14:schemeClr w14:val="tx1"/>
                  </w14:solidFill>
                </w14:textFill>
              </w:rPr>
            </w:pPr>
            <w:r>
              <w:rPr>
                <w:rFonts w:hint="default"/>
                <w:color w:val="000000" w:themeColor="text1"/>
                <w:spacing w:val="-7"/>
                <w:sz w:val="21"/>
                <w:highlight w:val="none"/>
                <w14:textFill>
                  <w14:solidFill>
                    <w14:schemeClr w14:val="tx1"/>
                  </w14:solidFill>
                </w14:textFill>
              </w:rPr>
              <w:t>投标报价</w:t>
            </w:r>
          </w:p>
        </w:tc>
        <w:tc>
          <w:tcPr>
            <w:tcW w:w="5477" w:type="dxa"/>
          </w:tcPr>
          <w:p>
            <w:pPr>
              <w:pStyle w:val="20"/>
              <w:keepNext w:val="0"/>
              <w:keepLines w:val="0"/>
              <w:suppressLineNumbers w:val="0"/>
              <w:shd w:val="clear"/>
              <w:spacing w:before="12" w:beforeAutospacing="0" w:after="0" w:afterAutospacing="0" w:line="310" w:lineRule="atLeast"/>
              <w:ind w:left="106" w:right="109"/>
              <w:rPr>
                <w:rFonts w:hint="default"/>
                <w:color w:val="000000" w:themeColor="text1"/>
                <w:sz w:val="21"/>
                <w:highlight w:val="none"/>
                <w14:textFill>
                  <w14:solidFill>
                    <w14:schemeClr w14:val="tx1"/>
                  </w14:solidFill>
                </w14:textFill>
              </w:rPr>
            </w:pPr>
            <w:r>
              <w:rPr>
                <w:rFonts w:hint="default"/>
                <w:color w:val="000000" w:themeColor="text1"/>
                <w:spacing w:val="-2"/>
                <w:sz w:val="21"/>
                <w:highlight w:val="none"/>
                <w14:textFill>
                  <w14:solidFill>
                    <w14:schemeClr w14:val="tx1"/>
                  </w14:solidFill>
                </w14:textFill>
              </w:rPr>
              <w:t>投标人报价未超过招标文件中规定的最高限价或者预算金</w:t>
            </w:r>
            <w:r>
              <w:rPr>
                <w:rFonts w:hint="default"/>
                <w:color w:val="000000" w:themeColor="text1"/>
                <w:spacing w:val="-6"/>
                <w:sz w:val="21"/>
                <w:highlight w:val="none"/>
                <w14:textFill>
                  <w14:solidFill>
                    <w14:schemeClr w14:val="tx1"/>
                  </w14:solidFill>
                </w14:textFill>
              </w:rPr>
              <w:t>额的</w:t>
            </w:r>
          </w:p>
        </w:tc>
        <w:tc>
          <w:tcPr>
            <w:tcW w:w="866"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088"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512" w:type="dxa"/>
          </w:tcPr>
          <w:p>
            <w:pPr>
              <w:pStyle w:val="20"/>
              <w:keepNext w:val="0"/>
              <w:keepLines w:val="0"/>
              <w:suppressLineNumbers w:val="0"/>
              <w:shd w:val="clear"/>
              <w:spacing w:before="193" w:beforeAutospacing="0" w:after="0" w:afterAutospacing="0"/>
              <w:ind w:left="7" w:right="0"/>
              <w:jc w:val="center"/>
              <w:rPr>
                <w:rFonts w:hint="default"/>
                <w:color w:val="000000" w:themeColor="text1"/>
                <w:sz w:val="21"/>
                <w:highlight w:val="none"/>
                <w14:textFill>
                  <w14:solidFill>
                    <w14:schemeClr w14:val="tx1"/>
                  </w14:solidFill>
                </w14:textFill>
              </w:rPr>
            </w:pPr>
            <w:r>
              <w:rPr>
                <w:rFonts w:hint="default"/>
                <w:color w:val="000000" w:themeColor="text1"/>
                <w:spacing w:val="-10"/>
                <w:sz w:val="21"/>
                <w:highlight w:val="none"/>
                <w14:textFill>
                  <w14:solidFill>
                    <w14:schemeClr w14:val="tx1"/>
                  </w14:solidFill>
                </w14:textFill>
              </w:rPr>
              <w:t>4</w:t>
            </w:r>
          </w:p>
        </w:tc>
        <w:tc>
          <w:tcPr>
            <w:tcW w:w="1302" w:type="dxa"/>
          </w:tcPr>
          <w:p>
            <w:pPr>
              <w:pStyle w:val="20"/>
              <w:keepNext w:val="0"/>
              <w:keepLines w:val="0"/>
              <w:suppressLineNumbers w:val="0"/>
              <w:shd w:val="clear"/>
              <w:spacing w:before="193" w:beforeAutospacing="0" w:after="0" w:afterAutospacing="0"/>
              <w:ind w:left="107" w:right="0"/>
              <w:rPr>
                <w:rFonts w:hint="default"/>
                <w:color w:val="000000" w:themeColor="text1"/>
                <w:sz w:val="21"/>
                <w:highlight w:val="none"/>
                <w14:textFill>
                  <w14:solidFill>
                    <w14:schemeClr w14:val="tx1"/>
                  </w14:solidFill>
                </w14:textFill>
              </w:rPr>
            </w:pPr>
            <w:r>
              <w:rPr>
                <w:rFonts w:hint="default"/>
                <w:color w:val="000000" w:themeColor="text1"/>
                <w:spacing w:val="-7"/>
                <w:sz w:val="21"/>
                <w:highlight w:val="none"/>
                <w14:textFill>
                  <w14:solidFill>
                    <w14:schemeClr w14:val="tx1"/>
                  </w14:solidFill>
                </w14:textFill>
              </w:rPr>
              <w:t>虚假材料</w:t>
            </w:r>
          </w:p>
        </w:tc>
        <w:tc>
          <w:tcPr>
            <w:tcW w:w="5477" w:type="dxa"/>
          </w:tcPr>
          <w:p>
            <w:pPr>
              <w:pStyle w:val="20"/>
              <w:keepNext w:val="0"/>
              <w:keepLines w:val="0"/>
              <w:suppressLineNumbers w:val="0"/>
              <w:shd w:val="clear"/>
              <w:spacing w:before="193" w:beforeAutospacing="0" w:after="0" w:afterAutospacing="0"/>
              <w:ind w:left="106" w:right="0"/>
              <w:rPr>
                <w:rFonts w:hint="default"/>
                <w:color w:val="000000" w:themeColor="text1"/>
                <w:sz w:val="21"/>
                <w:highlight w:val="none"/>
                <w14:textFill>
                  <w14:solidFill>
                    <w14:schemeClr w14:val="tx1"/>
                  </w14:solidFill>
                </w14:textFill>
              </w:rPr>
            </w:pPr>
            <w:r>
              <w:rPr>
                <w:rFonts w:hint="default"/>
                <w:color w:val="000000" w:themeColor="text1"/>
                <w:spacing w:val="-3"/>
                <w:sz w:val="21"/>
                <w:highlight w:val="none"/>
                <w14:textFill>
                  <w14:solidFill>
                    <w14:schemeClr w14:val="tx1"/>
                  </w14:solidFill>
                </w14:textFill>
              </w:rPr>
              <w:t>投标文件未提供虚假材料的</w:t>
            </w:r>
          </w:p>
        </w:tc>
        <w:tc>
          <w:tcPr>
            <w:tcW w:w="866"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088"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512" w:type="dxa"/>
          </w:tcPr>
          <w:p>
            <w:pPr>
              <w:pStyle w:val="20"/>
              <w:keepNext w:val="0"/>
              <w:keepLines w:val="0"/>
              <w:suppressLineNumbers w:val="0"/>
              <w:shd w:val="clear"/>
              <w:spacing w:before="251" w:beforeAutospacing="0" w:after="0" w:afterAutospacing="0"/>
              <w:ind w:left="7" w:right="0"/>
              <w:jc w:val="center"/>
              <w:rPr>
                <w:rFonts w:hint="default"/>
                <w:color w:val="000000" w:themeColor="text1"/>
                <w:sz w:val="21"/>
                <w:highlight w:val="none"/>
                <w14:textFill>
                  <w14:solidFill>
                    <w14:schemeClr w14:val="tx1"/>
                  </w14:solidFill>
                </w14:textFill>
              </w:rPr>
            </w:pPr>
            <w:r>
              <w:rPr>
                <w:rFonts w:hint="default"/>
                <w:color w:val="000000" w:themeColor="text1"/>
                <w:spacing w:val="-10"/>
                <w:sz w:val="21"/>
                <w:highlight w:val="none"/>
                <w14:textFill>
                  <w14:solidFill>
                    <w14:schemeClr w14:val="tx1"/>
                  </w14:solidFill>
                </w14:textFill>
              </w:rPr>
              <w:t>5</w:t>
            </w:r>
          </w:p>
        </w:tc>
        <w:tc>
          <w:tcPr>
            <w:tcW w:w="1302" w:type="dxa"/>
          </w:tcPr>
          <w:p>
            <w:pPr>
              <w:pStyle w:val="20"/>
              <w:keepNext w:val="0"/>
              <w:keepLines w:val="0"/>
              <w:suppressLineNumbers w:val="0"/>
              <w:shd w:val="clear"/>
              <w:spacing w:before="215" w:beforeAutospacing="0" w:after="0" w:afterAutospacing="0"/>
              <w:ind w:left="107" w:right="0"/>
              <w:rPr>
                <w:rFonts w:hint="default"/>
                <w:color w:val="000000" w:themeColor="text1"/>
                <w:sz w:val="21"/>
                <w:highlight w:val="none"/>
                <w14:textFill>
                  <w14:solidFill>
                    <w14:schemeClr w14:val="tx1"/>
                  </w14:solidFill>
                </w14:textFill>
              </w:rPr>
            </w:pPr>
            <w:r>
              <w:rPr>
                <w:rFonts w:hint="default"/>
                <w:color w:val="000000" w:themeColor="text1"/>
                <w:spacing w:val="-4"/>
                <w:sz w:val="21"/>
                <w:highlight w:val="none"/>
                <w14:textFill>
                  <w14:solidFill>
                    <w14:schemeClr w14:val="tx1"/>
                  </w14:solidFill>
                </w14:textFill>
              </w:rPr>
              <w:t>投标保证金</w:t>
            </w:r>
          </w:p>
        </w:tc>
        <w:tc>
          <w:tcPr>
            <w:tcW w:w="5477" w:type="dxa"/>
          </w:tcPr>
          <w:p>
            <w:pPr>
              <w:pStyle w:val="20"/>
              <w:keepNext w:val="0"/>
              <w:keepLines w:val="0"/>
              <w:suppressLineNumbers w:val="0"/>
              <w:shd w:val="clear"/>
              <w:spacing w:before="215" w:beforeAutospacing="0" w:after="0" w:afterAutospacing="0"/>
              <w:ind w:left="106" w:right="0"/>
              <w:rPr>
                <w:rFonts w:hint="default"/>
                <w:color w:val="000000" w:themeColor="text1"/>
                <w:sz w:val="21"/>
                <w:highlight w:val="none"/>
                <w14:textFill>
                  <w14:solidFill>
                    <w14:schemeClr w14:val="tx1"/>
                  </w14:solidFill>
                </w14:textFill>
              </w:rPr>
            </w:pPr>
            <w:r>
              <w:rPr>
                <w:rFonts w:hint="default"/>
                <w:color w:val="000000" w:themeColor="text1"/>
                <w:spacing w:val="-3"/>
                <w:sz w:val="21"/>
                <w:highlight w:val="none"/>
                <w14:textFill>
                  <w14:solidFill>
                    <w14:schemeClr w14:val="tx1"/>
                  </w14:solidFill>
                </w14:textFill>
              </w:rPr>
              <w:t>投标人按招标文件的规定交纳投标保证金的</w:t>
            </w:r>
          </w:p>
        </w:tc>
        <w:tc>
          <w:tcPr>
            <w:tcW w:w="866"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088"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512" w:type="dxa"/>
          </w:tcPr>
          <w:p>
            <w:pPr>
              <w:pStyle w:val="20"/>
              <w:keepNext w:val="0"/>
              <w:keepLines w:val="0"/>
              <w:suppressLineNumbers w:val="0"/>
              <w:shd w:val="clear"/>
              <w:spacing w:before="215" w:beforeAutospacing="0" w:after="0" w:afterAutospacing="0"/>
              <w:ind w:left="7" w:right="0"/>
              <w:jc w:val="center"/>
              <w:rPr>
                <w:rFonts w:hint="default"/>
                <w:color w:val="000000" w:themeColor="text1"/>
                <w:sz w:val="21"/>
                <w:highlight w:val="none"/>
                <w14:textFill>
                  <w14:solidFill>
                    <w14:schemeClr w14:val="tx1"/>
                  </w14:solidFill>
                </w14:textFill>
              </w:rPr>
            </w:pPr>
            <w:r>
              <w:rPr>
                <w:rFonts w:hint="default"/>
                <w:color w:val="000000" w:themeColor="text1"/>
                <w:spacing w:val="-10"/>
                <w:sz w:val="21"/>
                <w:highlight w:val="none"/>
                <w14:textFill>
                  <w14:solidFill>
                    <w14:schemeClr w14:val="tx1"/>
                  </w14:solidFill>
                </w14:textFill>
              </w:rPr>
              <w:t>6</w:t>
            </w:r>
          </w:p>
        </w:tc>
        <w:tc>
          <w:tcPr>
            <w:tcW w:w="1302" w:type="dxa"/>
          </w:tcPr>
          <w:p>
            <w:pPr>
              <w:pStyle w:val="20"/>
              <w:keepNext w:val="0"/>
              <w:keepLines w:val="0"/>
              <w:suppressLineNumbers w:val="0"/>
              <w:shd w:val="clear"/>
              <w:spacing w:before="16" w:beforeAutospacing="0" w:after="0" w:afterAutospacing="0" w:line="273" w:lineRule="auto"/>
              <w:ind w:left="107" w:right="-15"/>
              <w:rPr>
                <w:rFonts w:hint="default"/>
                <w:color w:val="000000" w:themeColor="text1"/>
                <w:sz w:val="21"/>
                <w:highlight w:val="none"/>
                <w14:textFill>
                  <w14:solidFill>
                    <w14:schemeClr w14:val="tx1"/>
                  </w14:solidFill>
                </w14:textFill>
              </w:rPr>
            </w:pPr>
            <w:r>
              <w:rPr>
                <w:rFonts w:hint="default"/>
                <w:color w:val="000000" w:themeColor="text1"/>
                <w:spacing w:val="-2"/>
                <w:sz w:val="21"/>
                <w:highlight w:val="none"/>
                <w14:textFill>
                  <w14:solidFill>
                    <w14:schemeClr w14:val="tx1"/>
                  </w14:solidFill>
                </w14:textFill>
              </w:rPr>
              <w:t>投标文件的</w:t>
            </w:r>
            <w:r>
              <w:rPr>
                <w:rFonts w:hint="default"/>
                <w:color w:val="000000" w:themeColor="text1"/>
                <w:spacing w:val="-15"/>
                <w:sz w:val="21"/>
                <w:highlight w:val="none"/>
                <w14:textFill>
                  <w14:solidFill>
                    <w14:schemeClr w14:val="tx1"/>
                  </w14:solidFill>
                </w14:textFill>
              </w:rPr>
              <w:t>澄清、说明、</w:t>
            </w:r>
          </w:p>
          <w:p>
            <w:pPr>
              <w:pStyle w:val="20"/>
              <w:keepNext w:val="0"/>
              <w:keepLines w:val="0"/>
              <w:suppressLineNumbers w:val="0"/>
              <w:shd w:val="clear"/>
              <w:spacing w:before="2" w:beforeAutospacing="0" w:after="0" w:afterAutospacing="0"/>
              <w:ind w:left="107" w:right="0"/>
              <w:rPr>
                <w:rFonts w:hint="default"/>
                <w:color w:val="000000" w:themeColor="text1"/>
                <w:sz w:val="21"/>
                <w:highlight w:val="none"/>
                <w14:textFill>
                  <w14:solidFill>
                    <w14:schemeClr w14:val="tx1"/>
                  </w14:solidFill>
                </w14:textFill>
              </w:rPr>
            </w:pPr>
            <w:r>
              <w:rPr>
                <w:rFonts w:hint="default"/>
                <w:color w:val="000000" w:themeColor="text1"/>
                <w:spacing w:val="-8"/>
                <w:sz w:val="21"/>
                <w:highlight w:val="none"/>
                <w14:textFill>
                  <w14:solidFill>
                    <w14:schemeClr w14:val="tx1"/>
                  </w14:solidFill>
                </w14:textFill>
              </w:rPr>
              <w:t>补正</w:t>
            </w:r>
          </w:p>
        </w:tc>
        <w:tc>
          <w:tcPr>
            <w:tcW w:w="5477" w:type="dxa"/>
          </w:tcPr>
          <w:p>
            <w:pPr>
              <w:pStyle w:val="20"/>
              <w:keepNext w:val="0"/>
              <w:keepLines w:val="0"/>
              <w:suppressLineNumbers w:val="0"/>
              <w:shd w:val="clear"/>
              <w:spacing w:before="172" w:beforeAutospacing="0" w:after="0" w:afterAutospacing="0" w:line="273" w:lineRule="auto"/>
              <w:ind w:left="106" w:right="212"/>
              <w:rPr>
                <w:rFonts w:hint="default"/>
                <w:color w:val="000000" w:themeColor="text1"/>
                <w:sz w:val="21"/>
                <w:highlight w:val="none"/>
                <w14:textFill>
                  <w14:solidFill>
                    <w14:schemeClr w14:val="tx1"/>
                  </w14:solidFill>
                </w14:textFill>
              </w:rPr>
            </w:pPr>
            <w:r>
              <w:rPr>
                <w:rFonts w:hint="default"/>
                <w:color w:val="000000" w:themeColor="text1"/>
                <w:spacing w:val="-2"/>
                <w:sz w:val="21"/>
                <w:highlight w:val="none"/>
                <w14:textFill>
                  <w14:solidFill>
                    <w14:schemeClr w14:val="tx1"/>
                  </w14:solidFill>
                </w14:textFill>
              </w:rPr>
              <w:t>评审期间,投标人按评标委员会的要求提交经授权代表签字的澄清、说明、补正或未改变投标文件的实质性内容</w:t>
            </w:r>
          </w:p>
        </w:tc>
        <w:tc>
          <w:tcPr>
            <w:tcW w:w="866"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088"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12" w:type="dxa"/>
          </w:tcPr>
          <w:p>
            <w:pPr>
              <w:pStyle w:val="20"/>
              <w:keepNext w:val="0"/>
              <w:keepLines w:val="0"/>
              <w:suppressLineNumbers w:val="0"/>
              <w:shd w:val="clear"/>
              <w:spacing w:before="55" w:beforeAutospacing="0" w:after="0" w:afterAutospacing="0"/>
              <w:ind w:left="0" w:right="0"/>
              <w:rPr>
                <w:rFonts w:hint="default"/>
                <w:b/>
                <w:color w:val="000000" w:themeColor="text1"/>
                <w:sz w:val="21"/>
                <w:highlight w:val="none"/>
                <w14:textFill>
                  <w14:solidFill>
                    <w14:schemeClr w14:val="tx1"/>
                  </w14:solidFill>
                </w14:textFill>
              </w:rPr>
            </w:pPr>
          </w:p>
          <w:p>
            <w:pPr>
              <w:pStyle w:val="20"/>
              <w:keepNext w:val="0"/>
              <w:keepLines w:val="0"/>
              <w:suppressLineNumbers w:val="0"/>
              <w:shd w:val="clear"/>
              <w:spacing w:before="0" w:beforeAutospacing="0" w:after="0" w:afterAutospacing="0"/>
              <w:ind w:left="7" w:right="0"/>
              <w:jc w:val="center"/>
              <w:rPr>
                <w:rFonts w:hint="default"/>
                <w:color w:val="000000" w:themeColor="text1"/>
                <w:sz w:val="21"/>
                <w:highlight w:val="none"/>
                <w14:textFill>
                  <w14:solidFill>
                    <w14:schemeClr w14:val="tx1"/>
                  </w14:solidFill>
                </w14:textFill>
              </w:rPr>
            </w:pPr>
            <w:r>
              <w:rPr>
                <w:rFonts w:hint="default"/>
                <w:color w:val="000000" w:themeColor="text1"/>
                <w:spacing w:val="-10"/>
                <w:sz w:val="21"/>
                <w:highlight w:val="none"/>
                <w14:textFill>
                  <w14:solidFill>
                    <w14:schemeClr w14:val="tx1"/>
                  </w14:solidFill>
                </w14:textFill>
              </w:rPr>
              <w:t>7</w:t>
            </w:r>
          </w:p>
        </w:tc>
        <w:tc>
          <w:tcPr>
            <w:tcW w:w="1302" w:type="dxa"/>
          </w:tcPr>
          <w:p>
            <w:pPr>
              <w:pStyle w:val="20"/>
              <w:keepNext w:val="0"/>
              <w:keepLines w:val="0"/>
              <w:suppressLineNumbers w:val="0"/>
              <w:shd w:val="clear"/>
              <w:spacing w:before="102" w:beforeAutospacing="0" w:after="0" w:afterAutospacing="0" w:line="273" w:lineRule="auto"/>
              <w:ind w:left="107" w:right="133"/>
              <w:rPr>
                <w:rFonts w:hint="default"/>
                <w:color w:val="000000" w:themeColor="text1"/>
                <w:sz w:val="21"/>
                <w:highlight w:val="none"/>
                <w14:textFill>
                  <w14:solidFill>
                    <w14:schemeClr w14:val="tx1"/>
                  </w14:solidFill>
                </w14:textFill>
              </w:rPr>
            </w:pPr>
            <w:r>
              <w:rPr>
                <w:rFonts w:hint="default"/>
                <w:color w:val="000000" w:themeColor="text1"/>
                <w:spacing w:val="-2"/>
                <w:sz w:val="21"/>
                <w:highlight w:val="none"/>
                <w14:textFill>
                  <w14:solidFill>
                    <w14:schemeClr w14:val="tx1"/>
                  </w14:solidFill>
                </w14:textFill>
              </w:rPr>
              <w:t>投标人影响</w:t>
            </w:r>
            <w:r>
              <w:rPr>
                <w:rFonts w:hint="default"/>
                <w:color w:val="000000" w:themeColor="text1"/>
                <w:spacing w:val="-6"/>
                <w:sz w:val="21"/>
                <w:highlight w:val="none"/>
                <w14:textFill>
                  <w14:solidFill>
                    <w14:schemeClr w14:val="tx1"/>
                  </w14:solidFill>
                </w14:textFill>
              </w:rPr>
              <w:t>评标</w:t>
            </w:r>
          </w:p>
        </w:tc>
        <w:tc>
          <w:tcPr>
            <w:tcW w:w="5477" w:type="dxa"/>
          </w:tcPr>
          <w:p>
            <w:pPr>
              <w:pStyle w:val="20"/>
              <w:keepNext w:val="0"/>
              <w:keepLines w:val="0"/>
              <w:suppressLineNumbers w:val="0"/>
              <w:shd w:val="clear"/>
              <w:spacing w:before="102" w:beforeAutospacing="0" w:after="0" w:afterAutospacing="0" w:line="273" w:lineRule="auto"/>
              <w:ind w:left="106" w:right="109"/>
              <w:rPr>
                <w:rFonts w:hint="default"/>
                <w:color w:val="000000" w:themeColor="text1"/>
                <w:sz w:val="21"/>
                <w:highlight w:val="none"/>
                <w14:textFill>
                  <w14:solidFill>
                    <w14:schemeClr w14:val="tx1"/>
                  </w14:solidFill>
                </w14:textFill>
              </w:rPr>
            </w:pPr>
            <w:r>
              <w:rPr>
                <w:rFonts w:hint="default"/>
                <w:color w:val="000000" w:themeColor="text1"/>
                <w:spacing w:val="-2"/>
                <w:sz w:val="21"/>
                <w:highlight w:val="none"/>
                <w14:textFill>
                  <w14:solidFill>
                    <w14:schemeClr w14:val="tx1"/>
                  </w14:solidFill>
                </w14:textFill>
              </w:rPr>
              <w:t>投标人对采购人、采购代理机构、评标委员会及其工作人员未施加影响,无有碍公平、公正的</w:t>
            </w:r>
          </w:p>
        </w:tc>
        <w:tc>
          <w:tcPr>
            <w:tcW w:w="866"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088"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512" w:type="dxa"/>
          </w:tcPr>
          <w:p>
            <w:pPr>
              <w:pStyle w:val="20"/>
              <w:keepNext w:val="0"/>
              <w:keepLines w:val="0"/>
              <w:suppressLineNumbers w:val="0"/>
              <w:shd w:val="clear"/>
              <w:spacing w:before="258" w:beforeAutospacing="0" w:after="0" w:afterAutospacing="0"/>
              <w:ind w:left="7" w:right="0"/>
              <w:jc w:val="center"/>
              <w:rPr>
                <w:rFonts w:hint="default"/>
                <w:color w:val="000000" w:themeColor="text1"/>
                <w:sz w:val="21"/>
                <w:highlight w:val="none"/>
                <w14:textFill>
                  <w14:solidFill>
                    <w14:schemeClr w14:val="tx1"/>
                  </w14:solidFill>
                </w14:textFill>
              </w:rPr>
            </w:pPr>
            <w:r>
              <w:rPr>
                <w:rFonts w:hint="default"/>
                <w:color w:val="000000" w:themeColor="text1"/>
                <w:spacing w:val="-10"/>
                <w:sz w:val="21"/>
                <w:highlight w:val="none"/>
                <w14:textFill>
                  <w14:solidFill>
                    <w14:schemeClr w14:val="tx1"/>
                  </w14:solidFill>
                </w14:textFill>
              </w:rPr>
              <w:t>8</w:t>
            </w:r>
          </w:p>
        </w:tc>
        <w:tc>
          <w:tcPr>
            <w:tcW w:w="1302" w:type="dxa"/>
          </w:tcPr>
          <w:p>
            <w:pPr>
              <w:pStyle w:val="20"/>
              <w:keepNext w:val="0"/>
              <w:keepLines w:val="0"/>
              <w:suppressLineNumbers w:val="0"/>
              <w:shd w:val="clear"/>
              <w:spacing w:before="64" w:beforeAutospacing="0" w:after="0" w:afterAutospacing="0" w:line="273" w:lineRule="auto"/>
              <w:ind w:left="107" w:right="133"/>
              <w:rPr>
                <w:rFonts w:hint="default"/>
                <w:color w:val="000000" w:themeColor="text1"/>
                <w:sz w:val="21"/>
                <w:highlight w:val="none"/>
                <w14:textFill>
                  <w14:solidFill>
                    <w14:schemeClr w14:val="tx1"/>
                  </w14:solidFill>
                </w14:textFill>
              </w:rPr>
            </w:pPr>
            <w:r>
              <w:rPr>
                <w:rFonts w:hint="default"/>
                <w:color w:val="000000" w:themeColor="text1"/>
                <w:spacing w:val="-2"/>
                <w:sz w:val="21"/>
                <w:highlight w:val="none"/>
                <w14:textFill>
                  <w14:solidFill>
                    <w14:schemeClr w14:val="tx1"/>
                  </w14:solidFill>
                </w14:textFill>
              </w:rPr>
              <w:t>围标串标情</w:t>
            </w:r>
            <w:r>
              <w:rPr>
                <w:rFonts w:hint="default"/>
                <w:color w:val="000000" w:themeColor="text1"/>
                <w:spacing w:val="-10"/>
                <w:sz w:val="21"/>
                <w:highlight w:val="none"/>
                <w14:textFill>
                  <w14:solidFill>
                    <w14:schemeClr w14:val="tx1"/>
                  </w14:solidFill>
                </w14:textFill>
              </w:rPr>
              <w:t>形</w:t>
            </w:r>
          </w:p>
        </w:tc>
        <w:tc>
          <w:tcPr>
            <w:tcW w:w="5477" w:type="dxa"/>
          </w:tcPr>
          <w:p>
            <w:pPr>
              <w:pStyle w:val="20"/>
              <w:keepNext w:val="0"/>
              <w:keepLines w:val="0"/>
              <w:suppressLineNumbers w:val="0"/>
              <w:shd w:val="clear"/>
              <w:spacing w:before="220" w:beforeAutospacing="0" w:after="0" w:afterAutospacing="0"/>
              <w:ind w:left="106" w:right="0"/>
              <w:rPr>
                <w:rFonts w:hint="default"/>
                <w:color w:val="000000" w:themeColor="text1"/>
                <w:sz w:val="21"/>
                <w:highlight w:val="none"/>
                <w14:textFill>
                  <w14:solidFill>
                    <w14:schemeClr w14:val="tx1"/>
                  </w14:solidFill>
                </w14:textFill>
              </w:rPr>
            </w:pPr>
            <w:r>
              <w:rPr>
                <w:rFonts w:hint="default"/>
                <w:color w:val="000000" w:themeColor="text1"/>
                <w:spacing w:val="-5"/>
                <w:sz w:val="21"/>
                <w:highlight w:val="none"/>
                <w14:textFill>
                  <w14:solidFill>
                    <w14:schemeClr w14:val="tx1"/>
                  </w14:solidFill>
                </w14:textFill>
              </w:rPr>
              <w:t xml:space="preserve">没有“第五章 评标方法及标准”第 </w:t>
            </w:r>
            <w:r>
              <w:rPr>
                <w:rFonts w:hint="default"/>
                <w:color w:val="000000" w:themeColor="text1"/>
                <w:spacing w:val="-2"/>
                <w:sz w:val="21"/>
                <w:highlight w:val="none"/>
                <w14:textFill>
                  <w14:solidFill>
                    <w14:schemeClr w14:val="tx1"/>
                  </w14:solidFill>
                </w14:textFill>
              </w:rPr>
              <w:t>20</w:t>
            </w:r>
            <w:r>
              <w:rPr>
                <w:rFonts w:hint="default"/>
                <w:color w:val="000000" w:themeColor="text1"/>
                <w:spacing w:val="-11"/>
                <w:sz w:val="21"/>
                <w:highlight w:val="none"/>
                <w14:textFill>
                  <w14:solidFill>
                    <w14:schemeClr w14:val="tx1"/>
                  </w14:solidFill>
                </w14:textFill>
              </w:rPr>
              <w:t xml:space="preserve"> 条情形之一的</w:t>
            </w:r>
          </w:p>
        </w:tc>
        <w:tc>
          <w:tcPr>
            <w:tcW w:w="866"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088"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512" w:type="dxa"/>
            <w:vAlign w:val="top"/>
          </w:tcPr>
          <w:p>
            <w:pPr>
              <w:pStyle w:val="20"/>
              <w:keepNext w:val="0"/>
              <w:keepLines w:val="0"/>
              <w:suppressLineNumbers w:val="0"/>
              <w:shd w:val="clear"/>
              <w:spacing w:before="220" w:beforeAutospacing="0" w:after="0" w:afterAutospacing="0"/>
              <w:ind w:left="7" w:leftChars="0" w:right="0" w:rightChars="0"/>
              <w:jc w:val="center"/>
              <w:rPr>
                <w:rFonts w:hint="default" w:ascii="宋体" w:hAnsi="宋体" w:eastAsia="宋体" w:cs="宋体"/>
                <w:color w:val="000000" w:themeColor="text1"/>
                <w:sz w:val="21"/>
                <w:szCs w:val="22"/>
                <w:highlight w:val="none"/>
                <w:lang w:val="en-US" w:eastAsia="zh-CN" w:bidi="ar-SA"/>
                <w14:textFill>
                  <w14:solidFill>
                    <w14:schemeClr w14:val="tx1"/>
                  </w14:solidFill>
                </w14:textFill>
              </w:rPr>
            </w:pPr>
            <w:r>
              <w:rPr>
                <w:rFonts w:hint="default"/>
                <w:color w:val="000000" w:themeColor="text1"/>
                <w:spacing w:val="-10"/>
                <w:sz w:val="21"/>
                <w:highlight w:val="none"/>
                <w14:textFill>
                  <w14:solidFill>
                    <w14:schemeClr w14:val="tx1"/>
                  </w14:solidFill>
                </w14:textFill>
              </w:rPr>
              <w:t>9</w:t>
            </w:r>
          </w:p>
        </w:tc>
        <w:tc>
          <w:tcPr>
            <w:tcW w:w="1302" w:type="dxa"/>
          </w:tcPr>
          <w:p>
            <w:pPr>
              <w:pStyle w:val="20"/>
              <w:keepNext w:val="0"/>
              <w:keepLines w:val="0"/>
              <w:suppressLineNumbers w:val="0"/>
              <w:shd w:val="clear"/>
              <w:spacing w:before="64" w:beforeAutospacing="0" w:after="0" w:afterAutospacing="0" w:line="273" w:lineRule="auto"/>
              <w:ind w:left="107" w:right="133"/>
              <w:rPr>
                <w:rFonts w:hint="default" w:eastAsia="宋体"/>
                <w:color w:val="000000" w:themeColor="text1"/>
                <w:spacing w:val="-2"/>
                <w:sz w:val="21"/>
                <w:highlight w:val="none"/>
                <w:lang w:val="en-US" w:eastAsia="zh-CN"/>
                <w14:textFill>
                  <w14:solidFill>
                    <w14:schemeClr w14:val="tx1"/>
                  </w14:solidFill>
                </w14:textFill>
              </w:rPr>
            </w:pPr>
            <w:r>
              <w:rPr>
                <w:rFonts w:hint="eastAsia"/>
                <w:color w:val="000000" w:themeColor="text1"/>
                <w:spacing w:val="-2"/>
                <w:sz w:val="21"/>
                <w:highlight w:val="none"/>
                <w:lang w:val="en-US" w:eastAsia="zh-CN"/>
                <w14:textFill>
                  <w14:solidFill>
                    <w14:schemeClr w14:val="tx1"/>
                  </w14:solidFill>
                </w14:textFill>
              </w:rPr>
              <w:t>投标有效期</w:t>
            </w:r>
          </w:p>
        </w:tc>
        <w:tc>
          <w:tcPr>
            <w:tcW w:w="5477" w:type="dxa"/>
          </w:tcPr>
          <w:p>
            <w:pPr>
              <w:pStyle w:val="20"/>
              <w:keepNext w:val="0"/>
              <w:keepLines w:val="0"/>
              <w:suppressLineNumbers w:val="0"/>
              <w:shd w:val="clear"/>
              <w:spacing w:before="220" w:beforeAutospacing="0" w:after="0" w:afterAutospacing="0"/>
              <w:ind w:left="106" w:right="0"/>
              <w:rPr>
                <w:rFonts w:hint="default"/>
                <w:color w:val="000000" w:themeColor="text1"/>
                <w:spacing w:val="-5"/>
                <w:sz w:val="21"/>
                <w:highlight w:val="none"/>
                <w14:textFill>
                  <w14:solidFill>
                    <w14:schemeClr w14:val="tx1"/>
                  </w14:solidFill>
                </w14:textFill>
              </w:rPr>
            </w:pPr>
            <w:r>
              <w:rPr>
                <w:rFonts w:hint="default"/>
                <w:color w:val="000000" w:themeColor="text1"/>
                <w:spacing w:val="-5"/>
                <w:sz w:val="21"/>
                <w:highlight w:val="none"/>
                <w14:textFill>
                  <w14:solidFill>
                    <w14:schemeClr w14:val="tx1"/>
                  </w14:solidFill>
                </w14:textFill>
              </w:rPr>
              <w:t>投标有效期满足招标文件要求</w:t>
            </w:r>
          </w:p>
        </w:tc>
        <w:tc>
          <w:tcPr>
            <w:tcW w:w="866"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088"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trPr>
        <w:tc>
          <w:tcPr>
            <w:tcW w:w="512" w:type="dxa"/>
            <w:vAlign w:val="top"/>
          </w:tcPr>
          <w:p>
            <w:pPr>
              <w:pStyle w:val="20"/>
              <w:keepNext w:val="0"/>
              <w:keepLines w:val="0"/>
              <w:suppressLineNumbers w:val="0"/>
              <w:shd w:val="clear"/>
              <w:spacing w:before="219" w:beforeAutospacing="0" w:after="0" w:afterAutospacing="0"/>
              <w:ind w:left="7" w:leftChars="0" w:right="0" w:rightChars="0"/>
              <w:jc w:val="center"/>
              <w:rPr>
                <w:rFonts w:hint="default" w:ascii="宋体" w:hAnsi="宋体" w:eastAsia="宋体" w:cs="宋体"/>
                <w:color w:val="000000" w:themeColor="text1"/>
                <w:sz w:val="21"/>
                <w:szCs w:val="22"/>
                <w:highlight w:val="none"/>
                <w:lang w:val="en-US" w:eastAsia="zh-CN" w:bidi="ar-SA"/>
                <w14:textFill>
                  <w14:solidFill>
                    <w14:schemeClr w14:val="tx1"/>
                  </w14:solidFill>
                </w14:textFill>
              </w:rPr>
            </w:pPr>
            <w:r>
              <w:rPr>
                <w:rFonts w:hint="default"/>
                <w:color w:val="000000" w:themeColor="text1"/>
                <w:spacing w:val="-5"/>
                <w:sz w:val="21"/>
                <w:highlight w:val="none"/>
                <w14:textFill>
                  <w14:solidFill>
                    <w14:schemeClr w14:val="tx1"/>
                  </w14:solidFill>
                </w14:textFill>
              </w:rPr>
              <w:t>10</w:t>
            </w:r>
          </w:p>
        </w:tc>
        <w:tc>
          <w:tcPr>
            <w:tcW w:w="1302" w:type="dxa"/>
          </w:tcPr>
          <w:p>
            <w:pPr>
              <w:pStyle w:val="20"/>
              <w:keepNext w:val="0"/>
              <w:keepLines w:val="0"/>
              <w:suppressLineNumbers w:val="0"/>
              <w:shd w:val="clear"/>
              <w:spacing w:before="219" w:beforeAutospacing="0" w:after="0" w:afterAutospacing="0"/>
              <w:ind w:left="107" w:right="0"/>
              <w:rPr>
                <w:rFonts w:hint="default"/>
                <w:color w:val="000000" w:themeColor="text1"/>
                <w:sz w:val="21"/>
                <w:highlight w:val="none"/>
                <w14:textFill>
                  <w14:solidFill>
                    <w14:schemeClr w14:val="tx1"/>
                  </w14:solidFill>
                </w14:textFill>
              </w:rPr>
            </w:pPr>
            <w:r>
              <w:rPr>
                <w:rFonts w:hint="default"/>
                <w:color w:val="000000" w:themeColor="text1"/>
                <w:spacing w:val="-7"/>
                <w:sz w:val="21"/>
                <w:highlight w:val="none"/>
                <w14:textFill>
                  <w14:solidFill>
                    <w14:schemeClr w14:val="tx1"/>
                  </w14:solidFill>
                </w14:textFill>
              </w:rPr>
              <w:t>附加条件</w:t>
            </w:r>
          </w:p>
        </w:tc>
        <w:tc>
          <w:tcPr>
            <w:tcW w:w="5477" w:type="dxa"/>
          </w:tcPr>
          <w:p>
            <w:pPr>
              <w:pStyle w:val="20"/>
              <w:keepNext w:val="0"/>
              <w:keepLines w:val="0"/>
              <w:suppressLineNumbers w:val="0"/>
              <w:shd w:val="clear"/>
              <w:spacing w:before="219" w:beforeAutospacing="0" w:after="0" w:afterAutospacing="0"/>
              <w:ind w:left="106" w:right="0"/>
              <w:rPr>
                <w:rFonts w:hint="default"/>
                <w:color w:val="000000" w:themeColor="text1"/>
                <w:sz w:val="21"/>
                <w:highlight w:val="none"/>
                <w14:textFill>
                  <w14:solidFill>
                    <w14:schemeClr w14:val="tx1"/>
                  </w14:solidFill>
                </w14:textFill>
              </w:rPr>
            </w:pPr>
            <w:r>
              <w:rPr>
                <w:rFonts w:hint="default"/>
                <w:color w:val="000000" w:themeColor="text1"/>
                <w:spacing w:val="-3"/>
                <w:sz w:val="21"/>
                <w:highlight w:val="none"/>
                <w14:textFill>
                  <w14:solidFill>
                    <w14:schemeClr w14:val="tx1"/>
                  </w14:solidFill>
                </w14:textFill>
              </w:rPr>
              <w:t>投标文件没有采购人不能接受的附加条件的</w:t>
            </w:r>
          </w:p>
        </w:tc>
        <w:tc>
          <w:tcPr>
            <w:tcW w:w="866"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088"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512" w:type="dxa"/>
          </w:tcPr>
          <w:p>
            <w:pPr>
              <w:pStyle w:val="20"/>
              <w:keepNext w:val="0"/>
              <w:keepLines w:val="0"/>
              <w:suppressLineNumbers w:val="0"/>
              <w:shd w:val="clear"/>
              <w:spacing w:before="219" w:beforeAutospacing="0" w:after="0" w:afterAutospacing="0"/>
              <w:ind w:left="7" w:right="0"/>
              <w:jc w:val="center"/>
              <w:rPr>
                <w:rFonts w:hint="default" w:eastAsia="宋体"/>
                <w:color w:val="000000" w:themeColor="text1"/>
                <w:sz w:val="21"/>
                <w:highlight w:val="none"/>
                <w:lang w:val="en-US" w:eastAsia="zh-CN"/>
                <w14:textFill>
                  <w14:solidFill>
                    <w14:schemeClr w14:val="tx1"/>
                  </w14:solidFill>
                </w14:textFill>
              </w:rPr>
            </w:pPr>
            <w:r>
              <w:rPr>
                <w:rFonts w:hint="eastAsia"/>
                <w:color w:val="000000" w:themeColor="text1"/>
                <w:sz w:val="21"/>
                <w:highlight w:val="none"/>
                <w:lang w:val="en-US" w:eastAsia="zh-CN"/>
                <w14:textFill>
                  <w14:solidFill>
                    <w14:schemeClr w14:val="tx1"/>
                  </w14:solidFill>
                </w14:textFill>
              </w:rPr>
              <w:t>11</w:t>
            </w:r>
          </w:p>
        </w:tc>
        <w:tc>
          <w:tcPr>
            <w:tcW w:w="1302" w:type="dxa"/>
          </w:tcPr>
          <w:p>
            <w:pPr>
              <w:pStyle w:val="20"/>
              <w:keepNext w:val="0"/>
              <w:keepLines w:val="0"/>
              <w:suppressLineNumbers w:val="0"/>
              <w:shd w:val="clear"/>
              <w:spacing w:before="65" w:beforeAutospacing="0" w:after="0" w:afterAutospacing="0" w:line="273" w:lineRule="auto"/>
              <w:ind w:left="107" w:right="133"/>
              <w:rPr>
                <w:rFonts w:hint="default"/>
                <w:color w:val="000000" w:themeColor="text1"/>
                <w:sz w:val="21"/>
                <w:highlight w:val="none"/>
                <w14:textFill>
                  <w14:solidFill>
                    <w14:schemeClr w14:val="tx1"/>
                  </w14:solidFill>
                </w14:textFill>
              </w:rPr>
            </w:pPr>
            <w:r>
              <w:rPr>
                <w:rFonts w:hint="default"/>
                <w:color w:val="000000" w:themeColor="text1"/>
                <w:spacing w:val="-2"/>
                <w:sz w:val="21"/>
                <w:highlight w:val="none"/>
                <w14:textFill>
                  <w14:solidFill>
                    <w14:schemeClr w14:val="tx1"/>
                  </w14:solidFill>
                </w14:textFill>
              </w:rPr>
              <w:t>其他无效情</w:t>
            </w:r>
            <w:r>
              <w:rPr>
                <w:rFonts w:hint="default"/>
                <w:color w:val="000000" w:themeColor="text1"/>
                <w:spacing w:val="-10"/>
                <w:sz w:val="21"/>
                <w:highlight w:val="none"/>
                <w14:textFill>
                  <w14:solidFill>
                    <w14:schemeClr w14:val="tx1"/>
                  </w14:solidFill>
                </w14:textFill>
              </w:rPr>
              <w:t>形</w:t>
            </w:r>
          </w:p>
        </w:tc>
        <w:tc>
          <w:tcPr>
            <w:tcW w:w="5477" w:type="dxa"/>
          </w:tcPr>
          <w:p>
            <w:pPr>
              <w:pStyle w:val="20"/>
              <w:keepNext w:val="0"/>
              <w:keepLines w:val="0"/>
              <w:suppressLineNumbers w:val="0"/>
              <w:shd w:val="clear"/>
              <w:spacing w:before="221" w:beforeAutospacing="0" w:after="0" w:afterAutospacing="0"/>
              <w:ind w:left="106" w:right="0"/>
              <w:rPr>
                <w:rFonts w:hint="default"/>
                <w:color w:val="000000" w:themeColor="text1"/>
                <w:sz w:val="21"/>
                <w:highlight w:val="none"/>
                <w14:textFill>
                  <w14:solidFill>
                    <w14:schemeClr w14:val="tx1"/>
                  </w14:solidFill>
                </w14:textFill>
              </w:rPr>
            </w:pPr>
            <w:r>
              <w:rPr>
                <w:rFonts w:hint="default"/>
                <w:color w:val="000000" w:themeColor="text1"/>
                <w:spacing w:val="-3"/>
                <w:sz w:val="21"/>
                <w:highlight w:val="none"/>
                <w14:textFill>
                  <w14:solidFill>
                    <w14:schemeClr w14:val="tx1"/>
                  </w14:solidFill>
                </w14:textFill>
              </w:rPr>
              <w:t>没有法律、法规、规章规定属于投标无效的其他情形。</w:t>
            </w:r>
          </w:p>
        </w:tc>
        <w:tc>
          <w:tcPr>
            <w:tcW w:w="866"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088"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r>
    </w:tbl>
    <w:p>
      <w:pPr>
        <w:shd w:val="clear"/>
        <w:rPr>
          <w:rFonts w:ascii="Times New Roman"/>
          <w:color w:val="000000" w:themeColor="text1"/>
          <w:sz w:val="20"/>
          <w:highlight w:val="none"/>
          <w14:textFill>
            <w14:solidFill>
              <w14:schemeClr w14:val="tx1"/>
            </w14:solidFill>
          </w14:textFill>
        </w:rPr>
        <w:sectPr>
          <w:pgSz w:w="11910" w:h="16840"/>
          <w:pgMar w:top="1380" w:right="1020" w:bottom="1180" w:left="1020" w:header="878" w:footer="989" w:gutter="0"/>
          <w:cols w:space="720" w:num="1"/>
        </w:sectPr>
      </w:pPr>
    </w:p>
    <w:p>
      <w:pPr>
        <w:pStyle w:val="10"/>
        <w:shd w:val="clear"/>
        <w:spacing w:before="149"/>
        <w:ind w:left="0"/>
        <w:rPr>
          <w:b/>
          <w:color w:val="000000" w:themeColor="text1"/>
          <w:highlight w:val="none"/>
          <w14:textFill>
            <w14:solidFill>
              <w14:schemeClr w14:val="tx1"/>
            </w14:solidFill>
          </w14:textFill>
        </w:rPr>
      </w:pPr>
    </w:p>
    <w:p>
      <w:pPr>
        <w:shd w:val="clear"/>
        <w:ind w:left="780"/>
        <w:rPr>
          <w:b/>
          <w:color w:val="000000" w:themeColor="text1"/>
          <w:sz w:val="24"/>
          <w:highlight w:val="none"/>
          <w14:textFill>
            <w14:solidFill>
              <w14:schemeClr w14:val="tx1"/>
            </w14:solidFill>
          </w14:textFill>
        </w:rPr>
      </w:pPr>
      <w:r>
        <w:rPr>
          <w:b/>
          <w:color w:val="000000" w:themeColor="text1"/>
          <w:spacing w:val="-3"/>
          <w:sz w:val="24"/>
          <w:highlight w:val="none"/>
          <w14:textFill>
            <w14:solidFill>
              <w14:schemeClr w14:val="tx1"/>
            </w14:solidFill>
          </w14:textFill>
        </w:rPr>
        <w:t>符合性审查表-附表</w:t>
      </w:r>
    </w:p>
    <w:p>
      <w:pPr>
        <w:pStyle w:val="6"/>
        <w:shd w:val="clear"/>
        <w:spacing w:before="212"/>
        <w:ind w:left="0"/>
        <w:jc w:val="center"/>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实质性响应一览表</w:t>
      </w:r>
    </w:p>
    <w:p>
      <w:pPr>
        <w:pStyle w:val="10"/>
        <w:shd w:val="clear"/>
        <w:spacing w:before="257"/>
        <w:ind w:left="0"/>
        <w:jc w:val="center"/>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（投标人须对本附表所有内容逐条响应且无负偏离，否则其</w:t>
      </w:r>
      <w:r>
        <w:rPr>
          <w:b/>
          <w:color w:val="000000" w:themeColor="text1"/>
          <w:spacing w:val="-2"/>
          <w:highlight w:val="none"/>
          <w14:textFill>
            <w14:solidFill>
              <w14:schemeClr w14:val="tx1"/>
            </w14:solidFill>
          </w14:textFill>
        </w:rPr>
        <w:t>投标无效</w:t>
      </w:r>
      <w:r>
        <w:rPr>
          <w:color w:val="000000" w:themeColor="text1"/>
          <w:spacing w:val="-10"/>
          <w:highlight w:val="none"/>
          <w14:textFill>
            <w14:solidFill>
              <w14:schemeClr w14:val="tx1"/>
            </w14:solidFill>
          </w14:textFill>
        </w:rPr>
        <w:t>）</w:t>
      </w:r>
    </w:p>
    <w:p>
      <w:pPr>
        <w:pStyle w:val="10"/>
        <w:shd w:val="clear"/>
        <w:spacing w:before="211"/>
        <w:ind w:left="0"/>
        <w:rPr>
          <w:color w:val="000000" w:themeColor="text1"/>
          <w:sz w:val="20"/>
          <w:highlight w:val="none"/>
          <w14:textFill>
            <w14:solidFill>
              <w14:schemeClr w14:val="tx1"/>
            </w14:solidFill>
          </w14:textFill>
        </w:rPr>
      </w:pPr>
    </w:p>
    <w:tbl>
      <w:tblPr>
        <w:tblStyle w:val="14"/>
        <w:tblW w:w="0" w:type="auto"/>
        <w:tblInd w:w="4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8"/>
        <w:gridCol w:w="1992"/>
        <w:gridCol w:w="4259"/>
        <w:gridCol w:w="1873"/>
        <w:gridCol w:w="7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08" w:type="dxa"/>
            <w:vMerge w:val="restart"/>
          </w:tcPr>
          <w:p>
            <w:pPr>
              <w:pStyle w:val="20"/>
              <w:keepNext w:val="0"/>
              <w:keepLines w:val="0"/>
              <w:suppressLineNumbers w:val="0"/>
              <w:shd w:val="clear"/>
              <w:spacing w:before="131" w:beforeAutospacing="0" w:after="0" w:afterAutospacing="0"/>
              <w:ind w:left="0" w:right="0"/>
              <w:rPr>
                <w:rFonts w:hint="default"/>
                <w:color w:val="000000" w:themeColor="text1"/>
                <w:sz w:val="21"/>
                <w:highlight w:val="none"/>
                <w14:textFill>
                  <w14:solidFill>
                    <w14:schemeClr w14:val="tx1"/>
                  </w14:solidFill>
                </w14:textFill>
              </w:rPr>
            </w:pPr>
          </w:p>
          <w:p>
            <w:pPr>
              <w:pStyle w:val="20"/>
              <w:keepNext w:val="0"/>
              <w:keepLines w:val="0"/>
              <w:suppressLineNumbers w:val="0"/>
              <w:shd w:val="clear"/>
              <w:spacing w:before="0" w:beforeAutospacing="0" w:after="0" w:afterAutospacing="0" w:line="316" w:lineRule="auto"/>
              <w:ind w:left="106" w:right="80"/>
              <w:rPr>
                <w:rFonts w:hint="default"/>
                <w:color w:val="000000" w:themeColor="text1"/>
                <w:sz w:val="21"/>
                <w:highlight w:val="none"/>
                <w14:textFill>
                  <w14:solidFill>
                    <w14:schemeClr w14:val="tx1"/>
                  </w14:solidFill>
                </w14:textFill>
              </w:rPr>
            </w:pPr>
            <w:r>
              <w:rPr>
                <w:rFonts w:hint="default"/>
                <w:color w:val="000000" w:themeColor="text1"/>
                <w:spacing w:val="-10"/>
                <w:sz w:val="21"/>
                <w:highlight w:val="none"/>
                <w14:textFill>
                  <w14:solidFill>
                    <w14:schemeClr w14:val="tx1"/>
                  </w14:solidFill>
                </w14:textFill>
              </w:rPr>
              <w:t>序号</w:t>
            </w:r>
          </w:p>
        </w:tc>
        <w:tc>
          <w:tcPr>
            <w:tcW w:w="6251" w:type="dxa"/>
            <w:gridSpan w:val="2"/>
          </w:tcPr>
          <w:p>
            <w:pPr>
              <w:pStyle w:val="20"/>
              <w:keepNext w:val="0"/>
              <w:keepLines w:val="0"/>
              <w:suppressLineNumbers w:val="0"/>
              <w:shd w:val="clear"/>
              <w:spacing w:before="193" w:beforeAutospacing="0" w:after="0" w:afterAutospacing="0"/>
              <w:ind w:left="1654" w:right="0"/>
              <w:rPr>
                <w:rFonts w:hint="default"/>
                <w:color w:val="000000" w:themeColor="text1"/>
                <w:sz w:val="21"/>
                <w:highlight w:val="none"/>
                <w14:textFill>
                  <w14:solidFill>
                    <w14:schemeClr w14:val="tx1"/>
                  </w14:solidFill>
                </w14:textFill>
              </w:rPr>
            </w:pPr>
            <w:r>
              <w:rPr>
                <w:rFonts w:hint="default"/>
                <w:color w:val="000000" w:themeColor="text1"/>
                <w:spacing w:val="-3"/>
                <w:sz w:val="21"/>
                <w:highlight w:val="none"/>
                <w14:textFill>
                  <w14:solidFill>
                    <w14:schemeClr w14:val="tx1"/>
                  </w14:solidFill>
                </w14:textFill>
              </w:rPr>
              <w:t>招标文件要求的实质性响应内容</w:t>
            </w:r>
          </w:p>
        </w:tc>
        <w:tc>
          <w:tcPr>
            <w:tcW w:w="1873" w:type="dxa"/>
            <w:vMerge w:val="restart"/>
          </w:tcPr>
          <w:p>
            <w:pPr>
              <w:pStyle w:val="20"/>
              <w:keepNext w:val="0"/>
              <w:keepLines w:val="0"/>
              <w:suppressLineNumbers w:val="0"/>
              <w:shd w:val="clear"/>
              <w:spacing w:before="131" w:beforeAutospacing="0" w:after="0" w:afterAutospacing="0"/>
              <w:ind w:left="0" w:right="0"/>
              <w:rPr>
                <w:rFonts w:hint="default"/>
                <w:color w:val="000000" w:themeColor="text1"/>
                <w:sz w:val="21"/>
                <w:highlight w:val="none"/>
                <w14:textFill>
                  <w14:solidFill>
                    <w14:schemeClr w14:val="tx1"/>
                  </w14:solidFill>
                </w14:textFill>
              </w:rPr>
            </w:pPr>
          </w:p>
          <w:p>
            <w:pPr>
              <w:pStyle w:val="20"/>
              <w:keepNext w:val="0"/>
              <w:keepLines w:val="0"/>
              <w:suppressLineNumbers w:val="0"/>
              <w:shd w:val="clear"/>
              <w:spacing w:before="0" w:beforeAutospacing="0" w:after="0" w:afterAutospacing="0" w:line="316" w:lineRule="auto"/>
              <w:ind w:left="515" w:right="190" w:hanging="315"/>
              <w:rPr>
                <w:rFonts w:hint="default"/>
                <w:color w:val="000000" w:themeColor="text1"/>
                <w:sz w:val="21"/>
                <w:highlight w:val="none"/>
                <w14:textFill>
                  <w14:solidFill>
                    <w14:schemeClr w14:val="tx1"/>
                  </w14:solidFill>
                </w14:textFill>
              </w:rPr>
            </w:pPr>
            <w:r>
              <w:rPr>
                <w:rFonts w:hint="default"/>
                <w:color w:val="000000" w:themeColor="text1"/>
                <w:spacing w:val="-2"/>
                <w:sz w:val="21"/>
                <w:highlight w:val="none"/>
                <w14:textFill>
                  <w14:solidFill>
                    <w14:schemeClr w14:val="tx1"/>
                  </w14:solidFill>
                </w14:textFill>
              </w:rPr>
              <w:t>投标文件响应的</w:t>
            </w:r>
            <w:r>
              <w:rPr>
                <w:rFonts w:hint="default"/>
                <w:color w:val="000000" w:themeColor="text1"/>
                <w:spacing w:val="-4"/>
                <w:sz w:val="21"/>
                <w:highlight w:val="none"/>
                <w14:textFill>
                  <w14:solidFill>
                    <w14:schemeClr w14:val="tx1"/>
                  </w14:solidFill>
                </w14:textFill>
              </w:rPr>
              <w:t>具体内容</w:t>
            </w:r>
          </w:p>
        </w:tc>
        <w:tc>
          <w:tcPr>
            <w:tcW w:w="732" w:type="dxa"/>
            <w:vMerge w:val="restart"/>
          </w:tcPr>
          <w:p>
            <w:pPr>
              <w:pStyle w:val="20"/>
              <w:keepNext w:val="0"/>
              <w:keepLines w:val="0"/>
              <w:suppressLineNumbers w:val="0"/>
              <w:shd w:val="clear"/>
              <w:spacing w:before="0" w:beforeAutospacing="0" w:after="0" w:afterAutospacing="0"/>
              <w:ind w:left="0" w:right="0"/>
              <w:rPr>
                <w:rFonts w:hint="default"/>
                <w:color w:val="000000" w:themeColor="text1"/>
                <w:sz w:val="21"/>
                <w:highlight w:val="none"/>
                <w14:textFill>
                  <w14:solidFill>
                    <w14:schemeClr w14:val="tx1"/>
                  </w14:solidFill>
                </w14:textFill>
              </w:rPr>
            </w:pPr>
          </w:p>
          <w:p>
            <w:pPr>
              <w:pStyle w:val="20"/>
              <w:keepNext w:val="0"/>
              <w:keepLines w:val="0"/>
              <w:suppressLineNumbers w:val="0"/>
              <w:shd w:val="clear"/>
              <w:spacing w:before="38" w:beforeAutospacing="0" w:after="0" w:afterAutospacing="0"/>
              <w:ind w:left="0" w:right="0"/>
              <w:rPr>
                <w:rFonts w:hint="default"/>
                <w:color w:val="000000" w:themeColor="text1"/>
                <w:sz w:val="21"/>
                <w:highlight w:val="none"/>
                <w14:textFill>
                  <w14:solidFill>
                    <w14:schemeClr w14:val="tx1"/>
                  </w14:solidFill>
                </w14:textFill>
              </w:rPr>
            </w:pPr>
          </w:p>
          <w:p>
            <w:pPr>
              <w:pStyle w:val="20"/>
              <w:keepNext w:val="0"/>
              <w:keepLines w:val="0"/>
              <w:suppressLineNumbers w:val="0"/>
              <w:shd w:val="clear"/>
              <w:spacing w:before="0" w:beforeAutospacing="0" w:after="0" w:afterAutospacing="0"/>
              <w:ind w:left="154" w:right="0"/>
              <w:rPr>
                <w:rFonts w:hint="default"/>
                <w:color w:val="000000" w:themeColor="text1"/>
                <w:sz w:val="21"/>
                <w:highlight w:val="none"/>
                <w14:textFill>
                  <w14:solidFill>
                    <w14:schemeClr w14:val="tx1"/>
                  </w14:solidFill>
                </w14:textFill>
              </w:rPr>
            </w:pPr>
            <w:r>
              <w:rPr>
                <w:rFonts w:hint="default"/>
                <w:color w:val="000000" w:themeColor="text1"/>
                <w:spacing w:val="-8"/>
                <w:sz w:val="21"/>
                <w:highlight w:val="none"/>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408" w:type="dxa"/>
            <w:vMerge w:val="continue"/>
            <w:tcBorders>
              <w:top w:val="nil"/>
            </w:tcBorders>
          </w:tcPr>
          <w:p>
            <w:pPr>
              <w:keepNext w:val="0"/>
              <w:keepLines w:val="0"/>
              <w:suppressLineNumbers w:val="0"/>
              <w:shd w:val="clear"/>
              <w:spacing w:before="0" w:beforeAutospacing="0" w:after="0" w:afterAutospacing="0"/>
              <w:ind w:left="0" w:right="0"/>
              <w:rPr>
                <w:rFonts w:hint="default"/>
                <w:color w:val="000000" w:themeColor="text1"/>
                <w:sz w:val="2"/>
                <w:szCs w:val="2"/>
                <w:highlight w:val="none"/>
                <w14:textFill>
                  <w14:solidFill>
                    <w14:schemeClr w14:val="tx1"/>
                  </w14:solidFill>
                </w14:textFill>
              </w:rPr>
            </w:pPr>
          </w:p>
        </w:tc>
        <w:tc>
          <w:tcPr>
            <w:tcW w:w="1992" w:type="dxa"/>
          </w:tcPr>
          <w:p>
            <w:pPr>
              <w:pStyle w:val="20"/>
              <w:keepNext w:val="0"/>
              <w:keepLines w:val="0"/>
              <w:suppressLineNumbers w:val="0"/>
              <w:shd w:val="clear"/>
              <w:spacing w:before="10" w:beforeAutospacing="0" w:after="0" w:afterAutospacing="0"/>
              <w:ind w:left="0" w:right="0"/>
              <w:rPr>
                <w:rFonts w:hint="default"/>
                <w:color w:val="000000" w:themeColor="text1"/>
                <w:sz w:val="21"/>
                <w:highlight w:val="none"/>
                <w14:textFill>
                  <w14:solidFill>
                    <w14:schemeClr w14:val="tx1"/>
                  </w14:solidFill>
                </w14:textFill>
              </w:rPr>
            </w:pPr>
          </w:p>
          <w:p>
            <w:pPr>
              <w:pStyle w:val="20"/>
              <w:keepNext w:val="0"/>
              <w:keepLines w:val="0"/>
              <w:suppressLineNumbers w:val="0"/>
              <w:shd w:val="clear"/>
              <w:spacing w:before="0" w:beforeAutospacing="0" w:after="0" w:afterAutospacing="0"/>
              <w:ind w:left="471" w:right="0"/>
              <w:rPr>
                <w:rFonts w:hint="default"/>
                <w:color w:val="000000" w:themeColor="text1"/>
                <w:sz w:val="21"/>
                <w:highlight w:val="none"/>
                <w14:textFill>
                  <w14:solidFill>
                    <w14:schemeClr w14:val="tx1"/>
                  </w14:solidFill>
                </w14:textFill>
              </w:rPr>
            </w:pPr>
            <w:r>
              <w:rPr>
                <w:rFonts w:hint="default"/>
                <w:color w:val="000000" w:themeColor="text1"/>
                <w:spacing w:val="-4"/>
                <w:sz w:val="21"/>
                <w:highlight w:val="none"/>
                <w14:textFill>
                  <w14:solidFill>
                    <w14:schemeClr w14:val="tx1"/>
                  </w14:solidFill>
                </w14:textFill>
              </w:rPr>
              <w:t>实质性要求</w:t>
            </w:r>
          </w:p>
        </w:tc>
        <w:tc>
          <w:tcPr>
            <w:tcW w:w="4259" w:type="dxa"/>
          </w:tcPr>
          <w:p>
            <w:pPr>
              <w:pStyle w:val="20"/>
              <w:keepNext w:val="0"/>
              <w:keepLines w:val="0"/>
              <w:suppressLineNumbers w:val="0"/>
              <w:shd w:val="clear"/>
              <w:spacing w:before="10" w:beforeAutospacing="0" w:after="0" w:afterAutospacing="0"/>
              <w:ind w:left="0" w:right="0"/>
              <w:rPr>
                <w:rFonts w:hint="default"/>
                <w:color w:val="000000" w:themeColor="text1"/>
                <w:sz w:val="21"/>
                <w:highlight w:val="none"/>
                <w14:textFill>
                  <w14:solidFill>
                    <w14:schemeClr w14:val="tx1"/>
                  </w14:solidFill>
                </w14:textFill>
              </w:rPr>
            </w:pPr>
          </w:p>
          <w:p>
            <w:pPr>
              <w:pStyle w:val="20"/>
              <w:keepNext w:val="0"/>
              <w:keepLines w:val="0"/>
              <w:suppressLineNumbers w:val="0"/>
              <w:shd w:val="clear"/>
              <w:spacing w:before="0" w:beforeAutospacing="0" w:after="0" w:afterAutospacing="0"/>
              <w:ind w:left="1287" w:right="0"/>
              <w:rPr>
                <w:rFonts w:hint="default"/>
                <w:color w:val="000000" w:themeColor="text1"/>
                <w:sz w:val="21"/>
                <w:highlight w:val="none"/>
                <w14:textFill>
                  <w14:solidFill>
                    <w14:schemeClr w14:val="tx1"/>
                  </w14:solidFill>
                </w14:textFill>
              </w:rPr>
            </w:pPr>
            <w:r>
              <w:rPr>
                <w:rFonts w:hint="default"/>
                <w:color w:val="000000" w:themeColor="text1"/>
                <w:spacing w:val="-4"/>
                <w:sz w:val="21"/>
                <w:highlight w:val="none"/>
                <w14:textFill>
                  <w14:solidFill>
                    <w14:schemeClr w14:val="tx1"/>
                  </w14:solidFill>
                </w14:textFill>
              </w:rPr>
              <w:t>招标文件中的规定</w:t>
            </w:r>
          </w:p>
        </w:tc>
        <w:tc>
          <w:tcPr>
            <w:tcW w:w="1873" w:type="dxa"/>
            <w:vMerge w:val="continue"/>
            <w:tcBorders>
              <w:top w:val="nil"/>
            </w:tcBorders>
          </w:tcPr>
          <w:p>
            <w:pPr>
              <w:keepNext w:val="0"/>
              <w:keepLines w:val="0"/>
              <w:suppressLineNumbers w:val="0"/>
              <w:shd w:val="clear"/>
              <w:spacing w:before="0" w:beforeAutospacing="0" w:after="0" w:afterAutospacing="0"/>
              <w:ind w:left="0" w:right="0"/>
              <w:rPr>
                <w:rFonts w:hint="default"/>
                <w:color w:val="000000" w:themeColor="text1"/>
                <w:sz w:val="2"/>
                <w:szCs w:val="2"/>
                <w:highlight w:val="none"/>
                <w14:textFill>
                  <w14:solidFill>
                    <w14:schemeClr w14:val="tx1"/>
                  </w14:solidFill>
                </w14:textFill>
              </w:rPr>
            </w:pPr>
          </w:p>
        </w:tc>
        <w:tc>
          <w:tcPr>
            <w:tcW w:w="732" w:type="dxa"/>
            <w:vMerge w:val="continue"/>
            <w:tcBorders>
              <w:top w:val="nil"/>
            </w:tcBorders>
          </w:tcPr>
          <w:p>
            <w:pPr>
              <w:keepNext w:val="0"/>
              <w:keepLines w:val="0"/>
              <w:suppressLineNumbers w:val="0"/>
              <w:shd w:val="clear"/>
              <w:spacing w:before="0" w:beforeAutospacing="0" w:after="0" w:afterAutospacing="0"/>
              <w:ind w:left="0" w:right="0"/>
              <w:rPr>
                <w:rFonts w:hint="default"/>
                <w:color w:val="000000" w:themeColor="text1"/>
                <w:sz w:val="2"/>
                <w:szCs w:val="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4" w:hRule="atLeast"/>
        </w:trPr>
        <w:tc>
          <w:tcPr>
            <w:tcW w:w="408" w:type="dxa"/>
          </w:tcPr>
          <w:p>
            <w:pPr>
              <w:pStyle w:val="20"/>
              <w:keepNext w:val="0"/>
              <w:keepLines w:val="0"/>
              <w:suppressLineNumbers w:val="0"/>
              <w:shd w:val="clear"/>
              <w:spacing w:before="227" w:beforeAutospacing="0" w:after="0" w:afterAutospacing="0"/>
              <w:ind w:left="0" w:right="0"/>
              <w:rPr>
                <w:rFonts w:hint="default"/>
                <w:color w:val="000000" w:themeColor="text1"/>
                <w:sz w:val="21"/>
                <w:highlight w:val="none"/>
                <w14:textFill>
                  <w14:solidFill>
                    <w14:schemeClr w14:val="tx1"/>
                  </w14:solidFill>
                </w14:textFill>
              </w:rPr>
            </w:pPr>
          </w:p>
          <w:p>
            <w:pPr>
              <w:pStyle w:val="20"/>
              <w:keepNext w:val="0"/>
              <w:keepLines w:val="0"/>
              <w:suppressLineNumbers w:val="0"/>
              <w:shd w:val="clear"/>
              <w:spacing w:before="0" w:beforeAutospacing="0" w:after="0" w:afterAutospacing="0"/>
              <w:ind w:left="6" w:right="0"/>
              <w:jc w:val="center"/>
              <w:rPr>
                <w:rFonts w:hint="default"/>
                <w:color w:val="000000" w:themeColor="text1"/>
                <w:sz w:val="21"/>
                <w:highlight w:val="none"/>
                <w14:textFill>
                  <w14:solidFill>
                    <w14:schemeClr w14:val="tx1"/>
                  </w14:solidFill>
                </w14:textFill>
              </w:rPr>
            </w:pPr>
            <w:r>
              <w:rPr>
                <w:rFonts w:hint="default"/>
                <w:color w:val="000000" w:themeColor="text1"/>
                <w:spacing w:val="-10"/>
                <w:sz w:val="21"/>
                <w:highlight w:val="none"/>
                <w14:textFill>
                  <w14:solidFill>
                    <w14:schemeClr w14:val="tx1"/>
                  </w14:solidFill>
                </w14:textFill>
              </w:rPr>
              <w:t>1</w:t>
            </w:r>
          </w:p>
        </w:tc>
        <w:tc>
          <w:tcPr>
            <w:tcW w:w="1992" w:type="dxa"/>
            <w:vAlign w:val="center"/>
          </w:tcPr>
          <w:p>
            <w:pPr>
              <w:pStyle w:val="20"/>
              <w:keepNext w:val="0"/>
              <w:keepLines w:val="0"/>
              <w:suppressLineNumbers w:val="0"/>
              <w:shd w:val="clear"/>
              <w:spacing w:before="227" w:beforeAutospacing="0" w:after="0" w:afterAutospacing="0"/>
              <w:ind w:left="0" w:right="0"/>
              <w:rPr>
                <w:rFonts w:hint="default"/>
                <w:color w:val="000000" w:themeColor="text1"/>
                <w:sz w:val="21"/>
                <w:szCs w:val="21"/>
                <w:highlight w:val="none"/>
                <w14:textFill>
                  <w14:solidFill>
                    <w14:schemeClr w14:val="tx1"/>
                  </w14:solidFill>
                </w14:textFill>
              </w:rPr>
            </w:pPr>
          </w:p>
          <w:p>
            <w:pPr>
              <w:pStyle w:val="20"/>
              <w:keepNext w:val="0"/>
              <w:keepLines w:val="0"/>
              <w:suppressLineNumbers w:val="0"/>
              <w:shd w:val="clear"/>
              <w:spacing w:before="0" w:beforeAutospacing="0" w:after="0" w:afterAutospacing="0"/>
              <w:ind w:left="106" w:leftChars="0" w:right="0"/>
              <w:rPr>
                <w:rFonts w:hint="default"/>
                <w:color w:val="000000" w:themeColor="text1"/>
                <w:sz w:val="21"/>
                <w:highlight w:val="none"/>
                <w14:textFill>
                  <w14:solidFill>
                    <w14:schemeClr w14:val="tx1"/>
                  </w14:solidFill>
                </w14:textFill>
              </w:rPr>
            </w:pPr>
            <w:r>
              <w:rPr>
                <w:rFonts w:hint="default"/>
                <w:color w:val="000000" w:themeColor="text1"/>
                <w:spacing w:val="-4"/>
                <w:sz w:val="21"/>
                <w:szCs w:val="21"/>
                <w:highlight w:val="none"/>
                <w14:textFill>
                  <w14:solidFill>
                    <w14:schemeClr w14:val="tx1"/>
                  </w14:solidFill>
                </w14:textFill>
              </w:rPr>
              <w:t>投标有效期</w:t>
            </w:r>
          </w:p>
        </w:tc>
        <w:tc>
          <w:tcPr>
            <w:tcW w:w="4259" w:type="dxa"/>
            <w:vAlign w:val="center"/>
          </w:tcPr>
          <w:p>
            <w:pPr>
              <w:pStyle w:val="20"/>
              <w:keepNext w:val="0"/>
              <w:keepLines w:val="0"/>
              <w:suppressLineNumbers w:val="0"/>
              <w:shd w:val="clear"/>
              <w:spacing w:before="47" w:beforeAutospacing="0" w:after="0" w:afterAutospacing="0"/>
              <w:ind w:left="0" w:right="0"/>
              <w:rPr>
                <w:rFonts w:hint="default"/>
                <w:color w:val="000000" w:themeColor="text1"/>
                <w:sz w:val="21"/>
                <w:szCs w:val="21"/>
                <w:highlight w:val="none"/>
                <w14:textFill>
                  <w14:solidFill>
                    <w14:schemeClr w14:val="tx1"/>
                  </w14:solidFill>
                </w14:textFill>
              </w:rPr>
            </w:pPr>
          </w:p>
          <w:p>
            <w:pPr>
              <w:pStyle w:val="20"/>
              <w:keepNext w:val="0"/>
              <w:keepLines w:val="0"/>
              <w:suppressLineNumbers w:val="0"/>
              <w:shd w:val="clear"/>
              <w:spacing w:before="0" w:beforeAutospacing="0" w:after="0" w:afterAutospacing="0" w:line="316" w:lineRule="auto"/>
              <w:ind w:left="106" w:leftChars="0" w:right="151" w:rightChars="0"/>
              <w:rPr>
                <w:rFonts w:hint="default"/>
                <w:color w:val="000000" w:themeColor="text1"/>
                <w:sz w:val="21"/>
                <w:highlight w:val="none"/>
                <w14:textFill>
                  <w14:solidFill>
                    <w14:schemeClr w14:val="tx1"/>
                  </w14:solidFill>
                </w14:textFill>
              </w:rPr>
            </w:pPr>
            <w:r>
              <w:rPr>
                <w:rFonts w:hint="default"/>
                <w:color w:val="000000" w:themeColor="text1"/>
                <w:spacing w:val="-2"/>
                <w:sz w:val="21"/>
                <w:szCs w:val="21"/>
                <w:highlight w:val="none"/>
                <w14:textFill>
                  <w14:solidFill>
                    <w14:schemeClr w14:val="tx1"/>
                  </w14:solidFill>
                </w14:textFill>
              </w:rPr>
              <w:t>招标文件“第二章投标须知”关于投标有效</w:t>
            </w:r>
            <w:r>
              <w:rPr>
                <w:rFonts w:hint="default"/>
                <w:color w:val="000000" w:themeColor="text1"/>
                <w:spacing w:val="-4"/>
                <w:sz w:val="21"/>
                <w:szCs w:val="21"/>
                <w:highlight w:val="none"/>
                <w14:textFill>
                  <w14:solidFill>
                    <w14:schemeClr w14:val="tx1"/>
                  </w14:solidFill>
                </w14:textFill>
              </w:rPr>
              <w:t>期的规定</w:t>
            </w:r>
          </w:p>
        </w:tc>
        <w:tc>
          <w:tcPr>
            <w:tcW w:w="1873" w:type="dxa"/>
            <w:vAlign w:val="top"/>
          </w:tcPr>
          <w:p>
            <w:pPr>
              <w:pStyle w:val="20"/>
              <w:keepNext w:val="0"/>
              <w:keepLines w:val="0"/>
              <w:suppressLineNumbers w:val="0"/>
              <w:shd w:val="clear"/>
              <w:spacing w:before="53" w:beforeAutospacing="0" w:after="0" w:afterAutospacing="0" w:line="360" w:lineRule="atLeast"/>
              <w:ind w:left="107" w:leftChars="0" w:right="284" w:rightChars="0"/>
              <w:jc w:val="both"/>
              <w:rPr>
                <w:rFonts w:hint="default"/>
                <w:color w:val="000000" w:themeColor="text1"/>
                <w:sz w:val="21"/>
                <w:highlight w:val="none"/>
                <w14:textFill>
                  <w14:solidFill>
                    <w14:schemeClr w14:val="tx1"/>
                  </w14:solidFill>
                </w14:textFill>
              </w:rPr>
            </w:pPr>
            <w:r>
              <w:rPr>
                <w:rFonts w:hint="default"/>
                <w:color w:val="000000" w:themeColor="text1"/>
                <w:spacing w:val="-2"/>
                <w:sz w:val="21"/>
                <w:highlight w:val="none"/>
                <w14:textFill>
                  <w14:solidFill>
                    <w14:schemeClr w14:val="tx1"/>
                  </w14:solidFill>
                </w14:textFill>
              </w:rPr>
              <w:t>【投标人在此处填写投标文件的相关内容】</w:t>
            </w:r>
          </w:p>
        </w:tc>
        <w:tc>
          <w:tcPr>
            <w:tcW w:w="732"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2" w:hRule="atLeast"/>
        </w:trPr>
        <w:tc>
          <w:tcPr>
            <w:tcW w:w="408" w:type="dxa"/>
          </w:tcPr>
          <w:p>
            <w:pPr>
              <w:pStyle w:val="20"/>
              <w:keepNext w:val="0"/>
              <w:keepLines w:val="0"/>
              <w:suppressLineNumbers w:val="0"/>
              <w:shd w:val="clear"/>
              <w:spacing w:before="148" w:beforeAutospacing="0" w:after="0" w:afterAutospacing="0"/>
              <w:ind w:left="0" w:right="0"/>
              <w:rPr>
                <w:rFonts w:hint="default"/>
                <w:color w:val="000000" w:themeColor="text1"/>
                <w:sz w:val="21"/>
                <w:highlight w:val="none"/>
                <w14:textFill>
                  <w14:solidFill>
                    <w14:schemeClr w14:val="tx1"/>
                  </w14:solidFill>
                </w14:textFill>
              </w:rPr>
            </w:pPr>
          </w:p>
          <w:p>
            <w:pPr>
              <w:pStyle w:val="20"/>
              <w:keepNext w:val="0"/>
              <w:keepLines w:val="0"/>
              <w:suppressLineNumbers w:val="0"/>
              <w:shd w:val="clear"/>
              <w:spacing w:before="0" w:beforeAutospacing="0" w:after="0" w:afterAutospacing="0"/>
              <w:ind w:left="6" w:right="0"/>
              <w:jc w:val="center"/>
              <w:rPr>
                <w:rFonts w:hint="default"/>
                <w:color w:val="000000" w:themeColor="text1"/>
                <w:sz w:val="21"/>
                <w:highlight w:val="none"/>
                <w14:textFill>
                  <w14:solidFill>
                    <w14:schemeClr w14:val="tx1"/>
                  </w14:solidFill>
                </w14:textFill>
              </w:rPr>
            </w:pPr>
            <w:r>
              <w:rPr>
                <w:rFonts w:hint="default"/>
                <w:color w:val="000000" w:themeColor="text1"/>
                <w:spacing w:val="-10"/>
                <w:sz w:val="21"/>
                <w:highlight w:val="none"/>
                <w14:textFill>
                  <w14:solidFill>
                    <w14:schemeClr w14:val="tx1"/>
                  </w14:solidFill>
                </w14:textFill>
              </w:rPr>
              <w:t>2</w:t>
            </w:r>
          </w:p>
        </w:tc>
        <w:tc>
          <w:tcPr>
            <w:tcW w:w="1992" w:type="dxa"/>
            <w:vAlign w:val="center"/>
          </w:tcPr>
          <w:p>
            <w:pPr>
              <w:pStyle w:val="20"/>
              <w:keepNext w:val="0"/>
              <w:keepLines w:val="0"/>
              <w:suppressLineNumbers w:val="0"/>
              <w:shd w:val="clear"/>
              <w:spacing w:before="0" w:beforeAutospacing="0" w:after="0" w:afterAutospacing="0"/>
              <w:ind w:left="106" w:right="0"/>
              <w:rPr>
                <w:rFonts w:hint="default"/>
                <w:color w:val="000000" w:themeColor="text1"/>
                <w:spacing w:val="-4"/>
                <w:sz w:val="21"/>
                <w:szCs w:val="21"/>
                <w:highlight w:val="none"/>
                <w14:textFill>
                  <w14:solidFill>
                    <w14:schemeClr w14:val="tx1"/>
                  </w14:solidFill>
                </w14:textFill>
              </w:rPr>
            </w:pPr>
          </w:p>
          <w:p>
            <w:pPr>
              <w:pStyle w:val="20"/>
              <w:keepNext w:val="0"/>
              <w:keepLines w:val="0"/>
              <w:suppressLineNumbers w:val="0"/>
              <w:shd w:val="clear"/>
              <w:spacing w:before="0" w:beforeAutospacing="0" w:after="0" w:afterAutospacing="0"/>
              <w:ind w:left="106" w:leftChars="0" w:right="0"/>
              <w:rPr>
                <w:rFonts w:hint="default"/>
                <w:color w:val="000000" w:themeColor="text1"/>
                <w:sz w:val="21"/>
                <w:highlight w:val="none"/>
                <w14:textFill>
                  <w14:solidFill>
                    <w14:schemeClr w14:val="tx1"/>
                  </w14:solidFill>
                </w14:textFill>
              </w:rPr>
            </w:pPr>
            <w:r>
              <w:rPr>
                <w:rFonts w:hint="eastAsia"/>
                <w:color w:val="000000" w:themeColor="text1"/>
                <w:spacing w:val="-4"/>
                <w:sz w:val="21"/>
                <w:szCs w:val="21"/>
                <w:highlight w:val="none"/>
                <w14:textFill>
                  <w14:solidFill>
                    <w14:schemeClr w14:val="tx1"/>
                  </w14:solidFill>
                </w14:textFill>
              </w:rPr>
              <w:t>经营管理模式</w:t>
            </w:r>
          </w:p>
        </w:tc>
        <w:tc>
          <w:tcPr>
            <w:tcW w:w="4259" w:type="dxa"/>
            <w:vAlign w:val="center"/>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r>
              <w:rPr>
                <w:rFonts w:hint="eastAsia" w:ascii="Times New Roman"/>
                <w:color w:val="000000" w:themeColor="text1"/>
                <w:sz w:val="21"/>
                <w:szCs w:val="21"/>
                <w:highlight w:val="none"/>
                <w14:textFill>
                  <w14:solidFill>
                    <w14:schemeClr w14:val="tx1"/>
                  </w14:solidFill>
                </w14:textFill>
              </w:rPr>
              <w:t>招标文件“第二章投标须知”关于服务内容及要求的规定</w:t>
            </w:r>
          </w:p>
        </w:tc>
        <w:tc>
          <w:tcPr>
            <w:tcW w:w="1873" w:type="dxa"/>
            <w:vAlign w:val="top"/>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732"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3" w:hRule="atLeast"/>
        </w:trPr>
        <w:tc>
          <w:tcPr>
            <w:tcW w:w="408" w:type="dxa"/>
          </w:tcPr>
          <w:p>
            <w:pPr>
              <w:pStyle w:val="20"/>
              <w:keepNext w:val="0"/>
              <w:keepLines w:val="0"/>
              <w:suppressLineNumbers w:val="0"/>
              <w:shd w:val="clear"/>
              <w:spacing w:before="228" w:beforeAutospacing="0" w:after="0" w:afterAutospacing="0"/>
              <w:ind w:left="0" w:right="0"/>
              <w:rPr>
                <w:rFonts w:hint="default"/>
                <w:color w:val="000000" w:themeColor="text1"/>
                <w:sz w:val="21"/>
                <w:highlight w:val="none"/>
                <w14:textFill>
                  <w14:solidFill>
                    <w14:schemeClr w14:val="tx1"/>
                  </w14:solidFill>
                </w14:textFill>
              </w:rPr>
            </w:pPr>
          </w:p>
          <w:p>
            <w:pPr>
              <w:pStyle w:val="20"/>
              <w:keepNext w:val="0"/>
              <w:keepLines w:val="0"/>
              <w:suppressLineNumbers w:val="0"/>
              <w:shd w:val="clear"/>
              <w:spacing w:before="0" w:beforeAutospacing="0" w:after="0" w:afterAutospacing="0"/>
              <w:ind w:left="6" w:right="0"/>
              <w:jc w:val="center"/>
              <w:rPr>
                <w:rFonts w:hint="default"/>
                <w:color w:val="000000" w:themeColor="text1"/>
                <w:sz w:val="21"/>
                <w:highlight w:val="none"/>
                <w14:textFill>
                  <w14:solidFill>
                    <w14:schemeClr w14:val="tx1"/>
                  </w14:solidFill>
                </w14:textFill>
              </w:rPr>
            </w:pPr>
            <w:r>
              <w:rPr>
                <w:rFonts w:hint="default"/>
                <w:color w:val="000000" w:themeColor="text1"/>
                <w:spacing w:val="-10"/>
                <w:sz w:val="21"/>
                <w:highlight w:val="none"/>
                <w14:textFill>
                  <w14:solidFill>
                    <w14:schemeClr w14:val="tx1"/>
                  </w14:solidFill>
                </w14:textFill>
              </w:rPr>
              <w:t>3</w:t>
            </w:r>
          </w:p>
        </w:tc>
        <w:tc>
          <w:tcPr>
            <w:tcW w:w="1992" w:type="dxa"/>
            <w:vAlign w:val="center"/>
          </w:tcPr>
          <w:p>
            <w:pPr>
              <w:pStyle w:val="20"/>
              <w:keepNext w:val="0"/>
              <w:keepLines w:val="0"/>
              <w:suppressLineNumbers w:val="0"/>
              <w:shd w:val="clear"/>
              <w:spacing w:before="0" w:beforeAutospacing="0" w:after="0" w:afterAutospacing="0"/>
              <w:ind w:left="106" w:right="0"/>
              <w:rPr>
                <w:rFonts w:hint="default"/>
                <w:color w:val="000000" w:themeColor="text1"/>
                <w:spacing w:val="-4"/>
                <w:sz w:val="21"/>
                <w:szCs w:val="21"/>
                <w:highlight w:val="none"/>
                <w14:textFill>
                  <w14:solidFill>
                    <w14:schemeClr w14:val="tx1"/>
                  </w14:solidFill>
                </w14:textFill>
              </w:rPr>
            </w:pPr>
          </w:p>
          <w:p>
            <w:pPr>
              <w:pStyle w:val="20"/>
              <w:keepNext w:val="0"/>
              <w:keepLines w:val="0"/>
              <w:suppressLineNumbers w:val="0"/>
              <w:shd w:val="clear"/>
              <w:spacing w:before="0" w:beforeAutospacing="0" w:after="0" w:afterAutospacing="0"/>
              <w:ind w:left="106" w:leftChars="0" w:right="0"/>
              <w:rPr>
                <w:rFonts w:hint="default"/>
                <w:color w:val="000000" w:themeColor="text1"/>
                <w:sz w:val="21"/>
                <w:highlight w:val="none"/>
                <w14:textFill>
                  <w14:solidFill>
                    <w14:schemeClr w14:val="tx1"/>
                  </w14:solidFill>
                </w14:textFill>
              </w:rPr>
            </w:pPr>
            <w:r>
              <w:rPr>
                <w:rFonts w:hint="eastAsia"/>
                <w:color w:val="000000" w:themeColor="text1"/>
                <w:spacing w:val="-4"/>
                <w:sz w:val="21"/>
                <w:szCs w:val="21"/>
                <w:highlight w:val="none"/>
                <w14:textFill>
                  <w14:solidFill>
                    <w14:schemeClr w14:val="tx1"/>
                  </w14:solidFill>
                </w14:textFill>
              </w:rPr>
              <w:t>团队配置要求</w:t>
            </w:r>
          </w:p>
        </w:tc>
        <w:tc>
          <w:tcPr>
            <w:tcW w:w="4259" w:type="dxa"/>
            <w:vAlign w:val="center"/>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r>
              <w:rPr>
                <w:rFonts w:hint="eastAsia" w:ascii="Times New Roman"/>
                <w:color w:val="000000" w:themeColor="text1"/>
                <w:sz w:val="21"/>
                <w:szCs w:val="21"/>
                <w:highlight w:val="none"/>
                <w14:textFill>
                  <w14:solidFill>
                    <w14:schemeClr w14:val="tx1"/>
                  </w14:solidFill>
                </w14:textFill>
              </w:rPr>
              <w:t>招标文件“第二章投标须知”关于服务内容及要求的规定</w:t>
            </w:r>
          </w:p>
        </w:tc>
        <w:tc>
          <w:tcPr>
            <w:tcW w:w="1873" w:type="dxa"/>
            <w:vAlign w:val="top"/>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732"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408" w:type="dxa"/>
          </w:tcPr>
          <w:p>
            <w:pPr>
              <w:pStyle w:val="20"/>
              <w:keepNext w:val="0"/>
              <w:keepLines w:val="0"/>
              <w:suppressLineNumbers w:val="0"/>
              <w:shd w:val="clear"/>
              <w:spacing w:before="161" w:beforeAutospacing="0" w:after="0" w:afterAutospacing="0"/>
              <w:ind w:left="0" w:right="0"/>
              <w:rPr>
                <w:rFonts w:hint="default"/>
                <w:color w:val="000000" w:themeColor="text1"/>
                <w:sz w:val="21"/>
                <w:highlight w:val="none"/>
                <w14:textFill>
                  <w14:solidFill>
                    <w14:schemeClr w14:val="tx1"/>
                  </w14:solidFill>
                </w14:textFill>
              </w:rPr>
            </w:pPr>
          </w:p>
          <w:p>
            <w:pPr>
              <w:pStyle w:val="20"/>
              <w:keepNext w:val="0"/>
              <w:keepLines w:val="0"/>
              <w:suppressLineNumbers w:val="0"/>
              <w:shd w:val="clear"/>
              <w:spacing w:before="0" w:beforeAutospacing="0" w:after="0" w:afterAutospacing="0"/>
              <w:ind w:left="6" w:right="0"/>
              <w:jc w:val="center"/>
              <w:rPr>
                <w:rFonts w:hint="default"/>
                <w:color w:val="000000" w:themeColor="text1"/>
                <w:sz w:val="21"/>
                <w:highlight w:val="none"/>
                <w14:textFill>
                  <w14:solidFill>
                    <w14:schemeClr w14:val="tx1"/>
                  </w14:solidFill>
                </w14:textFill>
              </w:rPr>
            </w:pPr>
            <w:r>
              <w:rPr>
                <w:rFonts w:hint="default"/>
                <w:color w:val="000000" w:themeColor="text1"/>
                <w:spacing w:val="-10"/>
                <w:sz w:val="21"/>
                <w:highlight w:val="none"/>
                <w14:textFill>
                  <w14:solidFill>
                    <w14:schemeClr w14:val="tx1"/>
                  </w14:solidFill>
                </w14:textFill>
              </w:rPr>
              <w:t>4</w:t>
            </w:r>
          </w:p>
        </w:tc>
        <w:tc>
          <w:tcPr>
            <w:tcW w:w="1992" w:type="dxa"/>
            <w:vAlign w:val="center"/>
          </w:tcPr>
          <w:p>
            <w:pPr>
              <w:pStyle w:val="20"/>
              <w:keepNext w:val="0"/>
              <w:keepLines w:val="0"/>
              <w:suppressLineNumbers w:val="0"/>
              <w:shd w:val="clear"/>
              <w:spacing w:before="0" w:beforeAutospacing="0" w:after="0" w:afterAutospacing="0"/>
              <w:ind w:left="106" w:right="0"/>
              <w:rPr>
                <w:rFonts w:hint="default"/>
                <w:color w:val="000000" w:themeColor="text1"/>
                <w:spacing w:val="-4"/>
                <w:sz w:val="21"/>
                <w:szCs w:val="21"/>
                <w:highlight w:val="none"/>
                <w14:textFill>
                  <w14:solidFill>
                    <w14:schemeClr w14:val="tx1"/>
                  </w14:solidFill>
                </w14:textFill>
              </w:rPr>
            </w:pPr>
          </w:p>
          <w:p>
            <w:pPr>
              <w:pStyle w:val="20"/>
              <w:keepNext w:val="0"/>
              <w:keepLines w:val="0"/>
              <w:suppressLineNumbers w:val="0"/>
              <w:shd w:val="clear"/>
              <w:spacing w:before="0" w:beforeAutospacing="0" w:after="0" w:afterAutospacing="0"/>
              <w:ind w:left="106" w:leftChars="0" w:right="0"/>
              <w:rPr>
                <w:rFonts w:hint="default"/>
                <w:color w:val="000000" w:themeColor="text1"/>
                <w:sz w:val="21"/>
                <w:highlight w:val="none"/>
                <w14:textFill>
                  <w14:solidFill>
                    <w14:schemeClr w14:val="tx1"/>
                  </w14:solidFill>
                </w14:textFill>
              </w:rPr>
            </w:pPr>
            <w:r>
              <w:rPr>
                <w:rFonts w:hint="eastAsia"/>
                <w:color w:val="000000" w:themeColor="text1"/>
                <w:spacing w:val="-4"/>
                <w:sz w:val="21"/>
                <w:szCs w:val="21"/>
                <w:highlight w:val="none"/>
                <w14:textFill>
                  <w14:solidFill>
                    <w14:schemeClr w14:val="tx1"/>
                  </w14:solidFill>
                </w14:textFill>
              </w:rPr>
              <w:t>服务期限</w:t>
            </w:r>
          </w:p>
        </w:tc>
        <w:tc>
          <w:tcPr>
            <w:tcW w:w="4259" w:type="dxa"/>
            <w:vAlign w:val="center"/>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r>
              <w:rPr>
                <w:rFonts w:hint="eastAsia" w:ascii="Times New Roman"/>
                <w:color w:val="000000" w:themeColor="text1"/>
                <w:sz w:val="21"/>
                <w:szCs w:val="21"/>
                <w:highlight w:val="none"/>
                <w14:textFill>
                  <w14:solidFill>
                    <w14:schemeClr w14:val="tx1"/>
                  </w14:solidFill>
                </w14:textFill>
              </w:rPr>
              <w:t>招标文件“第二章投标须知”关于服务内容及要求的规定</w:t>
            </w:r>
          </w:p>
        </w:tc>
        <w:tc>
          <w:tcPr>
            <w:tcW w:w="1873" w:type="dxa"/>
            <w:vAlign w:val="top"/>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732"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408" w:type="dxa"/>
          </w:tcPr>
          <w:p>
            <w:pPr>
              <w:pStyle w:val="20"/>
              <w:keepNext w:val="0"/>
              <w:keepLines w:val="0"/>
              <w:suppressLineNumbers w:val="0"/>
              <w:shd w:val="clear"/>
              <w:spacing w:before="12" w:beforeAutospacing="0" w:after="0" w:afterAutospacing="0"/>
              <w:ind w:left="0" w:right="0"/>
              <w:rPr>
                <w:rFonts w:hint="default"/>
                <w:color w:val="000000" w:themeColor="text1"/>
                <w:sz w:val="21"/>
                <w:highlight w:val="none"/>
                <w14:textFill>
                  <w14:solidFill>
                    <w14:schemeClr w14:val="tx1"/>
                  </w14:solidFill>
                </w14:textFill>
              </w:rPr>
            </w:pPr>
          </w:p>
          <w:p>
            <w:pPr>
              <w:pStyle w:val="20"/>
              <w:keepNext w:val="0"/>
              <w:keepLines w:val="0"/>
              <w:suppressLineNumbers w:val="0"/>
              <w:shd w:val="clear"/>
              <w:spacing w:before="0" w:beforeAutospacing="0" w:after="0" w:afterAutospacing="0"/>
              <w:ind w:left="6" w:right="0"/>
              <w:jc w:val="center"/>
              <w:rPr>
                <w:rFonts w:hint="default"/>
                <w:color w:val="000000" w:themeColor="text1"/>
                <w:sz w:val="21"/>
                <w:highlight w:val="none"/>
                <w14:textFill>
                  <w14:solidFill>
                    <w14:schemeClr w14:val="tx1"/>
                  </w14:solidFill>
                </w14:textFill>
              </w:rPr>
            </w:pPr>
            <w:r>
              <w:rPr>
                <w:rFonts w:hint="default"/>
                <w:color w:val="000000" w:themeColor="text1"/>
                <w:spacing w:val="-10"/>
                <w:sz w:val="21"/>
                <w:highlight w:val="none"/>
                <w14:textFill>
                  <w14:solidFill>
                    <w14:schemeClr w14:val="tx1"/>
                  </w14:solidFill>
                </w14:textFill>
              </w:rPr>
              <w:t>5</w:t>
            </w:r>
          </w:p>
        </w:tc>
        <w:tc>
          <w:tcPr>
            <w:tcW w:w="1992" w:type="dxa"/>
            <w:vAlign w:val="center"/>
          </w:tcPr>
          <w:p>
            <w:pPr>
              <w:pStyle w:val="20"/>
              <w:keepNext w:val="0"/>
              <w:keepLines w:val="0"/>
              <w:suppressLineNumbers w:val="0"/>
              <w:shd w:val="clear"/>
              <w:spacing w:before="0" w:beforeAutospacing="0" w:after="0" w:afterAutospacing="0"/>
              <w:ind w:left="106" w:right="0"/>
              <w:rPr>
                <w:rFonts w:hint="default"/>
                <w:color w:val="000000" w:themeColor="text1"/>
                <w:spacing w:val="-4"/>
                <w:sz w:val="21"/>
                <w:szCs w:val="21"/>
                <w:highlight w:val="none"/>
                <w14:textFill>
                  <w14:solidFill>
                    <w14:schemeClr w14:val="tx1"/>
                  </w14:solidFill>
                </w14:textFill>
              </w:rPr>
            </w:pPr>
          </w:p>
          <w:p>
            <w:pPr>
              <w:pStyle w:val="20"/>
              <w:keepNext w:val="0"/>
              <w:keepLines w:val="0"/>
              <w:suppressLineNumbers w:val="0"/>
              <w:shd w:val="clear"/>
              <w:spacing w:before="0" w:beforeAutospacing="0" w:after="0" w:afterAutospacing="0"/>
              <w:ind w:left="106" w:leftChars="0" w:right="0"/>
              <w:rPr>
                <w:rFonts w:hint="default"/>
                <w:color w:val="000000" w:themeColor="text1"/>
                <w:sz w:val="21"/>
                <w:highlight w:val="none"/>
                <w14:textFill>
                  <w14:solidFill>
                    <w14:schemeClr w14:val="tx1"/>
                  </w14:solidFill>
                </w14:textFill>
              </w:rPr>
            </w:pPr>
            <w:r>
              <w:rPr>
                <w:rFonts w:hint="eastAsia"/>
                <w:color w:val="000000" w:themeColor="text1"/>
                <w:spacing w:val="-4"/>
                <w:sz w:val="21"/>
                <w:szCs w:val="21"/>
                <w:highlight w:val="none"/>
                <w14:textFill>
                  <w14:solidFill>
                    <w14:schemeClr w14:val="tx1"/>
                  </w14:solidFill>
                </w14:textFill>
              </w:rPr>
              <w:t>履约保证金</w:t>
            </w:r>
          </w:p>
        </w:tc>
        <w:tc>
          <w:tcPr>
            <w:tcW w:w="4259" w:type="dxa"/>
            <w:vAlign w:val="center"/>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r>
              <w:rPr>
                <w:rFonts w:hint="eastAsia" w:ascii="Times New Roman"/>
                <w:color w:val="000000" w:themeColor="text1"/>
                <w:sz w:val="21"/>
                <w:szCs w:val="21"/>
                <w:highlight w:val="none"/>
                <w14:textFill>
                  <w14:solidFill>
                    <w14:schemeClr w14:val="tx1"/>
                  </w14:solidFill>
                </w14:textFill>
              </w:rPr>
              <w:t>招标文件“第二章投标须知”关于服务内容及要求的规定</w:t>
            </w:r>
          </w:p>
        </w:tc>
        <w:tc>
          <w:tcPr>
            <w:tcW w:w="1873" w:type="dxa"/>
            <w:vAlign w:val="top"/>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732"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408" w:type="dxa"/>
          </w:tcPr>
          <w:p>
            <w:pPr>
              <w:pStyle w:val="20"/>
              <w:keepNext w:val="0"/>
              <w:keepLines w:val="0"/>
              <w:suppressLineNumbers w:val="0"/>
              <w:shd w:val="clear"/>
              <w:spacing w:before="137" w:beforeAutospacing="0" w:after="0" w:afterAutospacing="0"/>
              <w:ind w:left="0" w:right="0"/>
              <w:rPr>
                <w:rFonts w:hint="default"/>
                <w:color w:val="000000" w:themeColor="text1"/>
                <w:sz w:val="21"/>
                <w:highlight w:val="none"/>
                <w14:textFill>
                  <w14:solidFill>
                    <w14:schemeClr w14:val="tx1"/>
                  </w14:solidFill>
                </w14:textFill>
              </w:rPr>
            </w:pPr>
          </w:p>
          <w:p>
            <w:pPr>
              <w:pStyle w:val="20"/>
              <w:keepNext w:val="0"/>
              <w:keepLines w:val="0"/>
              <w:suppressLineNumbers w:val="0"/>
              <w:shd w:val="clear"/>
              <w:spacing w:before="0" w:beforeAutospacing="0" w:after="0" w:afterAutospacing="0"/>
              <w:ind w:left="6" w:right="0"/>
              <w:jc w:val="center"/>
              <w:rPr>
                <w:rFonts w:hint="default"/>
                <w:color w:val="000000" w:themeColor="text1"/>
                <w:sz w:val="21"/>
                <w:highlight w:val="none"/>
                <w14:textFill>
                  <w14:solidFill>
                    <w14:schemeClr w14:val="tx1"/>
                  </w14:solidFill>
                </w14:textFill>
              </w:rPr>
            </w:pPr>
            <w:r>
              <w:rPr>
                <w:rFonts w:hint="default"/>
                <w:color w:val="000000" w:themeColor="text1"/>
                <w:spacing w:val="-10"/>
                <w:sz w:val="21"/>
                <w:highlight w:val="none"/>
                <w14:textFill>
                  <w14:solidFill>
                    <w14:schemeClr w14:val="tx1"/>
                  </w14:solidFill>
                </w14:textFill>
              </w:rPr>
              <w:t>6</w:t>
            </w:r>
          </w:p>
        </w:tc>
        <w:tc>
          <w:tcPr>
            <w:tcW w:w="1992" w:type="dxa"/>
            <w:vAlign w:val="center"/>
          </w:tcPr>
          <w:p>
            <w:pPr>
              <w:pStyle w:val="20"/>
              <w:keepNext w:val="0"/>
              <w:keepLines w:val="0"/>
              <w:suppressLineNumbers w:val="0"/>
              <w:shd w:val="clear"/>
              <w:spacing w:before="0" w:beforeAutospacing="0" w:after="0" w:afterAutospacing="0"/>
              <w:ind w:left="106" w:leftChars="0" w:right="0"/>
              <w:rPr>
                <w:rFonts w:hint="default" w:ascii="Times New Roman"/>
                <w:color w:val="000000" w:themeColor="text1"/>
                <w:sz w:val="20"/>
                <w:highlight w:val="none"/>
                <w14:textFill>
                  <w14:solidFill>
                    <w14:schemeClr w14:val="tx1"/>
                  </w14:solidFill>
                </w14:textFill>
              </w:rPr>
            </w:pPr>
            <w:r>
              <w:rPr>
                <w:rFonts w:hint="eastAsia"/>
                <w:color w:val="000000" w:themeColor="text1"/>
                <w:spacing w:val="-4"/>
                <w:sz w:val="21"/>
                <w:szCs w:val="21"/>
                <w:highlight w:val="none"/>
                <w14:textFill>
                  <w14:solidFill>
                    <w14:schemeClr w14:val="tx1"/>
                  </w14:solidFill>
                </w14:textFill>
              </w:rPr>
              <w:t>中标后分包</w:t>
            </w:r>
          </w:p>
        </w:tc>
        <w:tc>
          <w:tcPr>
            <w:tcW w:w="4259" w:type="dxa"/>
            <w:vAlign w:val="center"/>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r>
              <w:rPr>
                <w:rFonts w:hint="eastAsia" w:ascii="Times New Roman"/>
                <w:color w:val="000000" w:themeColor="text1"/>
                <w:sz w:val="21"/>
                <w:szCs w:val="21"/>
                <w:highlight w:val="none"/>
                <w14:textFill>
                  <w14:solidFill>
                    <w14:schemeClr w14:val="tx1"/>
                  </w14:solidFill>
                </w14:textFill>
              </w:rPr>
              <w:t>招标文件“第二章投标须知”关于服务内容及要求的规定</w:t>
            </w:r>
          </w:p>
        </w:tc>
        <w:tc>
          <w:tcPr>
            <w:tcW w:w="1873" w:type="dxa"/>
            <w:vAlign w:val="top"/>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732"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408" w:type="dxa"/>
          </w:tcPr>
          <w:p>
            <w:pPr>
              <w:pStyle w:val="20"/>
              <w:keepNext w:val="0"/>
              <w:keepLines w:val="0"/>
              <w:suppressLineNumbers w:val="0"/>
              <w:shd w:val="clear"/>
              <w:spacing w:before="161" w:beforeAutospacing="0" w:after="0" w:afterAutospacing="0"/>
              <w:ind w:left="0" w:right="0"/>
              <w:rPr>
                <w:rFonts w:hint="default"/>
                <w:color w:val="000000" w:themeColor="text1"/>
                <w:sz w:val="21"/>
                <w:highlight w:val="none"/>
                <w14:textFill>
                  <w14:solidFill>
                    <w14:schemeClr w14:val="tx1"/>
                  </w14:solidFill>
                </w14:textFill>
              </w:rPr>
            </w:pPr>
          </w:p>
          <w:p>
            <w:pPr>
              <w:pStyle w:val="20"/>
              <w:keepNext w:val="0"/>
              <w:keepLines w:val="0"/>
              <w:suppressLineNumbers w:val="0"/>
              <w:shd w:val="clear"/>
              <w:spacing w:before="0" w:beforeAutospacing="0" w:after="0" w:afterAutospacing="0"/>
              <w:ind w:left="6" w:right="0"/>
              <w:jc w:val="center"/>
              <w:rPr>
                <w:rFonts w:hint="default"/>
                <w:color w:val="000000" w:themeColor="text1"/>
                <w:sz w:val="21"/>
                <w:highlight w:val="none"/>
                <w14:textFill>
                  <w14:solidFill>
                    <w14:schemeClr w14:val="tx1"/>
                  </w14:solidFill>
                </w14:textFill>
              </w:rPr>
            </w:pPr>
            <w:r>
              <w:rPr>
                <w:rFonts w:hint="default"/>
                <w:color w:val="000000" w:themeColor="text1"/>
                <w:spacing w:val="-10"/>
                <w:sz w:val="21"/>
                <w:highlight w:val="none"/>
                <w14:textFill>
                  <w14:solidFill>
                    <w14:schemeClr w14:val="tx1"/>
                  </w14:solidFill>
                </w14:textFill>
              </w:rPr>
              <w:t>7</w:t>
            </w:r>
          </w:p>
        </w:tc>
        <w:tc>
          <w:tcPr>
            <w:tcW w:w="1992" w:type="dxa"/>
            <w:vAlign w:val="center"/>
          </w:tcPr>
          <w:p>
            <w:pPr>
              <w:pStyle w:val="20"/>
              <w:keepNext w:val="0"/>
              <w:keepLines w:val="0"/>
              <w:suppressLineNumbers w:val="0"/>
              <w:shd w:val="clear"/>
              <w:spacing w:before="0" w:beforeAutospacing="0" w:after="0" w:afterAutospacing="0"/>
              <w:ind w:left="106" w:leftChars="0" w:right="0"/>
              <w:rPr>
                <w:rFonts w:hint="default" w:ascii="Times New Roman"/>
                <w:color w:val="000000" w:themeColor="text1"/>
                <w:sz w:val="20"/>
                <w:highlight w:val="none"/>
                <w14:textFill>
                  <w14:solidFill>
                    <w14:schemeClr w14:val="tx1"/>
                  </w14:solidFill>
                </w14:textFill>
              </w:rPr>
            </w:pPr>
            <w:r>
              <w:rPr>
                <w:rFonts w:hint="eastAsia"/>
                <w:color w:val="000000" w:themeColor="text1"/>
                <w:spacing w:val="-4"/>
                <w:sz w:val="21"/>
                <w:szCs w:val="21"/>
                <w:highlight w:val="none"/>
                <w14:textFill>
                  <w14:solidFill>
                    <w14:schemeClr w14:val="tx1"/>
                  </w14:solidFill>
                </w14:textFill>
              </w:rPr>
              <w:t>财务核算</w:t>
            </w:r>
          </w:p>
        </w:tc>
        <w:tc>
          <w:tcPr>
            <w:tcW w:w="4259" w:type="dxa"/>
            <w:vAlign w:val="center"/>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r>
              <w:rPr>
                <w:rFonts w:hint="eastAsia" w:ascii="Times New Roman"/>
                <w:color w:val="000000" w:themeColor="text1"/>
                <w:sz w:val="21"/>
                <w:szCs w:val="21"/>
                <w:highlight w:val="none"/>
                <w14:textFill>
                  <w14:solidFill>
                    <w14:schemeClr w14:val="tx1"/>
                  </w14:solidFill>
                </w14:textFill>
              </w:rPr>
              <w:t>招标文件“第三章采购需求”关于财务核算内容及要求的规定</w:t>
            </w:r>
          </w:p>
        </w:tc>
        <w:tc>
          <w:tcPr>
            <w:tcW w:w="1873" w:type="dxa"/>
            <w:vAlign w:val="top"/>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732"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2" w:hRule="atLeast"/>
        </w:trPr>
        <w:tc>
          <w:tcPr>
            <w:tcW w:w="408"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992"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4259"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873"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732"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r>
    </w:tbl>
    <w:p>
      <w:pPr>
        <w:pStyle w:val="10"/>
        <w:shd w:val="clear"/>
        <w:ind w:left="0"/>
        <w:rPr>
          <w:color w:val="000000" w:themeColor="text1"/>
          <w:sz w:val="21"/>
          <w:highlight w:val="none"/>
          <w14:textFill>
            <w14:solidFill>
              <w14:schemeClr w14:val="tx1"/>
            </w14:solidFill>
          </w14:textFill>
        </w:rPr>
      </w:pPr>
    </w:p>
    <w:p>
      <w:pPr>
        <w:pStyle w:val="10"/>
        <w:shd w:val="clear"/>
        <w:spacing w:before="21"/>
        <w:ind w:left="0"/>
        <w:rPr>
          <w:color w:val="000000" w:themeColor="text1"/>
          <w:sz w:val="21"/>
          <w:highlight w:val="none"/>
          <w14:textFill>
            <w14:solidFill>
              <w14:schemeClr w14:val="tx1"/>
            </w14:solidFill>
          </w14:textFill>
        </w:rPr>
      </w:pPr>
    </w:p>
    <w:p>
      <w:pPr>
        <w:shd w:val="clear"/>
        <w:ind w:left="780"/>
        <w:rPr>
          <w:b/>
          <w:color w:val="000000" w:themeColor="text1"/>
          <w:sz w:val="21"/>
          <w:highlight w:val="none"/>
          <w14:textFill>
            <w14:solidFill>
              <w14:schemeClr w14:val="tx1"/>
            </w14:solidFill>
          </w14:textFill>
        </w:rPr>
      </w:pPr>
      <w:r>
        <w:rPr>
          <w:b/>
          <w:color w:val="000000" w:themeColor="text1"/>
          <w:spacing w:val="-3"/>
          <w:sz w:val="21"/>
          <w:highlight w:val="none"/>
          <w14:textFill>
            <w14:solidFill>
              <w14:schemeClr w14:val="tx1"/>
            </w14:solidFill>
          </w14:textFill>
        </w:rPr>
        <w:t>注：“实质性响应一览表”中的内容为参考，可根据项目情况自行设置。</w:t>
      </w:r>
    </w:p>
    <w:p>
      <w:pPr>
        <w:shd w:val="clear"/>
        <w:rPr>
          <w:color w:val="000000" w:themeColor="text1"/>
          <w:sz w:val="21"/>
          <w:highlight w:val="none"/>
          <w14:textFill>
            <w14:solidFill>
              <w14:schemeClr w14:val="tx1"/>
            </w14:solidFill>
          </w14:textFill>
        </w:rPr>
        <w:sectPr>
          <w:pgSz w:w="11910" w:h="16840"/>
          <w:pgMar w:top="1380" w:right="1020" w:bottom="1180" w:left="1020" w:header="878" w:footer="989" w:gutter="0"/>
          <w:cols w:space="720" w:num="1"/>
        </w:sectPr>
      </w:pPr>
    </w:p>
    <w:p>
      <w:pPr>
        <w:pStyle w:val="7"/>
        <w:shd w:val="clear"/>
        <w:spacing w:before="133"/>
        <w:rPr>
          <w:color w:val="000000" w:themeColor="text1"/>
          <w:highlight w:val="none"/>
          <w14:textFill>
            <w14:solidFill>
              <w14:schemeClr w14:val="tx1"/>
            </w14:solidFill>
          </w14:textFill>
        </w:rPr>
      </w:pPr>
      <w:bookmarkStart w:id="111" w:name="（二）评分标准"/>
      <w:bookmarkEnd w:id="111"/>
      <w:r>
        <w:rPr>
          <w:color w:val="000000" w:themeColor="text1"/>
          <w:spacing w:val="-2"/>
          <w:highlight w:val="none"/>
          <w14:textFill>
            <w14:solidFill>
              <w14:schemeClr w14:val="tx1"/>
            </w14:solidFill>
          </w14:textFill>
        </w:rPr>
        <w:t>（二）</w:t>
      </w:r>
      <w:r>
        <w:rPr>
          <w:color w:val="000000" w:themeColor="text1"/>
          <w:spacing w:val="-4"/>
          <w:highlight w:val="none"/>
          <w14:textFill>
            <w14:solidFill>
              <w14:schemeClr w14:val="tx1"/>
            </w14:solidFill>
          </w14:textFill>
        </w:rPr>
        <w:t>评分标准</w:t>
      </w:r>
    </w:p>
    <w:p>
      <w:pPr>
        <w:pStyle w:val="19"/>
        <w:numPr>
          <w:ilvl w:val="0"/>
          <w:numId w:val="0"/>
        </w:numPr>
        <w:shd w:val="clear"/>
        <w:tabs>
          <w:tab w:val="left" w:pos="1802"/>
        </w:tabs>
        <w:spacing w:before="148" w:line="352" w:lineRule="auto"/>
        <w:ind w:left="222" w:leftChars="0" w:right="777" w:rightChars="0" w:firstLine="656" w:firstLineChars="278"/>
        <w:rPr>
          <w:rFonts w:hint="eastAsia"/>
          <w:color w:val="000000" w:themeColor="text1"/>
          <w:spacing w:val="-2"/>
          <w:sz w:val="24"/>
          <w:highlight w:val="none"/>
          <w:lang w:val="en-US" w:eastAsia="zh-CN"/>
          <w14:textFill>
            <w14:solidFill>
              <w14:schemeClr w14:val="tx1"/>
            </w14:solidFill>
          </w14:textFill>
        </w:rPr>
      </w:pPr>
      <w:r>
        <w:rPr>
          <w:rFonts w:hint="eastAsia"/>
          <w:color w:val="000000" w:themeColor="text1"/>
          <w:spacing w:val="-2"/>
          <w:sz w:val="24"/>
          <w:highlight w:val="none"/>
          <w:lang w:val="en-US" w:eastAsia="zh-CN"/>
          <w14:textFill>
            <w14:solidFill>
              <w14:schemeClr w14:val="tx1"/>
            </w14:solidFill>
          </w14:textFill>
        </w:rPr>
        <w:t>投标文件评价采用综合评分法，评分按报价、技术和商务两部分分别打分的方式进行。两项总分为</w:t>
      </w:r>
      <w:r>
        <w:rPr>
          <w:rFonts w:hint="default"/>
          <w:color w:val="000000" w:themeColor="text1"/>
          <w:spacing w:val="-2"/>
          <w:sz w:val="24"/>
          <w:highlight w:val="none"/>
          <w:lang w:val="en-US" w:eastAsia="zh-CN"/>
          <w14:textFill>
            <w14:solidFill>
              <w14:schemeClr w14:val="tx1"/>
            </w14:solidFill>
          </w14:textFill>
        </w:rPr>
        <w:t xml:space="preserve"> 100 </w:t>
      </w:r>
      <w:r>
        <w:rPr>
          <w:rFonts w:hint="eastAsia"/>
          <w:color w:val="000000" w:themeColor="text1"/>
          <w:spacing w:val="-2"/>
          <w:sz w:val="24"/>
          <w:highlight w:val="none"/>
          <w:lang w:val="en-US" w:eastAsia="zh-CN"/>
          <w14:textFill>
            <w14:solidFill>
              <w14:schemeClr w14:val="tx1"/>
            </w14:solidFill>
          </w14:textFill>
        </w:rPr>
        <w:t>分。注：技术和商务部分总分</w:t>
      </w:r>
      <w:r>
        <w:rPr>
          <w:rFonts w:hint="default"/>
          <w:color w:val="000000" w:themeColor="text1"/>
          <w:spacing w:val="-2"/>
          <w:sz w:val="24"/>
          <w:highlight w:val="none"/>
          <w:lang w:val="en-US" w:eastAsia="zh-CN"/>
          <w14:textFill>
            <w14:solidFill>
              <w14:schemeClr w14:val="tx1"/>
            </w14:solidFill>
          </w14:textFill>
        </w:rPr>
        <w:t>70</w:t>
      </w:r>
      <w:r>
        <w:rPr>
          <w:rFonts w:hint="eastAsia"/>
          <w:color w:val="000000" w:themeColor="text1"/>
          <w:spacing w:val="-2"/>
          <w:sz w:val="24"/>
          <w:highlight w:val="none"/>
          <w:lang w:val="en-US" w:eastAsia="zh-CN"/>
          <w14:textFill>
            <w14:solidFill>
              <w14:schemeClr w14:val="tx1"/>
            </w14:solidFill>
          </w14:textFill>
        </w:rPr>
        <w:t>分，报价部分总分</w:t>
      </w:r>
      <w:r>
        <w:rPr>
          <w:rFonts w:hint="default"/>
          <w:color w:val="000000" w:themeColor="text1"/>
          <w:spacing w:val="-2"/>
          <w:sz w:val="24"/>
          <w:highlight w:val="none"/>
          <w:lang w:val="en-US" w:eastAsia="zh-CN"/>
          <w14:textFill>
            <w14:solidFill>
              <w14:schemeClr w14:val="tx1"/>
            </w14:solidFill>
          </w14:textFill>
        </w:rPr>
        <w:t>30</w:t>
      </w:r>
      <w:r>
        <w:rPr>
          <w:rFonts w:hint="eastAsia"/>
          <w:color w:val="000000" w:themeColor="text1"/>
          <w:spacing w:val="-2"/>
          <w:sz w:val="24"/>
          <w:highlight w:val="none"/>
          <w:lang w:val="en-US" w:eastAsia="zh-CN"/>
          <w14:textFill>
            <w14:solidFill>
              <w14:schemeClr w14:val="tx1"/>
            </w14:solidFill>
          </w14:textFill>
        </w:rPr>
        <w:t>分。</w:t>
      </w:r>
    </w:p>
    <w:p>
      <w:pPr>
        <w:keepNext w:val="0"/>
        <w:keepLines w:val="0"/>
        <w:widowControl w:val="0"/>
        <w:suppressLineNumbers w:val="0"/>
        <w:shd w:val="clear"/>
        <w:snapToGrid w:val="0"/>
        <w:spacing w:before="0" w:beforeAutospacing="0" w:after="0" w:afterAutospacing="0" w:line="360" w:lineRule="auto"/>
        <w:ind w:left="0" w:right="0" w:firstLine="482" w:firstLineChars="200"/>
        <w:jc w:val="center"/>
        <w:rPr>
          <w:rFonts w:hint="eastAsia" w:ascii="宋体" w:hAnsi="宋体" w:eastAsia="宋体" w:cs="宋体"/>
          <w:b/>
          <w:bCs w:val="0"/>
          <w:color w:val="000000" w:themeColor="text1"/>
          <w:sz w:val="24"/>
          <w:szCs w:val="24"/>
          <w:highlight w:val="none"/>
          <w:lang w:val="en-US"/>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第一标段评审标准</w:t>
      </w:r>
    </w:p>
    <w:tbl>
      <w:tblPr>
        <w:tblStyle w:val="14"/>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714"/>
        <w:gridCol w:w="727"/>
        <w:gridCol w:w="777"/>
        <w:gridCol w:w="6809"/>
        <w:gridCol w:w="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黑体" w:hAnsi="宋体" w:eastAsia="黑体" w:cs="黑体"/>
                <w:b/>
                <w:bCs/>
                <w:color w:val="000000" w:themeColor="text1"/>
                <w:sz w:val="22"/>
                <w:szCs w:val="22"/>
                <w:highlight w:val="none"/>
                <w:lang w:val="en-US"/>
                <w14:textFill>
                  <w14:solidFill>
                    <w14:schemeClr w14:val="tx1"/>
                  </w14:solidFill>
                </w14:textFill>
              </w:rPr>
            </w:pPr>
            <w:r>
              <w:rPr>
                <w:rFonts w:hint="eastAsia" w:ascii="黑体" w:hAnsi="宋体" w:eastAsia="黑体" w:cs="黑体"/>
                <w:b/>
                <w:bCs/>
                <w:color w:val="000000" w:themeColor="text1"/>
                <w:kern w:val="2"/>
                <w:sz w:val="22"/>
                <w:szCs w:val="22"/>
                <w:highlight w:val="none"/>
                <w:lang w:val="en-US" w:eastAsia="zh-CN" w:bidi="ar"/>
                <w14:textFill>
                  <w14:solidFill>
                    <w14:schemeClr w14:val="tx1"/>
                  </w14:solidFill>
                </w14:textFill>
              </w:rPr>
              <w:t>序号</w:t>
            </w:r>
          </w:p>
        </w:tc>
        <w:tc>
          <w:tcPr>
            <w:tcW w:w="1504"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黑体" w:hAnsi="宋体" w:eastAsia="黑体" w:cs="黑体"/>
                <w:b/>
                <w:bCs/>
                <w:color w:val="000000" w:themeColor="text1"/>
                <w:sz w:val="22"/>
                <w:szCs w:val="22"/>
                <w:highlight w:val="none"/>
                <w:lang w:val="en-US"/>
                <w14:textFill>
                  <w14:solidFill>
                    <w14:schemeClr w14:val="tx1"/>
                  </w14:solidFill>
                </w14:textFill>
              </w:rPr>
            </w:pPr>
            <w:r>
              <w:rPr>
                <w:rFonts w:hint="eastAsia" w:ascii="黑体" w:hAnsi="宋体" w:eastAsia="黑体" w:cs="黑体"/>
                <w:b/>
                <w:bCs/>
                <w:color w:val="000000" w:themeColor="text1"/>
                <w:kern w:val="2"/>
                <w:sz w:val="22"/>
                <w:szCs w:val="22"/>
                <w:highlight w:val="none"/>
                <w:lang w:val="en-US" w:eastAsia="zh-CN" w:bidi="ar"/>
                <w14:textFill>
                  <w14:solidFill>
                    <w14:schemeClr w14:val="tx1"/>
                  </w14:solidFill>
                </w14:textFill>
              </w:rPr>
              <w:t>评分内容</w:t>
            </w:r>
          </w:p>
        </w:tc>
        <w:tc>
          <w:tcPr>
            <w:tcW w:w="68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黑体" w:hAnsi="宋体" w:eastAsia="黑体" w:cs="黑体"/>
                <w:b/>
                <w:bCs/>
                <w:color w:val="000000" w:themeColor="text1"/>
                <w:sz w:val="22"/>
                <w:szCs w:val="22"/>
                <w:highlight w:val="none"/>
                <w:lang w:val="en-US"/>
                <w14:textFill>
                  <w14:solidFill>
                    <w14:schemeClr w14:val="tx1"/>
                  </w14:solidFill>
                </w14:textFill>
              </w:rPr>
            </w:pPr>
            <w:r>
              <w:rPr>
                <w:rFonts w:hint="eastAsia" w:ascii="黑体" w:hAnsi="宋体" w:eastAsia="黑体" w:cs="黑体"/>
                <w:b/>
                <w:bCs/>
                <w:color w:val="000000" w:themeColor="text1"/>
                <w:kern w:val="2"/>
                <w:sz w:val="22"/>
                <w:szCs w:val="22"/>
                <w:highlight w:val="none"/>
                <w:lang w:val="en-US" w:eastAsia="zh-CN" w:bidi="ar"/>
                <w14:textFill>
                  <w14:solidFill>
                    <w14:schemeClr w14:val="tx1"/>
                  </w14:solidFill>
                </w14:textFill>
              </w:rPr>
              <w:t>评分方法</w:t>
            </w:r>
          </w:p>
        </w:tc>
        <w:tc>
          <w:tcPr>
            <w:tcW w:w="6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黑体" w:hAnsi="宋体" w:eastAsia="黑体" w:cs="黑体"/>
                <w:b/>
                <w:bCs/>
                <w:color w:val="000000" w:themeColor="text1"/>
                <w:sz w:val="22"/>
                <w:szCs w:val="22"/>
                <w:highlight w:val="none"/>
                <w:lang w:val="en-US"/>
                <w14:textFill>
                  <w14:solidFill>
                    <w14:schemeClr w14:val="tx1"/>
                  </w14:solidFill>
                </w14:textFill>
              </w:rPr>
            </w:pPr>
            <w:r>
              <w:rPr>
                <w:rFonts w:hint="eastAsia" w:ascii="黑体" w:hAnsi="宋体" w:eastAsia="黑体" w:cs="黑体"/>
                <w:b/>
                <w:bCs/>
                <w:color w:val="000000" w:themeColor="text1"/>
                <w:kern w:val="2"/>
                <w:sz w:val="22"/>
                <w:szCs w:val="22"/>
                <w:highlight w:val="none"/>
                <w:lang w:val="en-US" w:eastAsia="zh-CN" w:bidi="ar"/>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52" w:hRule="atLeast"/>
          <w:jc w:val="center"/>
        </w:trPr>
        <w:tc>
          <w:tcPr>
            <w:tcW w:w="7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jc w:val="center"/>
              <w:textAlignment w:val="center"/>
              <w:rPr>
                <w:rFonts w:hint="default"/>
                <w:color w:val="000000" w:themeColor="text1"/>
                <w:sz w:val="24"/>
                <w:szCs w:val="24"/>
                <w:highlight w:val="none"/>
                <w:lang w:val="en-US"/>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1</w:t>
            </w:r>
          </w:p>
        </w:tc>
        <w:tc>
          <w:tcPr>
            <w:tcW w:w="1504"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jc w:val="center"/>
              <w:textAlignment w:val="center"/>
              <w:rPr>
                <w:rFonts w:hint="default"/>
                <w:color w:val="000000" w:themeColor="text1"/>
                <w:sz w:val="24"/>
                <w:szCs w:val="24"/>
                <w:highlight w:val="none"/>
                <w:lang w:val="en-US"/>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投标报价</w:t>
            </w:r>
          </w:p>
          <w:p>
            <w:pPr>
              <w:keepNext w:val="0"/>
              <w:keepLines w:val="0"/>
              <w:widowControl/>
              <w:suppressLineNumbers w:val="0"/>
              <w:shd w:val="clear"/>
              <w:spacing w:before="0" w:beforeAutospacing="0" w:after="0" w:afterAutospacing="0"/>
              <w:ind w:left="0" w:right="0"/>
              <w:jc w:val="center"/>
              <w:textAlignment w:val="center"/>
              <w:rPr>
                <w:rFonts w:hint="default"/>
                <w:color w:val="000000" w:themeColor="text1"/>
                <w:sz w:val="24"/>
                <w:szCs w:val="24"/>
                <w:highlight w:val="none"/>
                <w:lang w:val="en-US"/>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(30</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分</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w:t>
            </w:r>
          </w:p>
        </w:tc>
        <w:tc>
          <w:tcPr>
            <w:tcW w:w="68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3"/>
              <w:keepNext w:val="0"/>
              <w:keepLines w:val="0"/>
              <w:widowControl w:val="0"/>
              <w:suppressLineNumbers w:val="0"/>
              <w:shd w:val="clear"/>
              <w:spacing w:before="0" w:beforeAutospacing="0" w:after="0" w:afterAutospacing="0"/>
              <w:ind w:left="0" w:right="0" w:firstLine="0"/>
              <w:jc w:val="both"/>
              <w:rPr>
                <w:rFonts w:hint="default"/>
                <w:color w:val="000000" w:themeColor="text1"/>
                <w:sz w:val="24"/>
                <w:szCs w:val="24"/>
                <w:highlight w:val="none"/>
                <w:lang w:val="en-US"/>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以满足</w:t>
            </w:r>
            <w:r>
              <w:rPr>
                <w:rFonts w:hint="eastAsia"/>
              </w:rPr>
              <w:t>招标</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文件要求的支付餐饮服务费比例最低的投标价为基准价，其报价分为满分。其他投标人的报价按下列公式计算：</w:t>
            </w:r>
          </w:p>
          <w:p>
            <w:pPr>
              <w:pStyle w:val="13"/>
              <w:keepNext w:val="0"/>
              <w:keepLines w:val="0"/>
              <w:widowControl w:val="0"/>
              <w:suppressLineNumbers w:val="0"/>
              <w:shd w:val="clear"/>
              <w:spacing w:before="0" w:beforeAutospacing="0" w:after="0" w:afterAutospacing="0"/>
              <w:ind w:left="0" w:right="0" w:firstLine="420"/>
              <w:jc w:val="both"/>
              <w:rPr>
                <w:rFonts w:hint="default"/>
                <w:color w:val="000000" w:themeColor="text1"/>
                <w:sz w:val="24"/>
                <w:szCs w:val="24"/>
                <w:highlight w:val="none"/>
                <w:lang w:val="en-US"/>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报价得分＝（评标基准价</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投标人报价）</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×30</w:t>
            </w:r>
          </w:p>
        </w:tc>
        <w:tc>
          <w:tcPr>
            <w:tcW w:w="6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jc w:val="center"/>
              <w:textAlignment w:val="center"/>
              <w:rPr>
                <w:rFonts w:hint="default"/>
                <w:color w:val="000000" w:themeColor="text1"/>
                <w:sz w:val="24"/>
                <w:szCs w:val="24"/>
                <w:highlight w:val="none"/>
                <w:lang w:val="en-US"/>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29" w:hRule="atLeast"/>
          <w:jc w:val="center"/>
        </w:trPr>
        <w:tc>
          <w:tcPr>
            <w:tcW w:w="71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jc w:val="center"/>
              <w:textAlignment w:val="center"/>
              <w:rPr>
                <w:rFonts w:hint="default"/>
                <w:color w:val="000000" w:themeColor="text1"/>
                <w:sz w:val="24"/>
                <w:szCs w:val="24"/>
                <w:highlight w:val="none"/>
                <w:lang w:val="en-US"/>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2</w:t>
            </w:r>
          </w:p>
        </w:tc>
        <w:tc>
          <w:tcPr>
            <w:tcW w:w="72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jc w:val="center"/>
              <w:textAlignment w:val="center"/>
              <w:rPr>
                <w:rFonts w:hint="default"/>
                <w:color w:val="000000" w:themeColor="text1"/>
                <w:sz w:val="24"/>
                <w:szCs w:val="24"/>
                <w:highlight w:val="none"/>
                <w:lang w:val="en-US"/>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商务</w:t>
            </w:r>
          </w:p>
          <w:p>
            <w:pPr>
              <w:keepNext w:val="0"/>
              <w:keepLines w:val="0"/>
              <w:widowControl/>
              <w:suppressLineNumbers w:val="0"/>
              <w:shd w:val="clear"/>
              <w:spacing w:before="0" w:beforeAutospacing="0" w:after="0" w:afterAutospacing="0"/>
              <w:ind w:left="0" w:right="0"/>
              <w:jc w:val="center"/>
              <w:textAlignment w:val="center"/>
              <w:rPr>
                <w:rFonts w:hint="default"/>
                <w:color w:val="000000" w:themeColor="text1"/>
                <w:sz w:val="24"/>
                <w:szCs w:val="24"/>
                <w:highlight w:val="none"/>
                <w:lang w:val="en-US"/>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条款</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(14</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分</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w:t>
            </w:r>
          </w:p>
        </w:tc>
        <w:tc>
          <w:tcPr>
            <w:tcW w:w="7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jc w:val="center"/>
              <w:textAlignment w:val="center"/>
              <w:rPr>
                <w:rFonts w:hint="default"/>
                <w:color w:val="000000" w:themeColor="text1"/>
                <w:sz w:val="24"/>
                <w:szCs w:val="24"/>
                <w:highlight w:val="none"/>
                <w:lang w:val="en-US"/>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企业</w:t>
            </w:r>
          </w:p>
          <w:p>
            <w:pPr>
              <w:keepNext w:val="0"/>
              <w:keepLines w:val="0"/>
              <w:widowControl/>
              <w:suppressLineNumbers w:val="0"/>
              <w:shd w:val="clear"/>
              <w:spacing w:before="0" w:beforeAutospacing="0" w:after="0" w:afterAutospacing="0"/>
              <w:ind w:left="0" w:right="0"/>
              <w:jc w:val="center"/>
              <w:textAlignment w:val="center"/>
              <w:rPr>
                <w:rFonts w:hint="default"/>
                <w:color w:val="000000" w:themeColor="text1"/>
                <w:sz w:val="24"/>
                <w:szCs w:val="24"/>
                <w:highlight w:val="none"/>
                <w:lang w:val="en-US"/>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资历</w:t>
            </w:r>
          </w:p>
        </w:tc>
        <w:tc>
          <w:tcPr>
            <w:tcW w:w="68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val="0"/>
              <w:suppressLineNumbers w:val="0"/>
              <w:shd w:val="clear"/>
              <w:autoSpaceDE w:val="0"/>
              <w:autoSpaceDN w:val="0"/>
              <w:spacing w:before="0" w:beforeAutospacing="0" w:after="0" w:afterAutospacing="0"/>
              <w:ind w:left="0" w:right="0"/>
              <w:jc w:val="both"/>
              <w:rPr>
                <w:rFonts w:hint="default"/>
                <w:color w:val="000000" w:themeColor="text1"/>
                <w:sz w:val="24"/>
                <w:szCs w:val="24"/>
                <w:highlight w:val="none"/>
                <w:lang w:val="zh-CN"/>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zh-CN" w:eastAsia="zh-CN" w:bidi="ar"/>
                <w14:textFill>
                  <w14:solidFill>
                    <w14:schemeClr w14:val="tx1"/>
                  </w14:solidFill>
                </w14:textFill>
              </w:rPr>
              <w:t>1.</w:t>
            </w:r>
            <w:r>
              <w:rPr>
                <w:rFonts w:hint="eastAsia" w:ascii="Times New Roman" w:hAnsi="Times New Roman" w:eastAsia="宋体" w:cs="宋体"/>
                <w:color w:val="000000" w:themeColor="text1"/>
                <w:kern w:val="2"/>
                <w:sz w:val="24"/>
                <w:szCs w:val="24"/>
                <w:highlight w:val="none"/>
                <w:lang w:val="zh-CN" w:eastAsia="zh-CN" w:bidi="ar"/>
                <w14:textFill>
                  <w14:solidFill>
                    <w14:schemeClr w14:val="tx1"/>
                  </w14:solidFill>
                </w14:textFill>
              </w:rPr>
              <w:t>提供有效期内的</w:t>
            </w:r>
            <w:r>
              <w:rPr>
                <w:rFonts w:hint="default" w:ascii="Times New Roman" w:hAnsi="Times New Roman" w:eastAsia="宋体" w:cs="Times New Roman"/>
                <w:color w:val="000000" w:themeColor="text1"/>
                <w:kern w:val="2"/>
                <w:sz w:val="24"/>
                <w:szCs w:val="24"/>
                <w:highlight w:val="none"/>
                <w:lang w:val="zh-CN" w:eastAsia="zh-CN" w:bidi="ar"/>
                <w14:textFill>
                  <w14:solidFill>
                    <w14:schemeClr w14:val="tx1"/>
                  </w14:solidFill>
                </w14:textFill>
              </w:rPr>
              <w:t>GB/T19001</w:t>
            </w:r>
            <w:r>
              <w:rPr>
                <w:rFonts w:hint="eastAsia" w:ascii="Times New Roman" w:hAnsi="Times New Roman" w:eastAsia="宋体" w:cs="宋体"/>
                <w:color w:val="000000" w:themeColor="text1"/>
                <w:kern w:val="2"/>
                <w:sz w:val="24"/>
                <w:szCs w:val="24"/>
                <w:highlight w:val="none"/>
                <w:lang w:val="zh-CN" w:eastAsia="zh-CN" w:bidi="ar"/>
                <w14:textFill>
                  <w14:solidFill>
                    <w14:schemeClr w14:val="tx1"/>
                  </w14:solidFill>
                </w14:textFill>
              </w:rPr>
              <w:t>质量管理体系；</w:t>
            </w:r>
          </w:p>
          <w:p>
            <w:pPr>
              <w:keepNext w:val="0"/>
              <w:keepLines w:val="0"/>
              <w:widowControl w:val="0"/>
              <w:suppressLineNumbers w:val="0"/>
              <w:shd w:val="clear"/>
              <w:autoSpaceDE w:val="0"/>
              <w:autoSpaceDN w:val="0"/>
              <w:spacing w:before="0" w:beforeAutospacing="0" w:after="0" w:afterAutospacing="0"/>
              <w:ind w:left="0" w:right="0"/>
              <w:jc w:val="both"/>
              <w:rPr>
                <w:rFonts w:hint="default"/>
                <w:color w:val="000000" w:themeColor="text1"/>
                <w:sz w:val="24"/>
                <w:szCs w:val="24"/>
                <w:highlight w:val="none"/>
                <w:lang w:val="zh-CN"/>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zh-CN" w:eastAsia="zh-CN" w:bidi="ar"/>
                <w14:textFill>
                  <w14:solidFill>
                    <w14:schemeClr w14:val="tx1"/>
                  </w14:solidFill>
                </w14:textFill>
              </w:rPr>
              <w:t>2.GB/T24001</w:t>
            </w:r>
            <w:r>
              <w:rPr>
                <w:rFonts w:hint="eastAsia" w:ascii="Times New Roman" w:hAnsi="Times New Roman" w:eastAsia="宋体" w:cs="宋体"/>
                <w:color w:val="000000" w:themeColor="text1"/>
                <w:kern w:val="2"/>
                <w:sz w:val="24"/>
                <w:szCs w:val="24"/>
                <w:highlight w:val="none"/>
                <w:lang w:val="zh-CN" w:eastAsia="zh-CN" w:bidi="ar"/>
                <w14:textFill>
                  <w14:solidFill>
                    <w14:schemeClr w14:val="tx1"/>
                  </w14:solidFill>
                </w14:textFill>
              </w:rPr>
              <w:t>环境管理体系；</w:t>
            </w:r>
          </w:p>
          <w:p>
            <w:pPr>
              <w:keepNext w:val="0"/>
              <w:keepLines w:val="0"/>
              <w:widowControl w:val="0"/>
              <w:suppressLineNumbers w:val="0"/>
              <w:shd w:val="clear"/>
              <w:autoSpaceDE w:val="0"/>
              <w:autoSpaceDN w:val="0"/>
              <w:spacing w:before="0" w:beforeAutospacing="0" w:after="0" w:afterAutospacing="0"/>
              <w:ind w:left="0" w:right="0"/>
              <w:jc w:val="both"/>
              <w:rPr>
                <w:rFonts w:hint="default"/>
                <w:color w:val="000000" w:themeColor="text1"/>
                <w:sz w:val="24"/>
                <w:szCs w:val="24"/>
                <w:highlight w:val="none"/>
                <w:lang w:val="en-US"/>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zh-CN" w:eastAsia="zh-CN" w:bidi="ar"/>
                <w14:textFill>
                  <w14:solidFill>
                    <w14:schemeClr w14:val="tx1"/>
                  </w14:solidFill>
                </w14:textFill>
              </w:rPr>
              <w:t>3.</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ISO</w:t>
            </w:r>
            <w:r>
              <w:rPr>
                <w:rFonts w:hint="default" w:ascii="Times New Roman" w:hAnsi="Times New Roman" w:eastAsia="宋体" w:cs="Times New Roman"/>
                <w:color w:val="000000" w:themeColor="text1"/>
                <w:kern w:val="2"/>
                <w:sz w:val="24"/>
                <w:szCs w:val="24"/>
                <w:highlight w:val="none"/>
                <w:lang w:val="zh-CN" w:eastAsia="zh-CN" w:bidi="ar"/>
                <w14:textFill>
                  <w14:solidFill>
                    <w14:schemeClr w14:val="tx1"/>
                  </w14:solidFill>
                </w14:textFill>
              </w:rPr>
              <w:t>22000</w:t>
            </w:r>
            <w:r>
              <w:rPr>
                <w:rFonts w:hint="eastAsia" w:ascii="Times New Roman" w:hAnsi="Times New Roman" w:eastAsia="宋体" w:cs="宋体"/>
                <w:color w:val="000000" w:themeColor="text1"/>
                <w:kern w:val="2"/>
                <w:sz w:val="24"/>
                <w:szCs w:val="24"/>
                <w:highlight w:val="none"/>
                <w:lang w:val="zh-CN" w:eastAsia="zh-CN" w:bidi="ar"/>
                <w14:textFill>
                  <w14:solidFill>
                    <w14:schemeClr w14:val="tx1"/>
                  </w14:solidFill>
                </w14:textFill>
              </w:rPr>
              <w:t>食品安全管理体系；</w:t>
            </w:r>
          </w:p>
          <w:p>
            <w:pPr>
              <w:keepNext w:val="0"/>
              <w:keepLines w:val="0"/>
              <w:widowControl w:val="0"/>
              <w:suppressLineNumbers w:val="0"/>
              <w:shd w:val="clear"/>
              <w:autoSpaceDE w:val="0"/>
              <w:autoSpaceDN w:val="0"/>
              <w:spacing w:before="0" w:beforeAutospacing="0" w:after="0" w:afterAutospacing="0"/>
              <w:ind w:left="0" w:right="0"/>
              <w:jc w:val="both"/>
              <w:rPr>
                <w:rFonts w:hint="default"/>
                <w:color w:val="000000" w:themeColor="text1"/>
                <w:sz w:val="24"/>
                <w:szCs w:val="24"/>
                <w:highlight w:val="none"/>
                <w:lang w:val="zh-CN"/>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zh-CN" w:eastAsia="zh-CN" w:bidi="ar"/>
                <w14:textFill>
                  <w14:solidFill>
                    <w14:schemeClr w14:val="tx1"/>
                  </w14:solidFill>
                </w14:textFill>
              </w:rPr>
              <w:t>4.GB/T</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45</w:t>
            </w:r>
            <w:r>
              <w:rPr>
                <w:rFonts w:hint="default" w:ascii="Times New Roman" w:hAnsi="Times New Roman" w:eastAsia="宋体" w:cs="Times New Roman"/>
                <w:color w:val="000000" w:themeColor="text1"/>
                <w:kern w:val="2"/>
                <w:sz w:val="24"/>
                <w:szCs w:val="24"/>
                <w:highlight w:val="none"/>
                <w:lang w:val="zh-CN" w:eastAsia="zh-CN" w:bidi="ar"/>
                <w14:textFill>
                  <w14:solidFill>
                    <w14:schemeClr w14:val="tx1"/>
                  </w14:solidFill>
                </w14:textFill>
              </w:rPr>
              <w:t>001</w:t>
            </w:r>
            <w:r>
              <w:rPr>
                <w:rFonts w:hint="eastAsia" w:ascii="Times New Roman" w:hAnsi="Times New Roman" w:eastAsia="宋体" w:cs="宋体"/>
                <w:color w:val="000000" w:themeColor="text1"/>
                <w:kern w:val="2"/>
                <w:sz w:val="24"/>
                <w:szCs w:val="24"/>
                <w:highlight w:val="none"/>
                <w:lang w:val="zh-CN" w:eastAsia="zh-CN" w:bidi="ar"/>
                <w14:textFill>
                  <w14:solidFill>
                    <w14:schemeClr w14:val="tx1"/>
                  </w14:solidFill>
                </w14:textFill>
              </w:rPr>
              <w:t>职业健康安全管理体系认证；</w:t>
            </w:r>
          </w:p>
          <w:p>
            <w:pPr>
              <w:keepNext w:val="0"/>
              <w:keepLines w:val="0"/>
              <w:widowControl/>
              <w:suppressLineNumbers w:val="0"/>
              <w:shd w:val="clear"/>
              <w:spacing w:before="0" w:beforeAutospacing="0" w:after="0" w:afterAutospacing="0"/>
              <w:ind w:left="0" w:right="0"/>
              <w:jc w:val="both"/>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cs="宋体"/>
                <w:color w:val="000000" w:themeColor="text1"/>
                <w:kern w:val="2"/>
                <w:sz w:val="24"/>
                <w:szCs w:val="24"/>
                <w:highlight w:val="none"/>
                <w:lang w:val="en-US" w:eastAsia="zh-CN" w:bidi="ar"/>
                <w14:textFill>
                  <w14:solidFill>
                    <w14:schemeClr w14:val="tx1"/>
                  </w14:solidFill>
                </w14:textFill>
              </w:rPr>
              <w:t>有一项证书及证明材料得0.5分，本项最高得2分，</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未提供或不满足的不得分。</w:t>
            </w:r>
          </w:p>
          <w:p>
            <w:pPr>
              <w:keepNext w:val="0"/>
              <w:keepLines w:val="0"/>
              <w:widowControl/>
              <w:suppressLineNumbers w:val="0"/>
              <w:shd w:val="clear"/>
              <w:spacing w:before="0" w:beforeAutospacing="0" w:after="0" w:afterAutospacing="0"/>
              <w:ind w:left="0" w:right="0"/>
              <w:jc w:val="both"/>
              <w:rPr>
                <w:rFonts w:hint="default"/>
                <w:color w:val="000000" w:themeColor="text1"/>
                <w:sz w:val="24"/>
                <w:szCs w:val="24"/>
                <w:highlight w:val="none"/>
                <w:lang w:val="en-US"/>
                <w14:textFill>
                  <w14:solidFill>
                    <w14:schemeClr w14:val="tx1"/>
                  </w14:solidFill>
                </w14:textFill>
              </w:rPr>
            </w:pPr>
            <w:r>
              <w:rPr>
                <w:rFonts w:hint="eastAsia" w:ascii="Times New Roman" w:hAnsi="Times New Roman" w:cs="宋体"/>
                <w:color w:val="000000" w:themeColor="text1"/>
                <w:kern w:val="2"/>
                <w:sz w:val="24"/>
                <w:szCs w:val="24"/>
                <w:highlight w:val="none"/>
                <w:lang w:val="en-US" w:eastAsia="zh-CN" w:bidi="ar"/>
                <w14:textFill>
                  <w14:solidFill>
                    <w14:schemeClr w14:val="tx1"/>
                  </w14:solidFill>
                </w14:textFill>
              </w:rPr>
              <w:t>注：</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须在国家认监委官网可查，并提供有效期内的认证证书复印件及国家认监委网查询截图，加盖投标人公章。</w:t>
            </w:r>
          </w:p>
        </w:tc>
        <w:tc>
          <w:tcPr>
            <w:tcW w:w="6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jc w:val="center"/>
              <w:textAlignment w:val="center"/>
              <w:rPr>
                <w:rFonts w:hint="default"/>
                <w:color w:val="000000" w:themeColor="text1"/>
                <w:sz w:val="24"/>
                <w:szCs w:val="24"/>
                <w:highlight w:val="none"/>
                <w:lang w:val="en-US"/>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37" w:hRule="atLeast"/>
          <w:jc w:val="center"/>
        </w:trPr>
        <w:tc>
          <w:tcPr>
            <w:tcW w:w="71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72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7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jc w:val="center"/>
              <w:textAlignment w:val="center"/>
              <w:rPr>
                <w:rFonts w:hint="default"/>
                <w:color w:val="000000" w:themeColor="text1"/>
                <w:sz w:val="24"/>
                <w:szCs w:val="24"/>
                <w:highlight w:val="none"/>
                <w:lang w:val="en-US"/>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类似</w:t>
            </w:r>
          </w:p>
          <w:p>
            <w:pPr>
              <w:keepNext w:val="0"/>
              <w:keepLines w:val="0"/>
              <w:widowControl/>
              <w:suppressLineNumbers w:val="0"/>
              <w:shd w:val="clear"/>
              <w:spacing w:before="0" w:beforeAutospacing="0" w:after="0" w:afterAutospacing="0"/>
              <w:ind w:left="0" w:right="0"/>
              <w:jc w:val="center"/>
              <w:textAlignment w:val="center"/>
              <w:rPr>
                <w:rFonts w:hint="default"/>
                <w:color w:val="000000" w:themeColor="text1"/>
                <w:sz w:val="24"/>
                <w:szCs w:val="24"/>
                <w:highlight w:val="none"/>
                <w:lang w:val="en-US"/>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业绩</w:t>
            </w:r>
          </w:p>
        </w:tc>
        <w:tc>
          <w:tcPr>
            <w:tcW w:w="68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val="0"/>
              <w:suppressLineNumbers w:val="0"/>
              <w:shd w:val="clear"/>
              <w:autoSpaceDE w:val="0"/>
              <w:autoSpaceDN w:val="0"/>
              <w:spacing w:before="0" w:beforeAutospacing="0" w:after="0" w:afterAutospacing="0"/>
              <w:ind w:left="0" w:right="0"/>
              <w:jc w:val="both"/>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1.2022</w:t>
            </w:r>
            <w: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年</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1</w:t>
            </w:r>
            <w: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月</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1</w:t>
            </w:r>
            <w: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日至今具有餐饮服务项目经营</w:t>
            </w:r>
            <w:r>
              <w:rPr>
                <w:rFonts w:hint="eastAsia" w:ascii="Times New Roman" w:hAnsi="Times New Roman" w:eastAsia="宋体" w:cs="Times New Roman"/>
                <w:color w:val="000000" w:themeColor="text1"/>
                <w:kern w:val="2"/>
                <w:sz w:val="24"/>
                <w:szCs w:val="24"/>
                <w:highlight w:val="none"/>
                <w:lang w:val="zh-CN" w:eastAsia="zh-CN" w:bidi="ar"/>
                <w14:textFill>
                  <w14:solidFill>
                    <w14:schemeClr w14:val="tx1"/>
                  </w14:solidFill>
                </w14:textFill>
              </w:rPr>
              <w:t>满</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1</w:t>
            </w:r>
            <w:r>
              <w:rPr>
                <w:rFonts w:hint="eastAsia" w:ascii="Times New Roman" w:hAnsi="Times New Roman" w:eastAsia="宋体" w:cs="Times New Roman"/>
                <w:color w:val="000000" w:themeColor="text1"/>
                <w:kern w:val="2"/>
                <w:sz w:val="24"/>
                <w:szCs w:val="24"/>
                <w:highlight w:val="none"/>
                <w:lang w:val="zh-CN" w:eastAsia="zh-CN" w:bidi="ar"/>
                <w14:textFill>
                  <w14:solidFill>
                    <w14:schemeClr w14:val="tx1"/>
                  </w14:solidFill>
                </w14:textFill>
              </w:rPr>
              <w:t>年</w:t>
            </w:r>
            <w:r>
              <w:rPr>
                <w:rFonts w:hint="eastAsia" w:ascii="Times New Roman" w:hAnsi="Times New Roman" w:cs="Times New Roman"/>
                <w:color w:val="000000" w:themeColor="text1"/>
                <w:kern w:val="2"/>
                <w:sz w:val="24"/>
                <w:szCs w:val="24"/>
                <w:highlight w:val="none"/>
                <w:lang w:val="zh-CN" w:eastAsia="zh-CN" w:bidi="ar"/>
                <w14:textFill>
                  <w14:solidFill>
                    <w14:schemeClr w14:val="tx1"/>
                  </w14:solidFill>
                </w14:textFill>
              </w:rPr>
              <w:t>的类似业绩</w:t>
            </w:r>
            <w: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，每个得</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3</w:t>
            </w:r>
            <w: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分，最高得</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6</w:t>
            </w:r>
            <w: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分。</w:t>
            </w:r>
          </w:p>
          <w:p>
            <w:pPr>
              <w:keepNext w:val="0"/>
              <w:keepLines w:val="0"/>
              <w:widowControl w:val="0"/>
              <w:suppressLineNumbers w:val="0"/>
              <w:shd w:val="clear"/>
              <w:autoSpaceDE w:val="0"/>
              <w:autoSpaceDN w:val="0"/>
              <w:spacing w:before="0" w:beforeAutospacing="0" w:after="0" w:afterAutospacing="0"/>
              <w:ind w:left="0" w:right="0"/>
              <w:jc w:val="both"/>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cs="Times New Roman"/>
                <w:color w:val="000000" w:themeColor="text1"/>
                <w:kern w:val="2"/>
                <w:sz w:val="24"/>
                <w:szCs w:val="24"/>
                <w:highlight w:val="none"/>
                <w:lang w:val="en-US" w:eastAsia="zh-CN" w:bidi="ar"/>
                <w14:textFill>
                  <w14:solidFill>
                    <w14:schemeClr w14:val="tx1"/>
                  </w14:solidFill>
                </w14:textFill>
              </w:rPr>
              <w:t>2.</w:t>
            </w:r>
            <w: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截至投标日，连续在同一业主单位</w:t>
            </w:r>
            <w:r>
              <w:rPr>
                <w:rFonts w:hint="eastAsia" w:ascii="Times New Roman" w:hAnsi="Times New Roman" w:cs="Times New Roman"/>
                <w:color w:val="000000" w:themeColor="text1"/>
                <w:kern w:val="2"/>
                <w:sz w:val="24"/>
                <w:szCs w:val="24"/>
                <w:highlight w:val="none"/>
                <w:lang w:val="en-US" w:eastAsia="zh-CN" w:bidi="ar"/>
                <w14:textFill>
                  <w14:solidFill>
                    <w14:schemeClr w14:val="tx1"/>
                  </w14:solidFill>
                </w14:textFill>
              </w:rPr>
              <w:t>从事餐饮服务</w:t>
            </w:r>
            <w: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超过</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3</w:t>
            </w:r>
            <w: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年</w:t>
            </w:r>
            <w:r>
              <w:rPr>
                <w:rFonts w:hint="eastAsia" w:ascii="Times New Roman" w:hAnsi="Times New Roman" w:cs="Times New Roman"/>
                <w:color w:val="000000" w:themeColor="text1"/>
                <w:kern w:val="2"/>
                <w:sz w:val="24"/>
                <w:szCs w:val="24"/>
                <w:highlight w:val="none"/>
                <w:lang w:val="en-US" w:eastAsia="zh-CN" w:bidi="ar"/>
                <w14:textFill>
                  <w14:solidFill>
                    <w14:schemeClr w14:val="tx1"/>
                  </w14:solidFill>
                </w14:textFill>
              </w:rPr>
              <w:t>（不含）</w:t>
            </w:r>
            <w: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的，每个得</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3</w:t>
            </w:r>
            <w: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分，最高得</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6</w:t>
            </w:r>
            <w: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分。</w:t>
            </w:r>
          </w:p>
          <w:p>
            <w:pPr>
              <w:keepNext w:val="0"/>
              <w:keepLines w:val="0"/>
              <w:widowControl w:val="0"/>
              <w:suppressLineNumbers w:val="0"/>
              <w:shd w:val="clear"/>
              <w:autoSpaceDE w:val="0"/>
              <w:autoSpaceDN w:val="0"/>
              <w:spacing w:before="0" w:beforeAutospacing="0" w:after="0" w:afterAutospacing="0"/>
              <w:ind w:left="0" w:right="0"/>
              <w:jc w:val="left"/>
              <w:rPr>
                <w:rFonts w:hint="default"/>
                <w:color w:val="000000" w:themeColor="text1"/>
                <w:highlight w:val="none"/>
                <w:lang w:val="en-US"/>
                <w14:textFill>
                  <w14:solidFill>
                    <w14:schemeClr w14:val="tx1"/>
                  </w14:solidFill>
                </w14:textFill>
              </w:rPr>
            </w:pPr>
            <w:r>
              <w:rPr>
                <w:rFonts w:hint="eastAsia" w:ascii="Times New Roman" w:hAnsi="Times New Roman" w:cs="Times New Roman"/>
                <w:color w:val="000000" w:themeColor="text1"/>
                <w:kern w:val="2"/>
                <w:sz w:val="24"/>
                <w:szCs w:val="24"/>
                <w:highlight w:val="none"/>
                <w:lang w:val="en-US" w:eastAsia="zh-CN" w:bidi="ar"/>
                <w14:textFill>
                  <w14:solidFill>
                    <w14:schemeClr w14:val="tx1"/>
                  </w14:solidFill>
                </w14:textFill>
              </w:rPr>
              <w:t>注：（</w:t>
            </w:r>
            <w:r>
              <w:rPr>
                <w:rFonts w:hint="default" w:ascii="Times New Roman" w:hAnsi="Times New Roman" w:eastAsia="宋体" w:cs="Times New Roman"/>
                <w:color w:val="000000" w:themeColor="text1"/>
                <w:kern w:val="2"/>
                <w:sz w:val="24"/>
                <w:szCs w:val="24"/>
                <w:highlight w:val="none"/>
                <w:lang w:val="zh-CN" w:eastAsia="zh-CN" w:bidi="ar"/>
                <w14:textFill>
                  <w14:solidFill>
                    <w14:schemeClr w14:val="tx1"/>
                  </w14:solidFill>
                </w14:textFill>
              </w:rPr>
              <w:t>1</w:t>
            </w:r>
            <w:r>
              <w:rPr>
                <w:rFonts w:hint="eastAsia" w:ascii="Times New Roman" w:hAnsi="Times New Roman" w:cs="Times New Roman"/>
                <w:color w:val="000000" w:themeColor="text1"/>
                <w:kern w:val="2"/>
                <w:sz w:val="24"/>
                <w:szCs w:val="24"/>
                <w:highlight w:val="none"/>
                <w:lang w:val="zh-CN" w:eastAsia="zh-CN" w:bidi="ar"/>
                <w14:textFill>
                  <w14:solidFill>
                    <w14:schemeClr w14:val="tx1"/>
                  </w14:solidFill>
                </w14:textFill>
              </w:rPr>
              <w:t>）</w:t>
            </w:r>
            <w:r>
              <w:rPr>
                <w:rFonts w:hint="eastAsia" w:ascii="Times New Roman" w:hAnsi="Times New Roman" w:eastAsia="宋体" w:cs="宋体"/>
                <w:color w:val="000000" w:themeColor="text1"/>
                <w:kern w:val="2"/>
                <w:sz w:val="24"/>
                <w:szCs w:val="24"/>
                <w:highlight w:val="none"/>
                <w:lang w:val="zh-CN" w:eastAsia="zh-CN" w:bidi="ar"/>
                <w14:textFill>
                  <w14:solidFill>
                    <w14:schemeClr w14:val="tx1"/>
                  </w14:solidFill>
                </w14:textFill>
              </w:rPr>
              <w:t>业绩证明材料需提供合同复印件，合同内容须体现以下内容：委托人及受托人、委托人及受托人双方签字</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或</w:t>
            </w:r>
            <w:r>
              <w:rPr>
                <w:rFonts w:hint="eastAsia" w:ascii="Times New Roman" w:hAnsi="Times New Roman" w:eastAsia="宋体" w:cs="宋体"/>
                <w:color w:val="000000" w:themeColor="text1"/>
                <w:kern w:val="2"/>
                <w:sz w:val="24"/>
                <w:szCs w:val="24"/>
                <w:highlight w:val="none"/>
                <w:lang w:val="zh-CN" w:eastAsia="zh-CN" w:bidi="ar"/>
                <w14:textFill>
                  <w14:solidFill>
                    <w14:schemeClr w14:val="tx1"/>
                  </w14:solidFill>
                </w14:textFill>
              </w:rPr>
              <w:t>盖章，日期、项目服务内容等主要合同信息。</w:t>
            </w:r>
            <w:r>
              <w:rPr>
                <w:rFonts w:hint="default" w:ascii="Times New Roman" w:hAnsi="Times New Roman" w:eastAsia="宋体" w:cs="宋体"/>
                <w:color w:val="000000" w:themeColor="text1"/>
                <w:kern w:val="2"/>
                <w:sz w:val="24"/>
                <w:szCs w:val="24"/>
                <w:highlight w:val="none"/>
                <w:lang w:val="zh-CN" w:eastAsia="zh-CN" w:bidi="ar"/>
                <w14:textFill>
                  <w14:solidFill>
                    <w14:schemeClr w14:val="tx1"/>
                  </w14:solidFill>
                </w14:textFill>
              </w:rPr>
              <w:t>（</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2</w:t>
            </w:r>
            <w:r>
              <w:rPr>
                <w:rFonts w:hint="default" w:ascii="Times New Roman" w:hAnsi="Times New Roman" w:eastAsia="宋体" w:cs="宋体"/>
                <w:color w:val="000000" w:themeColor="text1"/>
                <w:kern w:val="2"/>
                <w:sz w:val="24"/>
                <w:szCs w:val="24"/>
                <w:highlight w:val="none"/>
                <w:lang w:val="zh-CN" w:eastAsia="zh-CN" w:bidi="ar"/>
                <w14:textFill>
                  <w14:solidFill>
                    <w14:schemeClr w14:val="tx1"/>
                  </w14:solidFill>
                </w14:textFill>
              </w:rPr>
              <w:t>）</w:t>
            </w:r>
            <w:r>
              <w:rPr>
                <w:rFonts w:hint="eastAsia" w:ascii="Times New Roman" w:hAnsi="Times New Roman" w:eastAsia="宋体" w:cs="宋体"/>
                <w:color w:val="000000" w:themeColor="text1"/>
                <w:kern w:val="2"/>
                <w:sz w:val="24"/>
                <w:szCs w:val="24"/>
                <w:highlight w:val="none"/>
                <w:lang w:val="zh-CN" w:eastAsia="zh-CN" w:bidi="ar"/>
                <w14:textFill>
                  <w14:solidFill>
                    <w14:schemeClr w14:val="tx1"/>
                  </w14:solidFill>
                </w14:textFill>
              </w:rPr>
              <w:t>合同复印件要求清晰可见、合同体现内容中如缺项或模糊无法辨认的视为无效业绩。</w:t>
            </w:r>
            <w:r>
              <w:rPr>
                <w:rFonts w:hint="default" w:ascii="Times New Roman" w:hAnsi="Times New Roman" w:eastAsia="宋体" w:cs="宋体"/>
                <w:color w:val="000000" w:themeColor="text1"/>
                <w:kern w:val="2"/>
                <w:sz w:val="24"/>
                <w:szCs w:val="24"/>
                <w:highlight w:val="none"/>
                <w:lang w:val="zh-CN" w:eastAsia="zh-CN" w:bidi="ar"/>
                <w14:textFill>
                  <w14:solidFill>
                    <w14:schemeClr w14:val="tx1"/>
                  </w14:solidFill>
                </w14:textFill>
              </w:rPr>
              <w:t>（</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3</w:t>
            </w:r>
            <w:r>
              <w:rPr>
                <w:rFonts w:hint="default" w:ascii="Times New Roman" w:hAnsi="Times New Roman" w:eastAsia="宋体" w:cs="宋体"/>
                <w:color w:val="000000" w:themeColor="text1"/>
                <w:kern w:val="2"/>
                <w:sz w:val="24"/>
                <w:szCs w:val="24"/>
                <w:highlight w:val="none"/>
                <w:lang w:val="zh-CN" w:eastAsia="zh-CN" w:bidi="ar"/>
                <w14:textFill>
                  <w14:solidFill>
                    <w14:schemeClr w14:val="tx1"/>
                  </w14:solidFill>
                </w14:textFill>
              </w:rPr>
              <w:t>）</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业绩要求中</w:t>
            </w:r>
            <w:r>
              <w:rPr>
                <w:rFonts w:hint="eastAsia" w:ascii="Times New Roman" w:hAnsi="Times New Roman" w:eastAsia="宋体" w:cs="宋体"/>
                <w:color w:val="000000" w:themeColor="text1"/>
                <w:kern w:val="2"/>
                <w:sz w:val="24"/>
                <w:szCs w:val="24"/>
                <w:highlight w:val="none"/>
                <w:lang w:val="zh-CN" w:eastAsia="zh-CN" w:bidi="ar"/>
                <w14:textFill>
                  <w14:solidFill>
                    <w14:schemeClr w14:val="tx1"/>
                  </w14:solidFill>
                </w14:textFill>
              </w:rPr>
              <w:t>合同不重复计分。</w:t>
            </w:r>
          </w:p>
        </w:tc>
        <w:tc>
          <w:tcPr>
            <w:tcW w:w="6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jc w:val="center"/>
              <w:textAlignment w:val="center"/>
              <w:rPr>
                <w:rFonts w:hint="default"/>
                <w:color w:val="000000" w:themeColor="text1"/>
                <w:sz w:val="24"/>
                <w:szCs w:val="24"/>
                <w:highlight w:val="none"/>
                <w:lang w:val="en-US"/>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184" w:hRule="atLeast"/>
          <w:jc w:val="center"/>
        </w:trPr>
        <w:tc>
          <w:tcPr>
            <w:tcW w:w="71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72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hd w:val="clear"/>
              <w:spacing w:before="0" w:beforeAutospacing="0" w:after="0" w:afterAutospacing="0"/>
              <w:ind w:left="0" w:right="0"/>
              <w:jc w:val="center"/>
              <w:textAlignment w:val="center"/>
              <w:rPr>
                <w:rFonts w:hint="default"/>
                <w:color w:val="000000" w:themeColor="text1"/>
                <w:sz w:val="24"/>
                <w:szCs w:val="24"/>
                <w:highlight w:val="none"/>
                <w:lang w:val="en-US"/>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技术条款</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(56</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分</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w:t>
            </w:r>
          </w:p>
        </w:tc>
        <w:tc>
          <w:tcPr>
            <w:tcW w:w="7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jc w:val="center"/>
              <w:textAlignment w:val="center"/>
              <w:rPr>
                <w:rFonts w:hint="default"/>
                <w:color w:val="000000" w:themeColor="text1"/>
                <w:sz w:val="24"/>
                <w:szCs w:val="24"/>
                <w:highlight w:val="none"/>
                <w:lang w:val="en-US"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服务团队人员配置</w:t>
            </w:r>
          </w:p>
        </w:tc>
        <w:tc>
          <w:tcPr>
            <w:tcW w:w="68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hd w:val="clear"/>
              <w:spacing w:before="0" w:beforeAutospacing="0" w:after="0" w:afterAutospacing="0"/>
              <w:ind w:left="0" w:right="0"/>
              <w:jc w:val="both"/>
              <w:rPr>
                <w:rFonts w:hint="default"/>
                <w:color w:val="000000" w:themeColor="text1"/>
                <w:sz w:val="24"/>
                <w:szCs w:val="24"/>
                <w:highlight w:val="none"/>
                <w:lang w:val="en-US"/>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1.</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投标人在本项目设置食品安全总监、食品安全员管理体系，并取得食品安全总监和食品安全员证书。一个证书</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3</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分，满分</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6</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分，无证书不得分。</w:t>
            </w:r>
          </w:p>
          <w:p>
            <w:pPr>
              <w:keepNext w:val="0"/>
              <w:keepLines w:val="0"/>
              <w:widowControl w:val="0"/>
              <w:suppressLineNumbers w:val="0"/>
              <w:shd w:val="clear"/>
              <w:spacing w:before="0" w:beforeAutospacing="0" w:after="0" w:afterAutospacing="0"/>
              <w:ind w:left="0" w:right="0"/>
              <w:jc w:val="both"/>
              <w:rPr>
                <w:rFonts w:hint="default"/>
                <w:color w:val="000000" w:themeColor="text1"/>
                <w:sz w:val="24"/>
                <w:szCs w:val="24"/>
                <w:highlight w:val="none"/>
                <w:lang w:val="en-US"/>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2.</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项目团队负责人具有类似餐饮管理经验，工作经验在</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3</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年及以上得</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3</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分，</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5</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年及以上得</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6</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分，满分</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6</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分，需提供负责人在岗证明材料，无证明材料不得分。</w:t>
            </w:r>
          </w:p>
          <w:p>
            <w:pPr>
              <w:keepNext w:val="0"/>
              <w:keepLines w:val="0"/>
              <w:widowControl w:val="0"/>
              <w:suppressLineNumbers w:val="0"/>
              <w:shd w:val="clear"/>
              <w:spacing w:before="0" w:beforeAutospacing="0" w:after="0" w:afterAutospacing="0"/>
              <w:ind w:left="0" w:right="0"/>
              <w:jc w:val="both"/>
              <w:rPr>
                <w:rFonts w:hint="default"/>
                <w:color w:val="000000" w:themeColor="text1"/>
                <w:sz w:val="24"/>
                <w:szCs w:val="24"/>
                <w:highlight w:val="none"/>
                <w:lang w:val="en-US"/>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3.</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为鼓励优化提升厨师团队配置，在规定的人数范围内，每增加</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1</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名中级（国家职业资格四级）厨师资格的得</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1</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分；每增加</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1</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名高级（国家职业资格三级）厨师资格的加</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2</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分；每增加</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1</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名技师（国家职业资格二级）或高级技师资格（国家职业资格一级）的得</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3</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分，满分</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20</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分，团队无上述证书不得分。</w:t>
            </w:r>
          </w:p>
          <w:p>
            <w:pPr>
              <w:keepNext w:val="0"/>
              <w:keepLines w:val="0"/>
              <w:widowControl w:val="0"/>
              <w:suppressLineNumbers w:val="0"/>
              <w:shd w:val="clear"/>
              <w:spacing w:before="0" w:beforeAutospacing="0" w:after="0" w:afterAutospacing="0"/>
              <w:ind w:left="0" w:right="0" w:firstLine="480" w:firstLineChars="200"/>
              <w:jc w:val="both"/>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4.</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营养师持有经备案的第三方机构颁发的公共营养师高级（三级）及以上职业资格证书得</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2</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分，</w:t>
            </w:r>
            <w:r>
              <w:rPr>
                <w:rFonts w:hint="eastAsia" w:ascii="Times New Roman" w:hAnsi="Times New Roman" w:cs="宋体"/>
                <w:color w:val="000000" w:themeColor="text1"/>
                <w:kern w:val="2"/>
                <w:sz w:val="24"/>
                <w:szCs w:val="24"/>
                <w:highlight w:val="none"/>
                <w:lang w:val="en-US" w:eastAsia="zh-CN" w:bidi="ar"/>
                <w14:textFill>
                  <w14:solidFill>
                    <w14:schemeClr w14:val="tx1"/>
                  </w14:solidFill>
                </w14:textFill>
              </w:rPr>
              <w:t>需提供证书及网站截图，</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无证不得分。</w:t>
            </w:r>
            <w:r>
              <w:rPr>
                <w:rFonts w:hint="eastAsia" w:ascii="Times New Roman" w:hAnsi="Times New Roman" w:cs="宋体"/>
                <w:color w:val="000000" w:themeColor="text1"/>
                <w:kern w:val="2"/>
                <w:sz w:val="24"/>
                <w:szCs w:val="24"/>
                <w:highlight w:val="none"/>
                <w:lang w:val="en-US" w:eastAsia="zh-CN" w:bidi="ar"/>
                <w14:textFill>
                  <w14:solidFill>
                    <w14:schemeClr w14:val="tx1"/>
                  </w14:solidFill>
                </w14:textFill>
              </w:rPr>
              <w:t>（</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备案机购：高等教育人才交流人才职业技能网上服务平台</w:t>
            </w:r>
            <w:r>
              <w:rPr>
                <w:rFonts w:hint="eastAsia" w:ascii="Times New Roman" w:hAnsi="Times New Roman" w:cs="宋体"/>
                <w:color w:val="000000" w:themeColor="text1"/>
                <w:kern w:val="2"/>
                <w:sz w:val="24"/>
                <w:szCs w:val="24"/>
                <w:highlight w:val="none"/>
                <w:lang w:val="en-US" w:eastAsia="zh-CN" w:bidi="ar"/>
                <w14:textFill>
                  <w14:solidFill>
                    <w14:schemeClr w14:val="tx1"/>
                  </w14:solidFill>
                </w14:textFill>
              </w:rPr>
              <w:t>）</w:t>
            </w:r>
          </w:p>
          <w:p>
            <w:pPr>
              <w:keepNext w:val="0"/>
              <w:keepLines w:val="0"/>
              <w:widowControl/>
              <w:suppressLineNumbers w:val="0"/>
              <w:shd w:val="clear"/>
              <w:spacing w:before="0" w:beforeAutospacing="0" w:after="0" w:afterAutospacing="0"/>
              <w:ind w:left="0" w:right="0"/>
              <w:jc w:val="both"/>
              <w:rPr>
                <w:rFonts w:hint="default"/>
                <w:color w:val="000000" w:themeColor="text1"/>
                <w:sz w:val="24"/>
                <w:szCs w:val="24"/>
                <w:highlight w:val="none"/>
                <w:lang w:val="en-US"/>
                <w14:textFill>
                  <w14:solidFill>
                    <w14:schemeClr w14:val="tx1"/>
                  </w14:solidFill>
                </w14:textFill>
              </w:rPr>
            </w:pPr>
            <w:r>
              <w:rPr>
                <w:rFonts w:hint="eastAsia" w:ascii="Times New Roman" w:hAnsi="Times New Roman" w:cs="宋体"/>
                <w:color w:val="000000" w:themeColor="text1"/>
                <w:kern w:val="2"/>
                <w:sz w:val="24"/>
                <w:szCs w:val="24"/>
                <w:highlight w:val="none"/>
                <w:lang w:val="en-US" w:eastAsia="zh-CN" w:bidi="ar"/>
                <w14:textFill>
                  <w14:solidFill>
                    <w14:schemeClr w14:val="tx1"/>
                  </w14:solidFill>
                </w14:textFill>
              </w:rPr>
              <w:t>注：（1）以上</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人员</w:t>
            </w:r>
            <w:r>
              <w:rPr>
                <w:rFonts w:hint="eastAsia" w:ascii="Times New Roman" w:hAnsi="Times New Roman" w:cs="宋体"/>
                <w:color w:val="000000" w:themeColor="text1"/>
                <w:kern w:val="2"/>
                <w:sz w:val="24"/>
                <w:szCs w:val="24"/>
                <w:highlight w:val="none"/>
                <w:lang w:val="en-US" w:eastAsia="zh-CN" w:bidi="ar"/>
                <w14:textFill>
                  <w14:solidFill>
                    <w14:schemeClr w14:val="tx1"/>
                  </w14:solidFill>
                </w14:textFill>
              </w:rPr>
              <w:t>需提供</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包括健康证、</w:t>
            </w:r>
            <w:r>
              <w:rPr>
                <w:rFonts w:hint="eastAsia" w:ascii="Times New Roman" w:hAnsi="Times New Roman" w:cs="宋体"/>
                <w:color w:val="000000" w:themeColor="text1"/>
                <w:kern w:val="2"/>
                <w:sz w:val="24"/>
                <w:szCs w:val="24"/>
                <w:highlight w:val="none"/>
                <w:lang w:val="en-US" w:eastAsia="zh-CN" w:bidi="ar"/>
                <w14:textFill>
                  <w14:solidFill>
                    <w14:schemeClr w14:val="tx1"/>
                  </w14:solidFill>
                </w14:textFill>
              </w:rPr>
              <w:t>资格证书</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、职称证（如有）</w:t>
            </w:r>
            <w:r>
              <w:rPr>
                <w:rFonts w:hint="eastAsia" w:ascii="Times New Roman" w:hAnsi="Times New Roman" w:cs="宋体"/>
                <w:color w:val="000000" w:themeColor="text1"/>
                <w:kern w:val="2"/>
                <w:sz w:val="24"/>
                <w:szCs w:val="24"/>
                <w:highlight w:val="none"/>
                <w:lang w:val="en-US" w:eastAsia="zh-CN" w:bidi="ar"/>
                <w14:textFill>
                  <w14:solidFill>
                    <w14:schemeClr w14:val="tx1"/>
                  </w14:solidFill>
                </w14:textFill>
              </w:rPr>
              <w:t>，身份证和劳动合同或近6个月</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任</w:t>
            </w:r>
            <w:r>
              <w:rPr>
                <w:rFonts w:hint="eastAsia" w:cs="宋体"/>
                <w:color w:val="000000" w:themeColor="text1"/>
                <w:sz w:val="24"/>
                <w:szCs w:val="24"/>
                <w:highlight w:val="none"/>
                <w:lang w:val="en-US" w:eastAsia="zh-CN" w:bidi="ar"/>
                <w14:textFill>
                  <w14:solidFill>
                    <w14:schemeClr w14:val="tx1"/>
                  </w14:solidFill>
                </w14:textFill>
              </w:rPr>
              <w:t>三个</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月</w:t>
            </w:r>
            <w:r>
              <w:rPr>
                <w:rFonts w:hint="eastAsia" w:ascii="Times New Roman" w:hAnsi="Times New Roman" w:cs="宋体"/>
                <w:color w:val="000000" w:themeColor="text1"/>
                <w:kern w:val="2"/>
                <w:sz w:val="24"/>
                <w:szCs w:val="24"/>
                <w:highlight w:val="none"/>
                <w:lang w:val="en-US" w:eastAsia="zh-CN" w:bidi="ar"/>
                <w14:textFill>
                  <w14:solidFill>
                    <w14:schemeClr w14:val="tx1"/>
                  </w14:solidFill>
                </w14:textFill>
              </w:rPr>
              <w:t>社保缴纳证明</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。无人员资料或人员资料不明确、无法体现对应内容的，不予认可。</w:t>
            </w:r>
            <w:r>
              <w:rPr>
                <w:rFonts w:hint="eastAsia" w:ascii="Times New Roman" w:hAnsi="Times New Roman" w:cs="宋体"/>
                <w:color w:val="000000" w:themeColor="text1"/>
                <w:kern w:val="2"/>
                <w:sz w:val="24"/>
                <w:szCs w:val="24"/>
                <w:highlight w:val="none"/>
                <w:lang w:val="en-US" w:eastAsia="zh-CN" w:bidi="ar"/>
                <w14:textFill>
                  <w14:solidFill>
                    <w14:schemeClr w14:val="tx1"/>
                  </w14:solidFill>
                </w14:textFill>
              </w:rPr>
              <w:t>（2）</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项目经理需要有原业主单位出具证明材料，证明材料上须明确该项目经理姓名及在此项目管理期限。</w:t>
            </w:r>
          </w:p>
        </w:tc>
        <w:tc>
          <w:tcPr>
            <w:tcW w:w="6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jc w:val="center"/>
              <w:textAlignment w:val="center"/>
              <w:rPr>
                <w:rFonts w:hint="default"/>
                <w:color w:val="000000" w:themeColor="text1"/>
                <w:sz w:val="24"/>
                <w:szCs w:val="24"/>
                <w:highlight w:val="none"/>
                <w:lang w:val="en-US"/>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74" w:hRule="atLeast"/>
          <w:jc w:val="center"/>
        </w:trPr>
        <w:tc>
          <w:tcPr>
            <w:tcW w:w="71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72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7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jc w:val="center"/>
              <w:textAlignment w:val="center"/>
              <w:rPr>
                <w:rFonts w:hint="default"/>
                <w:color w:val="000000" w:themeColor="text1"/>
                <w:sz w:val="24"/>
                <w:szCs w:val="24"/>
                <w:highlight w:val="none"/>
                <w:lang w:val="en-US"/>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经营管理方案</w:t>
            </w:r>
          </w:p>
        </w:tc>
        <w:tc>
          <w:tcPr>
            <w:tcW w:w="68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hd w:val="clear"/>
              <w:autoSpaceDE w:val="0"/>
              <w:autoSpaceDN w:val="0"/>
              <w:spacing w:before="0" w:beforeAutospacing="0" w:after="0" w:afterAutospacing="0"/>
              <w:ind w:left="0" w:right="0"/>
              <w:jc w:val="both"/>
              <w:rPr>
                <w:rFonts w:hint="default"/>
                <w:color w:val="000000" w:themeColor="text1"/>
                <w:sz w:val="24"/>
                <w:szCs w:val="24"/>
                <w:highlight w:val="none"/>
                <w:lang w:val="zh-CN"/>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zh-CN" w:eastAsia="zh-CN" w:bidi="ar"/>
                <w14:textFill>
                  <w14:solidFill>
                    <w14:schemeClr w14:val="tx1"/>
                  </w14:solidFill>
                </w14:textFill>
              </w:rPr>
              <w:t>对下述</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9</w:t>
            </w:r>
            <w:r>
              <w:rPr>
                <w:rFonts w:hint="eastAsia" w:ascii="Times New Roman" w:hAnsi="Times New Roman" w:eastAsia="宋体" w:cs="宋体"/>
                <w:color w:val="000000" w:themeColor="text1"/>
                <w:kern w:val="2"/>
                <w:sz w:val="24"/>
                <w:szCs w:val="24"/>
                <w:highlight w:val="none"/>
                <w:lang w:val="zh-CN" w:eastAsia="zh-CN" w:bidi="ar"/>
                <w14:textFill>
                  <w14:solidFill>
                    <w14:schemeClr w14:val="tx1"/>
                  </w14:solidFill>
                </w14:textFill>
              </w:rPr>
              <w:t>项管理方案的先进性、系统性、完整性，实用性、合理性等五个方面计分：</w:t>
            </w:r>
          </w:p>
          <w:p>
            <w:pPr>
              <w:keepNext w:val="0"/>
              <w:keepLines w:val="0"/>
              <w:widowControl w:val="0"/>
              <w:suppressLineNumbers w:val="0"/>
              <w:shd w:val="clear"/>
              <w:autoSpaceDE w:val="0"/>
              <w:autoSpaceDN w:val="0"/>
              <w:spacing w:before="0" w:beforeAutospacing="0" w:after="0" w:afterAutospacing="0"/>
              <w:ind w:left="0" w:right="0" w:firstLine="240" w:firstLineChars="100"/>
              <w:jc w:val="both"/>
              <w:rPr>
                <w:rFonts w:hint="default"/>
                <w:color w:val="000000" w:themeColor="text1"/>
                <w:sz w:val="24"/>
                <w:szCs w:val="24"/>
                <w:highlight w:val="none"/>
                <w:lang w:val="zh-CN"/>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1.</w:t>
            </w:r>
            <w:r>
              <w:rPr>
                <w:rFonts w:hint="eastAsia" w:ascii="Times New Roman" w:hAnsi="Times New Roman" w:eastAsia="宋体" w:cs="宋体"/>
                <w:color w:val="000000" w:themeColor="text1"/>
                <w:kern w:val="2"/>
                <w:sz w:val="24"/>
                <w:szCs w:val="24"/>
                <w:highlight w:val="none"/>
                <w:lang w:val="zh-CN" w:eastAsia="zh-CN" w:bidi="ar"/>
                <w14:textFill>
                  <w14:solidFill>
                    <w14:schemeClr w14:val="tx1"/>
                  </w14:solidFill>
                </w14:textFill>
              </w:rPr>
              <w:t>总体监控方案（含监控系统、明厨亮灶）；</w:t>
            </w:r>
          </w:p>
          <w:p>
            <w:pPr>
              <w:keepNext w:val="0"/>
              <w:keepLines w:val="0"/>
              <w:widowControl w:val="0"/>
              <w:suppressLineNumbers w:val="0"/>
              <w:shd w:val="clear"/>
              <w:autoSpaceDE w:val="0"/>
              <w:autoSpaceDN w:val="0"/>
              <w:spacing w:before="0" w:beforeAutospacing="0" w:after="0" w:afterAutospacing="0"/>
              <w:ind w:left="0" w:right="0" w:firstLine="240" w:firstLineChars="100"/>
              <w:jc w:val="both"/>
              <w:rPr>
                <w:rFonts w:hint="default"/>
                <w:color w:val="000000" w:themeColor="text1"/>
                <w:sz w:val="24"/>
                <w:szCs w:val="24"/>
                <w:highlight w:val="none"/>
                <w:lang w:val="zh-CN"/>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2.</w:t>
            </w:r>
            <w:r>
              <w:rPr>
                <w:rFonts w:hint="eastAsia" w:ascii="Times New Roman" w:hAnsi="Times New Roman" w:eastAsia="宋体" w:cs="宋体"/>
                <w:color w:val="000000" w:themeColor="text1"/>
                <w:kern w:val="2"/>
                <w:sz w:val="24"/>
                <w:szCs w:val="24"/>
                <w:highlight w:val="none"/>
                <w:lang w:val="zh-CN" w:eastAsia="zh-CN" w:bidi="ar"/>
                <w14:textFill>
                  <w14:solidFill>
                    <w14:schemeClr w14:val="tx1"/>
                  </w14:solidFill>
                </w14:textFill>
              </w:rPr>
              <w:t>食品质量控制方案；</w:t>
            </w:r>
          </w:p>
          <w:p>
            <w:pPr>
              <w:keepNext w:val="0"/>
              <w:keepLines w:val="0"/>
              <w:widowControl w:val="0"/>
              <w:suppressLineNumbers w:val="0"/>
              <w:shd w:val="clear"/>
              <w:autoSpaceDE w:val="0"/>
              <w:autoSpaceDN w:val="0"/>
              <w:spacing w:before="0" w:beforeAutospacing="0" w:after="0" w:afterAutospacing="0"/>
              <w:ind w:left="0" w:right="0" w:firstLine="240" w:firstLineChars="100"/>
              <w:jc w:val="both"/>
              <w:rPr>
                <w:rFonts w:hint="default"/>
                <w:color w:val="000000" w:themeColor="text1"/>
                <w:sz w:val="24"/>
                <w:szCs w:val="24"/>
                <w:highlight w:val="none"/>
                <w:lang w:val="zh-CN"/>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3.</w:t>
            </w:r>
            <w:r>
              <w:rPr>
                <w:rFonts w:hint="eastAsia" w:ascii="Times New Roman" w:hAnsi="Times New Roman" w:eastAsia="宋体" w:cs="宋体"/>
                <w:color w:val="000000" w:themeColor="text1"/>
                <w:kern w:val="2"/>
                <w:sz w:val="24"/>
                <w:szCs w:val="24"/>
                <w:highlight w:val="none"/>
                <w:lang w:val="zh-CN" w:eastAsia="zh-CN" w:bidi="ar"/>
                <w14:textFill>
                  <w14:solidFill>
                    <w14:schemeClr w14:val="tx1"/>
                  </w14:solidFill>
                </w14:textFill>
              </w:rPr>
              <w:t>服务质量控制方案；</w:t>
            </w:r>
          </w:p>
          <w:p>
            <w:pPr>
              <w:keepNext w:val="0"/>
              <w:keepLines w:val="0"/>
              <w:widowControl w:val="0"/>
              <w:suppressLineNumbers w:val="0"/>
              <w:shd w:val="clear"/>
              <w:autoSpaceDE w:val="0"/>
              <w:autoSpaceDN w:val="0"/>
              <w:spacing w:before="0" w:beforeAutospacing="0" w:after="0" w:afterAutospacing="0"/>
              <w:ind w:left="0" w:right="0" w:firstLine="240" w:firstLineChars="100"/>
              <w:jc w:val="both"/>
              <w:rPr>
                <w:rFonts w:hint="default"/>
                <w:color w:val="000000" w:themeColor="text1"/>
                <w:sz w:val="24"/>
                <w:szCs w:val="24"/>
                <w:highlight w:val="none"/>
                <w:lang w:val="zh-CN"/>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4.</w:t>
            </w:r>
            <w:r>
              <w:rPr>
                <w:rFonts w:hint="eastAsia" w:ascii="Times New Roman" w:hAnsi="Times New Roman" w:eastAsia="宋体" w:cs="宋体"/>
                <w:color w:val="000000" w:themeColor="text1"/>
                <w:kern w:val="2"/>
                <w:sz w:val="24"/>
                <w:szCs w:val="24"/>
                <w:highlight w:val="none"/>
                <w:lang w:val="zh-CN" w:eastAsia="zh-CN" w:bidi="ar"/>
                <w14:textFill>
                  <w14:solidFill>
                    <w14:schemeClr w14:val="tx1"/>
                  </w14:solidFill>
                </w14:textFill>
              </w:rPr>
              <w:t>卫生管理控制方案；</w:t>
            </w:r>
          </w:p>
          <w:p>
            <w:pPr>
              <w:keepNext w:val="0"/>
              <w:keepLines w:val="0"/>
              <w:widowControl w:val="0"/>
              <w:suppressLineNumbers w:val="0"/>
              <w:shd w:val="clear"/>
              <w:autoSpaceDE w:val="0"/>
              <w:autoSpaceDN w:val="0"/>
              <w:spacing w:before="0" w:beforeAutospacing="0" w:after="0" w:afterAutospacing="0"/>
              <w:ind w:left="0" w:right="0" w:firstLine="240" w:firstLineChars="100"/>
              <w:jc w:val="both"/>
              <w:rPr>
                <w:rFonts w:hint="default"/>
                <w:color w:val="000000" w:themeColor="text1"/>
                <w:sz w:val="24"/>
                <w:szCs w:val="24"/>
                <w:highlight w:val="none"/>
                <w:lang w:val="zh-CN"/>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5.</w:t>
            </w:r>
            <w:r>
              <w:rPr>
                <w:rFonts w:hint="eastAsia" w:ascii="Times New Roman" w:hAnsi="Times New Roman" w:eastAsia="宋体" w:cs="宋体"/>
                <w:color w:val="000000" w:themeColor="text1"/>
                <w:kern w:val="2"/>
                <w:sz w:val="24"/>
                <w:szCs w:val="24"/>
                <w:highlight w:val="none"/>
                <w:lang w:val="zh-CN" w:eastAsia="zh-CN" w:bidi="ar"/>
                <w14:textFill>
                  <w14:solidFill>
                    <w14:schemeClr w14:val="tx1"/>
                  </w14:solidFill>
                </w14:textFill>
              </w:rPr>
              <w:t>原材料采购管理方案；</w:t>
            </w:r>
          </w:p>
          <w:p>
            <w:pPr>
              <w:keepNext w:val="0"/>
              <w:keepLines w:val="0"/>
              <w:widowControl w:val="0"/>
              <w:suppressLineNumbers w:val="0"/>
              <w:shd w:val="clear"/>
              <w:autoSpaceDE w:val="0"/>
              <w:autoSpaceDN w:val="0"/>
              <w:spacing w:before="0" w:beforeAutospacing="0" w:after="0" w:afterAutospacing="0"/>
              <w:ind w:left="0" w:right="0" w:firstLine="240" w:firstLineChars="100"/>
              <w:jc w:val="both"/>
              <w:rPr>
                <w:rFonts w:hint="default"/>
                <w:color w:val="000000" w:themeColor="text1"/>
                <w:sz w:val="24"/>
                <w:szCs w:val="24"/>
                <w:highlight w:val="none"/>
                <w:lang w:val="zh-CN"/>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6.</w:t>
            </w:r>
            <w:r>
              <w:rPr>
                <w:rFonts w:hint="eastAsia" w:ascii="Times New Roman" w:hAnsi="Times New Roman" w:eastAsia="宋体" w:cs="宋体"/>
                <w:color w:val="000000" w:themeColor="text1"/>
                <w:kern w:val="2"/>
                <w:sz w:val="24"/>
                <w:szCs w:val="24"/>
                <w:highlight w:val="none"/>
                <w:lang w:val="zh-CN" w:eastAsia="zh-CN" w:bidi="ar"/>
                <w14:textFill>
                  <w14:solidFill>
                    <w14:schemeClr w14:val="tx1"/>
                  </w14:solidFill>
                </w14:textFill>
              </w:rPr>
              <w:t>操作规程控制管理方案；</w:t>
            </w:r>
          </w:p>
          <w:p>
            <w:pPr>
              <w:keepNext w:val="0"/>
              <w:keepLines w:val="0"/>
              <w:widowControl w:val="0"/>
              <w:suppressLineNumbers w:val="0"/>
              <w:shd w:val="clear"/>
              <w:autoSpaceDE w:val="0"/>
              <w:autoSpaceDN w:val="0"/>
              <w:spacing w:before="0" w:beforeAutospacing="0" w:after="0" w:afterAutospacing="0"/>
              <w:ind w:left="0" w:right="0" w:firstLine="240" w:firstLineChars="100"/>
              <w:jc w:val="both"/>
              <w:rPr>
                <w:rFonts w:hint="default"/>
                <w:color w:val="000000" w:themeColor="text1"/>
                <w:sz w:val="24"/>
                <w:szCs w:val="24"/>
                <w:highlight w:val="none"/>
                <w:lang w:val="zh-CN"/>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7.</w:t>
            </w:r>
            <w:r>
              <w:rPr>
                <w:rFonts w:hint="eastAsia" w:ascii="Times New Roman" w:hAnsi="Times New Roman" w:eastAsia="宋体" w:cs="宋体"/>
                <w:color w:val="000000" w:themeColor="text1"/>
                <w:kern w:val="2"/>
                <w:sz w:val="24"/>
                <w:szCs w:val="24"/>
                <w:highlight w:val="none"/>
                <w:lang w:val="zh-CN" w:eastAsia="zh-CN" w:bidi="ar"/>
                <w14:textFill>
                  <w14:solidFill>
                    <w14:schemeClr w14:val="tx1"/>
                  </w14:solidFill>
                </w14:textFill>
              </w:rPr>
              <w:t>人员职责与管理方案；</w:t>
            </w:r>
          </w:p>
          <w:p>
            <w:pPr>
              <w:keepNext w:val="0"/>
              <w:keepLines w:val="0"/>
              <w:widowControl w:val="0"/>
              <w:suppressLineNumbers w:val="0"/>
              <w:shd w:val="clear"/>
              <w:autoSpaceDE w:val="0"/>
              <w:autoSpaceDN w:val="0"/>
              <w:spacing w:before="0" w:beforeAutospacing="0" w:after="0" w:afterAutospacing="0"/>
              <w:ind w:left="0" w:right="0" w:firstLine="240" w:firstLineChars="100"/>
              <w:jc w:val="both"/>
              <w:rPr>
                <w:rFonts w:hint="default"/>
                <w:color w:val="000000" w:themeColor="text1"/>
                <w:sz w:val="24"/>
                <w:szCs w:val="24"/>
                <w:highlight w:val="none"/>
                <w:lang w:val="en-US"/>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8.</w:t>
            </w:r>
            <w:r>
              <w:rPr>
                <w:rFonts w:hint="eastAsia" w:ascii="Times New Roman" w:hAnsi="Times New Roman" w:eastAsia="宋体" w:cs="宋体"/>
                <w:color w:val="000000" w:themeColor="text1"/>
                <w:kern w:val="2"/>
                <w:sz w:val="24"/>
                <w:szCs w:val="24"/>
                <w:highlight w:val="none"/>
                <w:lang w:val="zh-CN" w:eastAsia="zh-CN" w:bidi="ar"/>
                <w14:textFill>
                  <w14:solidFill>
                    <w14:schemeClr w14:val="tx1"/>
                  </w14:solidFill>
                </w14:textFill>
              </w:rPr>
              <w:t>消防、治安、意外事故</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及</w:t>
            </w:r>
            <w:r>
              <w:rPr>
                <w:rFonts w:hint="eastAsia" w:ascii="Times New Roman" w:hAnsi="Times New Roman" w:eastAsia="宋体" w:cs="宋体"/>
                <w:color w:val="000000" w:themeColor="text1"/>
                <w:kern w:val="2"/>
                <w:sz w:val="24"/>
                <w:szCs w:val="24"/>
                <w:highlight w:val="none"/>
                <w:lang w:val="zh-CN" w:eastAsia="zh-CN" w:bidi="ar"/>
                <w14:textFill>
                  <w14:solidFill>
                    <w14:schemeClr w14:val="tx1"/>
                  </w14:solidFill>
                </w14:textFill>
              </w:rPr>
              <w:t>突发事件应急预案（含生产安全，消防安全和食品安全</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和公共卫生事件</w:t>
            </w:r>
            <w:r>
              <w:rPr>
                <w:rFonts w:hint="eastAsia" w:ascii="Times New Roman" w:hAnsi="Times New Roman" w:eastAsia="宋体" w:cs="宋体"/>
                <w:color w:val="000000" w:themeColor="text1"/>
                <w:kern w:val="2"/>
                <w:sz w:val="24"/>
                <w:szCs w:val="24"/>
                <w:highlight w:val="none"/>
                <w:lang w:val="zh-CN" w:eastAsia="zh-CN" w:bidi="ar"/>
                <w14:textFill>
                  <w14:solidFill>
                    <w14:schemeClr w14:val="tx1"/>
                  </w14:solidFill>
                </w14:textFill>
              </w:rPr>
              <w:t>；</w:t>
            </w:r>
          </w:p>
          <w:p>
            <w:pPr>
              <w:keepNext w:val="0"/>
              <w:keepLines w:val="0"/>
              <w:widowControl w:val="0"/>
              <w:suppressLineNumbers w:val="0"/>
              <w:shd w:val="clear"/>
              <w:autoSpaceDE w:val="0"/>
              <w:autoSpaceDN w:val="0"/>
              <w:spacing w:before="0" w:beforeAutospacing="0" w:after="0" w:afterAutospacing="0"/>
              <w:ind w:left="0" w:right="0" w:firstLine="240" w:firstLineChars="100"/>
              <w:jc w:val="both"/>
              <w:rPr>
                <w:rFonts w:hint="default"/>
                <w:color w:val="000000" w:themeColor="text1"/>
                <w:sz w:val="24"/>
                <w:szCs w:val="24"/>
                <w:highlight w:val="none"/>
                <w:lang w:val="en-US" w:bidi="ar"/>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9.</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服务对象投诉的处理和解决方案</w:t>
            </w:r>
            <w:r>
              <w:rPr>
                <w:rFonts w:hint="eastAsia" w:ascii="Times New Roman" w:hAnsi="Times New Roman" w:eastAsia="宋体" w:cs="宋体"/>
                <w:color w:val="000000" w:themeColor="text1"/>
                <w:kern w:val="2"/>
                <w:sz w:val="24"/>
                <w:szCs w:val="24"/>
                <w:highlight w:val="none"/>
                <w:lang w:val="zh-CN" w:eastAsia="zh-CN" w:bidi="ar"/>
                <w14:textFill>
                  <w14:solidFill>
                    <w14:schemeClr w14:val="tx1"/>
                  </w14:solidFill>
                </w14:textFill>
              </w:rPr>
              <w:t>。</w:t>
            </w:r>
          </w:p>
          <w:p>
            <w:pPr>
              <w:keepNext w:val="0"/>
              <w:keepLines w:val="0"/>
              <w:widowControl/>
              <w:suppressLineNumbers w:val="0"/>
              <w:shd w:val="clear"/>
              <w:spacing w:before="0" w:beforeAutospacing="0" w:after="0" w:afterAutospacing="0"/>
              <w:ind w:left="0" w:right="0" w:firstLine="240" w:firstLineChars="100"/>
              <w:jc w:val="left"/>
              <w:rPr>
                <w:rFonts w:hint="default"/>
                <w:color w:val="000000" w:themeColor="text1"/>
                <w:sz w:val="24"/>
                <w:szCs w:val="24"/>
                <w:highlight w:val="none"/>
                <w:lang w:val="en-US"/>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zh-CN" w:eastAsia="zh-CN" w:bidi="ar"/>
                <w14:textFill>
                  <w14:solidFill>
                    <w14:schemeClr w14:val="tx1"/>
                  </w14:solidFill>
                </w14:textFill>
              </w:rPr>
              <w:t>根据投标人提供情况</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每有一项内容完整、实施性强、贴合项目实际情况的</w:t>
            </w:r>
            <w:r>
              <w:rPr>
                <w:rFonts w:hint="eastAsia" w:ascii="Times New Roman" w:hAnsi="Times New Roman" w:eastAsia="宋体" w:cs="宋体"/>
                <w:color w:val="000000" w:themeColor="text1"/>
                <w:kern w:val="2"/>
                <w:sz w:val="24"/>
                <w:szCs w:val="24"/>
                <w:highlight w:val="none"/>
                <w:lang w:val="zh-CN" w:eastAsia="zh-CN" w:bidi="ar"/>
                <w14:textFill>
                  <w14:solidFill>
                    <w14:schemeClr w14:val="tx1"/>
                  </w14:solidFill>
                </w14:textFill>
              </w:rPr>
              <w:t>，</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得</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2</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分，</w:t>
            </w:r>
            <w:r>
              <w:rPr>
                <w:rFonts w:hint="eastAsia" w:ascii="Times New Roman" w:hAnsi="Times New Roman" w:eastAsia="宋体" w:cs="宋体"/>
                <w:color w:val="000000" w:themeColor="text1"/>
                <w:kern w:val="2"/>
                <w:sz w:val="24"/>
                <w:szCs w:val="24"/>
                <w:highlight w:val="none"/>
                <w:lang w:val="zh-CN" w:eastAsia="zh-CN" w:bidi="ar"/>
                <w14:textFill>
                  <w14:solidFill>
                    <w14:schemeClr w14:val="tx1"/>
                  </w14:solidFill>
                </w14:textFill>
              </w:rPr>
              <w:t>本项满分</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18</w:t>
            </w:r>
            <w:r>
              <w:rPr>
                <w:rFonts w:hint="eastAsia" w:ascii="Times New Roman" w:hAnsi="Times New Roman" w:eastAsia="宋体" w:cs="宋体"/>
                <w:color w:val="000000" w:themeColor="text1"/>
                <w:kern w:val="2"/>
                <w:sz w:val="24"/>
                <w:szCs w:val="24"/>
                <w:highlight w:val="none"/>
                <w:lang w:val="zh-CN" w:eastAsia="zh-CN" w:bidi="ar"/>
                <w14:textFill>
                  <w14:solidFill>
                    <w14:schemeClr w14:val="tx1"/>
                  </w14:solidFill>
                </w14:textFill>
              </w:rPr>
              <w:t>分。</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每有一处描述不清、叙述混乱、不完整、不贴合实际的扣</w:t>
            </w:r>
            <w:r>
              <w:rPr>
                <w:rFonts w:hint="eastAsia" w:ascii="Times New Roman" w:hAnsi="Times New Roman" w:cs="Times New Roman"/>
                <w:color w:val="000000" w:themeColor="text1"/>
                <w:kern w:val="2"/>
                <w:sz w:val="24"/>
                <w:szCs w:val="24"/>
                <w:highlight w:val="none"/>
                <w:lang w:val="en-US" w:eastAsia="zh-CN" w:bidi="ar"/>
                <w14:textFill>
                  <w14:solidFill>
                    <w14:schemeClr w14:val="tx1"/>
                  </w14:solidFill>
                </w14:textFill>
              </w:rPr>
              <w:t>1</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分，扣完为止。</w:t>
            </w:r>
          </w:p>
        </w:tc>
        <w:tc>
          <w:tcPr>
            <w:tcW w:w="6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jc w:val="center"/>
              <w:textAlignment w:val="center"/>
              <w:rPr>
                <w:rFonts w:hint="default"/>
                <w:color w:val="000000" w:themeColor="text1"/>
                <w:sz w:val="24"/>
                <w:szCs w:val="24"/>
                <w:highlight w:val="none"/>
                <w:lang w:val="en-US"/>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7" w:hRule="atLeast"/>
          <w:jc w:val="center"/>
        </w:trPr>
        <w:tc>
          <w:tcPr>
            <w:tcW w:w="71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72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7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jc w:val="center"/>
              <w:textAlignment w:val="center"/>
              <w:rPr>
                <w:rFonts w:hint="default"/>
                <w:color w:val="000000" w:themeColor="text1"/>
                <w:sz w:val="24"/>
                <w:szCs w:val="24"/>
                <w:highlight w:val="none"/>
                <w:lang w:val="en-US"/>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服务</w:t>
            </w:r>
          </w:p>
          <w:p>
            <w:pPr>
              <w:keepNext w:val="0"/>
              <w:keepLines w:val="0"/>
              <w:widowControl/>
              <w:suppressLineNumbers w:val="0"/>
              <w:shd w:val="clear"/>
              <w:spacing w:before="0" w:beforeAutospacing="0" w:after="0" w:afterAutospacing="0"/>
              <w:ind w:left="0" w:right="0"/>
              <w:jc w:val="center"/>
              <w:textAlignment w:val="center"/>
              <w:rPr>
                <w:rFonts w:hint="default"/>
                <w:color w:val="000000" w:themeColor="text1"/>
                <w:sz w:val="24"/>
                <w:szCs w:val="24"/>
                <w:highlight w:val="none"/>
                <w:lang w:val="en-US"/>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承诺</w:t>
            </w:r>
          </w:p>
        </w:tc>
        <w:tc>
          <w:tcPr>
            <w:tcW w:w="68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firstLine="480" w:firstLineChars="200"/>
              <w:jc w:val="left"/>
              <w:textAlignment w:val="center"/>
              <w:rPr>
                <w:rFonts w:hint="default"/>
                <w:color w:val="000000" w:themeColor="text1"/>
                <w:sz w:val="24"/>
                <w:szCs w:val="24"/>
                <w:highlight w:val="none"/>
                <w:lang w:val="en-US"/>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投标方承诺中标后办理所投食堂经营场所公众责任险及食品安全责任险保额均不低于</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500</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万元保险，同时提供在本次招标文件发布之日前，为现正在经营单个项目购买的保额均不低于</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500</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万元公众责任险及食品安全责任险保单，每提供一个得</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2</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分，最高得</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4</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分。</w:t>
            </w:r>
          </w:p>
        </w:tc>
        <w:tc>
          <w:tcPr>
            <w:tcW w:w="6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jc w:val="center"/>
              <w:textAlignment w:val="center"/>
              <w:rPr>
                <w:rFonts w:hint="default"/>
                <w:color w:val="000000" w:themeColor="text1"/>
                <w:sz w:val="24"/>
                <w:szCs w:val="24"/>
                <w:highlight w:val="none"/>
                <w:lang w:val="en-US"/>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80" w:hRule="atLeast"/>
          <w:jc w:val="center"/>
        </w:trPr>
        <w:tc>
          <w:tcPr>
            <w:tcW w:w="7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jc w:val="center"/>
              <w:textAlignment w:val="center"/>
              <w:rPr>
                <w:rFonts w:hint="default"/>
                <w:color w:val="000000" w:themeColor="text1"/>
                <w:sz w:val="24"/>
                <w:szCs w:val="24"/>
                <w:highlight w:val="none"/>
                <w:lang w:val="en-US"/>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jc w:val="center"/>
              <w:textAlignment w:val="center"/>
              <w:rPr>
                <w:rFonts w:hint="default"/>
                <w:color w:val="000000" w:themeColor="text1"/>
                <w:sz w:val="24"/>
                <w:szCs w:val="24"/>
                <w:highlight w:val="none"/>
                <w:lang w:val="en-US"/>
                <w14:textFill>
                  <w14:solidFill>
                    <w14:schemeClr w14:val="tx1"/>
                  </w14:solidFill>
                </w14:textFill>
              </w:rPr>
            </w:pPr>
          </w:p>
        </w:tc>
        <w:tc>
          <w:tcPr>
            <w:tcW w:w="7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jc w:val="center"/>
              <w:textAlignment w:val="center"/>
              <w:rPr>
                <w:rFonts w:hint="default"/>
                <w:color w:val="000000" w:themeColor="text1"/>
                <w:sz w:val="24"/>
                <w:szCs w:val="24"/>
                <w:highlight w:val="none"/>
                <w:lang w:val="en-US"/>
                <w14:textFill>
                  <w14:solidFill>
                    <w14:schemeClr w14:val="tx1"/>
                  </w14:solidFill>
                </w14:textFill>
              </w:rPr>
            </w:pPr>
          </w:p>
        </w:tc>
        <w:tc>
          <w:tcPr>
            <w:tcW w:w="68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jc w:val="left"/>
              <w:textAlignment w:val="center"/>
              <w:rPr>
                <w:rFonts w:hint="default"/>
                <w:color w:val="000000" w:themeColor="text1"/>
                <w:sz w:val="24"/>
                <w:szCs w:val="24"/>
                <w:highlight w:val="none"/>
                <w:lang w:val="en-US"/>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fldChar w:fldCharType="begin"/>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instrText xml:space="preserve"> = sum(D2:D11) \* MERGEFORMAT </w:instrTex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fldChar w:fldCharType="separate"/>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fldChar w:fldCharType="end"/>
            </w:r>
          </w:p>
        </w:tc>
        <w:tc>
          <w:tcPr>
            <w:tcW w:w="6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jc w:val="center"/>
              <w:textAlignment w:val="center"/>
              <w:rPr>
                <w:rFonts w:hint="default"/>
                <w:color w:val="000000" w:themeColor="text1"/>
                <w:sz w:val="24"/>
                <w:szCs w:val="24"/>
                <w:highlight w:val="none"/>
                <w:lang w:val="en-US"/>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fldChar w:fldCharType="begin"/>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instrText xml:space="preserve"> = sum(E3:E11) \* MERGEFORMAT </w:instrTex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fldChar w:fldCharType="separate"/>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100</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fldChar w:fldCharType="end"/>
            </w:r>
          </w:p>
        </w:tc>
      </w:tr>
    </w:tbl>
    <w:p>
      <w:pPr>
        <w:keepNext w:val="0"/>
        <w:keepLines w:val="0"/>
        <w:widowControl w:val="0"/>
        <w:suppressLineNumbers w:val="0"/>
        <w:shd w:val="clear"/>
        <w:snapToGrid w:val="0"/>
        <w:spacing w:before="0" w:beforeAutospacing="0" w:after="0" w:afterAutospacing="0" w:line="360" w:lineRule="auto"/>
        <w:ind w:left="0" w:right="0"/>
        <w:jc w:val="both"/>
        <w:rPr>
          <w:rFonts w:hint="eastAsia" w:ascii="宋体" w:hAnsi="宋体" w:eastAsia="宋体" w:cs="宋体"/>
          <w:b/>
          <w:bCs w:val="0"/>
          <w:color w:val="000000" w:themeColor="text1"/>
          <w:sz w:val="24"/>
          <w:szCs w:val="24"/>
          <w:highlight w:val="none"/>
          <w:lang w:val="en-US"/>
          <w14:textFill>
            <w14:solidFill>
              <w14:schemeClr w14:val="tx1"/>
            </w14:solidFill>
          </w14:textFill>
        </w:rPr>
      </w:pPr>
    </w:p>
    <w:p>
      <w:pPr>
        <w:shd w:val="clea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br w:type="page"/>
      </w:r>
    </w:p>
    <w:p>
      <w:pPr>
        <w:keepNext w:val="0"/>
        <w:keepLines w:val="0"/>
        <w:widowControl w:val="0"/>
        <w:suppressLineNumbers w:val="0"/>
        <w:shd w:val="clear"/>
        <w:snapToGrid w:val="0"/>
        <w:spacing w:before="0" w:beforeAutospacing="0" w:after="0" w:afterAutospacing="0" w:line="360" w:lineRule="auto"/>
        <w:ind w:left="0" w:right="0" w:firstLine="482" w:firstLineChars="200"/>
        <w:jc w:val="center"/>
        <w:rPr>
          <w:rFonts w:hint="eastAsia" w:ascii="宋体" w:hAnsi="宋体" w:eastAsia="宋体" w:cs="宋体"/>
          <w:b/>
          <w:bCs w:val="0"/>
          <w:color w:val="000000" w:themeColor="text1"/>
          <w:sz w:val="24"/>
          <w:szCs w:val="24"/>
          <w:highlight w:val="none"/>
          <w:lang w:val="en-US"/>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第二标段评审标准</w:t>
      </w:r>
    </w:p>
    <w:tbl>
      <w:tblPr>
        <w:tblStyle w:val="14"/>
        <w:tblW w:w="9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724"/>
        <w:gridCol w:w="737"/>
        <w:gridCol w:w="788"/>
        <w:gridCol w:w="6448"/>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42"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黑体" w:hAnsi="宋体" w:eastAsia="黑体" w:cs="黑体"/>
                <w:b/>
                <w:bCs/>
                <w:color w:val="000000" w:themeColor="text1"/>
                <w:sz w:val="22"/>
                <w:szCs w:val="22"/>
                <w:highlight w:val="none"/>
                <w:lang w:val="en-US"/>
                <w14:textFill>
                  <w14:solidFill>
                    <w14:schemeClr w14:val="tx1"/>
                  </w14:solidFill>
                </w14:textFill>
              </w:rPr>
            </w:pPr>
            <w:r>
              <w:rPr>
                <w:rFonts w:hint="eastAsia" w:ascii="黑体" w:hAnsi="宋体" w:eastAsia="黑体" w:cs="黑体"/>
                <w:b/>
                <w:bCs/>
                <w:color w:val="000000" w:themeColor="text1"/>
                <w:kern w:val="2"/>
                <w:sz w:val="22"/>
                <w:szCs w:val="22"/>
                <w:highlight w:val="none"/>
                <w:lang w:val="en-US" w:eastAsia="zh-CN" w:bidi="ar"/>
                <w14:textFill>
                  <w14:solidFill>
                    <w14:schemeClr w14:val="tx1"/>
                  </w14:solidFill>
                </w14:textFill>
              </w:rPr>
              <w:t>序号</w:t>
            </w:r>
          </w:p>
        </w:tc>
        <w:tc>
          <w:tcPr>
            <w:tcW w:w="152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黑体" w:hAnsi="宋体" w:eastAsia="黑体" w:cs="黑体"/>
                <w:b/>
                <w:bCs/>
                <w:color w:val="000000" w:themeColor="text1"/>
                <w:sz w:val="22"/>
                <w:szCs w:val="22"/>
                <w:highlight w:val="none"/>
                <w:lang w:val="en-US"/>
                <w14:textFill>
                  <w14:solidFill>
                    <w14:schemeClr w14:val="tx1"/>
                  </w14:solidFill>
                </w14:textFill>
              </w:rPr>
            </w:pPr>
            <w:r>
              <w:rPr>
                <w:rFonts w:hint="eastAsia" w:ascii="黑体" w:hAnsi="宋体" w:eastAsia="黑体" w:cs="黑体"/>
                <w:b/>
                <w:bCs/>
                <w:color w:val="000000" w:themeColor="text1"/>
                <w:kern w:val="2"/>
                <w:sz w:val="22"/>
                <w:szCs w:val="22"/>
                <w:highlight w:val="none"/>
                <w:lang w:val="en-US" w:eastAsia="zh-CN" w:bidi="ar"/>
                <w14:textFill>
                  <w14:solidFill>
                    <w14:schemeClr w14:val="tx1"/>
                  </w14:solidFill>
                </w14:textFill>
              </w:rPr>
              <w:t>评分内容</w:t>
            </w:r>
          </w:p>
        </w:tc>
        <w:tc>
          <w:tcPr>
            <w:tcW w:w="64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黑体" w:hAnsi="宋体" w:eastAsia="黑体" w:cs="黑体"/>
                <w:b/>
                <w:bCs/>
                <w:color w:val="000000" w:themeColor="text1"/>
                <w:sz w:val="22"/>
                <w:szCs w:val="22"/>
                <w:highlight w:val="none"/>
                <w:lang w:val="en-US"/>
                <w14:textFill>
                  <w14:solidFill>
                    <w14:schemeClr w14:val="tx1"/>
                  </w14:solidFill>
                </w14:textFill>
              </w:rPr>
            </w:pPr>
            <w:r>
              <w:rPr>
                <w:rFonts w:hint="eastAsia" w:ascii="黑体" w:hAnsi="宋体" w:eastAsia="黑体" w:cs="黑体"/>
                <w:b/>
                <w:bCs/>
                <w:color w:val="000000" w:themeColor="text1"/>
                <w:kern w:val="2"/>
                <w:sz w:val="22"/>
                <w:szCs w:val="22"/>
                <w:highlight w:val="none"/>
                <w:lang w:val="en-US" w:eastAsia="zh-CN" w:bidi="ar"/>
                <w14:textFill>
                  <w14:solidFill>
                    <w14:schemeClr w14:val="tx1"/>
                  </w14:solidFill>
                </w14:textFill>
              </w:rPr>
              <w:t>评分方法</w:t>
            </w:r>
          </w:p>
        </w:tc>
        <w:tc>
          <w:tcPr>
            <w:tcW w:w="6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黑体" w:hAnsi="宋体" w:eastAsia="黑体" w:cs="黑体"/>
                <w:b/>
                <w:bCs/>
                <w:color w:val="000000" w:themeColor="text1"/>
                <w:sz w:val="22"/>
                <w:szCs w:val="22"/>
                <w:highlight w:val="none"/>
                <w:lang w:val="en-US"/>
                <w14:textFill>
                  <w14:solidFill>
                    <w14:schemeClr w14:val="tx1"/>
                  </w14:solidFill>
                </w14:textFill>
              </w:rPr>
            </w:pPr>
            <w:r>
              <w:rPr>
                <w:rFonts w:hint="eastAsia" w:ascii="黑体" w:hAnsi="宋体" w:eastAsia="黑体" w:cs="黑体"/>
                <w:b/>
                <w:bCs/>
                <w:color w:val="000000" w:themeColor="text1"/>
                <w:kern w:val="2"/>
                <w:sz w:val="22"/>
                <w:szCs w:val="22"/>
                <w:highlight w:val="none"/>
                <w:lang w:val="en-US" w:eastAsia="zh-CN" w:bidi="ar"/>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25"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jc w:val="center"/>
              <w:textAlignment w:val="center"/>
              <w:rPr>
                <w:rFonts w:hint="default"/>
                <w:color w:val="000000" w:themeColor="text1"/>
                <w:sz w:val="24"/>
                <w:szCs w:val="24"/>
                <w:highlight w:val="none"/>
                <w:lang w:val="en-US"/>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1</w:t>
            </w:r>
          </w:p>
        </w:tc>
        <w:tc>
          <w:tcPr>
            <w:tcW w:w="152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jc w:val="center"/>
              <w:textAlignment w:val="center"/>
              <w:rPr>
                <w:rFonts w:hint="default"/>
                <w:color w:val="000000" w:themeColor="text1"/>
                <w:sz w:val="24"/>
                <w:szCs w:val="24"/>
                <w:highlight w:val="none"/>
                <w:lang w:val="en-US"/>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投标报价</w:t>
            </w:r>
          </w:p>
          <w:p>
            <w:pPr>
              <w:keepNext w:val="0"/>
              <w:keepLines w:val="0"/>
              <w:widowControl/>
              <w:suppressLineNumbers w:val="0"/>
              <w:shd w:val="clear"/>
              <w:spacing w:before="0" w:beforeAutospacing="0" w:after="0" w:afterAutospacing="0"/>
              <w:ind w:left="0" w:right="0"/>
              <w:jc w:val="center"/>
              <w:textAlignment w:val="center"/>
              <w:rPr>
                <w:rFonts w:hint="default"/>
                <w:color w:val="000000" w:themeColor="text1"/>
                <w:sz w:val="24"/>
                <w:szCs w:val="24"/>
                <w:highlight w:val="none"/>
                <w:lang w:val="en-US"/>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(30</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分</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w:t>
            </w:r>
          </w:p>
        </w:tc>
        <w:tc>
          <w:tcPr>
            <w:tcW w:w="64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3"/>
              <w:keepNext w:val="0"/>
              <w:keepLines w:val="0"/>
              <w:widowControl w:val="0"/>
              <w:suppressLineNumbers w:val="0"/>
              <w:shd w:val="clear"/>
              <w:spacing w:before="0" w:beforeAutospacing="0" w:after="0" w:afterAutospacing="0"/>
              <w:ind w:left="0" w:right="0" w:firstLine="480" w:firstLineChars="200"/>
              <w:jc w:val="both"/>
              <w:rPr>
                <w:rFonts w:hint="default"/>
                <w:color w:val="000000" w:themeColor="text1"/>
                <w:sz w:val="24"/>
                <w:szCs w:val="24"/>
                <w:highlight w:val="none"/>
                <w:lang w:val="en-US"/>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以满足</w:t>
            </w:r>
            <w:r>
              <w:rPr>
                <w:rFonts w:hint="eastAsia" w:ascii="Times New Roman" w:hAnsi="Times New Roman" w:cs="宋体"/>
                <w:color w:val="000000" w:themeColor="text1"/>
                <w:kern w:val="2"/>
                <w:sz w:val="24"/>
                <w:szCs w:val="24"/>
                <w:highlight w:val="none"/>
                <w:lang w:val="en-US" w:eastAsia="zh-CN" w:bidi="ar"/>
                <w14:textFill>
                  <w14:solidFill>
                    <w14:schemeClr w14:val="tx1"/>
                  </w14:solidFill>
                </w14:textFill>
              </w:rPr>
              <w:t>招标</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文件要求的支付餐饮服务费比例最低的投标价为基准价，其报价分为满分。其他投标人的报价按下列公式计算：</w:t>
            </w:r>
          </w:p>
          <w:p>
            <w:pPr>
              <w:pStyle w:val="13"/>
              <w:keepNext w:val="0"/>
              <w:keepLines w:val="0"/>
              <w:widowControl w:val="0"/>
              <w:suppressLineNumbers w:val="0"/>
              <w:shd w:val="clear"/>
              <w:spacing w:before="0" w:beforeAutospacing="0" w:after="0" w:afterAutospacing="0"/>
              <w:ind w:left="0" w:right="-330" w:rightChars="-150" w:firstLine="420"/>
              <w:jc w:val="both"/>
              <w:rPr>
                <w:rFonts w:hint="default"/>
                <w:color w:val="000000" w:themeColor="text1"/>
                <w:sz w:val="24"/>
                <w:szCs w:val="24"/>
                <w:highlight w:val="none"/>
                <w:lang w:val="en-US"/>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报价得分＝（评标基准价</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投标人报价）</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×30</w:t>
            </w:r>
          </w:p>
        </w:tc>
        <w:tc>
          <w:tcPr>
            <w:tcW w:w="6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jc w:val="center"/>
              <w:textAlignment w:val="center"/>
              <w:rPr>
                <w:rFonts w:hint="default"/>
                <w:color w:val="000000" w:themeColor="text1"/>
                <w:sz w:val="24"/>
                <w:szCs w:val="24"/>
                <w:highlight w:val="none"/>
                <w:lang w:val="en-US"/>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4" w:hRule="atLeast"/>
          <w:jc w:val="center"/>
        </w:trPr>
        <w:tc>
          <w:tcPr>
            <w:tcW w:w="72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jc w:val="center"/>
              <w:textAlignment w:val="center"/>
              <w:rPr>
                <w:rFonts w:hint="default"/>
                <w:color w:val="000000" w:themeColor="text1"/>
                <w:sz w:val="24"/>
                <w:szCs w:val="24"/>
                <w:highlight w:val="none"/>
                <w:lang w:val="en-US"/>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2</w:t>
            </w:r>
          </w:p>
        </w:tc>
        <w:tc>
          <w:tcPr>
            <w:tcW w:w="73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jc w:val="center"/>
              <w:textAlignment w:val="center"/>
              <w:rPr>
                <w:rFonts w:hint="default"/>
                <w:color w:val="000000" w:themeColor="text1"/>
                <w:sz w:val="24"/>
                <w:szCs w:val="24"/>
                <w:highlight w:val="none"/>
                <w:lang w:val="en-US"/>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商务</w:t>
            </w:r>
          </w:p>
          <w:p>
            <w:pPr>
              <w:keepNext w:val="0"/>
              <w:keepLines w:val="0"/>
              <w:widowControl/>
              <w:suppressLineNumbers w:val="0"/>
              <w:shd w:val="clear"/>
              <w:spacing w:before="0" w:beforeAutospacing="0" w:after="0" w:afterAutospacing="0"/>
              <w:ind w:left="0" w:right="0"/>
              <w:jc w:val="center"/>
              <w:textAlignment w:val="center"/>
              <w:rPr>
                <w:rFonts w:hint="default"/>
                <w:color w:val="000000" w:themeColor="text1"/>
                <w:sz w:val="24"/>
                <w:szCs w:val="24"/>
                <w:highlight w:val="none"/>
                <w:lang w:val="en-US"/>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条款</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(28</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分</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w:t>
            </w:r>
          </w:p>
        </w:tc>
        <w:tc>
          <w:tcPr>
            <w:tcW w:w="7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jc w:val="center"/>
              <w:textAlignment w:val="center"/>
              <w:rPr>
                <w:rFonts w:hint="default"/>
                <w:color w:val="000000" w:themeColor="text1"/>
                <w:sz w:val="24"/>
                <w:szCs w:val="24"/>
                <w:highlight w:val="none"/>
                <w:lang w:val="en-US"/>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企业</w:t>
            </w:r>
          </w:p>
          <w:p>
            <w:pPr>
              <w:keepNext w:val="0"/>
              <w:keepLines w:val="0"/>
              <w:widowControl/>
              <w:suppressLineNumbers w:val="0"/>
              <w:shd w:val="clear"/>
              <w:spacing w:before="0" w:beforeAutospacing="0" w:after="0" w:afterAutospacing="0"/>
              <w:ind w:left="0" w:right="0"/>
              <w:jc w:val="center"/>
              <w:textAlignment w:val="center"/>
              <w:rPr>
                <w:rFonts w:hint="default"/>
                <w:color w:val="000000" w:themeColor="text1"/>
                <w:sz w:val="24"/>
                <w:szCs w:val="24"/>
                <w:highlight w:val="none"/>
                <w:lang w:val="en-US"/>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资历</w:t>
            </w:r>
          </w:p>
        </w:tc>
        <w:tc>
          <w:tcPr>
            <w:tcW w:w="64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val="0"/>
              <w:suppressLineNumbers w:val="0"/>
              <w:shd w:val="clear"/>
              <w:autoSpaceDE w:val="0"/>
              <w:autoSpaceDN w:val="0"/>
              <w:spacing w:before="0" w:beforeAutospacing="0" w:after="0" w:afterAutospacing="0"/>
              <w:ind w:left="0" w:right="0"/>
              <w:jc w:val="both"/>
              <w:rPr>
                <w:rFonts w:hint="default"/>
                <w:color w:val="000000" w:themeColor="text1"/>
                <w:sz w:val="24"/>
                <w:szCs w:val="24"/>
                <w:highlight w:val="none"/>
                <w:lang w:val="zh-CN"/>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zh-CN" w:eastAsia="zh-CN" w:bidi="ar"/>
                <w14:textFill>
                  <w14:solidFill>
                    <w14:schemeClr w14:val="tx1"/>
                  </w14:solidFill>
                </w14:textFill>
              </w:rPr>
              <w:t>1.</w:t>
            </w:r>
            <w:r>
              <w:rPr>
                <w:rFonts w:hint="eastAsia" w:ascii="Times New Roman" w:hAnsi="Times New Roman" w:eastAsia="宋体" w:cs="宋体"/>
                <w:color w:val="000000" w:themeColor="text1"/>
                <w:kern w:val="2"/>
                <w:sz w:val="24"/>
                <w:szCs w:val="24"/>
                <w:highlight w:val="none"/>
                <w:lang w:val="zh-CN" w:eastAsia="zh-CN" w:bidi="ar"/>
                <w14:textFill>
                  <w14:solidFill>
                    <w14:schemeClr w14:val="tx1"/>
                  </w14:solidFill>
                </w14:textFill>
              </w:rPr>
              <w:t>提供有效期内的</w:t>
            </w:r>
            <w:r>
              <w:rPr>
                <w:rFonts w:hint="default" w:ascii="Times New Roman" w:hAnsi="Times New Roman" w:eastAsia="宋体" w:cs="Times New Roman"/>
                <w:color w:val="000000" w:themeColor="text1"/>
                <w:kern w:val="2"/>
                <w:sz w:val="24"/>
                <w:szCs w:val="24"/>
                <w:highlight w:val="none"/>
                <w:lang w:val="zh-CN" w:eastAsia="zh-CN" w:bidi="ar"/>
                <w14:textFill>
                  <w14:solidFill>
                    <w14:schemeClr w14:val="tx1"/>
                  </w14:solidFill>
                </w14:textFill>
              </w:rPr>
              <w:t>GB/T19001</w:t>
            </w:r>
            <w:r>
              <w:rPr>
                <w:rFonts w:hint="eastAsia" w:ascii="Times New Roman" w:hAnsi="Times New Roman" w:eastAsia="宋体" w:cs="宋体"/>
                <w:color w:val="000000" w:themeColor="text1"/>
                <w:kern w:val="2"/>
                <w:sz w:val="24"/>
                <w:szCs w:val="24"/>
                <w:highlight w:val="none"/>
                <w:lang w:val="zh-CN" w:eastAsia="zh-CN" w:bidi="ar"/>
                <w14:textFill>
                  <w14:solidFill>
                    <w14:schemeClr w14:val="tx1"/>
                  </w14:solidFill>
                </w14:textFill>
              </w:rPr>
              <w:t>质量管理体系；</w:t>
            </w:r>
          </w:p>
          <w:p>
            <w:pPr>
              <w:keepNext w:val="0"/>
              <w:keepLines w:val="0"/>
              <w:widowControl w:val="0"/>
              <w:suppressLineNumbers w:val="0"/>
              <w:shd w:val="clear"/>
              <w:autoSpaceDE w:val="0"/>
              <w:autoSpaceDN w:val="0"/>
              <w:spacing w:before="0" w:beforeAutospacing="0" w:after="0" w:afterAutospacing="0"/>
              <w:ind w:left="0" w:right="0"/>
              <w:jc w:val="both"/>
              <w:rPr>
                <w:rFonts w:hint="default"/>
                <w:color w:val="000000" w:themeColor="text1"/>
                <w:sz w:val="24"/>
                <w:szCs w:val="24"/>
                <w:highlight w:val="none"/>
                <w:lang w:val="zh-CN"/>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zh-CN" w:eastAsia="zh-CN" w:bidi="ar"/>
                <w14:textFill>
                  <w14:solidFill>
                    <w14:schemeClr w14:val="tx1"/>
                  </w14:solidFill>
                </w14:textFill>
              </w:rPr>
              <w:t>2.GB/T24001</w:t>
            </w:r>
            <w:r>
              <w:rPr>
                <w:rFonts w:hint="eastAsia" w:ascii="Times New Roman" w:hAnsi="Times New Roman" w:eastAsia="宋体" w:cs="宋体"/>
                <w:color w:val="000000" w:themeColor="text1"/>
                <w:kern w:val="2"/>
                <w:sz w:val="24"/>
                <w:szCs w:val="24"/>
                <w:highlight w:val="none"/>
                <w:lang w:val="zh-CN" w:eastAsia="zh-CN" w:bidi="ar"/>
                <w14:textFill>
                  <w14:solidFill>
                    <w14:schemeClr w14:val="tx1"/>
                  </w14:solidFill>
                </w14:textFill>
              </w:rPr>
              <w:t>环境管理体系；</w:t>
            </w:r>
          </w:p>
          <w:p>
            <w:pPr>
              <w:keepNext w:val="0"/>
              <w:keepLines w:val="0"/>
              <w:widowControl w:val="0"/>
              <w:suppressLineNumbers w:val="0"/>
              <w:shd w:val="clear"/>
              <w:autoSpaceDE w:val="0"/>
              <w:autoSpaceDN w:val="0"/>
              <w:spacing w:before="0" w:beforeAutospacing="0" w:after="0" w:afterAutospacing="0"/>
              <w:ind w:left="0" w:right="0"/>
              <w:jc w:val="both"/>
              <w:rPr>
                <w:rFonts w:hint="default"/>
                <w:color w:val="000000" w:themeColor="text1"/>
                <w:sz w:val="24"/>
                <w:szCs w:val="24"/>
                <w:highlight w:val="none"/>
                <w:lang w:val="en-US"/>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zh-CN" w:eastAsia="zh-CN" w:bidi="ar"/>
                <w14:textFill>
                  <w14:solidFill>
                    <w14:schemeClr w14:val="tx1"/>
                  </w14:solidFill>
                </w14:textFill>
              </w:rPr>
              <w:t>3.</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ISO</w:t>
            </w:r>
            <w:r>
              <w:rPr>
                <w:rFonts w:hint="default" w:ascii="Times New Roman" w:hAnsi="Times New Roman" w:eastAsia="宋体" w:cs="Times New Roman"/>
                <w:color w:val="000000" w:themeColor="text1"/>
                <w:kern w:val="2"/>
                <w:sz w:val="24"/>
                <w:szCs w:val="24"/>
                <w:highlight w:val="none"/>
                <w:lang w:val="zh-CN" w:eastAsia="zh-CN" w:bidi="ar"/>
                <w14:textFill>
                  <w14:solidFill>
                    <w14:schemeClr w14:val="tx1"/>
                  </w14:solidFill>
                </w14:textFill>
              </w:rPr>
              <w:t>22000</w:t>
            </w:r>
            <w:r>
              <w:rPr>
                <w:rFonts w:hint="eastAsia" w:ascii="Times New Roman" w:hAnsi="Times New Roman" w:eastAsia="宋体" w:cs="宋体"/>
                <w:color w:val="000000" w:themeColor="text1"/>
                <w:kern w:val="2"/>
                <w:sz w:val="24"/>
                <w:szCs w:val="24"/>
                <w:highlight w:val="none"/>
                <w:lang w:val="zh-CN" w:eastAsia="zh-CN" w:bidi="ar"/>
                <w14:textFill>
                  <w14:solidFill>
                    <w14:schemeClr w14:val="tx1"/>
                  </w14:solidFill>
                </w14:textFill>
              </w:rPr>
              <w:t>食品安全管理体系；</w:t>
            </w:r>
          </w:p>
          <w:p>
            <w:pPr>
              <w:keepNext w:val="0"/>
              <w:keepLines w:val="0"/>
              <w:widowControl w:val="0"/>
              <w:suppressLineNumbers w:val="0"/>
              <w:shd w:val="clear"/>
              <w:autoSpaceDE w:val="0"/>
              <w:autoSpaceDN w:val="0"/>
              <w:spacing w:before="0" w:beforeAutospacing="0" w:after="0" w:afterAutospacing="0"/>
              <w:ind w:left="0" w:right="0"/>
              <w:jc w:val="both"/>
              <w:rPr>
                <w:rFonts w:hint="default"/>
                <w:color w:val="000000" w:themeColor="text1"/>
                <w:sz w:val="24"/>
                <w:szCs w:val="24"/>
                <w:highlight w:val="none"/>
                <w:lang w:val="zh-CN"/>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zh-CN" w:eastAsia="zh-CN" w:bidi="ar"/>
                <w14:textFill>
                  <w14:solidFill>
                    <w14:schemeClr w14:val="tx1"/>
                  </w14:solidFill>
                </w14:textFill>
              </w:rPr>
              <w:t>4.GB/T</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45</w:t>
            </w:r>
            <w:r>
              <w:rPr>
                <w:rFonts w:hint="default" w:ascii="Times New Roman" w:hAnsi="Times New Roman" w:eastAsia="宋体" w:cs="Times New Roman"/>
                <w:color w:val="000000" w:themeColor="text1"/>
                <w:kern w:val="2"/>
                <w:sz w:val="24"/>
                <w:szCs w:val="24"/>
                <w:highlight w:val="none"/>
                <w:lang w:val="zh-CN" w:eastAsia="zh-CN" w:bidi="ar"/>
                <w14:textFill>
                  <w14:solidFill>
                    <w14:schemeClr w14:val="tx1"/>
                  </w14:solidFill>
                </w14:textFill>
              </w:rPr>
              <w:t>001</w:t>
            </w:r>
            <w:r>
              <w:rPr>
                <w:rFonts w:hint="eastAsia" w:ascii="Times New Roman" w:hAnsi="Times New Roman" w:eastAsia="宋体" w:cs="宋体"/>
                <w:color w:val="000000" w:themeColor="text1"/>
                <w:kern w:val="2"/>
                <w:sz w:val="24"/>
                <w:szCs w:val="24"/>
                <w:highlight w:val="none"/>
                <w:lang w:val="zh-CN" w:eastAsia="zh-CN" w:bidi="ar"/>
                <w14:textFill>
                  <w14:solidFill>
                    <w14:schemeClr w14:val="tx1"/>
                  </w14:solidFill>
                </w14:textFill>
              </w:rPr>
              <w:t>职业健康安全管理体系认证；</w:t>
            </w:r>
          </w:p>
          <w:p>
            <w:pPr>
              <w:keepNext w:val="0"/>
              <w:keepLines w:val="0"/>
              <w:widowControl/>
              <w:suppressLineNumbers w:val="0"/>
              <w:shd w:val="clear"/>
              <w:spacing w:before="0" w:beforeAutospacing="0" w:after="0" w:afterAutospacing="0"/>
              <w:ind w:left="0" w:right="0"/>
              <w:jc w:val="both"/>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cs="宋体"/>
                <w:color w:val="000000" w:themeColor="text1"/>
                <w:kern w:val="2"/>
                <w:sz w:val="24"/>
                <w:szCs w:val="24"/>
                <w:highlight w:val="none"/>
                <w:lang w:val="en-US" w:eastAsia="zh-CN" w:bidi="ar"/>
                <w14:textFill>
                  <w14:solidFill>
                    <w14:schemeClr w14:val="tx1"/>
                  </w14:solidFill>
                </w14:textFill>
              </w:rPr>
              <w:t>有一项证书及证明材料得0.5分，本项最高得2分，</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未提供或不满足的不得分。</w:t>
            </w:r>
          </w:p>
          <w:p>
            <w:pPr>
              <w:keepNext w:val="0"/>
              <w:keepLines w:val="0"/>
              <w:widowControl/>
              <w:suppressLineNumbers w:val="0"/>
              <w:shd w:val="clear"/>
              <w:spacing w:before="0" w:beforeAutospacing="0" w:after="0" w:afterAutospacing="0"/>
              <w:ind w:left="0" w:right="0"/>
              <w:jc w:val="both"/>
              <w:rPr>
                <w:rFonts w:hint="default"/>
                <w:color w:val="000000" w:themeColor="text1"/>
                <w:sz w:val="24"/>
                <w:szCs w:val="24"/>
                <w:highlight w:val="none"/>
                <w:lang w:val="en-US"/>
                <w14:textFill>
                  <w14:solidFill>
                    <w14:schemeClr w14:val="tx1"/>
                  </w14:solidFill>
                </w14:textFill>
              </w:rPr>
            </w:pPr>
            <w:r>
              <w:rPr>
                <w:rFonts w:hint="eastAsia" w:ascii="Times New Roman" w:hAnsi="Times New Roman" w:cs="宋体"/>
                <w:color w:val="000000" w:themeColor="text1"/>
                <w:kern w:val="2"/>
                <w:sz w:val="24"/>
                <w:szCs w:val="24"/>
                <w:highlight w:val="none"/>
                <w:lang w:val="en-US" w:eastAsia="zh-CN" w:bidi="ar"/>
                <w14:textFill>
                  <w14:solidFill>
                    <w14:schemeClr w14:val="tx1"/>
                  </w14:solidFill>
                </w14:textFill>
              </w:rPr>
              <w:t>注：</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须在国家认监委官网可查，并提供有效期内的认证证书复印件及国家认监委网查询截图，加盖投标人公章。</w:t>
            </w:r>
          </w:p>
        </w:tc>
        <w:tc>
          <w:tcPr>
            <w:tcW w:w="6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jc w:val="center"/>
              <w:textAlignment w:val="center"/>
              <w:rPr>
                <w:rFonts w:hint="default"/>
                <w:color w:val="000000" w:themeColor="text1"/>
                <w:sz w:val="24"/>
                <w:szCs w:val="24"/>
                <w:highlight w:val="none"/>
                <w:lang w:val="en-US"/>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75" w:hRule="atLeast"/>
          <w:jc w:val="center"/>
        </w:trPr>
        <w:tc>
          <w:tcPr>
            <w:tcW w:w="72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73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7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jc w:val="center"/>
              <w:textAlignment w:val="center"/>
              <w:rPr>
                <w:rFonts w:hint="default"/>
                <w:color w:val="000000" w:themeColor="text1"/>
                <w:sz w:val="24"/>
                <w:szCs w:val="24"/>
                <w:highlight w:val="none"/>
                <w:lang w:val="en-US"/>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类似</w:t>
            </w:r>
          </w:p>
          <w:p>
            <w:pPr>
              <w:keepNext w:val="0"/>
              <w:keepLines w:val="0"/>
              <w:widowControl/>
              <w:suppressLineNumbers w:val="0"/>
              <w:shd w:val="clear"/>
              <w:spacing w:before="0" w:beforeAutospacing="0" w:after="0" w:afterAutospacing="0"/>
              <w:ind w:left="0" w:right="0"/>
              <w:jc w:val="center"/>
              <w:textAlignment w:val="center"/>
              <w:rPr>
                <w:rFonts w:hint="default"/>
                <w:color w:val="000000" w:themeColor="text1"/>
                <w:sz w:val="24"/>
                <w:szCs w:val="24"/>
                <w:highlight w:val="none"/>
                <w:lang w:val="en-US"/>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业绩</w:t>
            </w:r>
          </w:p>
        </w:tc>
        <w:tc>
          <w:tcPr>
            <w:tcW w:w="64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hd w:val="clear"/>
              <w:spacing w:before="0" w:beforeAutospacing="0" w:after="0" w:afterAutospacing="0"/>
              <w:ind w:left="0" w:right="0" w:firstLine="480" w:firstLineChars="200"/>
              <w:jc w:val="both"/>
              <w:rPr>
                <w:rFonts w:hint="default"/>
                <w:color w:val="000000" w:themeColor="text1"/>
                <w:sz w:val="24"/>
                <w:szCs w:val="24"/>
                <w:highlight w:val="none"/>
                <w:lang w:val="en-US"/>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1.2022</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年</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1</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月</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1</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日至今以来具有餐饮服务项目经</w:t>
            </w:r>
            <w:r>
              <w:rPr>
                <w:rFonts w:hint="eastAsia" w:ascii="Times New Roman" w:hAnsi="Times New Roman" w:eastAsia="宋体" w:cs="宋体"/>
                <w:color w:val="000000" w:themeColor="text1"/>
                <w:kern w:val="2"/>
                <w:sz w:val="24"/>
                <w:szCs w:val="24"/>
                <w:highlight w:val="none"/>
                <w:lang w:val="zh-CN" w:eastAsia="zh-CN" w:bidi="ar"/>
                <w14:textFill>
                  <w14:solidFill>
                    <w14:schemeClr w14:val="tx1"/>
                  </w14:solidFill>
                </w14:textFill>
              </w:rPr>
              <w:t>营满</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1</w:t>
            </w:r>
            <w:r>
              <w:rPr>
                <w:rFonts w:hint="eastAsia" w:ascii="Times New Roman" w:hAnsi="Times New Roman" w:eastAsia="宋体" w:cs="宋体"/>
                <w:color w:val="000000" w:themeColor="text1"/>
                <w:kern w:val="2"/>
                <w:sz w:val="24"/>
                <w:szCs w:val="24"/>
                <w:highlight w:val="none"/>
                <w:lang w:val="zh-CN" w:eastAsia="zh-CN" w:bidi="ar"/>
                <w14:textFill>
                  <w14:solidFill>
                    <w14:schemeClr w14:val="tx1"/>
                  </w14:solidFill>
                </w14:textFill>
              </w:rPr>
              <w:t>年</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，每个得</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2</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分，最高得</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4</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分。</w:t>
            </w:r>
          </w:p>
          <w:p>
            <w:pPr>
              <w:keepNext w:val="0"/>
              <w:keepLines w:val="0"/>
              <w:widowControl w:val="0"/>
              <w:suppressLineNumbers w:val="0"/>
              <w:shd w:val="clear"/>
              <w:spacing w:before="0" w:beforeAutospacing="0" w:after="0" w:afterAutospacing="0"/>
              <w:ind w:left="0" w:right="0" w:firstLine="480" w:firstLineChars="200"/>
              <w:jc w:val="both"/>
              <w:rPr>
                <w:rFonts w:hint="default"/>
                <w:color w:val="000000" w:themeColor="text1"/>
                <w:sz w:val="24"/>
                <w:szCs w:val="24"/>
                <w:highlight w:val="none"/>
                <w:lang w:val="en-US"/>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2.</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截至投标日，连续在同一业主单位</w:t>
            </w:r>
            <w:r>
              <w:rPr>
                <w:rFonts w:hint="eastAsia" w:ascii="Times New Roman" w:hAnsi="Times New Roman" w:cs="Times New Roman"/>
                <w:color w:val="000000" w:themeColor="text1"/>
                <w:kern w:val="2"/>
                <w:sz w:val="24"/>
                <w:szCs w:val="24"/>
                <w:highlight w:val="none"/>
                <w:lang w:val="en-US" w:eastAsia="zh-CN" w:bidi="ar"/>
                <w14:textFill>
                  <w14:solidFill>
                    <w14:schemeClr w14:val="tx1"/>
                  </w14:solidFill>
                </w14:textFill>
              </w:rPr>
              <w:t>从事餐饮服务</w:t>
            </w:r>
            <w: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超过</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3</w:t>
            </w:r>
            <w: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年</w:t>
            </w:r>
            <w:r>
              <w:rPr>
                <w:rFonts w:hint="eastAsia" w:ascii="Times New Roman" w:hAnsi="Times New Roman" w:cs="Times New Roman"/>
                <w:color w:val="000000" w:themeColor="text1"/>
                <w:kern w:val="2"/>
                <w:sz w:val="24"/>
                <w:szCs w:val="24"/>
                <w:highlight w:val="none"/>
                <w:lang w:val="en-US" w:eastAsia="zh-CN" w:bidi="ar"/>
                <w14:textFill>
                  <w14:solidFill>
                    <w14:schemeClr w14:val="tx1"/>
                  </w14:solidFill>
                </w14:textFill>
              </w:rPr>
              <w:t>（不含）</w:t>
            </w:r>
            <w: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的</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，每个得</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2</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分，最高得</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4</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分。</w:t>
            </w:r>
          </w:p>
          <w:p>
            <w:pPr>
              <w:keepNext w:val="0"/>
              <w:keepLines w:val="0"/>
              <w:widowControl w:val="0"/>
              <w:suppressLineNumbers w:val="0"/>
              <w:shd w:val="clear"/>
              <w:spacing w:before="0" w:beforeAutospacing="0" w:after="0" w:afterAutospacing="0"/>
              <w:ind w:left="0" w:right="0" w:firstLine="480" w:firstLineChars="200"/>
              <w:jc w:val="both"/>
              <w:rPr>
                <w:rFonts w:hint="default"/>
                <w:color w:val="000000" w:themeColor="text1"/>
                <w:sz w:val="24"/>
                <w:szCs w:val="24"/>
                <w:highlight w:val="none"/>
                <w:lang w:val="en-US"/>
                <w14:textFill>
                  <w14:solidFill>
                    <w14:schemeClr w14:val="tx1"/>
                  </w14:solidFill>
                </w14:textFill>
              </w:rPr>
            </w:pPr>
            <w:r>
              <w:rPr>
                <w:rFonts w:hint="eastAsia" w:ascii="Times New Roman" w:hAnsi="Times New Roman" w:cs="Times New Roman"/>
                <w:color w:val="000000" w:themeColor="text1"/>
                <w:kern w:val="2"/>
                <w:sz w:val="24"/>
                <w:szCs w:val="24"/>
                <w:highlight w:val="none"/>
                <w:lang w:val="en-US" w:eastAsia="zh-CN" w:bidi="ar"/>
                <w14:textFill>
                  <w14:solidFill>
                    <w14:schemeClr w14:val="tx1"/>
                  </w14:solidFill>
                </w14:textFill>
              </w:rPr>
              <w:t>注：（</w:t>
            </w:r>
            <w:r>
              <w:rPr>
                <w:rFonts w:hint="default" w:ascii="Times New Roman" w:hAnsi="Times New Roman" w:eastAsia="宋体" w:cs="Times New Roman"/>
                <w:color w:val="000000" w:themeColor="text1"/>
                <w:kern w:val="2"/>
                <w:sz w:val="24"/>
                <w:szCs w:val="24"/>
                <w:highlight w:val="none"/>
                <w:lang w:val="zh-CN" w:eastAsia="zh-CN" w:bidi="ar"/>
                <w14:textFill>
                  <w14:solidFill>
                    <w14:schemeClr w14:val="tx1"/>
                  </w14:solidFill>
                </w14:textFill>
              </w:rPr>
              <w:t>1</w:t>
            </w:r>
            <w:r>
              <w:rPr>
                <w:rFonts w:hint="eastAsia" w:ascii="Times New Roman" w:hAnsi="Times New Roman" w:cs="Times New Roman"/>
                <w:color w:val="000000" w:themeColor="text1"/>
                <w:kern w:val="2"/>
                <w:sz w:val="24"/>
                <w:szCs w:val="24"/>
                <w:highlight w:val="none"/>
                <w:lang w:val="zh-CN" w:eastAsia="zh-CN" w:bidi="ar"/>
                <w14:textFill>
                  <w14:solidFill>
                    <w14:schemeClr w14:val="tx1"/>
                  </w14:solidFill>
                </w14:textFill>
              </w:rPr>
              <w:t>）</w:t>
            </w:r>
            <w:r>
              <w:rPr>
                <w:rFonts w:hint="eastAsia" w:ascii="Times New Roman" w:hAnsi="Times New Roman" w:eastAsia="宋体" w:cs="宋体"/>
                <w:color w:val="000000" w:themeColor="text1"/>
                <w:kern w:val="2"/>
                <w:sz w:val="24"/>
                <w:szCs w:val="24"/>
                <w:highlight w:val="none"/>
                <w:lang w:val="zh-CN" w:eastAsia="zh-CN" w:bidi="ar"/>
                <w14:textFill>
                  <w14:solidFill>
                    <w14:schemeClr w14:val="tx1"/>
                  </w14:solidFill>
                </w14:textFill>
              </w:rPr>
              <w:t>业绩证明材料需提供合同复印件，合同内容须体现以下内容：委托人及受托人、委托人及受托人双方签字</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或</w:t>
            </w:r>
            <w:r>
              <w:rPr>
                <w:rFonts w:hint="eastAsia" w:ascii="Times New Roman" w:hAnsi="Times New Roman" w:eastAsia="宋体" w:cs="宋体"/>
                <w:color w:val="000000" w:themeColor="text1"/>
                <w:kern w:val="2"/>
                <w:sz w:val="24"/>
                <w:szCs w:val="24"/>
                <w:highlight w:val="none"/>
                <w:lang w:val="zh-CN" w:eastAsia="zh-CN" w:bidi="ar"/>
                <w14:textFill>
                  <w14:solidFill>
                    <w14:schemeClr w14:val="tx1"/>
                  </w14:solidFill>
                </w14:textFill>
              </w:rPr>
              <w:t>盖章，日期、项目服务内容等主要合同信息。</w:t>
            </w:r>
            <w:r>
              <w:rPr>
                <w:rFonts w:hint="default" w:ascii="Times New Roman" w:hAnsi="Times New Roman" w:eastAsia="宋体" w:cs="宋体"/>
                <w:color w:val="000000" w:themeColor="text1"/>
                <w:kern w:val="2"/>
                <w:sz w:val="24"/>
                <w:szCs w:val="24"/>
                <w:highlight w:val="none"/>
                <w:lang w:val="zh-CN" w:eastAsia="zh-CN" w:bidi="ar"/>
                <w14:textFill>
                  <w14:solidFill>
                    <w14:schemeClr w14:val="tx1"/>
                  </w14:solidFill>
                </w14:textFill>
              </w:rPr>
              <w:t>（</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2</w:t>
            </w:r>
            <w:r>
              <w:rPr>
                <w:rFonts w:hint="default" w:ascii="Times New Roman" w:hAnsi="Times New Roman" w:eastAsia="宋体" w:cs="宋体"/>
                <w:color w:val="000000" w:themeColor="text1"/>
                <w:kern w:val="2"/>
                <w:sz w:val="24"/>
                <w:szCs w:val="24"/>
                <w:highlight w:val="none"/>
                <w:lang w:val="zh-CN" w:eastAsia="zh-CN" w:bidi="ar"/>
                <w14:textFill>
                  <w14:solidFill>
                    <w14:schemeClr w14:val="tx1"/>
                  </w14:solidFill>
                </w14:textFill>
              </w:rPr>
              <w:t>）</w:t>
            </w:r>
            <w:r>
              <w:rPr>
                <w:rFonts w:hint="eastAsia" w:ascii="Times New Roman" w:hAnsi="Times New Roman" w:eastAsia="宋体" w:cs="宋体"/>
                <w:color w:val="000000" w:themeColor="text1"/>
                <w:kern w:val="2"/>
                <w:sz w:val="24"/>
                <w:szCs w:val="24"/>
                <w:highlight w:val="none"/>
                <w:lang w:val="zh-CN" w:eastAsia="zh-CN" w:bidi="ar"/>
                <w14:textFill>
                  <w14:solidFill>
                    <w14:schemeClr w14:val="tx1"/>
                  </w14:solidFill>
                </w14:textFill>
              </w:rPr>
              <w:t>合同复印件要求清晰可见、合同体现内容中如缺项或模糊无法辨认的视为无效业绩。</w:t>
            </w:r>
            <w:r>
              <w:rPr>
                <w:rFonts w:hint="default" w:ascii="Times New Roman" w:hAnsi="Times New Roman" w:eastAsia="宋体" w:cs="宋体"/>
                <w:color w:val="000000" w:themeColor="text1"/>
                <w:kern w:val="2"/>
                <w:sz w:val="24"/>
                <w:szCs w:val="24"/>
                <w:highlight w:val="none"/>
                <w:lang w:val="zh-CN" w:eastAsia="zh-CN" w:bidi="ar"/>
                <w14:textFill>
                  <w14:solidFill>
                    <w14:schemeClr w14:val="tx1"/>
                  </w14:solidFill>
                </w14:textFill>
              </w:rPr>
              <w:t>（</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3</w:t>
            </w:r>
            <w:r>
              <w:rPr>
                <w:rFonts w:hint="default" w:ascii="Times New Roman" w:hAnsi="Times New Roman" w:eastAsia="宋体" w:cs="宋体"/>
                <w:color w:val="000000" w:themeColor="text1"/>
                <w:kern w:val="2"/>
                <w:sz w:val="24"/>
                <w:szCs w:val="24"/>
                <w:highlight w:val="none"/>
                <w:lang w:val="zh-CN" w:eastAsia="zh-CN" w:bidi="ar"/>
                <w14:textFill>
                  <w14:solidFill>
                    <w14:schemeClr w14:val="tx1"/>
                  </w14:solidFill>
                </w14:textFill>
              </w:rPr>
              <w:t>）</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业绩要求中</w:t>
            </w:r>
            <w:r>
              <w:rPr>
                <w:rFonts w:hint="eastAsia" w:ascii="Times New Roman" w:hAnsi="Times New Roman" w:eastAsia="宋体" w:cs="宋体"/>
                <w:color w:val="000000" w:themeColor="text1"/>
                <w:kern w:val="2"/>
                <w:sz w:val="24"/>
                <w:szCs w:val="24"/>
                <w:highlight w:val="none"/>
                <w:lang w:val="zh-CN" w:eastAsia="zh-CN" w:bidi="ar"/>
                <w14:textFill>
                  <w14:solidFill>
                    <w14:schemeClr w14:val="tx1"/>
                  </w14:solidFill>
                </w14:textFill>
              </w:rPr>
              <w:t>合同不重复计分。</w:t>
            </w:r>
          </w:p>
        </w:tc>
        <w:tc>
          <w:tcPr>
            <w:tcW w:w="6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jc w:val="center"/>
              <w:textAlignment w:val="center"/>
              <w:rPr>
                <w:rFonts w:hint="default"/>
                <w:color w:val="000000" w:themeColor="text1"/>
                <w:sz w:val="24"/>
                <w:szCs w:val="24"/>
                <w:highlight w:val="none"/>
                <w:lang w:val="en-US"/>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10" w:hRule="atLeast"/>
          <w:jc w:val="center"/>
        </w:trPr>
        <w:tc>
          <w:tcPr>
            <w:tcW w:w="72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73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7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jc w:val="center"/>
              <w:textAlignment w:val="center"/>
              <w:rPr>
                <w:rFonts w:hint="default"/>
                <w:color w:val="000000" w:themeColor="text1"/>
                <w:sz w:val="24"/>
                <w:szCs w:val="24"/>
                <w:highlight w:val="none"/>
                <w:lang w:val="en-US"/>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服务团队人员配置</w:t>
            </w:r>
          </w:p>
        </w:tc>
        <w:tc>
          <w:tcPr>
            <w:tcW w:w="64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hd w:val="clear"/>
              <w:spacing w:before="0" w:beforeAutospacing="0" w:after="0" w:afterAutospacing="0"/>
              <w:ind w:left="0" w:right="0" w:firstLine="480" w:firstLineChars="200"/>
              <w:jc w:val="both"/>
              <w:rPr>
                <w:rFonts w:hint="default"/>
                <w:color w:val="000000" w:themeColor="text1"/>
                <w:sz w:val="24"/>
                <w:szCs w:val="24"/>
                <w:highlight w:val="none"/>
                <w:lang w:val="en-US"/>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1.</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投标人在本项目设置食品安全总监、食品安全员管理体系，并取得食品安全总监和食品安全员证书。一个证书</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1</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分，满分</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2</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分，无证书不得分。</w:t>
            </w:r>
          </w:p>
          <w:p>
            <w:pPr>
              <w:keepNext w:val="0"/>
              <w:keepLines w:val="0"/>
              <w:widowControl w:val="0"/>
              <w:suppressLineNumbers w:val="0"/>
              <w:shd w:val="clear"/>
              <w:spacing w:before="0" w:beforeAutospacing="0" w:after="0" w:afterAutospacing="0"/>
              <w:ind w:left="0" w:right="0" w:firstLine="480" w:firstLineChars="200"/>
              <w:jc w:val="both"/>
              <w:rPr>
                <w:rFonts w:hint="default"/>
                <w:color w:val="000000" w:themeColor="text1"/>
                <w:sz w:val="24"/>
                <w:szCs w:val="24"/>
                <w:highlight w:val="none"/>
                <w:lang w:val="en-US"/>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2.</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项目经理具有类似餐饮管理经验，工作经验在</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3</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年及以上得</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2</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分，</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5</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年及以上得</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4</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分，满分</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4</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分，需提供</w:t>
            </w:r>
            <w:r>
              <w:rPr>
                <w:rFonts w:hint="eastAsia" w:ascii="Times New Roman" w:hAnsi="Times New Roman" w:cs="宋体"/>
                <w:color w:val="000000" w:themeColor="text1"/>
                <w:kern w:val="2"/>
                <w:sz w:val="24"/>
                <w:szCs w:val="24"/>
                <w:highlight w:val="none"/>
                <w:lang w:val="en-US" w:eastAsia="zh-CN" w:bidi="ar"/>
                <w14:textFill>
                  <w14:solidFill>
                    <w14:schemeClr w14:val="tx1"/>
                  </w14:solidFill>
                </w14:textFill>
              </w:rPr>
              <w:t>项目</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经理在岗证明材料，无证明材料不得分。</w:t>
            </w:r>
          </w:p>
          <w:p>
            <w:pPr>
              <w:keepNext w:val="0"/>
              <w:keepLines w:val="0"/>
              <w:widowControl w:val="0"/>
              <w:suppressLineNumbers w:val="0"/>
              <w:shd w:val="clear"/>
              <w:spacing w:before="0" w:beforeAutospacing="0" w:after="0" w:afterAutospacing="0"/>
              <w:ind w:left="0" w:right="0" w:firstLine="480" w:firstLineChars="200"/>
              <w:jc w:val="both"/>
              <w:rPr>
                <w:rFonts w:hint="default"/>
                <w:color w:val="000000" w:themeColor="text1"/>
                <w:sz w:val="24"/>
                <w:szCs w:val="24"/>
                <w:highlight w:val="none"/>
                <w:lang w:val="en-US"/>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3.</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为鼓励优化提升厨师团队配置，在规定的人数范围内，每增加</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1</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名中级（国家职业资格四级）厨师资格的得</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1</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分；每增加</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1</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名高级（国家职业资格三级）厨师资格的加</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2</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分；每增加</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1</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名技师（国家职业资格二级）或高级技师资格（国家职业资格一级）的得</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3</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分，满分</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10</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分，团队无上述证书不得分。</w:t>
            </w:r>
          </w:p>
          <w:p>
            <w:pPr>
              <w:keepNext w:val="0"/>
              <w:keepLines w:val="0"/>
              <w:widowControl w:val="0"/>
              <w:suppressLineNumbers w:val="0"/>
              <w:shd w:val="clear"/>
              <w:spacing w:before="0" w:beforeAutospacing="0" w:after="0" w:afterAutospacing="0"/>
              <w:ind w:left="0" w:right="0"/>
              <w:jc w:val="both"/>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4.</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营养师持有人力资源和社会保障部门或人力资源和社会保障部门备案的第三方机构颁发的公共营养师高级（三级）及以上职业资格证书得</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2</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分，无证不得分。</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备案机购：高等教育人才交流人才职业技能网上服务平台</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w:t>
            </w:r>
          </w:p>
          <w:p>
            <w:pPr>
              <w:keepNext w:val="0"/>
              <w:keepLines w:val="0"/>
              <w:widowControl w:val="0"/>
              <w:suppressLineNumbers w:val="0"/>
              <w:shd w:val="clear"/>
              <w:spacing w:before="0" w:beforeAutospacing="0" w:after="0" w:afterAutospacing="0"/>
              <w:ind w:left="0" w:right="0"/>
              <w:jc w:val="both"/>
              <w:rPr>
                <w:rFonts w:hint="default"/>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注：（</w:t>
            </w:r>
            <w:r>
              <w:rPr>
                <w:rFonts w:hint="default" w:ascii="Times New Roman" w:hAnsi="Times New Roman" w:eastAsia="宋体" w:cs="Times New Roman"/>
                <w:color w:val="000000" w:themeColor="text1"/>
                <w:sz w:val="24"/>
                <w:szCs w:val="24"/>
                <w:highlight w:val="none"/>
                <w:lang w:val="en-US" w:eastAsia="zh-CN" w:bidi="ar"/>
                <w14:textFill>
                  <w14:solidFill>
                    <w14:schemeClr w14:val="tx1"/>
                  </w14:solidFill>
                </w14:textFill>
              </w:rPr>
              <w:t>1</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）以上人员需提供包括健康证、资格证书、职称证（如有），身份证和劳动合同或近</w:t>
            </w:r>
            <w:r>
              <w:rPr>
                <w:rFonts w:hint="default" w:ascii="宋体" w:hAnsi="宋体" w:eastAsia="宋体" w:cs="宋体"/>
                <w:color w:val="000000" w:themeColor="text1"/>
                <w:sz w:val="24"/>
                <w:szCs w:val="24"/>
                <w:highlight w:val="none"/>
                <w:lang w:val="en-US" w:eastAsia="zh-CN" w:bidi="ar"/>
                <w14:textFill>
                  <w14:solidFill>
                    <w14:schemeClr w14:val="tx1"/>
                  </w14:solidFill>
                </w14:textFill>
              </w:rPr>
              <w:t>6</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个月</w:t>
            </w:r>
            <w:bookmarkStart w:id="112" w:name="OLE_LINK1"/>
            <w:r>
              <w:rPr>
                <w:rFonts w:hint="eastAsia" w:ascii="宋体" w:hAnsi="宋体" w:eastAsia="宋体" w:cs="宋体"/>
                <w:color w:val="000000" w:themeColor="text1"/>
                <w:sz w:val="24"/>
                <w:szCs w:val="24"/>
                <w:highlight w:val="none"/>
                <w:lang w:val="en-US" w:eastAsia="zh-CN" w:bidi="ar"/>
                <w14:textFill>
                  <w14:solidFill>
                    <w14:schemeClr w14:val="tx1"/>
                  </w14:solidFill>
                </w14:textFill>
              </w:rPr>
              <w:t>任三个月</w:t>
            </w:r>
            <w:bookmarkEnd w:id="112"/>
            <w:r>
              <w:rPr>
                <w:rFonts w:hint="eastAsia" w:ascii="宋体" w:hAnsi="宋体" w:eastAsia="宋体" w:cs="宋体"/>
                <w:color w:val="000000" w:themeColor="text1"/>
                <w:sz w:val="24"/>
                <w:szCs w:val="24"/>
                <w:highlight w:val="none"/>
                <w:lang w:val="en-US" w:eastAsia="zh-CN" w:bidi="ar"/>
                <w14:textFill>
                  <w14:solidFill>
                    <w14:schemeClr w14:val="tx1"/>
                  </w14:solidFill>
                </w14:textFill>
              </w:rPr>
              <w:t>社保缴纳证明。无人员资料或人员资料不明确、无法体现对应内容的，不予认可。（</w:t>
            </w:r>
            <w:r>
              <w:rPr>
                <w:rFonts w:hint="default" w:ascii="宋体" w:hAnsi="宋体" w:eastAsia="宋体" w:cs="宋体"/>
                <w:color w:val="000000" w:themeColor="text1"/>
                <w:sz w:val="24"/>
                <w:szCs w:val="24"/>
                <w:highlight w:val="none"/>
                <w:lang w:val="en-US" w:eastAsia="zh-CN" w:bidi="ar"/>
                <w14:textFill>
                  <w14:solidFill>
                    <w14:schemeClr w14:val="tx1"/>
                  </w14:solidFill>
                </w14:textFill>
              </w:rPr>
              <w:t>2</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）项目经理需要有原业主单位出具证明材料，证明材料上须明确该项目经理姓名及在此项目管理期限。</w:t>
            </w:r>
          </w:p>
        </w:tc>
        <w:tc>
          <w:tcPr>
            <w:tcW w:w="6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jc w:val="center"/>
              <w:textAlignment w:val="center"/>
              <w:rPr>
                <w:rFonts w:hint="default"/>
                <w:color w:val="000000" w:themeColor="text1"/>
                <w:sz w:val="24"/>
                <w:szCs w:val="24"/>
                <w:highlight w:val="none"/>
                <w:lang w:val="en-US"/>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10" w:hRule="atLeast"/>
          <w:jc w:val="center"/>
        </w:trPr>
        <w:tc>
          <w:tcPr>
            <w:tcW w:w="72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73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hd w:val="clear"/>
              <w:spacing w:before="0" w:beforeAutospacing="0" w:after="0" w:afterAutospacing="0"/>
              <w:ind w:left="0" w:right="0"/>
              <w:jc w:val="center"/>
              <w:textAlignment w:val="center"/>
              <w:rPr>
                <w:rFonts w:hint="default"/>
                <w:color w:val="000000" w:themeColor="text1"/>
                <w:sz w:val="24"/>
                <w:szCs w:val="24"/>
                <w:highlight w:val="none"/>
                <w:lang w:val="en-US"/>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技术条款</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(42</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分</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w:t>
            </w:r>
          </w:p>
        </w:tc>
        <w:tc>
          <w:tcPr>
            <w:tcW w:w="7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jc w:val="center"/>
              <w:textAlignment w:val="center"/>
              <w:rPr>
                <w:rFonts w:hint="default"/>
                <w:color w:val="000000" w:themeColor="text1"/>
                <w:sz w:val="24"/>
                <w:szCs w:val="24"/>
                <w:highlight w:val="none"/>
                <w:lang w:val="en-US"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服务质量升级方案</w:t>
            </w:r>
          </w:p>
        </w:tc>
        <w:tc>
          <w:tcPr>
            <w:tcW w:w="64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hd w:val="clear"/>
              <w:spacing w:before="0" w:beforeAutospacing="0" w:after="0" w:afterAutospacing="0"/>
              <w:ind w:left="0" w:right="0"/>
              <w:jc w:val="both"/>
              <w:rPr>
                <w:rFonts w:hint="default"/>
                <w:color w:val="000000" w:themeColor="text1"/>
                <w:sz w:val="24"/>
                <w:szCs w:val="24"/>
                <w:highlight w:val="none"/>
                <w:lang w:val="en-US"/>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提供所投餐厅服务质量升级方案。</w:t>
            </w:r>
          </w:p>
          <w:p>
            <w:pPr>
              <w:keepNext w:val="0"/>
              <w:keepLines w:val="0"/>
              <w:widowControl w:val="0"/>
              <w:suppressLineNumbers w:val="0"/>
              <w:shd w:val="clear"/>
              <w:spacing w:before="0" w:beforeAutospacing="0" w:after="0" w:afterAutospacing="0"/>
              <w:ind w:left="0" w:right="0"/>
              <w:jc w:val="both"/>
              <w:rPr>
                <w:rFonts w:hint="default"/>
                <w:color w:val="000000" w:themeColor="text1"/>
                <w:sz w:val="24"/>
                <w:szCs w:val="24"/>
                <w:highlight w:val="none"/>
                <w:lang w:val="en-US"/>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1.</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设备设施配置齐全、性能良好，符合节能减排条件</w:t>
            </w:r>
            <w:r>
              <w:rPr>
                <w:rFonts w:hint="eastAsia" w:ascii="Times New Roman" w:hAnsi="Times New Roman" w:cs="宋体"/>
                <w:color w:val="000000" w:themeColor="text1"/>
                <w:kern w:val="2"/>
                <w:sz w:val="24"/>
                <w:szCs w:val="24"/>
                <w:highlight w:val="none"/>
                <w:lang w:val="en-US" w:eastAsia="zh-CN" w:bidi="ar"/>
                <w14:textFill>
                  <w14:solidFill>
                    <w14:schemeClr w14:val="tx1"/>
                  </w14:solidFill>
                </w14:textFill>
              </w:rPr>
              <w:t>每项得3分，得6分，</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每有一处</w:t>
            </w:r>
            <w:r>
              <w:rPr>
                <w:rFonts w:hint="eastAsia" w:ascii="Times New Roman" w:hAnsi="Times New Roman" w:cs="宋体"/>
                <w:color w:val="000000" w:themeColor="text1"/>
                <w:kern w:val="2"/>
                <w:sz w:val="24"/>
                <w:szCs w:val="24"/>
                <w:highlight w:val="none"/>
                <w:lang w:val="en-US" w:eastAsia="zh-CN" w:bidi="ar"/>
                <w14:textFill>
                  <w14:solidFill>
                    <w14:schemeClr w14:val="tx1"/>
                  </w14:solidFill>
                </w14:textFill>
              </w:rPr>
              <w:t>设备设施配置方案、节能减排措施</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描述不清、叙述混乱、不完整、不贴合实际的扣</w:t>
            </w:r>
            <w:r>
              <w:rPr>
                <w:rFonts w:hint="eastAsia" w:ascii="Times New Roman" w:hAnsi="Times New Roman" w:cs="Times New Roman"/>
                <w:color w:val="000000" w:themeColor="text1"/>
                <w:kern w:val="2"/>
                <w:sz w:val="24"/>
                <w:szCs w:val="24"/>
                <w:highlight w:val="none"/>
                <w:lang w:val="en-US" w:eastAsia="zh-CN" w:bidi="ar"/>
                <w14:textFill>
                  <w14:solidFill>
                    <w14:schemeClr w14:val="tx1"/>
                  </w14:solidFill>
                </w14:textFill>
              </w:rPr>
              <w:t>2</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分，扣完为止</w:t>
            </w:r>
            <w:r>
              <w:rPr>
                <w:rFonts w:hint="eastAsia" w:ascii="Times New Roman" w:hAnsi="Times New Roman" w:cs="宋体"/>
                <w:color w:val="000000" w:themeColor="text1"/>
                <w:kern w:val="2"/>
                <w:sz w:val="24"/>
                <w:szCs w:val="24"/>
                <w:highlight w:val="none"/>
                <w:lang w:val="en-US" w:eastAsia="zh-CN" w:bidi="ar"/>
                <w14:textFill>
                  <w14:solidFill>
                    <w14:schemeClr w14:val="tx1"/>
                  </w14:solidFill>
                </w14:textFill>
              </w:rPr>
              <w:t>。</w:t>
            </w:r>
          </w:p>
          <w:p>
            <w:pPr>
              <w:keepNext w:val="0"/>
              <w:keepLines w:val="0"/>
              <w:widowControl w:val="0"/>
              <w:suppressLineNumbers w:val="0"/>
              <w:shd w:val="clear"/>
              <w:spacing w:before="0" w:beforeAutospacing="0" w:after="0" w:afterAutospacing="0"/>
              <w:ind w:left="0" w:right="0"/>
              <w:jc w:val="both"/>
              <w:rPr>
                <w:rFonts w:hint="default"/>
                <w:color w:val="000000" w:themeColor="text1"/>
                <w:sz w:val="24"/>
                <w:szCs w:val="24"/>
                <w:highlight w:val="none"/>
                <w:lang w:val="en-US"/>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2.</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餐厅功能区设置。功能分区完整，布局合理（</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6</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分）；功能分区完整，布局基本合理（</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3</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分）；功能分区完整，布局不合理（</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0</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分）。</w:t>
            </w:r>
          </w:p>
          <w:p>
            <w:pPr>
              <w:keepNext w:val="0"/>
              <w:keepLines w:val="0"/>
              <w:widowControl w:val="0"/>
              <w:suppressLineNumbers w:val="0"/>
              <w:shd w:val="clear"/>
              <w:spacing w:before="0" w:beforeAutospacing="0" w:after="0" w:afterAutospacing="0"/>
              <w:ind w:left="0" w:right="0" w:firstLine="480" w:firstLineChars="200"/>
              <w:jc w:val="both"/>
              <w:rPr>
                <w:rFonts w:hint="default"/>
                <w:color w:val="000000" w:themeColor="text1"/>
                <w:sz w:val="24"/>
                <w:szCs w:val="24"/>
                <w:highlight w:val="none"/>
                <w:lang w:val="en-US"/>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3.</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餐厅环境效果图。根据提供的装修效果图进行综合评价，效果优得</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6</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分，一般得</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3</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分，差得</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0</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分。</w:t>
            </w:r>
          </w:p>
          <w:p>
            <w:pPr>
              <w:keepNext w:val="0"/>
              <w:keepLines w:val="0"/>
              <w:widowControl w:val="0"/>
              <w:suppressLineNumbers w:val="0"/>
              <w:shd w:val="clear"/>
              <w:spacing w:before="0" w:beforeAutospacing="0" w:after="0" w:afterAutospacing="0"/>
              <w:ind w:left="0" w:right="0" w:firstLine="480" w:firstLineChars="200"/>
              <w:jc w:val="both"/>
              <w:rPr>
                <w:rFonts w:hint="default"/>
                <w:color w:val="000000" w:themeColor="text1"/>
                <w:sz w:val="24"/>
                <w:szCs w:val="24"/>
                <w:highlight w:val="none"/>
                <w:lang w:val="en-US"/>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4.</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环境风格。就餐环境风格符合学校校园文化、大学生文化，风格新颖得</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6</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分；文化特色较鲜明，得</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3</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分；装修无风格、无特色，得</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0</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分。</w:t>
            </w:r>
          </w:p>
        </w:tc>
        <w:tc>
          <w:tcPr>
            <w:tcW w:w="6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jc w:val="center"/>
              <w:textAlignment w:val="center"/>
              <w:rPr>
                <w:rFonts w:hint="default"/>
                <w:color w:val="000000" w:themeColor="text1"/>
                <w:sz w:val="24"/>
                <w:szCs w:val="24"/>
                <w:highlight w:val="none"/>
                <w:lang w:val="en-US"/>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80" w:hRule="atLeast"/>
          <w:jc w:val="center"/>
        </w:trPr>
        <w:tc>
          <w:tcPr>
            <w:tcW w:w="72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73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7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jc w:val="center"/>
              <w:textAlignment w:val="center"/>
              <w:rPr>
                <w:rFonts w:hint="default"/>
                <w:color w:val="000000" w:themeColor="text1"/>
                <w:sz w:val="24"/>
                <w:szCs w:val="24"/>
                <w:highlight w:val="none"/>
                <w:lang w:val="en-US"/>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经营管理方案</w:t>
            </w:r>
          </w:p>
        </w:tc>
        <w:tc>
          <w:tcPr>
            <w:tcW w:w="64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hd w:val="clear"/>
              <w:autoSpaceDE w:val="0"/>
              <w:autoSpaceDN w:val="0"/>
              <w:spacing w:before="0" w:beforeAutospacing="0" w:after="0" w:afterAutospacing="0"/>
              <w:ind w:left="0" w:right="0" w:firstLine="480" w:firstLineChars="200"/>
              <w:jc w:val="both"/>
              <w:rPr>
                <w:rFonts w:hint="default"/>
                <w:color w:val="000000" w:themeColor="text1"/>
                <w:sz w:val="24"/>
                <w:szCs w:val="24"/>
                <w:highlight w:val="none"/>
                <w:lang w:val="zh-CN"/>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zh-CN" w:eastAsia="zh-CN" w:bidi="ar"/>
                <w14:textFill>
                  <w14:solidFill>
                    <w14:schemeClr w14:val="tx1"/>
                  </w14:solidFill>
                </w14:textFill>
              </w:rPr>
              <w:t>对下述</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11</w:t>
            </w:r>
            <w:r>
              <w:rPr>
                <w:rFonts w:hint="eastAsia" w:ascii="Times New Roman" w:hAnsi="Times New Roman" w:eastAsia="宋体" w:cs="宋体"/>
                <w:color w:val="000000" w:themeColor="text1"/>
                <w:kern w:val="2"/>
                <w:sz w:val="24"/>
                <w:szCs w:val="24"/>
                <w:highlight w:val="none"/>
                <w:lang w:val="zh-CN" w:eastAsia="zh-CN" w:bidi="ar"/>
                <w14:textFill>
                  <w14:solidFill>
                    <w14:schemeClr w14:val="tx1"/>
                  </w14:solidFill>
                </w14:textFill>
              </w:rPr>
              <w:t>项管理方案的先进性、系统性、完整性，实用性、合理性等五个方面计分：</w:t>
            </w:r>
          </w:p>
          <w:p>
            <w:pPr>
              <w:keepNext w:val="0"/>
              <w:keepLines w:val="0"/>
              <w:widowControl w:val="0"/>
              <w:suppressLineNumbers w:val="0"/>
              <w:shd w:val="clear"/>
              <w:autoSpaceDE w:val="0"/>
              <w:autoSpaceDN w:val="0"/>
              <w:spacing w:before="0" w:beforeAutospacing="0" w:after="0" w:afterAutospacing="0"/>
              <w:ind w:left="0" w:right="0" w:firstLine="240" w:firstLineChars="100"/>
              <w:jc w:val="both"/>
              <w:rPr>
                <w:rFonts w:hint="default"/>
                <w:color w:val="000000" w:themeColor="text1"/>
                <w:sz w:val="24"/>
                <w:szCs w:val="24"/>
                <w:highlight w:val="none"/>
                <w:lang w:val="zh-CN"/>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1.</w:t>
            </w:r>
            <w:r>
              <w:rPr>
                <w:rFonts w:hint="eastAsia" w:ascii="Times New Roman" w:hAnsi="Times New Roman" w:eastAsia="宋体" w:cs="宋体"/>
                <w:color w:val="000000" w:themeColor="text1"/>
                <w:kern w:val="2"/>
                <w:sz w:val="24"/>
                <w:szCs w:val="24"/>
                <w:highlight w:val="none"/>
                <w:lang w:val="zh-CN" w:eastAsia="zh-CN" w:bidi="ar"/>
                <w14:textFill>
                  <w14:solidFill>
                    <w14:schemeClr w14:val="tx1"/>
                  </w14:solidFill>
                </w14:textFill>
              </w:rPr>
              <w:t>总体监控方案（含监控系统、明厨亮灶）；</w:t>
            </w:r>
          </w:p>
          <w:p>
            <w:pPr>
              <w:keepNext w:val="0"/>
              <w:keepLines w:val="0"/>
              <w:widowControl w:val="0"/>
              <w:suppressLineNumbers w:val="0"/>
              <w:shd w:val="clear"/>
              <w:autoSpaceDE w:val="0"/>
              <w:autoSpaceDN w:val="0"/>
              <w:spacing w:before="0" w:beforeAutospacing="0" w:after="0" w:afterAutospacing="0"/>
              <w:ind w:left="0" w:right="0" w:firstLine="240" w:firstLineChars="100"/>
              <w:jc w:val="both"/>
              <w:rPr>
                <w:rFonts w:hint="default"/>
                <w:color w:val="000000" w:themeColor="text1"/>
                <w:sz w:val="24"/>
                <w:szCs w:val="24"/>
                <w:highlight w:val="none"/>
                <w:lang w:val="zh-CN"/>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2.</w:t>
            </w:r>
            <w:r>
              <w:rPr>
                <w:rFonts w:hint="eastAsia" w:ascii="Times New Roman" w:hAnsi="Times New Roman" w:eastAsia="宋体" w:cs="宋体"/>
                <w:color w:val="000000" w:themeColor="text1"/>
                <w:kern w:val="2"/>
                <w:sz w:val="24"/>
                <w:szCs w:val="24"/>
                <w:highlight w:val="none"/>
                <w:lang w:val="zh-CN" w:eastAsia="zh-CN" w:bidi="ar"/>
                <w14:textFill>
                  <w14:solidFill>
                    <w14:schemeClr w14:val="tx1"/>
                  </w14:solidFill>
                </w14:textFill>
              </w:rPr>
              <w:t>食品质量控制方案；</w:t>
            </w:r>
          </w:p>
          <w:p>
            <w:pPr>
              <w:keepNext w:val="0"/>
              <w:keepLines w:val="0"/>
              <w:widowControl w:val="0"/>
              <w:suppressLineNumbers w:val="0"/>
              <w:shd w:val="clear"/>
              <w:autoSpaceDE w:val="0"/>
              <w:autoSpaceDN w:val="0"/>
              <w:spacing w:before="0" w:beforeAutospacing="0" w:after="0" w:afterAutospacing="0"/>
              <w:ind w:left="0" w:right="0" w:firstLine="240" w:firstLineChars="100"/>
              <w:jc w:val="both"/>
              <w:rPr>
                <w:rFonts w:hint="default"/>
                <w:color w:val="000000" w:themeColor="text1"/>
                <w:sz w:val="24"/>
                <w:szCs w:val="24"/>
                <w:highlight w:val="none"/>
                <w:lang w:val="zh-CN"/>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3.</w:t>
            </w:r>
            <w:r>
              <w:rPr>
                <w:rFonts w:hint="eastAsia" w:ascii="Times New Roman" w:hAnsi="Times New Roman" w:eastAsia="宋体" w:cs="宋体"/>
                <w:color w:val="000000" w:themeColor="text1"/>
                <w:kern w:val="2"/>
                <w:sz w:val="24"/>
                <w:szCs w:val="24"/>
                <w:highlight w:val="none"/>
                <w:lang w:val="zh-CN" w:eastAsia="zh-CN" w:bidi="ar"/>
                <w14:textFill>
                  <w14:solidFill>
                    <w14:schemeClr w14:val="tx1"/>
                  </w14:solidFill>
                </w14:textFill>
              </w:rPr>
              <w:t>服务质量控制方案；</w:t>
            </w:r>
          </w:p>
          <w:p>
            <w:pPr>
              <w:keepNext w:val="0"/>
              <w:keepLines w:val="0"/>
              <w:widowControl w:val="0"/>
              <w:suppressLineNumbers w:val="0"/>
              <w:shd w:val="clear"/>
              <w:autoSpaceDE w:val="0"/>
              <w:autoSpaceDN w:val="0"/>
              <w:spacing w:before="0" w:beforeAutospacing="0" w:after="0" w:afterAutospacing="0"/>
              <w:ind w:left="0" w:right="0" w:firstLine="240" w:firstLineChars="100"/>
              <w:jc w:val="both"/>
              <w:rPr>
                <w:rFonts w:hint="default"/>
                <w:color w:val="000000" w:themeColor="text1"/>
                <w:sz w:val="24"/>
                <w:szCs w:val="24"/>
                <w:highlight w:val="none"/>
                <w:lang w:val="zh-CN"/>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4.</w:t>
            </w:r>
            <w:r>
              <w:rPr>
                <w:rFonts w:hint="eastAsia" w:ascii="Times New Roman" w:hAnsi="Times New Roman" w:eastAsia="宋体" w:cs="宋体"/>
                <w:color w:val="000000" w:themeColor="text1"/>
                <w:kern w:val="2"/>
                <w:sz w:val="24"/>
                <w:szCs w:val="24"/>
                <w:highlight w:val="none"/>
                <w:lang w:val="zh-CN" w:eastAsia="zh-CN" w:bidi="ar"/>
                <w14:textFill>
                  <w14:solidFill>
                    <w14:schemeClr w14:val="tx1"/>
                  </w14:solidFill>
                </w14:textFill>
              </w:rPr>
              <w:t>卫生管理控制方案；</w:t>
            </w:r>
          </w:p>
          <w:p>
            <w:pPr>
              <w:keepNext w:val="0"/>
              <w:keepLines w:val="0"/>
              <w:widowControl w:val="0"/>
              <w:suppressLineNumbers w:val="0"/>
              <w:shd w:val="clear"/>
              <w:autoSpaceDE w:val="0"/>
              <w:autoSpaceDN w:val="0"/>
              <w:spacing w:before="0" w:beforeAutospacing="0" w:after="0" w:afterAutospacing="0"/>
              <w:ind w:left="0" w:right="0" w:firstLine="240" w:firstLineChars="100"/>
              <w:jc w:val="both"/>
              <w:rPr>
                <w:rFonts w:hint="default"/>
                <w:color w:val="000000" w:themeColor="text1"/>
                <w:sz w:val="24"/>
                <w:szCs w:val="24"/>
                <w:highlight w:val="none"/>
                <w:lang w:val="zh-CN"/>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5.</w:t>
            </w:r>
            <w:r>
              <w:rPr>
                <w:rFonts w:hint="eastAsia" w:ascii="Times New Roman" w:hAnsi="Times New Roman" w:eastAsia="宋体" w:cs="宋体"/>
                <w:color w:val="000000" w:themeColor="text1"/>
                <w:kern w:val="2"/>
                <w:sz w:val="24"/>
                <w:szCs w:val="24"/>
                <w:highlight w:val="none"/>
                <w:lang w:val="zh-CN" w:eastAsia="zh-CN" w:bidi="ar"/>
                <w14:textFill>
                  <w14:solidFill>
                    <w14:schemeClr w14:val="tx1"/>
                  </w14:solidFill>
                </w14:textFill>
              </w:rPr>
              <w:t>原材料采购管理方案；</w:t>
            </w:r>
          </w:p>
          <w:p>
            <w:pPr>
              <w:keepNext w:val="0"/>
              <w:keepLines w:val="0"/>
              <w:widowControl w:val="0"/>
              <w:suppressLineNumbers w:val="0"/>
              <w:shd w:val="clear"/>
              <w:autoSpaceDE w:val="0"/>
              <w:autoSpaceDN w:val="0"/>
              <w:spacing w:before="0" w:beforeAutospacing="0" w:after="0" w:afterAutospacing="0"/>
              <w:ind w:left="0" w:right="0" w:firstLine="240" w:firstLineChars="100"/>
              <w:jc w:val="both"/>
              <w:rPr>
                <w:rFonts w:hint="default"/>
                <w:color w:val="000000" w:themeColor="text1"/>
                <w:sz w:val="24"/>
                <w:szCs w:val="24"/>
                <w:highlight w:val="none"/>
                <w:lang w:val="zh-CN"/>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6.</w:t>
            </w:r>
            <w:r>
              <w:rPr>
                <w:rFonts w:hint="eastAsia" w:ascii="Times New Roman" w:hAnsi="Times New Roman" w:eastAsia="宋体" w:cs="宋体"/>
                <w:color w:val="000000" w:themeColor="text1"/>
                <w:kern w:val="2"/>
                <w:sz w:val="24"/>
                <w:szCs w:val="24"/>
                <w:highlight w:val="none"/>
                <w:lang w:val="zh-CN" w:eastAsia="zh-CN" w:bidi="ar"/>
                <w14:textFill>
                  <w14:solidFill>
                    <w14:schemeClr w14:val="tx1"/>
                  </w14:solidFill>
                </w14:textFill>
              </w:rPr>
              <w:t>操作规程控制管理方案；</w:t>
            </w:r>
          </w:p>
          <w:p>
            <w:pPr>
              <w:keepNext w:val="0"/>
              <w:keepLines w:val="0"/>
              <w:widowControl w:val="0"/>
              <w:suppressLineNumbers w:val="0"/>
              <w:shd w:val="clear"/>
              <w:autoSpaceDE w:val="0"/>
              <w:autoSpaceDN w:val="0"/>
              <w:spacing w:before="0" w:beforeAutospacing="0" w:after="0" w:afterAutospacing="0"/>
              <w:ind w:left="0" w:right="0" w:firstLine="240" w:firstLineChars="100"/>
              <w:jc w:val="both"/>
              <w:rPr>
                <w:rFonts w:hint="default"/>
                <w:color w:val="000000" w:themeColor="text1"/>
                <w:sz w:val="24"/>
                <w:szCs w:val="24"/>
                <w:highlight w:val="none"/>
                <w:lang w:val="zh-CN"/>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7.</w:t>
            </w:r>
            <w:r>
              <w:rPr>
                <w:rFonts w:hint="eastAsia" w:ascii="Times New Roman" w:hAnsi="Times New Roman" w:eastAsia="宋体" w:cs="宋体"/>
                <w:color w:val="000000" w:themeColor="text1"/>
                <w:kern w:val="2"/>
                <w:sz w:val="24"/>
                <w:szCs w:val="24"/>
                <w:highlight w:val="none"/>
                <w:lang w:val="zh-CN" w:eastAsia="zh-CN" w:bidi="ar"/>
                <w14:textFill>
                  <w14:solidFill>
                    <w14:schemeClr w14:val="tx1"/>
                  </w14:solidFill>
                </w14:textFill>
              </w:rPr>
              <w:t>环保方案（含抽排烟处理、污水处理、餐厨垃圾的处理等）；</w:t>
            </w:r>
          </w:p>
          <w:p>
            <w:pPr>
              <w:keepNext w:val="0"/>
              <w:keepLines w:val="0"/>
              <w:widowControl w:val="0"/>
              <w:suppressLineNumbers w:val="0"/>
              <w:shd w:val="clear"/>
              <w:autoSpaceDE w:val="0"/>
              <w:autoSpaceDN w:val="0"/>
              <w:spacing w:before="0" w:beforeAutospacing="0" w:after="0" w:afterAutospacing="0"/>
              <w:ind w:left="0" w:right="0" w:firstLine="240" w:firstLineChars="100"/>
              <w:jc w:val="both"/>
              <w:rPr>
                <w:rFonts w:hint="default"/>
                <w:color w:val="000000" w:themeColor="text1"/>
                <w:sz w:val="24"/>
                <w:szCs w:val="24"/>
                <w:highlight w:val="none"/>
                <w:lang w:val="zh-CN" w:bidi="ar"/>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8.</w:t>
            </w:r>
            <w:r>
              <w:rPr>
                <w:rFonts w:hint="eastAsia" w:ascii="Times New Roman" w:hAnsi="Times New Roman" w:eastAsia="宋体" w:cs="宋体"/>
                <w:color w:val="000000" w:themeColor="text1"/>
                <w:kern w:val="2"/>
                <w:sz w:val="24"/>
                <w:szCs w:val="24"/>
                <w:highlight w:val="none"/>
                <w:lang w:val="zh-CN" w:eastAsia="zh-CN" w:bidi="ar"/>
                <w14:textFill>
                  <w14:solidFill>
                    <w14:schemeClr w14:val="tx1"/>
                  </w14:solidFill>
                </w14:textFill>
              </w:rPr>
              <w:t>人员职责与管理方案；</w:t>
            </w:r>
          </w:p>
          <w:p>
            <w:pPr>
              <w:keepNext w:val="0"/>
              <w:keepLines w:val="0"/>
              <w:widowControl w:val="0"/>
              <w:suppressLineNumbers w:val="0"/>
              <w:shd w:val="clear"/>
              <w:autoSpaceDE w:val="0"/>
              <w:autoSpaceDN w:val="0"/>
              <w:spacing w:before="0" w:beforeAutospacing="0" w:after="0" w:afterAutospacing="0"/>
              <w:ind w:left="0" w:right="0" w:firstLine="240" w:firstLineChars="100"/>
              <w:jc w:val="both"/>
              <w:rPr>
                <w:rFonts w:hint="default"/>
                <w:color w:val="000000" w:themeColor="text1"/>
                <w:sz w:val="24"/>
                <w:szCs w:val="24"/>
                <w:highlight w:val="none"/>
                <w:lang w:val="en-US" w:bidi="ar"/>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9.</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食品安全、消防安全和安全生产等方面管理方案；</w:t>
            </w:r>
          </w:p>
          <w:p>
            <w:pPr>
              <w:keepNext w:val="0"/>
              <w:keepLines w:val="0"/>
              <w:widowControl w:val="0"/>
              <w:suppressLineNumbers w:val="0"/>
              <w:shd w:val="clear"/>
              <w:autoSpaceDE w:val="0"/>
              <w:autoSpaceDN w:val="0"/>
              <w:spacing w:before="0" w:beforeAutospacing="0" w:after="0" w:afterAutospacing="0"/>
              <w:ind w:left="0" w:right="0" w:firstLine="240" w:firstLineChars="100"/>
              <w:jc w:val="both"/>
              <w:rPr>
                <w:rFonts w:hint="default"/>
                <w:color w:val="000000" w:themeColor="text1"/>
                <w:sz w:val="24"/>
                <w:szCs w:val="24"/>
                <w:highlight w:val="none"/>
                <w:lang w:val="en-US"/>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10.</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与餐饮行业相关各类</w:t>
            </w:r>
            <w:r>
              <w:rPr>
                <w:rFonts w:hint="eastAsia" w:ascii="Times New Roman" w:hAnsi="Times New Roman" w:eastAsia="宋体" w:cs="宋体"/>
                <w:color w:val="000000" w:themeColor="text1"/>
                <w:kern w:val="2"/>
                <w:sz w:val="24"/>
                <w:szCs w:val="24"/>
                <w:highlight w:val="none"/>
                <w:lang w:val="zh-CN" w:eastAsia="zh-CN" w:bidi="ar"/>
                <w14:textFill>
                  <w14:solidFill>
                    <w14:schemeClr w14:val="tx1"/>
                  </w14:solidFill>
                </w14:textFill>
              </w:rPr>
              <w:t>突发事件应急预案（含安全生产、消防安全和食品安全</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和公共卫生事件等）</w:t>
            </w:r>
            <w:r>
              <w:rPr>
                <w:rFonts w:hint="eastAsia" w:ascii="Times New Roman" w:hAnsi="Times New Roman" w:eastAsia="宋体" w:cs="宋体"/>
                <w:color w:val="000000" w:themeColor="text1"/>
                <w:kern w:val="2"/>
                <w:sz w:val="24"/>
                <w:szCs w:val="24"/>
                <w:highlight w:val="none"/>
                <w:lang w:val="zh-CN" w:eastAsia="zh-CN" w:bidi="ar"/>
                <w14:textFill>
                  <w14:solidFill>
                    <w14:schemeClr w14:val="tx1"/>
                  </w14:solidFill>
                </w14:textFill>
              </w:rPr>
              <w:t>；</w:t>
            </w:r>
          </w:p>
          <w:p>
            <w:pPr>
              <w:keepNext w:val="0"/>
              <w:keepLines w:val="0"/>
              <w:widowControl w:val="0"/>
              <w:suppressLineNumbers w:val="0"/>
              <w:shd w:val="clear"/>
              <w:autoSpaceDE w:val="0"/>
              <w:autoSpaceDN w:val="0"/>
              <w:spacing w:before="0" w:beforeAutospacing="0" w:after="0" w:afterAutospacing="0"/>
              <w:ind w:left="0" w:right="0" w:firstLine="240" w:firstLineChars="100"/>
              <w:jc w:val="both"/>
              <w:rPr>
                <w:rFonts w:hint="default"/>
                <w:color w:val="000000" w:themeColor="text1"/>
                <w:sz w:val="24"/>
                <w:szCs w:val="24"/>
                <w:highlight w:val="none"/>
                <w:lang w:val="en-US" w:bidi="ar"/>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11.</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服务对象投诉的处理和解决方案。</w:t>
            </w:r>
          </w:p>
          <w:p>
            <w:pPr>
              <w:keepNext w:val="0"/>
              <w:keepLines w:val="0"/>
              <w:widowControl/>
              <w:suppressLineNumbers w:val="0"/>
              <w:shd w:val="clear"/>
              <w:spacing w:before="0" w:beforeAutospacing="0" w:after="0" w:afterAutospacing="0"/>
              <w:ind w:left="0" w:right="0" w:firstLine="240" w:firstLineChars="100"/>
              <w:jc w:val="left"/>
              <w:rPr>
                <w:rFonts w:hint="default"/>
                <w:color w:val="000000" w:themeColor="text1"/>
                <w:sz w:val="24"/>
                <w:szCs w:val="24"/>
                <w:highlight w:val="none"/>
                <w:lang w:val="en-US"/>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zh-CN" w:eastAsia="zh-CN" w:bidi="ar"/>
                <w14:textFill>
                  <w14:solidFill>
                    <w14:schemeClr w14:val="tx1"/>
                  </w14:solidFill>
                </w14:textFill>
              </w:rPr>
              <w:t>根据投标人提供情况</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每有一项内容完整、实施性强、贴合项目实际情况的</w:t>
            </w:r>
            <w:r>
              <w:rPr>
                <w:rFonts w:hint="eastAsia" w:ascii="Times New Roman" w:hAnsi="Times New Roman" w:eastAsia="宋体" w:cs="宋体"/>
                <w:color w:val="000000" w:themeColor="text1"/>
                <w:kern w:val="2"/>
                <w:sz w:val="24"/>
                <w:szCs w:val="24"/>
                <w:highlight w:val="none"/>
                <w:lang w:val="zh-CN" w:eastAsia="zh-CN" w:bidi="ar"/>
                <w14:textFill>
                  <w14:solidFill>
                    <w14:schemeClr w14:val="tx1"/>
                  </w14:solidFill>
                </w14:textFill>
              </w:rPr>
              <w:t>，</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得</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1</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分，</w:t>
            </w:r>
            <w:r>
              <w:rPr>
                <w:rFonts w:hint="eastAsia" w:ascii="Times New Roman" w:hAnsi="Times New Roman" w:eastAsia="宋体" w:cs="宋体"/>
                <w:color w:val="000000" w:themeColor="text1"/>
                <w:kern w:val="2"/>
                <w:sz w:val="24"/>
                <w:szCs w:val="24"/>
                <w:highlight w:val="none"/>
                <w:lang w:val="zh-CN" w:eastAsia="zh-CN" w:bidi="ar"/>
                <w14:textFill>
                  <w14:solidFill>
                    <w14:schemeClr w14:val="tx1"/>
                  </w14:solidFill>
                </w14:textFill>
              </w:rPr>
              <w:t>本项满分</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11</w:t>
            </w:r>
            <w:r>
              <w:rPr>
                <w:rFonts w:hint="eastAsia" w:ascii="Times New Roman" w:hAnsi="Times New Roman" w:eastAsia="宋体" w:cs="宋体"/>
                <w:color w:val="000000" w:themeColor="text1"/>
                <w:kern w:val="2"/>
                <w:sz w:val="24"/>
                <w:szCs w:val="24"/>
                <w:highlight w:val="none"/>
                <w:lang w:val="zh-CN" w:eastAsia="zh-CN" w:bidi="ar"/>
                <w14:textFill>
                  <w14:solidFill>
                    <w14:schemeClr w14:val="tx1"/>
                  </w14:solidFill>
                </w14:textFill>
              </w:rPr>
              <w:t>分。</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每有一处描述不清、叙述混乱、不完整、不贴合实际的扣</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1</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分，扣完为止。</w:t>
            </w:r>
          </w:p>
        </w:tc>
        <w:tc>
          <w:tcPr>
            <w:tcW w:w="6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jc w:val="center"/>
              <w:textAlignment w:val="center"/>
              <w:rPr>
                <w:rFonts w:hint="default"/>
                <w:color w:val="000000" w:themeColor="text1"/>
                <w:sz w:val="24"/>
                <w:szCs w:val="24"/>
                <w:highlight w:val="none"/>
                <w:lang w:val="en-US"/>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4" w:hRule="atLeast"/>
          <w:jc w:val="center"/>
        </w:trPr>
        <w:tc>
          <w:tcPr>
            <w:tcW w:w="72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73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7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jc w:val="center"/>
              <w:textAlignment w:val="center"/>
              <w:rPr>
                <w:rFonts w:hint="default"/>
                <w:color w:val="000000" w:themeColor="text1"/>
                <w:sz w:val="24"/>
                <w:szCs w:val="24"/>
                <w:highlight w:val="none"/>
                <w:lang w:val="en-US"/>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经营管理措施</w:t>
            </w:r>
          </w:p>
        </w:tc>
        <w:tc>
          <w:tcPr>
            <w:tcW w:w="64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firstLine="480" w:firstLineChars="200"/>
              <w:jc w:val="left"/>
              <w:textAlignment w:val="center"/>
              <w:rPr>
                <w:rFonts w:hint="default"/>
                <w:color w:val="000000" w:themeColor="text1"/>
                <w:sz w:val="24"/>
                <w:szCs w:val="24"/>
                <w:highlight w:val="none"/>
                <w:lang w:val="en-US"/>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围绕采购人提出的餐厅经营定位，提出经营方案、服务内容，业态布设三个方面科学、规范、完整、合理的餐饮服务运营方案。每有一项内容完整、实施性强、贴合项目实际情况的，得</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1</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分，本项满分</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3</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分。每有一处描述不清、叙述混乱、不完整、不贴合实际的扣</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1</w:t>
            </w: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分，扣完为止。</w:t>
            </w:r>
          </w:p>
        </w:tc>
        <w:tc>
          <w:tcPr>
            <w:tcW w:w="6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jc w:val="center"/>
              <w:textAlignment w:val="center"/>
              <w:rPr>
                <w:rFonts w:hint="default"/>
                <w:color w:val="000000" w:themeColor="text1"/>
                <w:sz w:val="24"/>
                <w:szCs w:val="24"/>
                <w:highlight w:val="none"/>
                <w:lang w:val="en-US"/>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80" w:hRule="atLeast"/>
          <w:jc w:val="center"/>
        </w:trPr>
        <w:tc>
          <w:tcPr>
            <w:tcW w:w="72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73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7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jc w:val="center"/>
              <w:textAlignment w:val="center"/>
              <w:rPr>
                <w:rFonts w:hint="default"/>
                <w:color w:val="000000" w:themeColor="text1"/>
                <w:sz w:val="24"/>
                <w:szCs w:val="24"/>
                <w:highlight w:val="none"/>
                <w:lang w:val="en-US"/>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服务</w:t>
            </w:r>
          </w:p>
          <w:p>
            <w:pPr>
              <w:keepNext w:val="0"/>
              <w:keepLines w:val="0"/>
              <w:widowControl/>
              <w:suppressLineNumbers w:val="0"/>
              <w:shd w:val="clear"/>
              <w:spacing w:before="0" w:beforeAutospacing="0" w:after="0" w:afterAutospacing="0"/>
              <w:ind w:left="0" w:right="0"/>
              <w:jc w:val="center"/>
              <w:textAlignment w:val="center"/>
              <w:rPr>
                <w:rFonts w:hint="default"/>
                <w:color w:val="000000" w:themeColor="text1"/>
                <w:sz w:val="24"/>
                <w:szCs w:val="24"/>
                <w:highlight w:val="none"/>
                <w:lang w:val="en-US"/>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承诺</w:t>
            </w:r>
          </w:p>
        </w:tc>
        <w:tc>
          <w:tcPr>
            <w:tcW w:w="64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firstLine="440" w:firstLineChars="200"/>
              <w:jc w:val="left"/>
              <w:textAlignment w:val="center"/>
              <w:rPr>
                <w:rFonts w:hint="eastAsia" w:ascii="Times New Roman" w:hAnsi="Times New Roman" w:eastAsia="宋体" w:cs="宋体"/>
                <w:color w:val="000000" w:themeColor="text1"/>
                <w:kern w:val="2"/>
                <w:sz w:val="22"/>
                <w:szCs w:val="22"/>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2"/>
                <w:szCs w:val="22"/>
                <w:highlight w:val="none"/>
                <w:lang w:val="en-US" w:eastAsia="zh-CN" w:bidi="ar"/>
                <w14:textFill>
                  <w14:solidFill>
                    <w14:schemeClr w14:val="tx1"/>
                  </w14:solidFill>
                </w14:textFill>
              </w:rPr>
              <w:t>投标方承诺中标后办理所投食堂经营场所公众责任险及食品安全责任险保额均不低于</w:t>
            </w:r>
            <w:r>
              <w:rPr>
                <w:rFonts w:hint="default" w:ascii="Times New Roman" w:hAnsi="Times New Roman" w:eastAsia="宋体" w:cs="宋体"/>
                <w:color w:val="000000" w:themeColor="text1"/>
                <w:kern w:val="2"/>
                <w:sz w:val="22"/>
                <w:szCs w:val="22"/>
                <w:highlight w:val="none"/>
                <w:lang w:val="en-US" w:eastAsia="zh-CN" w:bidi="ar"/>
                <w14:textFill>
                  <w14:solidFill>
                    <w14:schemeClr w14:val="tx1"/>
                  </w14:solidFill>
                </w14:textFill>
              </w:rPr>
              <w:t>200</w:t>
            </w:r>
            <w:r>
              <w:rPr>
                <w:rFonts w:hint="eastAsia" w:ascii="Times New Roman" w:hAnsi="Times New Roman" w:eastAsia="宋体" w:cs="宋体"/>
                <w:color w:val="000000" w:themeColor="text1"/>
                <w:kern w:val="2"/>
                <w:sz w:val="22"/>
                <w:szCs w:val="22"/>
                <w:highlight w:val="none"/>
                <w:lang w:val="en-US" w:eastAsia="zh-CN" w:bidi="ar"/>
                <w14:textFill>
                  <w14:solidFill>
                    <w14:schemeClr w14:val="tx1"/>
                  </w14:solidFill>
                </w14:textFill>
              </w:rPr>
              <w:t>万元保险，同时提供在本次招标文件发布之日前，为现正在经营单个项目购买的保额均不低于</w:t>
            </w:r>
            <w:r>
              <w:rPr>
                <w:rFonts w:hint="default" w:ascii="Times New Roman" w:hAnsi="Times New Roman" w:eastAsia="宋体" w:cs="宋体"/>
                <w:color w:val="000000" w:themeColor="text1"/>
                <w:kern w:val="2"/>
                <w:sz w:val="22"/>
                <w:szCs w:val="22"/>
                <w:highlight w:val="none"/>
                <w:lang w:val="en-US" w:eastAsia="zh-CN" w:bidi="ar"/>
                <w14:textFill>
                  <w14:solidFill>
                    <w14:schemeClr w14:val="tx1"/>
                  </w14:solidFill>
                </w14:textFill>
              </w:rPr>
              <w:t>200</w:t>
            </w:r>
            <w:r>
              <w:rPr>
                <w:rFonts w:hint="eastAsia" w:ascii="Times New Roman" w:hAnsi="Times New Roman" w:eastAsia="宋体" w:cs="宋体"/>
                <w:color w:val="000000" w:themeColor="text1"/>
                <w:kern w:val="2"/>
                <w:sz w:val="22"/>
                <w:szCs w:val="22"/>
                <w:highlight w:val="none"/>
                <w:lang w:val="en-US" w:eastAsia="zh-CN" w:bidi="ar"/>
                <w14:textFill>
                  <w14:solidFill>
                    <w14:schemeClr w14:val="tx1"/>
                  </w14:solidFill>
                </w14:textFill>
              </w:rPr>
              <w:t>万元公众责任险及食品安全责任险保单，每提供一个得</w:t>
            </w:r>
            <w:r>
              <w:rPr>
                <w:rFonts w:hint="default" w:ascii="Times New Roman" w:hAnsi="Times New Roman" w:eastAsia="宋体" w:cs="宋体"/>
                <w:color w:val="000000" w:themeColor="text1"/>
                <w:kern w:val="2"/>
                <w:sz w:val="22"/>
                <w:szCs w:val="22"/>
                <w:highlight w:val="none"/>
                <w:lang w:val="en-US" w:eastAsia="zh-CN" w:bidi="ar"/>
                <w14:textFill>
                  <w14:solidFill>
                    <w14:schemeClr w14:val="tx1"/>
                  </w14:solidFill>
                </w14:textFill>
              </w:rPr>
              <w:t>2</w:t>
            </w:r>
            <w:r>
              <w:rPr>
                <w:rFonts w:hint="eastAsia" w:ascii="Times New Roman" w:hAnsi="Times New Roman" w:eastAsia="宋体" w:cs="宋体"/>
                <w:color w:val="000000" w:themeColor="text1"/>
                <w:kern w:val="2"/>
                <w:sz w:val="22"/>
                <w:szCs w:val="22"/>
                <w:highlight w:val="none"/>
                <w:lang w:val="en-US" w:eastAsia="zh-CN" w:bidi="ar"/>
                <w14:textFill>
                  <w14:solidFill>
                    <w14:schemeClr w14:val="tx1"/>
                  </w14:solidFill>
                </w14:textFill>
              </w:rPr>
              <w:t>分，最高得</w:t>
            </w:r>
            <w:r>
              <w:rPr>
                <w:rFonts w:hint="default" w:ascii="Times New Roman" w:hAnsi="Times New Roman" w:eastAsia="宋体" w:cs="宋体"/>
                <w:color w:val="000000" w:themeColor="text1"/>
                <w:kern w:val="2"/>
                <w:sz w:val="22"/>
                <w:szCs w:val="22"/>
                <w:highlight w:val="none"/>
                <w:lang w:val="en-US" w:eastAsia="zh-CN" w:bidi="ar"/>
                <w14:textFill>
                  <w14:solidFill>
                    <w14:schemeClr w14:val="tx1"/>
                  </w14:solidFill>
                </w14:textFill>
              </w:rPr>
              <w:t>4</w:t>
            </w:r>
            <w:r>
              <w:rPr>
                <w:rFonts w:hint="eastAsia" w:ascii="Times New Roman" w:hAnsi="Times New Roman" w:eastAsia="宋体" w:cs="宋体"/>
                <w:color w:val="000000" w:themeColor="text1"/>
                <w:kern w:val="2"/>
                <w:sz w:val="22"/>
                <w:szCs w:val="22"/>
                <w:highlight w:val="none"/>
                <w:lang w:val="en-US" w:eastAsia="zh-CN" w:bidi="ar"/>
                <w14:textFill>
                  <w14:solidFill>
                    <w14:schemeClr w14:val="tx1"/>
                  </w14:solidFill>
                </w14:textFill>
              </w:rPr>
              <w:t>分。</w:t>
            </w:r>
          </w:p>
          <w:p>
            <w:pPr>
              <w:keepNext w:val="0"/>
              <w:keepLines w:val="0"/>
              <w:widowControl/>
              <w:suppressLineNumbers w:val="0"/>
              <w:shd w:val="clear"/>
              <w:spacing w:before="0" w:beforeAutospacing="0" w:after="0" w:afterAutospacing="0"/>
              <w:ind w:left="0" w:right="0" w:firstLine="440" w:firstLineChars="200"/>
              <w:jc w:val="left"/>
              <w:textAlignment w:val="center"/>
              <w:rPr>
                <w:rFonts w:hint="default"/>
                <w:color w:val="000000" w:themeColor="text1"/>
                <w:highlight w:val="none"/>
                <w:lang w:val="en-US"/>
                <w14:textFill>
                  <w14:solidFill>
                    <w14:schemeClr w14:val="tx1"/>
                  </w14:solidFill>
                </w14:textFill>
              </w:rPr>
            </w:pPr>
            <w:r>
              <w:rPr>
                <w:rFonts w:hint="eastAsia" w:ascii="Times New Roman" w:hAnsi="Times New Roman" w:eastAsia="宋体" w:cs="宋体"/>
                <w:color w:val="000000" w:themeColor="text1"/>
                <w:kern w:val="2"/>
                <w:sz w:val="22"/>
                <w:szCs w:val="22"/>
                <w:highlight w:val="none"/>
                <w:lang w:val="en-US" w:eastAsia="zh-CN" w:bidi="ar"/>
                <w14:textFill>
                  <w14:solidFill>
                    <w14:schemeClr w14:val="tx1"/>
                  </w14:solidFill>
                </w14:textFill>
              </w:rPr>
              <w:t>须提供书面承诺，保险合同复印件，加盖企业鲜章，未提供或承诺不满足的不得分。</w:t>
            </w:r>
          </w:p>
        </w:tc>
        <w:tc>
          <w:tcPr>
            <w:tcW w:w="6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jc w:val="center"/>
              <w:textAlignment w:val="center"/>
              <w:rPr>
                <w:rFonts w:hint="default"/>
                <w:color w:val="000000" w:themeColor="text1"/>
                <w:sz w:val="24"/>
                <w:szCs w:val="24"/>
                <w:highlight w:val="none"/>
                <w:lang w:val="en-US"/>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jc w:val="center"/>
              <w:textAlignment w:val="center"/>
              <w:rPr>
                <w:rFonts w:hint="default"/>
                <w:color w:val="000000" w:themeColor="text1"/>
                <w:sz w:val="24"/>
                <w:szCs w:val="24"/>
                <w:highlight w:val="none"/>
                <w:lang w:val="en-US"/>
                <w14:textFill>
                  <w14:solidFill>
                    <w14:schemeClr w14:val="tx1"/>
                  </w14:solidFill>
                </w14:textFill>
              </w:rPr>
            </w:pPr>
          </w:p>
        </w:tc>
        <w:tc>
          <w:tcPr>
            <w:tcW w:w="7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jc w:val="center"/>
              <w:textAlignment w:val="center"/>
              <w:rPr>
                <w:rFonts w:hint="default"/>
                <w:color w:val="000000" w:themeColor="text1"/>
                <w:sz w:val="24"/>
                <w:szCs w:val="24"/>
                <w:highlight w:val="none"/>
                <w:lang w:val="en-US"/>
                <w14:textFill>
                  <w14:solidFill>
                    <w14:schemeClr w14:val="tx1"/>
                  </w14:solidFill>
                </w14:textFill>
              </w:rPr>
            </w:pPr>
          </w:p>
        </w:tc>
        <w:tc>
          <w:tcPr>
            <w:tcW w:w="7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jc w:val="center"/>
              <w:textAlignment w:val="center"/>
              <w:rPr>
                <w:rFonts w:hint="default"/>
                <w:color w:val="000000" w:themeColor="text1"/>
                <w:sz w:val="24"/>
                <w:szCs w:val="24"/>
                <w:highlight w:val="none"/>
                <w:lang w:val="en-US"/>
                <w14:textFill>
                  <w14:solidFill>
                    <w14:schemeClr w14:val="tx1"/>
                  </w14:solidFill>
                </w14:textFill>
              </w:rPr>
            </w:pPr>
          </w:p>
        </w:tc>
        <w:tc>
          <w:tcPr>
            <w:tcW w:w="64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jc w:val="left"/>
              <w:textAlignment w:val="center"/>
              <w:rPr>
                <w:rFonts w:hint="default"/>
                <w:color w:val="000000" w:themeColor="text1"/>
                <w:sz w:val="24"/>
                <w:szCs w:val="24"/>
                <w:highlight w:val="none"/>
                <w:lang w:val="en-US"/>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fldChar w:fldCharType="begin"/>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instrText xml:space="preserve"> = sum(D2:D11) \* MERGEFORMAT </w:instrTex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fldChar w:fldCharType="separate"/>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fldChar w:fldCharType="end"/>
            </w:r>
          </w:p>
        </w:tc>
        <w:tc>
          <w:tcPr>
            <w:tcW w:w="6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jc w:val="center"/>
              <w:textAlignment w:val="center"/>
              <w:rPr>
                <w:rFonts w:hint="default"/>
                <w:color w:val="000000" w:themeColor="text1"/>
                <w:sz w:val="24"/>
                <w:szCs w:val="24"/>
                <w:highlight w:val="none"/>
                <w:lang w:val="en-US"/>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fldChar w:fldCharType="begin"/>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instrText xml:space="preserve"> = sum(E3:E11) \* MERGEFORMAT </w:instrTex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fldChar w:fldCharType="separate"/>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100</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fldChar w:fldCharType="end"/>
            </w:r>
          </w:p>
        </w:tc>
      </w:tr>
    </w:tbl>
    <w:p>
      <w:pPr>
        <w:pStyle w:val="13"/>
        <w:keepNext w:val="0"/>
        <w:keepLines w:val="0"/>
        <w:widowControl w:val="0"/>
        <w:suppressLineNumbers w:val="0"/>
        <w:shd w:val="clear"/>
        <w:kinsoku w:val="0"/>
        <w:overflowPunct w:val="0"/>
        <w:autoSpaceDE w:val="0"/>
        <w:autoSpaceDN w:val="0"/>
        <w:adjustRightInd w:val="0"/>
        <w:spacing w:before="3" w:beforeAutospacing="0" w:after="0" w:afterAutospacing="0" w:line="240" w:lineRule="auto"/>
        <w:ind w:left="0" w:right="465"/>
        <w:jc w:val="left"/>
        <w:rPr>
          <w:rFonts w:hAnsi="宋体"/>
          <w:b/>
          <w:bCs/>
          <w:color w:val="000000" w:themeColor="text1"/>
          <w:sz w:val="24"/>
          <w:szCs w:val="24"/>
          <w:highlight w:val="none"/>
          <w:lang w:val="en-US"/>
          <w14:textFill>
            <w14:solidFill>
              <w14:schemeClr w14:val="tx1"/>
            </w14:solidFill>
          </w14:textFill>
        </w:rPr>
      </w:pPr>
    </w:p>
    <w:p>
      <w:pPr>
        <w:pStyle w:val="19"/>
        <w:numPr>
          <w:ilvl w:val="0"/>
          <w:numId w:val="0"/>
        </w:numPr>
        <w:shd w:val="clear"/>
        <w:tabs>
          <w:tab w:val="left" w:pos="1802"/>
        </w:tabs>
        <w:spacing w:before="148" w:line="352" w:lineRule="auto"/>
        <w:ind w:left="222" w:leftChars="0" w:right="777" w:rightChars="0" w:firstLine="656" w:firstLineChars="278"/>
        <w:rPr>
          <w:rFonts w:hint="eastAsia"/>
          <w:color w:val="000000" w:themeColor="text1"/>
          <w:spacing w:val="-2"/>
          <w:sz w:val="24"/>
          <w:highlight w:val="none"/>
          <w:lang w:val="en-US" w:eastAsia="zh-CN"/>
          <w14:textFill>
            <w14:solidFill>
              <w14:schemeClr w14:val="tx1"/>
            </w14:solidFill>
          </w14:textFill>
        </w:rPr>
      </w:pPr>
    </w:p>
    <w:p>
      <w:pPr>
        <w:pStyle w:val="10"/>
        <w:shd w:val="clear"/>
        <w:spacing w:before="10"/>
        <w:ind w:left="0"/>
        <w:rPr>
          <w:color w:val="000000" w:themeColor="text1"/>
          <w:sz w:val="7"/>
          <w:highlight w:val="none"/>
          <w14:textFill>
            <w14:solidFill>
              <w14:schemeClr w14:val="tx1"/>
            </w14:solidFill>
          </w14:textFill>
        </w:rPr>
      </w:pPr>
    </w:p>
    <w:p>
      <w:pPr>
        <w:shd w:val="clear"/>
        <w:rPr>
          <w:rFonts w:ascii="Times New Roman"/>
          <w:color w:val="000000" w:themeColor="text1"/>
          <w:sz w:val="20"/>
          <w:highlight w:val="none"/>
          <w14:textFill>
            <w14:solidFill>
              <w14:schemeClr w14:val="tx1"/>
            </w14:solidFill>
          </w14:textFill>
        </w:rPr>
        <w:sectPr>
          <w:pgSz w:w="11910" w:h="16840"/>
          <w:pgMar w:top="1380" w:right="1020" w:bottom="1180" w:left="1020" w:header="878" w:footer="989" w:gutter="0"/>
          <w:cols w:space="720" w:num="1"/>
        </w:sectPr>
      </w:pPr>
    </w:p>
    <w:p>
      <w:pPr>
        <w:pStyle w:val="4"/>
        <w:shd w:val="clear"/>
        <w:spacing w:before="270"/>
        <w:outlineLvl w:val="0"/>
        <w:rPr>
          <w:color w:val="000000" w:themeColor="text1"/>
          <w:highlight w:val="none"/>
          <w14:textFill>
            <w14:solidFill>
              <w14:schemeClr w14:val="tx1"/>
            </w14:solidFill>
          </w14:textFill>
        </w:rPr>
      </w:pPr>
      <w:bookmarkStart w:id="113" w:name="_bookmark23"/>
      <w:bookmarkEnd w:id="113"/>
      <w:bookmarkStart w:id="114" w:name="第六章_合同草案"/>
      <w:bookmarkEnd w:id="114"/>
      <w:bookmarkStart w:id="115" w:name="第五章_评标方法及标准(最低评标价法)"/>
      <w:bookmarkEnd w:id="115"/>
      <w:bookmarkStart w:id="116" w:name="_bookmark28"/>
      <w:bookmarkEnd w:id="116"/>
      <w:bookmarkStart w:id="117" w:name="_Toc14496"/>
      <w:r>
        <w:rPr>
          <w:color w:val="000000" w:themeColor="text1"/>
          <w:spacing w:val="-5"/>
          <w:highlight w:val="none"/>
          <w14:textFill>
            <w14:solidFill>
              <w14:schemeClr w14:val="tx1"/>
            </w14:solidFill>
          </w14:textFill>
        </w:rPr>
        <w:t>第六章 合同草案</w:t>
      </w:r>
      <w:bookmarkEnd w:id="117"/>
    </w:p>
    <w:p>
      <w:pPr>
        <w:pStyle w:val="10"/>
        <w:shd w:val="clear"/>
        <w:spacing w:before="218"/>
        <w:ind w:left="0"/>
        <w:rPr>
          <w:b/>
          <w:color w:val="000000" w:themeColor="text1"/>
          <w:sz w:val="36"/>
          <w:highlight w:val="none"/>
          <w14:textFill>
            <w14:solidFill>
              <w14:schemeClr w14:val="tx1"/>
            </w14:solidFill>
          </w14:textFill>
        </w:rPr>
      </w:pPr>
    </w:p>
    <w:p>
      <w:pPr>
        <w:pStyle w:val="10"/>
        <w:shd w:val="clear"/>
        <w:tabs>
          <w:tab w:val="left" w:pos="3716"/>
        </w:tabs>
        <w:spacing w:line="360" w:lineRule="auto"/>
        <w:ind w:left="777" w:right="535"/>
        <w:rPr>
          <w:rFonts w:ascii="Times New Roman" w:eastAsia="Times New Roman"/>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（此合同书仅作为签订正式合同时的参考</w:t>
      </w:r>
      <w:r>
        <w:rPr>
          <w:color w:val="000000" w:themeColor="text1"/>
          <w:spacing w:val="-89"/>
          <w:highlight w:val="none"/>
          <w14:textFill>
            <w14:solidFill>
              <w14:schemeClr w14:val="tx1"/>
            </w14:solidFill>
          </w14:textFill>
        </w:rPr>
        <w:t>，</w:t>
      </w:r>
      <w:r>
        <w:rPr>
          <w:color w:val="000000" w:themeColor="text1"/>
          <w:spacing w:val="-2"/>
          <w:highlight w:val="none"/>
          <w14:textFill>
            <w14:solidFill>
              <w14:schemeClr w14:val="tx1"/>
            </w14:solidFill>
          </w14:textFill>
        </w:rPr>
        <w:t>正式合同书应包括本参考格式的内容）合同编号：</w:t>
      </w:r>
      <w:r>
        <w:rPr>
          <w:rFonts w:ascii="Times New Roman" w:eastAsia="Times New Roman"/>
          <w:color w:val="000000" w:themeColor="text1"/>
          <w:highlight w:val="none"/>
          <w:u w:val="single"/>
          <w14:textFill>
            <w14:solidFill>
              <w14:schemeClr w14:val="tx1"/>
            </w14:solidFill>
          </w14:textFill>
        </w:rPr>
        <w:tab/>
      </w:r>
    </w:p>
    <w:p>
      <w:pPr>
        <w:pStyle w:val="10"/>
        <w:shd w:val="clear"/>
        <w:spacing w:before="505"/>
        <w:ind w:left="0"/>
        <w:rPr>
          <w:rFonts w:ascii="Times New Roman"/>
          <w:color w:val="000000" w:themeColor="text1"/>
          <w:sz w:val="44"/>
          <w:highlight w:val="none"/>
          <w14:textFill>
            <w14:solidFill>
              <w14:schemeClr w14:val="tx1"/>
            </w14:solidFill>
          </w14:textFill>
        </w:rPr>
      </w:pPr>
    </w:p>
    <w:p>
      <w:pPr>
        <w:shd w:val="clear"/>
        <w:spacing w:line="572" w:lineRule="exact"/>
        <w:ind w:left="33"/>
        <w:jc w:val="center"/>
        <w:rPr>
          <w:b/>
          <w:color w:val="000000" w:themeColor="text1"/>
          <w:sz w:val="44"/>
          <w:highlight w:val="none"/>
          <w14:textFill>
            <w14:solidFill>
              <w14:schemeClr w14:val="tx1"/>
            </w14:solidFill>
          </w14:textFill>
        </w:rPr>
      </w:pPr>
      <w:bookmarkStart w:id="118" w:name="_bookmark29"/>
      <w:bookmarkEnd w:id="118"/>
      <w:bookmarkStart w:id="119" w:name="政府采购合同参考范本"/>
      <w:bookmarkEnd w:id="119"/>
      <w:r>
        <w:rPr>
          <w:b/>
          <w:color w:val="000000" w:themeColor="text1"/>
          <w:spacing w:val="-44"/>
          <w:sz w:val="44"/>
          <w:highlight w:val="none"/>
          <w14:textFill>
            <w14:solidFill>
              <w14:schemeClr w14:val="tx1"/>
            </w14:solidFill>
          </w14:textFill>
        </w:rPr>
        <w:t>政府采购合同参考范本</w:t>
      </w:r>
    </w:p>
    <w:p>
      <w:pPr>
        <w:shd w:val="clear"/>
        <w:spacing w:line="572" w:lineRule="exact"/>
        <w:ind w:left="38"/>
        <w:jc w:val="center"/>
        <w:rPr>
          <w:b/>
          <w:color w:val="000000" w:themeColor="text1"/>
          <w:sz w:val="44"/>
          <w:highlight w:val="none"/>
          <w14:textFill>
            <w14:solidFill>
              <w14:schemeClr w14:val="tx1"/>
            </w14:solidFill>
          </w14:textFill>
        </w:rPr>
      </w:pPr>
      <w:bookmarkStart w:id="120" w:name="（服务类）"/>
      <w:bookmarkEnd w:id="120"/>
      <w:bookmarkStart w:id="121" w:name="_bookmark30"/>
      <w:bookmarkEnd w:id="121"/>
      <w:r>
        <w:rPr>
          <w:b/>
          <w:color w:val="000000" w:themeColor="text1"/>
          <w:spacing w:val="-42"/>
          <w:sz w:val="44"/>
          <w:highlight w:val="none"/>
          <w14:textFill>
            <w14:solidFill>
              <w14:schemeClr w14:val="tx1"/>
            </w14:solidFill>
          </w14:textFill>
        </w:rPr>
        <w:t>（服务类）</w:t>
      </w:r>
    </w:p>
    <w:p>
      <w:pPr>
        <w:pStyle w:val="10"/>
        <w:shd w:val="clear"/>
        <w:ind w:left="0"/>
        <w:rPr>
          <w:b/>
          <w:color w:val="000000" w:themeColor="text1"/>
          <w:sz w:val="44"/>
          <w:highlight w:val="none"/>
          <w14:textFill>
            <w14:solidFill>
              <w14:schemeClr w14:val="tx1"/>
            </w14:solidFill>
          </w14:textFill>
        </w:rPr>
      </w:pPr>
    </w:p>
    <w:p>
      <w:pPr>
        <w:pStyle w:val="10"/>
        <w:shd w:val="clear"/>
        <w:ind w:left="0"/>
        <w:rPr>
          <w:b/>
          <w:color w:val="000000" w:themeColor="text1"/>
          <w:sz w:val="44"/>
          <w:highlight w:val="none"/>
          <w14:textFill>
            <w14:solidFill>
              <w14:schemeClr w14:val="tx1"/>
            </w14:solidFill>
          </w14:textFill>
        </w:rPr>
      </w:pPr>
    </w:p>
    <w:p>
      <w:pPr>
        <w:pStyle w:val="10"/>
        <w:shd w:val="clear"/>
        <w:spacing w:before="527"/>
        <w:ind w:left="0"/>
        <w:rPr>
          <w:b/>
          <w:color w:val="000000" w:themeColor="text1"/>
          <w:sz w:val="44"/>
          <w:highlight w:val="none"/>
          <w14:textFill>
            <w14:solidFill>
              <w14:schemeClr w14:val="tx1"/>
            </w14:solidFill>
          </w14:textFill>
        </w:rPr>
      </w:pPr>
    </w:p>
    <w:p>
      <w:pPr>
        <w:pStyle w:val="4"/>
        <w:shd w:val="clear"/>
        <w:spacing w:before="0"/>
        <w:rPr>
          <w:color w:val="000000" w:themeColor="text1"/>
          <w:highlight w:val="none"/>
          <w14:textFill>
            <w14:solidFill>
              <w14:schemeClr w14:val="tx1"/>
            </w14:solidFill>
          </w14:textFill>
        </w:rPr>
      </w:pPr>
      <w:bookmarkStart w:id="122" w:name="第一部分_合同书"/>
      <w:bookmarkEnd w:id="122"/>
      <w:r>
        <w:rPr>
          <w:color w:val="000000" w:themeColor="text1"/>
          <w:spacing w:val="-4"/>
          <w:highlight w:val="none"/>
          <w14:textFill>
            <w14:solidFill>
              <w14:schemeClr w14:val="tx1"/>
            </w14:solidFill>
          </w14:textFill>
        </w:rPr>
        <w:t>第一部分 合同书</w:t>
      </w:r>
    </w:p>
    <w:p>
      <w:pPr>
        <w:pStyle w:val="10"/>
        <w:shd w:val="clear"/>
        <w:ind w:left="0"/>
        <w:rPr>
          <w:b/>
          <w:color w:val="000000" w:themeColor="text1"/>
          <w:sz w:val="36"/>
          <w:highlight w:val="none"/>
          <w14:textFill>
            <w14:solidFill>
              <w14:schemeClr w14:val="tx1"/>
            </w14:solidFill>
          </w14:textFill>
        </w:rPr>
      </w:pPr>
    </w:p>
    <w:p>
      <w:pPr>
        <w:pStyle w:val="10"/>
        <w:shd w:val="clear"/>
        <w:ind w:left="0"/>
        <w:rPr>
          <w:b/>
          <w:color w:val="000000" w:themeColor="text1"/>
          <w:sz w:val="36"/>
          <w:highlight w:val="none"/>
          <w14:textFill>
            <w14:solidFill>
              <w14:schemeClr w14:val="tx1"/>
            </w14:solidFill>
          </w14:textFill>
        </w:rPr>
      </w:pPr>
    </w:p>
    <w:p>
      <w:pPr>
        <w:pStyle w:val="10"/>
        <w:shd w:val="clear"/>
        <w:spacing w:before="451"/>
        <w:ind w:left="0"/>
        <w:rPr>
          <w:b/>
          <w:color w:val="000000" w:themeColor="text1"/>
          <w:sz w:val="36"/>
          <w:highlight w:val="none"/>
          <w14:textFill>
            <w14:solidFill>
              <w14:schemeClr w14:val="tx1"/>
            </w14:solidFill>
          </w14:textFill>
        </w:rPr>
      </w:pPr>
    </w:p>
    <w:p>
      <w:pPr>
        <w:pStyle w:val="10"/>
        <w:shd w:val="clear"/>
        <w:tabs>
          <w:tab w:val="left" w:pos="3897"/>
          <w:tab w:val="left" w:pos="4556"/>
        </w:tabs>
        <w:spacing w:line="571" w:lineRule="auto"/>
        <w:ind w:left="1737" w:right="1166"/>
        <w:rPr>
          <w:rFonts w:ascii="Times New Roman" w:eastAsia="Times New Roman"/>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项目名称：</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2"/>
          <w:highlight w:val="none"/>
          <w14:textFill>
            <w14:solidFill>
              <w14:schemeClr w14:val="tx1"/>
            </w14:solidFill>
          </w14:textFill>
        </w:rPr>
        <w:t>（分包项目须填写完整的分包号及分包名称）项目编号/包号：</w:t>
      </w:r>
      <w:r>
        <w:rPr>
          <w:rFonts w:ascii="Times New Roman" w:eastAsia="Times New Roman"/>
          <w:color w:val="000000" w:themeColor="text1"/>
          <w:highlight w:val="none"/>
          <w:u w:val="single"/>
          <w14:textFill>
            <w14:solidFill>
              <w14:schemeClr w14:val="tx1"/>
            </w14:solidFill>
          </w14:textFill>
        </w:rPr>
        <w:tab/>
      </w:r>
      <w:r>
        <w:rPr>
          <w:rFonts w:ascii="Times New Roman" w:eastAsia="Times New Roman"/>
          <w:color w:val="000000" w:themeColor="text1"/>
          <w:highlight w:val="none"/>
          <w:u w:val="single"/>
          <w14:textFill>
            <w14:solidFill>
              <w14:schemeClr w14:val="tx1"/>
            </w14:solidFill>
          </w14:textFill>
        </w:rPr>
        <w:tab/>
      </w:r>
    </w:p>
    <w:p>
      <w:pPr>
        <w:pStyle w:val="10"/>
        <w:shd w:val="clear"/>
        <w:tabs>
          <w:tab w:val="left" w:pos="7316"/>
        </w:tabs>
        <w:spacing w:line="310" w:lineRule="exact"/>
        <w:ind w:left="1737"/>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甲方（采购人</w:t>
      </w:r>
      <w:r>
        <w:rPr>
          <w:color w:val="000000" w:themeColor="text1"/>
          <w:spacing w:val="-5"/>
          <w:highlight w:val="none"/>
          <w14:textFill>
            <w14:solidFill>
              <w14:schemeClr w14:val="tx1"/>
            </w14:solidFill>
          </w14:textFill>
        </w:rPr>
        <w:t>）：</w:t>
      </w:r>
      <w:r>
        <w:rPr>
          <w:rFonts w:ascii="Times New Roman" w:eastAsia="Times New Roman"/>
          <w:color w:val="000000" w:themeColor="text1"/>
          <w:highlight w:val="none"/>
          <w:u w:val="single"/>
          <w14:textFill>
            <w14:solidFill>
              <w14:schemeClr w14:val="tx1"/>
            </w14:solidFill>
          </w14:textFill>
        </w:rPr>
        <w:tab/>
      </w:r>
    </w:p>
    <w:p>
      <w:pPr>
        <w:pStyle w:val="10"/>
        <w:shd w:val="clear"/>
        <w:spacing w:before="156"/>
        <w:ind w:left="0"/>
        <w:rPr>
          <w:rFonts w:ascii="Times New Roman"/>
          <w:color w:val="000000" w:themeColor="text1"/>
          <w:highlight w:val="none"/>
          <w14:textFill>
            <w14:solidFill>
              <w14:schemeClr w14:val="tx1"/>
            </w14:solidFill>
          </w14:textFill>
        </w:rPr>
      </w:pPr>
    </w:p>
    <w:p>
      <w:pPr>
        <w:pStyle w:val="10"/>
        <w:shd w:val="clear"/>
        <w:tabs>
          <w:tab w:val="left" w:pos="7316"/>
        </w:tabs>
        <w:ind w:left="1737"/>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乙方（中标人</w:t>
      </w:r>
      <w:r>
        <w:rPr>
          <w:color w:val="000000" w:themeColor="text1"/>
          <w:spacing w:val="-5"/>
          <w:highlight w:val="none"/>
          <w14:textFill>
            <w14:solidFill>
              <w14:schemeClr w14:val="tx1"/>
            </w14:solidFill>
          </w14:textFill>
        </w:rPr>
        <w:t>）：</w:t>
      </w:r>
      <w:r>
        <w:rPr>
          <w:rFonts w:ascii="Times New Roman" w:eastAsia="Times New Roman"/>
          <w:color w:val="000000" w:themeColor="text1"/>
          <w:highlight w:val="none"/>
          <w:u w:val="single"/>
          <w14:textFill>
            <w14:solidFill>
              <w14:schemeClr w14:val="tx1"/>
            </w14:solidFill>
          </w14:textFill>
        </w:rPr>
        <w:tab/>
      </w:r>
    </w:p>
    <w:p>
      <w:pPr>
        <w:pStyle w:val="10"/>
        <w:shd w:val="clear"/>
        <w:spacing w:before="153"/>
        <w:ind w:left="0"/>
        <w:rPr>
          <w:rFonts w:ascii="Times New Roman"/>
          <w:color w:val="000000" w:themeColor="text1"/>
          <w:highlight w:val="none"/>
          <w14:textFill>
            <w14:solidFill>
              <w14:schemeClr w14:val="tx1"/>
            </w14:solidFill>
          </w14:textFill>
        </w:rPr>
      </w:pPr>
    </w:p>
    <w:p>
      <w:pPr>
        <w:pStyle w:val="10"/>
        <w:shd w:val="clear"/>
        <w:tabs>
          <w:tab w:val="left" w:pos="7196"/>
        </w:tabs>
        <w:ind w:left="1737"/>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签订地</w:t>
      </w:r>
      <w:r>
        <w:rPr>
          <w:color w:val="000000" w:themeColor="text1"/>
          <w:spacing w:val="-10"/>
          <w:highlight w:val="none"/>
          <w14:textFill>
            <w14:solidFill>
              <w14:schemeClr w14:val="tx1"/>
            </w14:solidFill>
          </w14:textFill>
        </w:rPr>
        <w:t>：</w:t>
      </w:r>
      <w:r>
        <w:rPr>
          <w:rFonts w:ascii="Times New Roman" w:eastAsia="Times New Roman"/>
          <w:color w:val="000000" w:themeColor="text1"/>
          <w:highlight w:val="none"/>
          <w:u w:val="single"/>
          <w14:textFill>
            <w14:solidFill>
              <w14:schemeClr w14:val="tx1"/>
            </w14:solidFill>
          </w14:textFill>
        </w:rPr>
        <w:tab/>
      </w:r>
    </w:p>
    <w:p>
      <w:pPr>
        <w:pStyle w:val="10"/>
        <w:shd w:val="clear"/>
        <w:spacing w:before="156"/>
        <w:ind w:left="0"/>
        <w:rPr>
          <w:rFonts w:ascii="Times New Roman"/>
          <w:color w:val="000000" w:themeColor="text1"/>
          <w:highlight w:val="none"/>
          <w14:textFill>
            <w14:solidFill>
              <w14:schemeClr w14:val="tx1"/>
            </w14:solidFill>
          </w14:textFill>
        </w:rPr>
      </w:pPr>
    </w:p>
    <w:p>
      <w:pPr>
        <w:pStyle w:val="10"/>
        <w:shd w:val="clear"/>
        <w:tabs>
          <w:tab w:val="left" w:pos="4737"/>
          <w:tab w:val="left" w:pos="5817"/>
          <w:tab w:val="left" w:pos="6897"/>
        </w:tabs>
        <w:ind w:left="173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签订日期</w:t>
      </w:r>
      <w:r>
        <w:rPr>
          <w:color w:val="000000" w:themeColor="text1"/>
          <w:spacing w:val="-10"/>
          <w:highlight w:val="none"/>
          <w14:textFill>
            <w14:solidFill>
              <w14:schemeClr w14:val="tx1"/>
            </w14:solidFill>
          </w14:textFill>
        </w:rPr>
        <w:t>：</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10"/>
          <w:highlight w:val="none"/>
          <w14:textFill>
            <w14:solidFill>
              <w14:schemeClr w14:val="tx1"/>
            </w14:solidFill>
          </w14:textFill>
        </w:rPr>
        <w:t>年</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10"/>
          <w:highlight w:val="none"/>
          <w14:textFill>
            <w14:solidFill>
              <w14:schemeClr w14:val="tx1"/>
            </w14:solidFill>
          </w14:textFill>
        </w:rPr>
        <w:t>月</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10"/>
          <w:highlight w:val="none"/>
          <w14:textFill>
            <w14:solidFill>
              <w14:schemeClr w14:val="tx1"/>
            </w14:solidFill>
          </w14:textFill>
        </w:rPr>
        <w:t>日</w:t>
      </w:r>
    </w:p>
    <w:p>
      <w:pPr>
        <w:shd w:val="clear"/>
        <w:rPr>
          <w:color w:val="000000" w:themeColor="text1"/>
          <w:highlight w:val="none"/>
          <w14:textFill>
            <w14:solidFill>
              <w14:schemeClr w14:val="tx1"/>
            </w14:solidFill>
          </w14:textFill>
        </w:rPr>
        <w:sectPr>
          <w:headerReference r:id="rId6" w:type="default"/>
          <w:footerReference r:id="rId7" w:type="default"/>
          <w:pgSz w:w="11910" w:h="16840"/>
          <w:pgMar w:top="1380" w:right="1019" w:bottom="1040" w:left="1020" w:header="878" w:footer="853" w:gutter="0"/>
          <w:cols w:space="720" w:num="1"/>
        </w:sectPr>
      </w:pPr>
    </w:p>
    <w:p>
      <w:pPr>
        <w:pStyle w:val="10"/>
        <w:shd w:val="clear"/>
        <w:tabs>
          <w:tab w:val="left" w:pos="2411"/>
          <w:tab w:val="left" w:pos="4571"/>
          <w:tab w:val="left" w:pos="6208"/>
        </w:tabs>
        <w:spacing w:before="51" w:line="360" w:lineRule="auto"/>
        <w:ind w:left="777" w:right="775" w:firstLine="434"/>
        <w:jc w:val="both"/>
        <w:rPr>
          <w:color w:val="000000" w:themeColor="text1"/>
          <w:highlight w:val="none"/>
          <w14:textFill>
            <w14:solidFill>
              <w14:schemeClr w14:val="tx1"/>
            </w14:solidFill>
          </w14:textFill>
        </w:rPr>
      </w:pPr>
      <w:r>
        <w:rPr>
          <w:rFonts w:ascii="Times New Roman" w:eastAsia="Times New Roman"/>
          <w:color w:val="000000" w:themeColor="text1"/>
          <w:highlight w:val="none"/>
          <w:u w:val="single"/>
          <w14:textFill>
            <w14:solidFill>
              <w14:schemeClr w14:val="tx1"/>
            </w14:solidFill>
          </w14:textFill>
        </w:rPr>
        <w:tab/>
      </w:r>
      <w:r>
        <w:rPr>
          <w:color w:val="000000" w:themeColor="text1"/>
          <w:spacing w:val="-2"/>
          <w:highlight w:val="none"/>
          <w14:textFill>
            <w14:solidFill>
              <w14:schemeClr w14:val="tx1"/>
            </w14:solidFill>
          </w14:textFill>
        </w:rPr>
        <w:t>（以下简称：甲方）通过</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2"/>
          <w:highlight w:val="none"/>
          <w14:textFill>
            <w14:solidFill>
              <w14:schemeClr w14:val="tx1"/>
            </w14:solidFill>
          </w14:textFill>
        </w:rPr>
        <w:t>组织的</w:t>
      </w:r>
      <w:r>
        <w:rPr>
          <w:color w:val="000000" w:themeColor="text1"/>
          <w:spacing w:val="-2"/>
          <w:highlight w:val="none"/>
          <w:u w:val="single"/>
          <w14:textFill>
            <w14:solidFill>
              <w14:schemeClr w14:val="tx1"/>
            </w14:solidFill>
          </w14:textFill>
        </w:rPr>
        <w:t>公开招标</w:t>
      </w:r>
      <w:r>
        <w:rPr>
          <w:color w:val="000000" w:themeColor="text1"/>
          <w:spacing w:val="-2"/>
          <w:highlight w:val="none"/>
          <w14:textFill>
            <w14:solidFill>
              <w14:schemeClr w14:val="tx1"/>
            </w14:solidFill>
          </w14:textFill>
        </w:rPr>
        <w:t>方式采购活动，经</w:t>
      </w:r>
      <w:r>
        <w:rPr>
          <w:color w:val="000000" w:themeColor="text1"/>
          <w:spacing w:val="-2"/>
          <w:highlight w:val="none"/>
          <w:u w:val="single"/>
          <w14:textFill>
            <w14:solidFill>
              <w14:schemeClr w14:val="tx1"/>
            </w14:solidFill>
          </w14:textFill>
        </w:rPr>
        <w:t>评标委员会</w:t>
      </w:r>
      <w:r>
        <w:rPr>
          <w:color w:val="000000" w:themeColor="text1"/>
          <w:spacing w:val="-2"/>
          <w:highlight w:val="none"/>
          <w14:textFill>
            <w14:solidFill>
              <w14:schemeClr w14:val="tx1"/>
            </w14:solidFill>
          </w14:textFill>
        </w:rPr>
        <w:t>评定，</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4"/>
          <w:highlight w:val="none"/>
          <w14:textFill>
            <w14:solidFill>
              <w14:schemeClr w14:val="tx1"/>
            </w14:solidFill>
          </w14:textFill>
        </w:rPr>
        <w:t>（以下简称：乙方）为本项目中标人，现按</w:t>
      </w:r>
      <w:r>
        <w:rPr>
          <w:color w:val="000000" w:themeColor="text1"/>
          <w:spacing w:val="-2"/>
          <w:highlight w:val="none"/>
          <w14:textFill>
            <w14:solidFill>
              <w14:schemeClr w14:val="tx1"/>
            </w14:solidFill>
          </w14:textFill>
        </w:rPr>
        <w:t>照采购文件确定的事项签订本合同。</w:t>
      </w:r>
    </w:p>
    <w:p>
      <w:pPr>
        <w:pStyle w:val="10"/>
        <w:shd w:val="clear"/>
        <w:spacing w:line="360" w:lineRule="auto"/>
        <w:ind w:left="777" w:right="775" w:firstLine="434"/>
        <w:jc w:val="both"/>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根据《中华人民共和国民法典》、《中华人民共和国政府采购法》等相关法</w:t>
      </w:r>
      <w:r>
        <w:rPr>
          <w:color w:val="000000" w:themeColor="text1"/>
          <w:spacing w:val="-4"/>
          <w:highlight w:val="none"/>
          <w14:textFill>
            <w14:solidFill>
              <w14:schemeClr w14:val="tx1"/>
            </w14:solidFill>
          </w14:textFill>
        </w:rPr>
        <w:t>律法规之规定，按照平等、自愿、公平和诚实信用的原则，经甲方和乙方协商一</w:t>
      </w:r>
      <w:r>
        <w:rPr>
          <w:color w:val="000000" w:themeColor="text1"/>
          <w:spacing w:val="-2"/>
          <w:highlight w:val="none"/>
          <w14:textFill>
            <w14:solidFill>
              <w14:schemeClr w14:val="tx1"/>
            </w14:solidFill>
          </w14:textFill>
        </w:rPr>
        <w:t>致，约定以下合同条款，以兹共同遵守、全面履行。</w:t>
      </w:r>
    </w:p>
    <w:p>
      <w:pPr>
        <w:pStyle w:val="7"/>
        <w:numPr>
          <w:ilvl w:val="1"/>
          <w:numId w:val="52"/>
        </w:numPr>
        <w:shd w:val="clear"/>
        <w:tabs>
          <w:tab w:val="left" w:pos="1695"/>
        </w:tabs>
        <w:spacing w:line="307" w:lineRule="exact"/>
        <w:ind w:left="1695" w:hanging="481"/>
        <w:jc w:val="both"/>
        <w:rPr>
          <w:color w:val="000000" w:themeColor="text1"/>
          <w:highlight w:val="none"/>
          <w14:textFill>
            <w14:solidFill>
              <w14:schemeClr w14:val="tx1"/>
            </w14:solidFill>
          </w14:textFill>
        </w:rPr>
      </w:pPr>
      <w:bookmarkStart w:id="123" w:name="1.1_合同组成部分"/>
      <w:bookmarkEnd w:id="123"/>
      <w:r>
        <w:rPr>
          <w:color w:val="000000" w:themeColor="text1"/>
          <w:spacing w:val="-4"/>
          <w:highlight w:val="none"/>
          <w14:textFill>
            <w14:solidFill>
              <w14:schemeClr w14:val="tx1"/>
            </w14:solidFill>
          </w14:textFill>
        </w:rPr>
        <w:t>合同组成部分</w:t>
      </w:r>
    </w:p>
    <w:p>
      <w:pPr>
        <w:pStyle w:val="10"/>
        <w:shd w:val="clear"/>
        <w:spacing w:before="154" w:line="360" w:lineRule="auto"/>
        <w:ind w:left="777" w:right="733" w:firstLine="434"/>
        <w:jc w:val="both"/>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下列文件为本合同的组成部分，并构成一个整体，需综合解释、相互补充。</w:t>
      </w:r>
      <w:r>
        <w:rPr>
          <w:color w:val="000000" w:themeColor="text1"/>
          <w:spacing w:val="-8"/>
          <w:highlight w:val="none"/>
          <w14:textFill>
            <w14:solidFill>
              <w14:schemeClr w14:val="tx1"/>
            </w14:solidFill>
          </w14:textFill>
        </w:rPr>
        <w:t>如果下列文件内容出现不一致的情形，那么在保证按照采购文件确定的事项前提</w:t>
      </w:r>
      <w:r>
        <w:rPr>
          <w:color w:val="000000" w:themeColor="text1"/>
          <w:spacing w:val="-2"/>
          <w:highlight w:val="none"/>
          <w14:textFill>
            <w14:solidFill>
              <w14:schemeClr w14:val="tx1"/>
            </w14:solidFill>
          </w14:textFill>
        </w:rPr>
        <w:t>下，组成本合同的多个文件的优先适用顺序如下：</w:t>
      </w:r>
    </w:p>
    <w:p>
      <w:pPr>
        <w:pStyle w:val="19"/>
        <w:numPr>
          <w:ilvl w:val="2"/>
          <w:numId w:val="52"/>
        </w:numPr>
        <w:shd w:val="clear"/>
        <w:tabs>
          <w:tab w:val="left" w:pos="1871"/>
        </w:tabs>
        <w:spacing w:line="307" w:lineRule="exact"/>
        <w:ind w:left="1871"/>
        <w:jc w:val="both"/>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本合同及其补充合同、变更协议；</w:t>
      </w:r>
    </w:p>
    <w:p>
      <w:pPr>
        <w:pStyle w:val="19"/>
        <w:numPr>
          <w:ilvl w:val="2"/>
          <w:numId w:val="52"/>
        </w:numPr>
        <w:shd w:val="clear"/>
        <w:tabs>
          <w:tab w:val="left" w:pos="1871"/>
        </w:tabs>
        <w:spacing w:before="156"/>
        <w:ind w:left="1871"/>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中标通知书；</w:t>
      </w:r>
    </w:p>
    <w:p>
      <w:pPr>
        <w:pStyle w:val="19"/>
        <w:numPr>
          <w:ilvl w:val="2"/>
          <w:numId w:val="52"/>
        </w:numPr>
        <w:shd w:val="clear"/>
        <w:tabs>
          <w:tab w:val="left" w:pos="1871"/>
        </w:tabs>
        <w:spacing w:before="156"/>
        <w:ind w:left="1871"/>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投标文件（含澄清或者说明文件</w:t>
      </w:r>
      <w:r>
        <w:rPr>
          <w:color w:val="000000" w:themeColor="text1"/>
          <w:spacing w:val="-5"/>
          <w:sz w:val="24"/>
          <w:highlight w:val="none"/>
          <w14:textFill>
            <w14:solidFill>
              <w14:schemeClr w14:val="tx1"/>
            </w14:solidFill>
          </w14:textFill>
        </w:rPr>
        <w:t>）；</w:t>
      </w:r>
    </w:p>
    <w:p>
      <w:pPr>
        <w:pStyle w:val="19"/>
        <w:numPr>
          <w:ilvl w:val="2"/>
          <w:numId w:val="52"/>
        </w:numPr>
        <w:shd w:val="clear"/>
        <w:tabs>
          <w:tab w:val="left" w:pos="1871"/>
        </w:tabs>
        <w:spacing w:before="154"/>
        <w:ind w:left="1871"/>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招标文件（含澄清或者修改文件</w:t>
      </w:r>
      <w:r>
        <w:rPr>
          <w:color w:val="000000" w:themeColor="text1"/>
          <w:spacing w:val="-5"/>
          <w:sz w:val="24"/>
          <w:highlight w:val="none"/>
          <w14:textFill>
            <w14:solidFill>
              <w14:schemeClr w14:val="tx1"/>
            </w14:solidFill>
          </w14:textFill>
        </w:rPr>
        <w:t>）；</w:t>
      </w:r>
    </w:p>
    <w:p>
      <w:pPr>
        <w:pStyle w:val="19"/>
        <w:numPr>
          <w:ilvl w:val="2"/>
          <w:numId w:val="52"/>
        </w:numPr>
        <w:shd w:val="clear"/>
        <w:tabs>
          <w:tab w:val="left" w:pos="1871"/>
        </w:tabs>
        <w:spacing w:before="156"/>
        <w:ind w:left="1871"/>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其他相关采购文件。</w:t>
      </w:r>
    </w:p>
    <w:p>
      <w:pPr>
        <w:pStyle w:val="7"/>
        <w:numPr>
          <w:ilvl w:val="1"/>
          <w:numId w:val="52"/>
        </w:numPr>
        <w:shd w:val="clear"/>
        <w:tabs>
          <w:tab w:val="left" w:pos="1695"/>
        </w:tabs>
        <w:spacing w:before="153"/>
        <w:ind w:left="1695" w:hanging="481"/>
        <w:rPr>
          <w:color w:val="000000" w:themeColor="text1"/>
          <w:highlight w:val="none"/>
          <w14:textFill>
            <w14:solidFill>
              <w14:schemeClr w14:val="tx1"/>
            </w14:solidFill>
          </w14:textFill>
        </w:rPr>
      </w:pPr>
      <w:bookmarkStart w:id="124" w:name="1.2_服务"/>
      <w:bookmarkEnd w:id="124"/>
      <w:r>
        <w:rPr>
          <w:color w:val="000000" w:themeColor="text1"/>
          <w:spacing w:val="-7"/>
          <w:highlight w:val="none"/>
          <w14:textFill>
            <w14:solidFill>
              <w14:schemeClr w14:val="tx1"/>
            </w14:solidFill>
          </w14:textFill>
        </w:rPr>
        <w:t>服务</w:t>
      </w:r>
    </w:p>
    <w:p>
      <w:pPr>
        <w:pStyle w:val="19"/>
        <w:numPr>
          <w:ilvl w:val="2"/>
          <w:numId w:val="52"/>
        </w:numPr>
        <w:shd w:val="clear"/>
        <w:tabs>
          <w:tab w:val="left" w:pos="1871"/>
          <w:tab w:val="left" w:pos="8831"/>
        </w:tabs>
        <w:spacing w:before="156"/>
        <w:ind w:left="1871"/>
        <w:rPr>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0" distR="0" simplePos="0" relativeHeight="251661312" behindDoc="0" locked="0" layoutInCell="1" allowOverlap="1">
                <wp:simplePos x="0" y="0"/>
                <wp:positionH relativeFrom="page">
                  <wp:posOffset>2598420</wp:posOffset>
                </wp:positionH>
                <wp:positionV relativeFrom="paragraph">
                  <wp:posOffset>271780</wp:posOffset>
                </wp:positionV>
                <wp:extent cx="3657600" cy="1270"/>
                <wp:effectExtent l="0" t="0" r="0" b="0"/>
                <wp:wrapNone/>
                <wp:docPr id="14" name="Graphic 14"/>
                <wp:cNvGraphicFramePr/>
                <a:graphic xmlns:a="http://schemas.openxmlformats.org/drawingml/2006/main">
                  <a:graphicData uri="http://schemas.microsoft.com/office/word/2010/wordprocessingShape">
                    <wps:wsp>
                      <wps:cNvSpPr/>
                      <wps:spPr>
                        <a:xfrm>
                          <a:off x="0" y="0"/>
                          <a:ext cx="3657600" cy="1270"/>
                        </a:xfrm>
                        <a:custGeom>
                          <a:avLst/>
                          <a:gdLst/>
                          <a:ahLst/>
                          <a:cxnLst/>
                          <a:rect l="l" t="t" r="r" b="b"/>
                          <a:pathLst>
                            <a:path w="3657600">
                              <a:moveTo>
                                <a:pt x="0" y="0"/>
                              </a:moveTo>
                              <a:lnTo>
                                <a:pt x="3657600" y="0"/>
                              </a:lnTo>
                            </a:path>
                          </a:pathLst>
                        </a:custGeom>
                        <a:ln w="7620">
                          <a:solidFill>
                            <a:srgbClr val="000000"/>
                          </a:solidFill>
                          <a:prstDash val="solid"/>
                        </a:ln>
                      </wps:spPr>
                      <wps:bodyPr wrap="square" lIns="0" tIns="0" rIns="0" bIns="0" rtlCol="0">
                        <a:noAutofit/>
                      </wps:bodyPr>
                    </wps:wsp>
                  </a:graphicData>
                </a:graphic>
              </wp:anchor>
            </w:drawing>
          </mc:Choice>
          <mc:Fallback>
            <w:pict>
              <v:shape id="Graphic 14" o:spid="_x0000_s1026" o:spt="100" style="position:absolute;left:0pt;margin-left:204.6pt;margin-top:21.4pt;height:0.1pt;width:288pt;mso-position-horizontal-relative:page;z-index:251661312;mso-width-relative:page;mso-height-relative:page;" filled="f" stroked="t" coordsize="3657600,1" o:gfxdata="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4S2qjYAAAACQEAAA8AAAAAAAAA&#10;AQAgAAAAIgAAAGRycy9kb3ducmV2LnhtbFBLAQIUABQAAAAIAIdO4kDCxgwkEQIAAHwEAAAOAAAA&#10;AAAAAAEAIAAAACcBAABkcnMvZTJvRG9jLnhtbFBLBQYAAAAABgAGAFkBAACqBQAAAAA=&#10;" path="m0,0l3657600,0e">
                <v:fill on="f" focussize="0,0"/>
                <v:stroke weight="0.6pt" color="#000000" joinstyle="round"/>
                <v:imagedata o:title=""/>
                <o:lock v:ext="edit" aspectratio="f"/>
                <v:textbox inset="0mm,0mm,0mm,0mm"/>
              </v:shape>
            </w:pict>
          </mc:Fallback>
        </mc:AlternateContent>
      </w:r>
      <w:r>
        <w:rPr>
          <w:color w:val="000000" w:themeColor="text1"/>
          <w:sz w:val="24"/>
          <w:highlight w:val="none"/>
          <w14:textFill>
            <w14:solidFill>
              <w14:schemeClr w14:val="tx1"/>
            </w14:solidFill>
          </w14:textFill>
        </w:rPr>
        <w:t>服务名称</w:t>
      </w:r>
      <w:r>
        <w:rPr>
          <w:color w:val="000000" w:themeColor="text1"/>
          <w:spacing w:val="-10"/>
          <w:sz w:val="24"/>
          <w:highlight w:val="none"/>
          <w14:textFill>
            <w14:solidFill>
              <w14:schemeClr w14:val="tx1"/>
            </w14:solidFill>
          </w14:textFill>
        </w:rPr>
        <w:t>：</w:t>
      </w:r>
      <w:r>
        <w:rPr>
          <w:color w:val="000000" w:themeColor="text1"/>
          <w:sz w:val="24"/>
          <w:highlight w:val="none"/>
          <w14:textFill>
            <w14:solidFill>
              <w14:schemeClr w14:val="tx1"/>
            </w14:solidFill>
          </w14:textFill>
        </w:rPr>
        <w:tab/>
      </w:r>
      <w:r>
        <w:rPr>
          <w:color w:val="000000" w:themeColor="text1"/>
          <w:spacing w:val="-10"/>
          <w:sz w:val="24"/>
          <w:highlight w:val="none"/>
          <w14:textFill>
            <w14:solidFill>
              <w14:schemeClr w14:val="tx1"/>
            </w14:solidFill>
          </w14:textFill>
        </w:rPr>
        <w:t>；</w:t>
      </w:r>
    </w:p>
    <w:p>
      <w:pPr>
        <w:pStyle w:val="19"/>
        <w:numPr>
          <w:ilvl w:val="2"/>
          <w:numId w:val="52"/>
        </w:numPr>
        <w:shd w:val="clear"/>
        <w:tabs>
          <w:tab w:val="left" w:pos="1871"/>
          <w:tab w:val="left" w:pos="8831"/>
        </w:tabs>
        <w:spacing w:before="154"/>
        <w:ind w:left="1871"/>
        <w:rPr>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0" distR="0" simplePos="0" relativeHeight="251662336" behindDoc="0" locked="0" layoutInCell="1" allowOverlap="1">
                <wp:simplePos x="0" y="0"/>
                <wp:positionH relativeFrom="page">
                  <wp:posOffset>2598420</wp:posOffset>
                </wp:positionH>
                <wp:positionV relativeFrom="paragraph">
                  <wp:posOffset>271780</wp:posOffset>
                </wp:positionV>
                <wp:extent cx="3657600" cy="1270"/>
                <wp:effectExtent l="0" t="0" r="0" b="0"/>
                <wp:wrapNone/>
                <wp:docPr id="15" name="Graphic 15"/>
                <wp:cNvGraphicFramePr/>
                <a:graphic xmlns:a="http://schemas.openxmlformats.org/drawingml/2006/main">
                  <a:graphicData uri="http://schemas.microsoft.com/office/word/2010/wordprocessingShape">
                    <wps:wsp>
                      <wps:cNvSpPr/>
                      <wps:spPr>
                        <a:xfrm>
                          <a:off x="0" y="0"/>
                          <a:ext cx="3657600" cy="1270"/>
                        </a:xfrm>
                        <a:custGeom>
                          <a:avLst/>
                          <a:gdLst/>
                          <a:ahLst/>
                          <a:cxnLst/>
                          <a:rect l="l" t="t" r="r" b="b"/>
                          <a:pathLst>
                            <a:path w="3657600">
                              <a:moveTo>
                                <a:pt x="0" y="0"/>
                              </a:moveTo>
                              <a:lnTo>
                                <a:pt x="3657600" y="0"/>
                              </a:lnTo>
                            </a:path>
                          </a:pathLst>
                        </a:custGeom>
                        <a:ln w="7620">
                          <a:solidFill>
                            <a:srgbClr val="000000"/>
                          </a:solidFill>
                          <a:prstDash val="solid"/>
                        </a:ln>
                      </wps:spPr>
                      <wps:bodyPr wrap="square" lIns="0" tIns="0" rIns="0" bIns="0" rtlCol="0">
                        <a:noAutofit/>
                      </wps:bodyPr>
                    </wps:wsp>
                  </a:graphicData>
                </a:graphic>
              </wp:anchor>
            </w:drawing>
          </mc:Choice>
          <mc:Fallback>
            <w:pict>
              <v:shape id="Graphic 15" o:spid="_x0000_s1026" o:spt="100" style="position:absolute;left:0pt;margin-left:204.6pt;margin-top:21.4pt;height:0.1pt;width:288pt;mso-position-horizontal-relative:page;z-index:251662336;mso-width-relative:page;mso-height-relative:page;" filled="f" stroked="t" coordsize="3657600,1" o:gfxdata="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4S2qjYAAAACQEAAA8AAAAAAAAA&#10;AQAgAAAAIgAAAGRycy9kb3ducmV2LnhtbFBLAQIUABQAAAAIAIdO4kD56MlFEQIAAHwEAAAOAAAA&#10;AAAAAAEAIAAAACcBAABkcnMvZTJvRG9jLnhtbFBLBQYAAAAABgAGAFkBAACqBQAAAAA=&#10;" path="m0,0l3657600,0e">
                <v:fill on="f" focussize="0,0"/>
                <v:stroke weight="0.6pt" color="#000000" joinstyle="round"/>
                <v:imagedata o:title=""/>
                <o:lock v:ext="edit" aspectratio="f"/>
                <v:textbox inset="0mm,0mm,0mm,0mm"/>
              </v:shape>
            </w:pict>
          </mc:Fallback>
        </mc:AlternateContent>
      </w:r>
      <w:r>
        <w:rPr>
          <w:color w:val="000000" w:themeColor="text1"/>
          <w:sz w:val="24"/>
          <w:highlight w:val="none"/>
          <w14:textFill>
            <w14:solidFill>
              <w14:schemeClr w14:val="tx1"/>
            </w14:solidFill>
          </w14:textFill>
        </w:rPr>
        <w:t>服务内容</w:t>
      </w:r>
      <w:r>
        <w:rPr>
          <w:color w:val="000000" w:themeColor="text1"/>
          <w:spacing w:val="-10"/>
          <w:sz w:val="24"/>
          <w:highlight w:val="none"/>
          <w14:textFill>
            <w14:solidFill>
              <w14:schemeClr w14:val="tx1"/>
            </w14:solidFill>
          </w14:textFill>
        </w:rPr>
        <w:t>：</w:t>
      </w:r>
      <w:r>
        <w:rPr>
          <w:color w:val="000000" w:themeColor="text1"/>
          <w:sz w:val="24"/>
          <w:highlight w:val="none"/>
          <w14:textFill>
            <w14:solidFill>
              <w14:schemeClr w14:val="tx1"/>
            </w14:solidFill>
          </w14:textFill>
        </w:rPr>
        <w:tab/>
      </w:r>
      <w:r>
        <w:rPr>
          <w:color w:val="000000" w:themeColor="text1"/>
          <w:spacing w:val="-10"/>
          <w:sz w:val="24"/>
          <w:highlight w:val="none"/>
          <w14:textFill>
            <w14:solidFill>
              <w14:schemeClr w14:val="tx1"/>
            </w14:solidFill>
          </w14:textFill>
        </w:rPr>
        <w:t>；</w:t>
      </w:r>
    </w:p>
    <w:p>
      <w:pPr>
        <w:pStyle w:val="19"/>
        <w:numPr>
          <w:ilvl w:val="2"/>
          <w:numId w:val="52"/>
        </w:numPr>
        <w:shd w:val="clear"/>
        <w:tabs>
          <w:tab w:val="left" w:pos="1871"/>
          <w:tab w:val="left" w:pos="8831"/>
        </w:tabs>
        <w:spacing w:before="156"/>
        <w:ind w:left="1871"/>
        <w:rPr>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0" distR="0" simplePos="0" relativeHeight="251663360" behindDoc="1" locked="0" layoutInCell="1" allowOverlap="1">
                <wp:simplePos x="0" y="0"/>
                <wp:positionH relativeFrom="page">
                  <wp:posOffset>2598420</wp:posOffset>
                </wp:positionH>
                <wp:positionV relativeFrom="paragraph">
                  <wp:posOffset>269875</wp:posOffset>
                </wp:positionV>
                <wp:extent cx="3657600" cy="1270"/>
                <wp:effectExtent l="0" t="0" r="0" b="0"/>
                <wp:wrapNone/>
                <wp:docPr id="16" name="Graphic 16"/>
                <wp:cNvGraphicFramePr/>
                <a:graphic xmlns:a="http://schemas.openxmlformats.org/drawingml/2006/main">
                  <a:graphicData uri="http://schemas.microsoft.com/office/word/2010/wordprocessingShape">
                    <wps:wsp>
                      <wps:cNvSpPr/>
                      <wps:spPr>
                        <a:xfrm>
                          <a:off x="0" y="0"/>
                          <a:ext cx="3657600" cy="1270"/>
                        </a:xfrm>
                        <a:custGeom>
                          <a:avLst/>
                          <a:gdLst/>
                          <a:ahLst/>
                          <a:cxnLst/>
                          <a:rect l="l" t="t" r="r" b="b"/>
                          <a:pathLst>
                            <a:path w="3657600">
                              <a:moveTo>
                                <a:pt x="0" y="0"/>
                              </a:moveTo>
                              <a:lnTo>
                                <a:pt x="3657600" y="0"/>
                              </a:lnTo>
                            </a:path>
                          </a:pathLst>
                        </a:custGeom>
                        <a:ln w="7620">
                          <a:solidFill>
                            <a:srgbClr val="000000"/>
                          </a:solidFill>
                          <a:prstDash val="solid"/>
                        </a:ln>
                      </wps:spPr>
                      <wps:bodyPr wrap="square" lIns="0" tIns="0" rIns="0" bIns="0" rtlCol="0">
                        <a:noAutofit/>
                      </wps:bodyPr>
                    </wps:wsp>
                  </a:graphicData>
                </a:graphic>
              </wp:anchor>
            </w:drawing>
          </mc:Choice>
          <mc:Fallback>
            <w:pict>
              <v:shape id="Graphic 16" o:spid="_x0000_s1026" o:spt="100" style="position:absolute;left:0pt;margin-left:204.6pt;margin-top:21.25pt;height:0.1pt;width:288pt;mso-position-horizontal-relative:page;z-index:-251653120;mso-width-relative:page;mso-height-relative:page;" filled="f" stroked="t" coordsize="3657600,1" o:gfxdata="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fA1rYAAAACQEAAA8AAAAAAAAA&#10;AQAgAAAAIgAAAGRycy9kb3ducmV2LnhtbFBLAQIUABQAAAAIAIdO4kC0mobnEQIAAHwEAAAOAAAA&#10;AAAAAAEAIAAAACcBAABkcnMvZTJvRG9jLnhtbFBLBQYAAAAABgAGAFkBAACqBQAAAAA=&#10;" path="m0,0l3657600,0e">
                <v:fill on="f" focussize="0,0"/>
                <v:stroke weight="0.6pt" color="#000000" joinstyle="round"/>
                <v:imagedata o:title=""/>
                <o:lock v:ext="edit" aspectratio="f"/>
                <v:textbox inset="0mm,0mm,0mm,0mm"/>
              </v:shape>
            </w:pict>
          </mc:Fallback>
        </mc:AlternateContent>
      </w:r>
      <w:r>
        <w:rPr>
          <w:color w:val="000000" w:themeColor="text1"/>
          <w:sz w:val="24"/>
          <w:highlight w:val="none"/>
          <w14:textFill>
            <w14:solidFill>
              <w14:schemeClr w14:val="tx1"/>
            </w14:solidFill>
          </w14:textFill>
        </w:rPr>
        <w:t>服务质量</w:t>
      </w:r>
      <w:r>
        <w:rPr>
          <w:color w:val="000000" w:themeColor="text1"/>
          <w:spacing w:val="-10"/>
          <w:sz w:val="24"/>
          <w:highlight w:val="none"/>
          <w14:textFill>
            <w14:solidFill>
              <w14:schemeClr w14:val="tx1"/>
            </w14:solidFill>
          </w14:textFill>
        </w:rPr>
        <w:t>：</w:t>
      </w:r>
      <w:r>
        <w:rPr>
          <w:color w:val="000000" w:themeColor="text1"/>
          <w:sz w:val="24"/>
          <w:highlight w:val="none"/>
          <w14:textFill>
            <w14:solidFill>
              <w14:schemeClr w14:val="tx1"/>
            </w14:solidFill>
          </w14:textFill>
        </w:rPr>
        <w:tab/>
      </w:r>
      <w:r>
        <w:rPr>
          <w:color w:val="000000" w:themeColor="text1"/>
          <w:spacing w:val="-10"/>
          <w:sz w:val="24"/>
          <w:highlight w:val="none"/>
          <w14:textFill>
            <w14:solidFill>
              <w14:schemeClr w14:val="tx1"/>
            </w14:solidFill>
          </w14:textFill>
        </w:rPr>
        <w:t>。</w:t>
      </w:r>
    </w:p>
    <w:p>
      <w:pPr>
        <w:pStyle w:val="7"/>
        <w:numPr>
          <w:ilvl w:val="1"/>
          <w:numId w:val="52"/>
        </w:numPr>
        <w:shd w:val="clear"/>
        <w:tabs>
          <w:tab w:val="left" w:pos="1695"/>
        </w:tabs>
        <w:spacing w:before="153"/>
        <w:ind w:left="1695" w:hanging="481"/>
        <w:rPr>
          <w:color w:val="000000" w:themeColor="text1"/>
          <w:highlight w:val="none"/>
          <w14:textFill>
            <w14:solidFill>
              <w14:schemeClr w14:val="tx1"/>
            </w14:solidFill>
          </w14:textFill>
        </w:rPr>
      </w:pPr>
      <w:bookmarkStart w:id="125" w:name="1.3_价款"/>
      <w:bookmarkEnd w:id="125"/>
      <w:r>
        <w:rPr>
          <w:color w:val="000000" w:themeColor="text1"/>
          <w:spacing w:val="-7"/>
          <w:highlight w:val="none"/>
          <w14:textFill>
            <w14:solidFill>
              <w14:schemeClr w14:val="tx1"/>
            </w14:solidFill>
          </w14:textFill>
        </w:rPr>
        <w:t>价款</w:t>
      </w:r>
    </w:p>
    <w:p>
      <w:pPr>
        <w:pStyle w:val="10"/>
        <w:shd w:val="clear"/>
        <w:tabs>
          <w:tab w:val="left" w:pos="4451"/>
          <w:tab w:val="left" w:pos="8411"/>
        </w:tabs>
        <w:spacing w:before="156" w:after="7" w:line="357" w:lineRule="auto"/>
        <w:ind w:left="1211" w:right="733"/>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本合同总价为：￥</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2"/>
          <w:highlight w:val="none"/>
          <w14:textFill>
            <w14:solidFill>
              <w14:schemeClr w14:val="tx1"/>
            </w14:solidFill>
          </w14:textFill>
        </w:rPr>
        <w:t>元（大写：人民币</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4"/>
          <w:highlight w:val="none"/>
          <w14:textFill>
            <w14:solidFill>
              <w14:schemeClr w14:val="tx1"/>
            </w14:solidFill>
          </w14:textFill>
        </w:rPr>
        <w:t>元）。</w:t>
      </w:r>
      <w:r>
        <w:rPr>
          <w:color w:val="000000" w:themeColor="text1"/>
          <w:spacing w:val="-2"/>
          <w:highlight w:val="none"/>
          <w14:textFill>
            <w14:solidFill>
              <w14:schemeClr w14:val="tx1"/>
            </w14:solidFill>
          </w14:textFill>
        </w:rPr>
        <w:t>分项价格：</w:t>
      </w:r>
    </w:p>
    <w:tbl>
      <w:tblPr>
        <w:tblStyle w:val="14"/>
        <w:tblW w:w="0" w:type="auto"/>
        <w:tblInd w:w="6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7"/>
        <w:gridCol w:w="4316"/>
        <w:gridCol w:w="32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57" w:type="dxa"/>
          </w:tcPr>
          <w:p>
            <w:pPr>
              <w:pStyle w:val="20"/>
              <w:keepNext w:val="0"/>
              <w:keepLines w:val="0"/>
              <w:suppressLineNumbers w:val="0"/>
              <w:shd w:val="clear"/>
              <w:spacing w:before="0" w:beforeAutospacing="0" w:after="0" w:afterAutospacing="0" w:line="309" w:lineRule="exact"/>
              <w:ind w:left="7" w:right="0"/>
              <w:jc w:val="center"/>
              <w:rPr>
                <w:rFonts w:hint="default"/>
                <w:color w:val="000000" w:themeColor="text1"/>
                <w:sz w:val="24"/>
                <w:highlight w:val="none"/>
                <w14:textFill>
                  <w14:solidFill>
                    <w14:schemeClr w14:val="tx1"/>
                  </w14:solidFill>
                </w14:textFill>
              </w:rPr>
            </w:pPr>
            <w:r>
              <w:rPr>
                <w:rFonts w:hint="default"/>
                <w:color w:val="000000" w:themeColor="text1"/>
                <w:spacing w:val="-5"/>
                <w:sz w:val="24"/>
                <w:highlight w:val="none"/>
                <w14:textFill>
                  <w14:solidFill>
                    <w14:schemeClr w14:val="tx1"/>
                  </w14:solidFill>
                </w14:textFill>
              </w:rPr>
              <w:t>序号</w:t>
            </w:r>
          </w:p>
        </w:tc>
        <w:tc>
          <w:tcPr>
            <w:tcW w:w="4316" w:type="dxa"/>
          </w:tcPr>
          <w:p>
            <w:pPr>
              <w:pStyle w:val="20"/>
              <w:keepNext w:val="0"/>
              <w:keepLines w:val="0"/>
              <w:suppressLineNumbers w:val="0"/>
              <w:shd w:val="clear"/>
              <w:spacing w:before="0" w:beforeAutospacing="0" w:after="0" w:afterAutospacing="0" w:line="309" w:lineRule="exact"/>
              <w:ind w:left="211" w:right="0"/>
              <w:jc w:val="center"/>
              <w:rPr>
                <w:rFonts w:hint="default"/>
                <w:color w:val="000000" w:themeColor="text1"/>
                <w:sz w:val="24"/>
                <w:highlight w:val="none"/>
                <w14:textFill>
                  <w14:solidFill>
                    <w14:schemeClr w14:val="tx1"/>
                  </w14:solidFill>
                </w14:textFill>
              </w:rPr>
            </w:pPr>
            <w:r>
              <w:rPr>
                <w:rFonts w:hint="default"/>
                <w:color w:val="000000" w:themeColor="text1"/>
                <w:spacing w:val="-3"/>
                <w:sz w:val="24"/>
                <w:highlight w:val="none"/>
                <w14:textFill>
                  <w14:solidFill>
                    <w14:schemeClr w14:val="tx1"/>
                  </w14:solidFill>
                </w14:textFill>
              </w:rPr>
              <w:t>分项名称</w:t>
            </w:r>
          </w:p>
        </w:tc>
        <w:tc>
          <w:tcPr>
            <w:tcW w:w="3237" w:type="dxa"/>
          </w:tcPr>
          <w:p>
            <w:pPr>
              <w:pStyle w:val="20"/>
              <w:keepNext w:val="0"/>
              <w:keepLines w:val="0"/>
              <w:suppressLineNumbers w:val="0"/>
              <w:shd w:val="clear"/>
              <w:spacing w:before="0" w:beforeAutospacing="0" w:after="0" w:afterAutospacing="0" w:line="309" w:lineRule="exact"/>
              <w:ind w:left="7" w:right="0"/>
              <w:jc w:val="center"/>
              <w:rPr>
                <w:rFonts w:hint="default"/>
                <w:color w:val="000000" w:themeColor="text1"/>
                <w:sz w:val="24"/>
                <w:highlight w:val="none"/>
                <w14:textFill>
                  <w14:solidFill>
                    <w14:schemeClr w14:val="tx1"/>
                  </w14:solidFill>
                </w14:textFill>
              </w:rPr>
            </w:pPr>
            <w:r>
              <w:rPr>
                <w:rFonts w:hint="default"/>
                <w:color w:val="000000" w:themeColor="text1"/>
                <w:spacing w:val="-3"/>
                <w:sz w:val="24"/>
                <w:highlight w:val="none"/>
                <w14:textFill>
                  <w14:solidFill>
                    <w14:schemeClr w14:val="tx1"/>
                  </w14:solidFill>
                </w14:textFill>
              </w:rPr>
              <w:t>分项价格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57" w:type="dxa"/>
          </w:tcPr>
          <w:p>
            <w:pPr>
              <w:pStyle w:val="20"/>
              <w:keepNext w:val="0"/>
              <w:keepLines w:val="0"/>
              <w:suppressLineNumbers w:val="0"/>
              <w:shd w:val="clear"/>
              <w:spacing w:before="0" w:beforeAutospacing="0" w:after="0" w:afterAutospacing="0" w:line="310" w:lineRule="exact"/>
              <w:ind w:left="7" w:right="0"/>
              <w:jc w:val="center"/>
              <w:rPr>
                <w:rFonts w:hint="default"/>
                <w:color w:val="000000" w:themeColor="text1"/>
                <w:sz w:val="24"/>
                <w:highlight w:val="none"/>
                <w14:textFill>
                  <w14:solidFill>
                    <w14:schemeClr w14:val="tx1"/>
                  </w14:solidFill>
                </w14:textFill>
              </w:rPr>
            </w:pPr>
            <w:r>
              <w:rPr>
                <w:rFonts w:hint="default"/>
                <w:color w:val="000000" w:themeColor="text1"/>
                <w:spacing w:val="-10"/>
                <w:sz w:val="24"/>
                <w:highlight w:val="none"/>
                <w14:textFill>
                  <w14:solidFill>
                    <w14:schemeClr w14:val="tx1"/>
                  </w14:solidFill>
                </w14:textFill>
              </w:rPr>
              <w:t>1</w:t>
            </w:r>
          </w:p>
        </w:tc>
        <w:tc>
          <w:tcPr>
            <w:tcW w:w="4316"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highlight w:val="none"/>
                <w14:textFill>
                  <w14:solidFill>
                    <w14:schemeClr w14:val="tx1"/>
                  </w14:solidFill>
                </w14:textFill>
              </w:rPr>
            </w:pPr>
          </w:p>
        </w:tc>
        <w:tc>
          <w:tcPr>
            <w:tcW w:w="3237"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57" w:type="dxa"/>
          </w:tcPr>
          <w:p>
            <w:pPr>
              <w:pStyle w:val="20"/>
              <w:keepNext w:val="0"/>
              <w:keepLines w:val="0"/>
              <w:suppressLineNumbers w:val="0"/>
              <w:shd w:val="clear"/>
              <w:spacing w:before="0" w:beforeAutospacing="0" w:after="0" w:afterAutospacing="0" w:line="310" w:lineRule="exact"/>
              <w:ind w:left="7" w:right="0"/>
              <w:jc w:val="center"/>
              <w:rPr>
                <w:rFonts w:hint="default"/>
                <w:color w:val="000000" w:themeColor="text1"/>
                <w:sz w:val="24"/>
                <w:highlight w:val="none"/>
                <w14:textFill>
                  <w14:solidFill>
                    <w14:schemeClr w14:val="tx1"/>
                  </w14:solidFill>
                </w14:textFill>
              </w:rPr>
            </w:pPr>
            <w:r>
              <w:rPr>
                <w:rFonts w:hint="default"/>
                <w:color w:val="000000" w:themeColor="text1"/>
                <w:spacing w:val="-10"/>
                <w:sz w:val="24"/>
                <w:highlight w:val="none"/>
                <w14:textFill>
                  <w14:solidFill>
                    <w14:schemeClr w14:val="tx1"/>
                  </w14:solidFill>
                </w14:textFill>
              </w:rPr>
              <w:t>2</w:t>
            </w:r>
          </w:p>
        </w:tc>
        <w:tc>
          <w:tcPr>
            <w:tcW w:w="4316"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highlight w:val="none"/>
                <w14:textFill>
                  <w14:solidFill>
                    <w14:schemeClr w14:val="tx1"/>
                  </w14:solidFill>
                </w14:textFill>
              </w:rPr>
            </w:pPr>
          </w:p>
        </w:tc>
        <w:tc>
          <w:tcPr>
            <w:tcW w:w="3237"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57" w:type="dxa"/>
          </w:tcPr>
          <w:p>
            <w:pPr>
              <w:pStyle w:val="20"/>
              <w:keepNext w:val="0"/>
              <w:keepLines w:val="0"/>
              <w:suppressLineNumbers w:val="0"/>
              <w:shd w:val="clear"/>
              <w:spacing w:before="0" w:beforeAutospacing="0" w:after="0" w:afterAutospacing="0" w:line="309" w:lineRule="exact"/>
              <w:ind w:left="7" w:right="0"/>
              <w:jc w:val="center"/>
              <w:rPr>
                <w:rFonts w:hint="default"/>
                <w:color w:val="000000" w:themeColor="text1"/>
                <w:sz w:val="24"/>
                <w:highlight w:val="none"/>
                <w14:textFill>
                  <w14:solidFill>
                    <w14:schemeClr w14:val="tx1"/>
                  </w14:solidFill>
                </w14:textFill>
              </w:rPr>
            </w:pPr>
            <w:r>
              <w:rPr>
                <w:rFonts w:hint="default"/>
                <w:color w:val="000000" w:themeColor="text1"/>
                <w:spacing w:val="-10"/>
                <w:sz w:val="24"/>
                <w:highlight w:val="none"/>
                <w14:textFill>
                  <w14:solidFill>
                    <w14:schemeClr w14:val="tx1"/>
                  </w14:solidFill>
                </w14:textFill>
              </w:rPr>
              <w:t>3</w:t>
            </w:r>
          </w:p>
        </w:tc>
        <w:tc>
          <w:tcPr>
            <w:tcW w:w="4316"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highlight w:val="none"/>
                <w14:textFill>
                  <w14:solidFill>
                    <w14:schemeClr w14:val="tx1"/>
                  </w14:solidFill>
                </w14:textFill>
              </w:rPr>
            </w:pPr>
          </w:p>
        </w:tc>
        <w:tc>
          <w:tcPr>
            <w:tcW w:w="3237"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957" w:type="dxa"/>
          </w:tcPr>
          <w:p>
            <w:pPr>
              <w:pStyle w:val="20"/>
              <w:keepNext w:val="0"/>
              <w:keepLines w:val="0"/>
              <w:suppressLineNumbers w:val="0"/>
              <w:shd w:val="clear"/>
              <w:spacing w:before="0" w:beforeAutospacing="0" w:after="0" w:afterAutospacing="0" w:line="309" w:lineRule="exact"/>
              <w:ind w:left="7" w:right="0"/>
              <w:jc w:val="center"/>
              <w:rPr>
                <w:rFonts w:hint="default"/>
                <w:color w:val="000000" w:themeColor="text1"/>
                <w:sz w:val="24"/>
                <w:highlight w:val="none"/>
                <w14:textFill>
                  <w14:solidFill>
                    <w14:schemeClr w14:val="tx1"/>
                  </w14:solidFill>
                </w14:textFill>
              </w:rPr>
            </w:pPr>
            <w:r>
              <w:rPr>
                <w:rFonts w:hint="default"/>
                <w:color w:val="000000" w:themeColor="text1"/>
                <w:spacing w:val="-5"/>
                <w:sz w:val="24"/>
                <w:highlight w:val="none"/>
                <w14:textFill>
                  <w14:solidFill>
                    <w14:schemeClr w14:val="tx1"/>
                  </w14:solidFill>
                </w14:textFill>
              </w:rPr>
              <w:t>……</w:t>
            </w:r>
          </w:p>
        </w:tc>
        <w:tc>
          <w:tcPr>
            <w:tcW w:w="4316"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highlight w:val="none"/>
                <w14:textFill>
                  <w14:solidFill>
                    <w14:schemeClr w14:val="tx1"/>
                  </w14:solidFill>
                </w14:textFill>
              </w:rPr>
            </w:pPr>
          </w:p>
        </w:tc>
        <w:tc>
          <w:tcPr>
            <w:tcW w:w="3237"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5273" w:type="dxa"/>
            <w:gridSpan w:val="2"/>
          </w:tcPr>
          <w:p>
            <w:pPr>
              <w:pStyle w:val="20"/>
              <w:keepNext w:val="0"/>
              <w:keepLines w:val="0"/>
              <w:suppressLineNumbers w:val="0"/>
              <w:shd w:val="clear"/>
              <w:spacing w:before="0" w:beforeAutospacing="0" w:after="0" w:afterAutospacing="0" w:line="308" w:lineRule="exact"/>
              <w:ind w:left="218" w:right="0"/>
              <w:jc w:val="center"/>
              <w:rPr>
                <w:rFonts w:hint="default"/>
                <w:color w:val="000000" w:themeColor="text1"/>
                <w:sz w:val="24"/>
                <w:highlight w:val="none"/>
                <w14:textFill>
                  <w14:solidFill>
                    <w14:schemeClr w14:val="tx1"/>
                  </w14:solidFill>
                </w14:textFill>
              </w:rPr>
            </w:pPr>
            <w:r>
              <w:rPr>
                <w:rFonts w:hint="default"/>
                <w:color w:val="000000" w:themeColor="text1"/>
                <w:spacing w:val="-5"/>
                <w:sz w:val="24"/>
                <w:highlight w:val="none"/>
                <w14:textFill>
                  <w14:solidFill>
                    <w14:schemeClr w14:val="tx1"/>
                  </w14:solidFill>
                </w14:textFill>
              </w:rPr>
              <w:t>总价</w:t>
            </w:r>
          </w:p>
        </w:tc>
        <w:tc>
          <w:tcPr>
            <w:tcW w:w="3237"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highlight w:val="none"/>
                <w14:textFill>
                  <w14:solidFill>
                    <w14:schemeClr w14:val="tx1"/>
                  </w14:solidFill>
                </w14:textFill>
              </w:rPr>
            </w:pPr>
          </w:p>
        </w:tc>
      </w:tr>
    </w:tbl>
    <w:p>
      <w:pPr>
        <w:pStyle w:val="7"/>
        <w:numPr>
          <w:ilvl w:val="1"/>
          <w:numId w:val="52"/>
        </w:numPr>
        <w:shd w:val="clear"/>
        <w:tabs>
          <w:tab w:val="left" w:pos="1695"/>
        </w:tabs>
        <w:ind w:left="1695" w:hanging="481"/>
        <w:rPr>
          <w:color w:val="000000" w:themeColor="text1"/>
          <w:highlight w:val="none"/>
          <w14:textFill>
            <w14:solidFill>
              <w14:schemeClr w14:val="tx1"/>
            </w14:solidFill>
          </w14:textFill>
        </w:rPr>
      </w:pPr>
      <w:bookmarkStart w:id="126" w:name="1.4_付款方式和发票开具方式"/>
      <w:bookmarkEnd w:id="126"/>
      <w:r>
        <w:rPr>
          <w:color w:val="000000" w:themeColor="text1"/>
          <w:spacing w:val="-3"/>
          <w:highlight w:val="none"/>
          <w14:textFill>
            <w14:solidFill>
              <w14:schemeClr w14:val="tx1"/>
            </w14:solidFill>
          </w14:textFill>
        </w:rPr>
        <w:t>付款方式和发票开具方式</w:t>
      </w:r>
    </w:p>
    <w:p>
      <w:pPr>
        <w:pStyle w:val="19"/>
        <w:numPr>
          <w:ilvl w:val="2"/>
          <w:numId w:val="52"/>
        </w:numPr>
        <w:shd w:val="clear"/>
        <w:tabs>
          <w:tab w:val="left" w:pos="1871"/>
          <w:tab w:val="left" w:pos="8831"/>
        </w:tabs>
        <w:spacing w:before="153"/>
        <w:ind w:left="1871"/>
        <w:rPr>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0" distR="0" simplePos="0" relativeHeight="251664384" behindDoc="1" locked="0" layoutInCell="1" allowOverlap="1">
                <wp:simplePos x="0" y="0"/>
                <wp:positionH relativeFrom="page">
                  <wp:posOffset>2598420</wp:posOffset>
                </wp:positionH>
                <wp:positionV relativeFrom="paragraph">
                  <wp:posOffset>267970</wp:posOffset>
                </wp:positionV>
                <wp:extent cx="3657600" cy="1270"/>
                <wp:effectExtent l="0" t="0" r="0" b="0"/>
                <wp:wrapNone/>
                <wp:docPr id="17" name="Graphic 17"/>
                <wp:cNvGraphicFramePr/>
                <a:graphic xmlns:a="http://schemas.openxmlformats.org/drawingml/2006/main">
                  <a:graphicData uri="http://schemas.microsoft.com/office/word/2010/wordprocessingShape">
                    <wps:wsp>
                      <wps:cNvSpPr/>
                      <wps:spPr>
                        <a:xfrm>
                          <a:off x="0" y="0"/>
                          <a:ext cx="3657600" cy="1270"/>
                        </a:xfrm>
                        <a:custGeom>
                          <a:avLst/>
                          <a:gdLst/>
                          <a:ahLst/>
                          <a:cxnLst/>
                          <a:rect l="l" t="t" r="r" b="b"/>
                          <a:pathLst>
                            <a:path w="3657600">
                              <a:moveTo>
                                <a:pt x="0" y="0"/>
                              </a:moveTo>
                              <a:lnTo>
                                <a:pt x="3657600" y="0"/>
                              </a:lnTo>
                            </a:path>
                          </a:pathLst>
                        </a:custGeom>
                        <a:ln w="7620">
                          <a:solidFill>
                            <a:srgbClr val="000000"/>
                          </a:solidFill>
                          <a:prstDash val="solid"/>
                        </a:ln>
                      </wps:spPr>
                      <wps:bodyPr wrap="square" lIns="0" tIns="0" rIns="0" bIns="0" rtlCol="0">
                        <a:noAutofit/>
                      </wps:bodyPr>
                    </wps:wsp>
                  </a:graphicData>
                </a:graphic>
              </wp:anchor>
            </w:drawing>
          </mc:Choice>
          <mc:Fallback>
            <w:pict>
              <v:shape id="Graphic 17" o:spid="_x0000_s1026" o:spt="100" style="position:absolute;left:0pt;margin-left:204.6pt;margin-top:21.1pt;height:0.1pt;width:288pt;mso-position-horizontal-relative:page;z-index:-251652096;mso-width-relative:page;mso-height-relative:page;" filled="f" stroked="t" coordsize="3657600,1" o:gfxdata="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3zrlpdcAAAAJAQAADwAAAAAAAAAB&#10;ACAAAAAiAAAAZHJzL2Rvd25yZXYueG1sUEsBAhQAFAAAAAgAh07iQI+0Q4YRAgAAfAQAAA4AAAAA&#10;AAAAAQAgAAAAJgEAAGRycy9lMm9Eb2MueG1sUEsFBgAAAAAGAAYAWQEAAKkFAAAAAA==&#10;" path="m0,0l3657600,0e">
                <v:fill on="f" focussize="0,0"/>
                <v:stroke weight="0.6pt" color="#000000" joinstyle="round"/>
                <v:imagedata o:title=""/>
                <o:lock v:ext="edit" aspectratio="f"/>
                <v:textbox inset="0mm,0mm,0mm,0mm"/>
              </v:shape>
            </w:pict>
          </mc:Fallback>
        </mc:AlternateContent>
      </w:r>
      <w:r>
        <w:rPr>
          <w:color w:val="000000" w:themeColor="text1"/>
          <w:sz w:val="24"/>
          <w:highlight w:val="none"/>
          <w14:textFill>
            <w14:solidFill>
              <w14:schemeClr w14:val="tx1"/>
            </w14:solidFill>
          </w14:textFill>
        </w:rPr>
        <w:t>付款方式</w:t>
      </w:r>
      <w:r>
        <w:rPr>
          <w:color w:val="000000" w:themeColor="text1"/>
          <w:spacing w:val="-10"/>
          <w:sz w:val="24"/>
          <w:highlight w:val="none"/>
          <w14:textFill>
            <w14:solidFill>
              <w14:schemeClr w14:val="tx1"/>
            </w14:solidFill>
          </w14:textFill>
        </w:rPr>
        <w:t>：</w:t>
      </w:r>
      <w:r>
        <w:rPr>
          <w:color w:val="000000" w:themeColor="text1"/>
          <w:sz w:val="24"/>
          <w:highlight w:val="none"/>
          <w14:textFill>
            <w14:solidFill>
              <w14:schemeClr w14:val="tx1"/>
            </w14:solidFill>
          </w14:textFill>
        </w:rPr>
        <w:tab/>
      </w:r>
      <w:r>
        <w:rPr>
          <w:color w:val="000000" w:themeColor="text1"/>
          <w:spacing w:val="-10"/>
          <w:sz w:val="24"/>
          <w:highlight w:val="none"/>
          <w14:textFill>
            <w14:solidFill>
              <w14:schemeClr w14:val="tx1"/>
            </w14:solidFill>
          </w14:textFill>
        </w:rPr>
        <w:t>；</w:t>
      </w:r>
    </w:p>
    <w:p>
      <w:pPr>
        <w:shd w:val="clear"/>
        <w:rPr>
          <w:color w:val="000000" w:themeColor="text1"/>
          <w:sz w:val="24"/>
          <w:highlight w:val="none"/>
          <w14:textFill>
            <w14:solidFill>
              <w14:schemeClr w14:val="tx1"/>
            </w14:solidFill>
          </w14:textFill>
        </w:rPr>
        <w:sectPr>
          <w:pgSz w:w="11910" w:h="16840"/>
          <w:pgMar w:top="1380" w:right="1019" w:bottom="1040" w:left="1020" w:header="878" w:footer="853" w:gutter="0"/>
          <w:cols w:space="720" w:num="1"/>
        </w:sectPr>
      </w:pPr>
    </w:p>
    <w:p>
      <w:pPr>
        <w:pStyle w:val="19"/>
        <w:numPr>
          <w:ilvl w:val="2"/>
          <w:numId w:val="52"/>
        </w:numPr>
        <w:shd w:val="clear"/>
        <w:tabs>
          <w:tab w:val="left" w:pos="1871"/>
          <w:tab w:val="left" w:pos="8831"/>
        </w:tabs>
        <w:spacing w:before="51"/>
        <w:ind w:left="1871"/>
        <w:jc w:val="both"/>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发票开具方式</w:t>
      </w:r>
      <w:r>
        <w:rPr>
          <w:color w:val="000000" w:themeColor="text1"/>
          <w:spacing w:val="-10"/>
          <w:sz w:val="24"/>
          <w:highlight w:val="none"/>
          <w14:textFill>
            <w14:solidFill>
              <w14:schemeClr w14:val="tx1"/>
            </w14:solidFill>
          </w14:textFill>
        </w:rPr>
        <w:t>：</w:t>
      </w:r>
      <w:r>
        <w:rPr>
          <w:rFonts w:ascii="Times New Roman" w:eastAsia="Times New Roman"/>
          <w:color w:val="000000" w:themeColor="text1"/>
          <w:sz w:val="24"/>
          <w:highlight w:val="none"/>
          <w:u w:val="single"/>
          <w14:textFill>
            <w14:solidFill>
              <w14:schemeClr w14:val="tx1"/>
            </w14:solidFill>
          </w14:textFill>
        </w:rPr>
        <w:tab/>
      </w:r>
      <w:r>
        <w:rPr>
          <w:color w:val="000000" w:themeColor="text1"/>
          <w:spacing w:val="-10"/>
          <w:sz w:val="24"/>
          <w:highlight w:val="none"/>
          <w14:textFill>
            <w14:solidFill>
              <w14:schemeClr w14:val="tx1"/>
            </w14:solidFill>
          </w14:textFill>
        </w:rPr>
        <w:t>。</w:t>
      </w:r>
    </w:p>
    <w:p>
      <w:pPr>
        <w:pStyle w:val="7"/>
        <w:numPr>
          <w:ilvl w:val="1"/>
          <w:numId w:val="52"/>
        </w:numPr>
        <w:shd w:val="clear"/>
        <w:tabs>
          <w:tab w:val="left" w:pos="1695"/>
        </w:tabs>
        <w:spacing w:before="156"/>
        <w:ind w:left="1695" w:hanging="481"/>
        <w:jc w:val="both"/>
        <w:rPr>
          <w:color w:val="000000" w:themeColor="text1"/>
          <w:highlight w:val="none"/>
          <w14:textFill>
            <w14:solidFill>
              <w14:schemeClr w14:val="tx1"/>
            </w14:solidFill>
          </w14:textFill>
        </w:rPr>
      </w:pPr>
      <w:bookmarkStart w:id="127" w:name="1.5_服务期限、地点和方式"/>
      <w:bookmarkEnd w:id="127"/>
      <w:r>
        <w:rPr>
          <w:color w:val="000000" w:themeColor="text1"/>
          <w:spacing w:val="-3"/>
          <w:highlight w:val="none"/>
          <w14:textFill>
            <w14:solidFill>
              <w14:schemeClr w14:val="tx1"/>
            </w14:solidFill>
          </w14:textFill>
        </w:rPr>
        <w:t>服务期限、地点和方式</w:t>
      </w:r>
    </w:p>
    <w:p>
      <w:pPr>
        <w:pStyle w:val="19"/>
        <w:numPr>
          <w:ilvl w:val="2"/>
          <w:numId w:val="52"/>
        </w:numPr>
        <w:shd w:val="clear"/>
        <w:tabs>
          <w:tab w:val="left" w:pos="1871"/>
          <w:tab w:val="left" w:pos="8831"/>
        </w:tabs>
        <w:spacing w:before="154"/>
        <w:ind w:left="1871"/>
        <w:jc w:val="both"/>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服务期限</w:t>
      </w:r>
      <w:r>
        <w:rPr>
          <w:color w:val="000000" w:themeColor="text1"/>
          <w:spacing w:val="-10"/>
          <w:sz w:val="24"/>
          <w:highlight w:val="none"/>
          <w14:textFill>
            <w14:solidFill>
              <w14:schemeClr w14:val="tx1"/>
            </w14:solidFill>
          </w14:textFill>
        </w:rPr>
        <w:t>：</w:t>
      </w:r>
      <w:r>
        <w:rPr>
          <w:rFonts w:ascii="Times New Roman" w:eastAsia="Times New Roman"/>
          <w:color w:val="000000" w:themeColor="text1"/>
          <w:sz w:val="24"/>
          <w:highlight w:val="none"/>
          <w:u w:val="single"/>
          <w14:textFill>
            <w14:solidFill>
              <w14:schemeClr w14:val="tx1"/>
            </w14:solidFill>
          </w14:textFill>
        </w:rPr>
        <w:tab/>
      </w:r>
      <w:r>
        <w:rPr>
          <w:color w:val="000000" w:themeColor="text1"/>
          <w:spacing w:val="-10"/>
          <w:sz w:val="24"/>
          <w:highlight w:val="none"/>
          <w14:textFill>
            <w14:solidFill>
              <w14:schemeClr w14:val="tx1"/>
            </w14:solidFill>
          </w14:textFill>
        </w:rPr>
        <w:t>；</w:t>
      </w:r>
    </w:p>
    <w:p>
      <w:pPr>
        <w:pStyle w:val="19"/>
        <w:numPr>
          <w:ilvl w:val="2"/>
          <w:numId w:val="52"/>
        </w:numPr>
        <w:shd w:val="clear"/>
        <w:tabs>
          <w:tab w:val="left" w:pos="1871"/>
          <w:tab w:val="left" w:pos="8831"/>
        </w:tabs>
        <w:spacing w:before="156"/>
        <w:ind w:left="1871"/>
        <w:jc w:val="both"/>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服务地点</w:t>
      </w:r>
      <w:r>
        <w:rPr>
          <w:color w:val="000000" w:themeColor="text1"/>
          <w:spacing w:val="-10"/>
          <w:sz w:val="24"/>
          <w:highlight w:val="none"/>
          <w14:textFill>
            <w14:solidFill>
              <w14:schemeClr w14:val="tx1"/>
            </w14:solidFill>
          </w14:textFill>
        </w:rPr>
        <w:t>：</w:t>
      </w:r>
      <w:r>
        <w:rPr>
          <w:rFonts w:ascii="Times New Roman" w:eastAsia="Times New Roman"/>
          <w:color w:val="000000" w:themeColor="text1"/>
          <w:sz w:val="24"/>
          <w:highlight w:val="none"/>
          <w:u w:val="single"/>
          <w14:textFill>
            <w14:solidFill>
              <w14:schemeClr w14:val="tx1"/>
            </w14:solidFill>
          </w14:textFill>
        </w:rPr>
        <w:tab/>
      </w:r>
      <w:r>
        <w:rPr>
          <w:color w:val="000000" w:themeColor="text1"/>
          <w:spacing w:val="-10"/>
          <w:sz w:val="24"/>
          <w:highlight w:val="none"/>
          <w14:textFill>
            <w14:solidFill>
              <w14:schemeClr w14:val="tx1"/>
            </w14:solidFill>
          </w14:textFill>
        </w:rPr>
        <w:t>；</w:t>
      </w:r>
    </w:p>
    <w:p>
      <w:pPr>
        <w:pStyle w:val="19"/>
        <w:numPr>
          <w:ilvl w:val="2"/>
          <w:numId w:val="52"/>
        </w:numPr>
        <w:shd w:val="clear"/>
        <w:tabs>
          <w:tab w:val="left" w:pos="1871"/>
          <w:tab w:val="left" w:pos="8831"/>
        </w:tabs>
        <w:spacing w:before="154"/>
        <w:ind w:left="1871"/>
        <w:jc w:val="both"/>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服务方式</w:t>
      </w:r>
      <w:r>
        <w:rPr>
          <w:color w:val="000000" w:themeColor="text1"/>
          <w:spacing w:val="-10"/>
          <w:sz w:val="24"/>
          <w:highlight w:val="none"/>
          <w14:textFill>
            <w14:solidFill>
              <w14:schemeClr w14:val="tx1"/>
            </w14:solidFill>
          </w14:textFill>
        </w:rPr>
        <w:t>：</w:t>
      </w:r>
      <w:r>
        <w:rPr>
          <w:rFonts w:ascii="Times New Roman" w:eastAsia="Times New Roman"/>
          <w:color w:val="000000" w:themeColor="text1"/>
          <w:sz w:val="24"/>
          <w:highlight w:val="none"/>
          <w:u w:val="single"/>
          <w14:textFill>
            <w14:solidFill>
              <w14:schemeClr w14:val="tx1"/>
            </w14:solidFill>
          </w14:textFill>
        </w:rPr>
        <w:tab/>
      </w:r>
      <w:r>
        <w:rPr>
          <w:color w:val="000000" w:themeColor="text1"/>
          <w:spacing w:val="-10"/>
          <w:sz w:val="24"/>
          <w:highlight w:val="none"/>
          <w14:textFill>
            <w14:solidFill>
              <w14:schemeClr w14:val="tx1"/>
            </w14:solidFill>
          </w14:textFill>
        </w:rPr>
        <w:t>。</w:t>
      </w:r>
    </w:p>
    <w:p>
      <w:pPr>
        <w:pStyle w:val="7"/>
        <w:numPr>
          <w:ilvl w:val="1"/>
          <w:numId w:val="52"/>
        </w:numPr>
        <w:shd w:val="clear"/>
        <w:tabs>
          <w:tab w:val="left" w:pos="1695"/>
        </w:tabs>
        <w:spacing w:before="156"/>
        <w:ind w:left="1695" w:hanging="481"/>
        <w:jc w:val="both"/>
        <w:rPr>
          <w:color w:val="000000" w:themeColor="text1"/>
          <w:highlight w:val="none"/>
          <w14:textFill>
            <w14:solidFill>
              <w14:schemeClr w14:val="tx1"/>
            </w14:solidFill>
          </w14:textFill>
        </w:rPr>
      </w:pPr>
      <w:bookmarkStart w:id="128" w:name="1.6_违约责任"/>
      <w:bookmarkEnd w:id="128"/>
      <w:r>
        <w:rPr>
          <w:color w:val="000000" w:themeColor="text1"/>
          <w:spacing w:val="-4"/>
          <w:highlight w:val="none"/>
          <w14:textFill>
            <w14:solidFill>
              <w14:schemeClr w14:val="tx1"/>
            </w14:solidFill>
          </w14:textFill>
        </w:rPr>
        <w:t>违约责任</w:t>
      </w:r>
    </w:p>
    <w:p>
      <w:pPr>
        <w:pStyle w:val="19"/>
        <w:numPr>
          <w:ilvl w:val="2"/>
          <w:numId w:val="52"/>
        </w:numPr>
        <w:shd w:val="clear"/>
        <w:tabs>
          <w:tab w:val="left" w:pos="1871"/>
        </w:tabs>
        <w:spacing w:before="153" w:line="360" w:lineRule="auto"/>
        <w:ind w:left="777" w:right="775" w:firstLine="434"/>
        <w:jc w:val="both"/>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除不可抗力外，如果乙方没有按照本合同约定的期限、地点和方式履</w:t>
      </w:r>
      <w:r>
        <w:rPr>
          <w:color w:val="000000" w:themeColor="text1"/>
          <w:spacing w:val="-4"/>
          <w:sz w:val="24"/>
          <w:highlight w:val="none"/>
          <w14:textFill>
            <w14:solidFill>
              <w14:schemeClr w14:val="tx1"/>
            </w14:solidFill>
          </w14:textFill>
        </w:rPr>
        <w:t>行，那么甲方可要求乙方支付违约金，违约金按每迟延履行一日的应提供而未提</w:t>
      </w:r>
      <w:r>
        <w:rPr>
          <w:color w:val="000000" w:themeColor="text1"/>
          <w:sz w:val="24"/>
          <w:highlight w:val="none"/>
          <w14:textFill>
            <w14:solidFill>
              <w14:schemeClr w14:val="tx1"/>
            </w14:solidFill>
          </w14:textFill>
        </w:rPr>
        <w:t>供服务价格的</w:t>
      </w:r>
      <w:r>
        <w:rPr>
          <w:rFonts w:ascii="Times New Roman" w:eastAsia="Times New Roman"/>
          <w:color w:val="000000" w:themeColor="text1"/>
          <w:spacing w:val="80"/>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%计算，最高限额为本合同总价的</w:t>
      </w:r>
      <w:r>
        <w:rPr>
          <w:rFonts w:ascii="Times New Roman" w:eastAsia="Times New Roman"/>
          <w:color w:val="000000" w:themeColor="text1"/>
          <w:spacing w:val="80"/>
          <w:w w:val="150"/>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%；迟延履行的违约金</w:t>
      </w:r>
      <w:r>
        <w:rPr>
          <w:color w:val="000000" w:themeColor="text1"/>
          <w:spacing w:val="-4"/>
          <w:sz w:val="24"/>
          <w:highlight w:val="none"/>
          <w14:textFill>
            <w14:solidFill>
              <w14:schemeClr w14:val="tx1"/>
            </w14:solidFill>
          </w14:textFill>
        </w:rPr>
        <w:t>计算数额达到前述最高限额之日起，甲方有权在要求乙方支付违约金的同时，书</w:t>
      </w:r>
      <w:r>
        <w:rPr>
          <w:color w:val="000000" w:themeColor="text1"/>
          <w:spacing w:val="-2"/>
          <w:sz w:val="24"/>
          <w:highlight w:val="none"/>
          <w14:textFill>
            <w14:solidFill>
              <w14:schemeClr w14:val="tx1"/>
            </w14:solidFill>
          </w14:textFill>
        </w:rPr>
        <w:t>面通知乙方解除本合同；</w:t>
      </w:r>
    </w:p>
    <w:p>
      <w:pPr>
        <w:pStyle w:val="19"/>
        <w:numPr>
          <w:ilvl w:val="2"/>
          <w:numId w:val="52"/>
        </w:numPr>
        <w:shd w:val="clear"/>
        <w:tabs>
          <w:tab w:val="left" w:pos="1871"/>
        </w:tabs>
        <w:spacing w:line="360" w:lineRule="auto"/>
        <w:ind w:left="777" w:right="775" w:firstLine="434"/>
        <w:jc w:val="both"/>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除不可抗力外，如果甲方没有按照本合同约定的付款方式付款，那么</w:t>
      </w:r>
      <w:r>
        <w:rPr>
          <w:color w:val="000000" w:themeColor="text1"/>
          <w:sz w:val="24"/>
          <w:highlight w:val="none"/>
          <w14:textFill>
            <w14:solidFill>
              <w14:schemeClr w14:val="tx1"/>
            </w14:solidFill>
          </w14:textFill>
        </w:rPr>
        <w:t>乙方可要求甲方支付违约金，违约金按每迟延付款一日的应付而未付款的</w:t>
      </w:r>
      <w:r>
        <w:rPr>
          <w:rFonts w:ascii="Times New Roman" w:eastAsia="Times New Roman"/>
          <w:color w:val="000000" w:themeColor="text1"/>
          <w:spacing w:val="80"/>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%计算，最高限额为本合同总价的</w:t>
      </w:r>
      <w:r>
        <w:rPr>
          <w:rFonts w:ascii="Times New Roman" w:eastAsia="Times New Roman"/>
          <w:color w:val="000000" w:themeColor="text1"/>
          <w:spacing w:val="80"/>
          <w:w w:val="150"/>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%；迟延付款的违约金计算数额达到前述最</w:t>
      </w:r>
      <w:r>
        <w:rPr>
          <w:color w:val="000000" w:themeColor="text1"/>
          <w:spacing w:val="-4"/>
          <w:sz w:val="24"/>
          <w:highlight w:val="none"/>
          <w14:textFill>
            <w14:solidFill>
              <w14:schemeClr w14:val="tx1"/>
            </w14:solidFill>
          </w14:textFill>
        </w:rPr>
        <w:t>高限额之日起，乙方有权在要求甲方支付违约金的同时，书面通知甲方解除本合</w:t>
      </w:r>
      <w:r>
        <w:rPr>
          <w:color w:val="000000" w:themeColor="text1"/>
          <w:spacing w:val="-6"/>
          <w:sz w:val="24"/>
          <w:highlight w:val="none"/>
          <w14:textFill>
            <w14:solidFill>
              <w14:schemeClr w14:val="tx1"/>
            </w14:solidFill>
          </w14:textFill>
        </w:rPr>
        <w:t>同；</w:t>
      </w:r>
    </w:p>
    <w:p>
      <w:pPr>
        <w:pStyle w:val="19"/>
        <w:numPr>
          <w:ilvl w:val="2"/>
          <w:numId w:val="52"/>
        </w:numPr>
        <w:shd w:val="clear"/>
        <w:tabs>
          <w:tab w:val="left" w:pos="1871"/>
        </w:tabs>
        <w:spacing w:line="360" w:lineRule="auto"/>
        <w:ind w:left="777" w:right="535" w:firstLine="434"/>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除不可抗力外，任何一方未能履行本合同约定的其他主要义务，经催</w:t>
      </w:r>
      <w:r>
        <w:rPr>
          <w:color w:val="000000" w:themeColor="text1"/>
          <w:spacing w:val="40"/>
          <w:sz w:val="24"/>
          <w:highlight w:val="none"/>
          <w14:textFill>
            <w14:solidFill>
              <w14:schemeClr w14:val="tx1"/>
            </w14:solidFill>
          </w14:textFill>
        </w:rPr>
        <w:t xml:space="preserve"> </w:t>
      </w:r>
      <w:r>
        <w:rPr>
          <w:color w:val="000000" w:themeColor="text1"/>
          <w:spacing w:val="-9"/>
          <w:sz w:val="24"/>
          <w:highlight w:val="none"/>
          <w14:textFill>
            <w14:solidFill>
              <w14:schemeClr w14:val="tx1"/>
            </w14:solidFill>
          </w14:textFill>
        </w:rPr>
        <w:t>告后在合理期限内仍未履行的，或者任何一方有其他违约行为致使不能实现合同目</w:t>
      </w:r>
      <w:r>
        <w:rPr>
          <w:color w:val="000000" w:themeColor="text1"/>
          <w:spacing w:val="-4"/>
          <w:sz w:val="24"/>
          <w:highlight w:val="none"/>
          <w14:textFill>
            <w14:solidFill>
              <w14:schemeClr w14:val="tx1"/>
            </w14:solidFill>
          </w14:textFill>
        </w:rPr>
        <w:t>的的，或者任何一方有腐败行为（即：提供或给予或接受或索取任何财物或其他好</w:t>
      </w:r>
      <w:r>
        <w:rPr>
          <w:color w:val="000000" w:themeColor="text1"/>
          <w:spacing w:val="-6"/>
          <w:sz w:val="24"/>
          <w:highlight w:val="none"/>
          <w14:textFill>
            <w14:solidFill>
              <w14:schemeClr w14:val="tx1"/>
            </w14:solidFill>
          </w14:textFill>
        </w:rPr>
        <w:t>处或者采取其他不正当手段影响对方当事人在合同签订、履行过程中的行为</w:t>
      </w:r>
      <w:r>
        <w:rPr>
          <w:color w:val="000000" w:themeColor="text1"/>
          <w:spacing w:val="-2"/>
          <w:sz w:val="24"/>
          <w:highlight w:val="none"/>
          <w14:textFill>
            <w14:solidFill>
              <w14:schemeClr w14:val="tx1"/>
            </w14:solidFill>
          </w14:textFill>
        </w:rPr>
        <w:t>）或者</w:t>
      </w:r>
      <w:r>
        <w:rPr>
          <w:color w:val="000000" w:themeColor="text1"/>
          <w:spacing w:val="-4"/>
          <w:sz w:val="24"/>
          <w:highlight w:val="none"/>
          <w14:textFill>
            <w14:solidFill>
              <w14:schemeClr w14:val="tx1"/>
            </w14:solidFill>
          </w14:textFill>
        </w:rPr>
        <w:t>欺诈行为（即：以谎报事实或者隐瞒真相的方法来影响对方当事人在合同签订、履</w:t>
      </w:r>
      <w:r>
        <w:rPr>
          <w:color w:val="000000" w:themeColor="text1"/>
          <w:spacing w:val="-2"/>
          <w:sz w:val="24"/>
          <w:highlight w:val="none"/>
          <w14:textFill>
            <w14:solidFill>
              <w14:schemeClr w14:val="tx1"/>
            </w14:solidFill>
          </w14:textFill>
        </w:rPr>
        <w:t>行过程中的行为）的，对方当事人可以书面通知违约方解除本合同；</w:t>
      </w:r>
    </w:p>
    <w:p>
      <w:pPr>
        <w:pStyle w:val="19"/>
        <w:numPr>
          <w:ilvl w:val="2"/>
          <w:numId w:val="52"/>
        </w:numPr>
        <w:shd w:val="clear"/>
        <w:tabs>
          <w:tab w:val="left" w:pos="1871"/>
        </w:tabs>
        <w:spacing w:line="360" w:lineRule="auto"/>
        <w:ind w:left="777" w:right="775" w:firstLine="434"/>
        <w:jc w:val="both"/>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任何一方按照前述约定要求违约方支付违约金的同时，仍有权要求违</w:t>
      </w:r>
      <w:r>
        <w:rPr>
          <w:color w:val="000000" w:themeColor="text1"/>
          <w:spacing w:val="-4"/>
          <w:sz w:val="24"/>
          <w:highlight w:val="none"/>
          <w14:textFill>
            <w14:solidFill>
              <w14:schemeClr w14:val="tx1"/>
            </w14:solidFill>
          </w14:textFill>
        </w:rPr>
        <w:t>约方继续履行合同、采取补救措施，并有权按照己方实际损失情况要求违约方赔偿损失；任何一方按照前述约定要求解除本合同的同时，仍有权要求违约方支付</w:t>
      </w:r>
      <w:r>
        <w:rPr>
          <w:color w:val="000000" w:themeColor="text1"/>
          <w:spacing w:val="-6"/>
          <w:sz w:val="24"/>
          <w:highlight w:val="none"/>
          <w14:textFill>
            <w14:solidFill>
              <w14:schemeClr w14:val="tx1"/>
            </w14:solidFill>
          </w14:textFill>
        </w:rPr>
        <w:t>违约金和按照己方实际损失情况要求违约方赔偿损失；且守约方行使的任何权利</w:t>
      </w:r>
      <w:r>
        <w:rPr>
          <w:color w:val="000000" w:themeColor="text1"/>
          <w:spacing w:val="-2"/>
          <w:sz w:val="24"/>
          <w:highlight w:val="none"/>
          <w14:textFill>
            <w14:solidFill>
              <w14:schemeClr w14:val="tx1"/>
            </w14:solidFill>
          </w14:textFill>
        </w:rPr>
        <w:t>救济方式均不视为其放弃了其他法定或者约定的权利救济方式；</w:t>
      </w:r>
    </w:p>
    <w:p>
      <w:pPr>
        <w:pStyle w:val="19"/>
        <w:numPr>
          <w:ilvl w:val="2"/>
          <w:numId w:val="52"/>
        </w:numPr>
        <w:shd w:val="clear"/>
        <w:tabs>
          <w:tab w:val="left" w:pos="1873"/>
        </w:tabs>
        <w:spacing w:line="360" w:lineRule="auto"/>
        <w:ind w:left="777" w:right="655" w:firstLine="436"/>
        <w:rPr>
          <w:color w:val="000000" w:themeColor="text1"/>
          <w:sz w:val="24"/>
          <w:highlight w:val="none"/>
          <w14:textFill>
            <w14:solidFill>
              <w14:schemeClr w14:val="tx1"/>
            </w14:solidFill>
          </w14:textFill>
        </w:rPr>
      </w:pPr>
      <w:r>
        <w:rPr>
          <w:color w:val="000000" w:themeColor="text1"/>
          <w:spacing w:val="-13"/>
          <w:sz w:val="24"/>
          <w:highlight w:val="none"/>
          <w14:textFill>
            <w14:solidFill>
              <w14:schemeClr w14:val="tx1"/>
            </w14:solidFill>
          </w14:textFill>
        </w:rPr>
        <w:t>除前述约定外，除不可抗力外，任何一方未能履行本合同约定的义务，</w:t>
      </w:r>
      <w:r>
        <w:rPr>
          <w:color w:val="000000" w:themeColor="text1"/>
          <w:spacing w:val="-2"/>
          <w:sz w:val="24"/>
          <w:highlight w:val="none"/>
          <w14:textFill>
            <w14:solidFill>
              <w14:schemeClr w14:val="tx1"/>
            </w14:solidFill>
          </w14:textFill>
        </w:rPr>
        <w:t>对方当事人均有权要求继续履行、采取补救措施或者赔偿损失等，且对方当事人行使的任何权利救济方式均不视为其放弃了其他法定或者约定的权利救济方式；</w:t>
      </w:r>
    </w:p>
    <w:p>
      <w:pPr>
        <w:shd w:val="clear"/>
        <w:spacing w:line="360" w:lineRule="auto"/>
        <w:rPr>
          <w:color w:val="000000" w:themeColor="text1"/>
          <w:sz w:val="24"/>
          <w:highlight w:val="none"/>
          <w14:textFill>
            <w14:solidFill>
              <w14:schemeClr w14:val="tx1"/>
            </w14:solidFill>
          </w14:textFill>
        </w:rPr>
        <w:sectPr>
          <w:pgSz w:w="11910" w:h="16840"/>
          <w:pgMar w:top="1380" w:right="1019" w:bottom="1040" w:left="1020" w:header="878" w:footer="853" w:gutter="0"/>
          <w:cols w:space="720" w:num="1"/>
        </w:sectPr>
      </w:pPr>
    </w:p>
    <w:p>
      <w:pPr>
        <w:pStyle w:val="19"/>
        <w:numPr>
          <w:ilvl w:val="2"/>
          <w:numId w:val="52"/>
        </w:numPr>
        <w:shd w:val="clear"/>
        <w:tabs>
          <w:tab w:val="left" w:pos="1873"/>
        </w:tabs>
        <w:spacing w:before="51" w:line="360" w:lineRule="auto"/>
        <w:ind w:left="777" w:right="775" w:firstLine="436"/>
        <w:jc w:val="both"/>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如果出现政府采购监督管理部门在处理投诉事项期间，书面通知甲方</w:t>
      </w:r>
      <w:r>
        <w:rPr>
          <w:color w:val="000000" w:themeColor="text1"/>
          <w:spacing w:val="-4"/>
          <w:sz w:val="24"/>
          <w:highlight w:val="none"/>
          <w14:textFill>
            <w14:solidFill>
              <w14:schemeClr w14:val="tx1"/>
            </w14:solidFill>
          </w14:textFill>
        </w:rPr>
        <w:t>暂停采购活动的情形，或者询问或质疑事项可能影响中标结果的，导致甲方中止</w:t>
      </w:r>
      <w:r>
        <w:rPr>
          <w:color w:val="000000" w:themeColor="text1"/>
          <w:spacing w:val="-2"/>
          <w:sz w:val="24"/>
          <w:highlight w:val="none"/>
          <w14:textFill>
            <w14:solidFill>
              <w14:schemeClr w14:val="tx1"/>
            </w14:solidFill>
          </w14:textFill>
        </w:rPr>
        <w:t>履行合同的情形，均不视为甲方违约。</w:t>
      </w:r>
    </w:p>
    <w:p>
      <w:pPr>
        <w:pStyle w:val="19"/>
        <w:numPr>
          <w:ilvl w:val="2"/>
          <w:numId w:val="52"/>
        </w:numPr>
        <w:shd w:val="clear"/>
        <w:tabs>
          <w:tab w:val="left" w:pos="1873"/>
        </w:tabs>
        <w:spacing w:line="360" w:lineRule="auto"/>
        <w:ind w:left="777" w:right="686" w:firstLine="436"/>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因甲方未按合同约定支付价款、未按合同约定受领标的物、擅自解除合同、逾期退还履约保证金导致乙方遭受的直接损失，乙方可向甲方申请赔偿，赔偿金额由双方协商一致；针对因政策变化等原因不能签订合同或解除合同时，造成乙方合法利益受损的情形，可以给予乙方合理补偿，补偿金额不得超过乙方的直接损失。</w:t>
      </w:r>
    </w:p>
    <w:p>
      <w:pPr>
        <w:pStyle w:val="7"/>
        <w:numPr>
          <w:ilvl w:val="1"/>
          <w:numId w:val="52"/>
        </w:numPr>
        <w:shd w:val="clear"/>
        <w:tabs>
          <w:tab w:val="left" w:pos="1695"/>
        </w:tabs>
        <w:spacing w:line="307" w:lineRule="exact"/>
        <w:ind w:left="1695" w:hanging="481"/>
        <w:rPr>
          <w:color w:val="000000" w:themeColor="text1"/>
          <w:highlight w:val="none"/>
          <w14:textFill>
            <w14:solidFill>
              <w14:schemeClr w14:val="tx1"/>
            </w14:solidFill>
          </w14:textFill>
        </w:rPr>
      </w:pPr>
      <w:bookmarkStart w:id="129" w:name="1.7_合同争议的解决"/>
      <w:bookmarkEnd w:id="129"/>
      <w:r>
        <w:rPr>
          <w:color w:val="000000" w:themeColor="text1"/>
          <w:spacing w:val="-4"/>
          <w:highlight w:val="none"/>
          <w14:textFill>
            <w14:solidFill>
              <w14:schemeClr w14:val="tx1"/>
            </w14:solidFill>
          </w14:textFill>
        </w:rPr>
        <w:t>合同争议的解决</w:t>
      </w:r>
    </w:p>
    <w:p>
      <w:pPr>
        <w:pStyle w:val="10"/>
        <w:shd w:val="clear"/>
        <w:tabs>
          <w:tab w:val="left" w:pos="7257"/>
        </w:tabs>
        <w:spacing w:before="152" w:line="357" w:lineRule="auto"/>
        <w:ind w:left="777" w:right="535" w:firstLine="434"/>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本合同履行过程中发生的任何争议，双方当事人均可通过和解或者调解解决；不愿和解、调解或者和解、调解不成的，可以选择下列第</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2"/>
          <w:highlight w:val="none"/>
          <w14:textFill>
            <w14:solidFill>
              <w14:schemeClr w14:val="tx1"/>
            </w14:solidFill>
          </w14:textFill>
        </w:rPr>
        <w:t>种方式解决：</w:t>
      </w:r>
    </w:p>
    <w:p>
      <w:pPr>
        <w:pStyle w:val="19"/>
        <w:numPr>
          <w:ilvl w:val="2"/>
          <w:numId w:val="52"/>
        </w:numPr>
        <w:shd w:val="clear"/>
        <w:tabs>
          <w:tab w:val="left" w:pos="1871"/>
          <w:tab w:val="left" w:pos="4751"/>
        </w:tabs>
        <w:spacing w:before="3" w:line="360" w:lineRule="auto"/>
        <w:ind w:left="777" w:right="793" w:firstLine="434"/>
        <w:rPr>
          <w:color w:val="000000" w:themeColor="text1"/>
          <w:sz w:val="24"/>
          <w:highlight w:val="none"/>
          <w14:textFill>
            <w14:solidFill>
              <w14:schemeClr w14:val="tx1"/>
            </w14:solidFill>
          </w14:textFill>
        </w:rPr>
      </w:pPr>
      <w:r>
        <w:rPr>
          <w:color w:val="000000" w:themeColor="text1"/>
          <w:spacing w:val="-4"/>
          <w:sz w:val="24"/>
          <w:highlight w:val="none"/>
          <w14:textFill>
            <w14:solidFill>
              <w14:schemeClr w14:val="tx1"/>
            </w14:solidFill>
          </w14:textFill>
        </w:rPr>
        <w:t>将争议提交</w:t>
      </w:r>
      <w:r>
        <w:rPr>
          <w:rFonts w:ascii="Times New Roman" w:eastAsia="Times New Roman"/>
          <w:color w:val="000000" w:themeColor="text1"/>
          <w:sz w:val="24"/>
          <w:highlight w:val="none"/>
          <w:u w:val="single"/>
          <w14:textFill>
            <w14:solidFill>
              <w14:schemeClr w14:val="tx1"/>
            </w14:solidFill>
          </w14:textFill>
        </w:rPr>
        <w:tab/>
      </w:r>
      <w:r>
        <w:rPr>
          <w:color w:val="000000" w:themeColor="text1"/>
          <w:spacing w:val="-2"/>
          <w:sz w:val="24"/>
          <w:highlight w:val="none"/>
          <w14:textFill>
            <w14:solidFill>
              <w14:schemeClr w14:val="tx1"/>
            </w14:solidFill>
          </w14:textFill>
        </w:rPr>
        <w:t>仲裁委员会依申请仲裁时其现行有效的仲裁规则裁决；</w:t>
      </w:r>
    </w:p>
    <w:p>
      <w:pPr>
        <w:pStyle w:val="19"/>
        <w:numPr>
          <w:ilvl w:val="2"/>
          <w:numId w:val="52"/>
        </w:numPr>
        <w:shd w:val="clear"/>
        <w:tabs>
          <w:tab w:val="left" w:pos="1871"/>
          <w:tab w:val="left" w:pos="4991"/>
        </w:tabs>
        <w:spacing w:line="310" w:lineRule="exact"/>
        <w:ind w:left="1871"/>
        <w:rPr>
          <w:color w:val="000000" w:themeColor="text1"/>
          <w:sz w:val="24"/>
          <w:highlight w:val="none"/>
          <w14:textFill>
            <w14:solidFill>
              <w14:schemeClr w14:val="tx1"/>
            </w14:solidFill>
          </w14:textFill>
        </w:rPr>
      </w:pPr>
      <w:r>
        <w:rPr>
          <w:color w:val="000000" w:themeColor="text1"/>
          <w:spacing w:val="-10"/>
          <w:sz w:val="24"/>
          <w:highlight w:val="none"/>
          <w14:textFill>
            <w14:solidFill>
              <w14:schemeClr w14:val="tx1"/>
            </w14:solidFill>
          </w14:textFill>
        </w:rPr>
        <w:t>向</w:t>
      </w:r>
      <w:r>
        <w:rPr>
          <w:rFonts w:ascii="Times New Roman" w:eastAsia="Times New Roman"/>
          <w:color w:val="000000" w:themeColor="text1"/>
          <w:sz w:val="24"/>
          <w:highlight w:val="none"/>
          <w:u w:val="single"/>
          <w14:textFill>
            <w14:solidFill>
              <w14:schemeClr w14:val="tx1"/>
            </w14:solidFill>
          </w14:textFill>
        </w:rPr>
        <w:tab/>
      </w:r>
      <w:r>
        <w:rPr>
          <w:color w:val="000000" w:themeColor="text1"/>
          <w:sz w:val="24"/>
          <w:highlight w:val="none"/>
          <w14:textFill>
            <w14:solidFill>
              <w14:schemeClr w14:val="tx1"/>
            </w14:solidFill>
          </w14:textFill>
        </w:rPr>
        <w:t>人民法院起诉</w:t>
      </w:r>
      <w:r>
        <w:rPr>
          <w:color w:val="000000" w:themeColor="text1"/>
          <w:spacing w:val="-10"/>
          <w:sz w:val="24"/>
          <w:highlight w:val="none"/>
          <w14:textFill>
            <w14:solidFill>
              <w14:schemeClr w14:val="tx1"/>
            </w14:solidFill>
          </w14:textFill>
        </w:rPr>
        <w:t>。</w:t>
      </w:r>
    </w:p>
    <w:p>
      <w:pPr>
        <w:pStyle w:val="7"/>
        <w:numPr>
          <w:ilvl w:val="1"/>
          <w:numId w:val="52"/>
        </w:numPr>
        <w:shd w:val="clear"/>
        <w:tabs>
          <w:tab w:val="left" w:pos="1695"/>
        </w:tabs>
        <w:spacing w:before="156"/>
        <w:ind w:left="1695" w:hanging="481"/>
        <w:rPr>
          <w:color w:val="000000" w:themeColor="text1"/>
          <w:highlight w:val="none"/>
          <w14:textFill>
            <w14:solidFill>
              <w14:schemeClr w14:val="tx1"/>
            </w14:solidFill>
          </w14:textFill>
        </w:rPr>
      </w:pPr>
      <w:bookmarkStart w:id="130" w:name="1.8_合同生效"/>
      <w:bookmarkEnd w:id="130"/>
      <w:r>
        <w:rPr>
          <w:color w:val="000000" w:themeColor="text1"/>
          <w:spacing w:val="-4"/>
          <w:highlight w:val="none"/>
          <w14:textFill>
            <w14:solidFill>
              <w14:schemeClr w14:val="tx1"/>
            </w14:solidFill>
          </w14:textFill>
        </w:rPr>
        <w:t>合同生效</w:t>
      </w:r>
    </w:p>
    <w:p>
      <w:pPr>
        <w:pStyle w:val="10"/>
        <w:shd w:val="clear"/>
        <w:spacing w:before="154"/>
        <w:ind w:left="1211"/>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本合同自双方当事人盖章时生效。</w:t>
      </w:r>
    </w:p>
    <w:p>
      <w:pPr>
        <w:pStyle w:val="10"/>
        <w:shd w:val="clear"/>
        <w:ind w:left="0"/>
        <w:rPr>
          <w:color w:val="000000" w:themeColor="text1"/>
          <w:highlight w:val="none"/>
          <w14:textFill>
            <w14:solidFill>
              <w14:schemeClr w14:val="tx1"/>
            </w14:solidFill>
          </w14:textFill>
        </w:rPr>
      </w:pPr>
    </w:p>
    <w:p>
      <w:pPr>
        <w:pStyle w:val="10"/>
        <w:shd w:val="clear"/>
        <w:spacing w:before="249"/>
        <w:ind w:left="0"/>
        <w:rPr>
          <w:color w:val="000000" w:themeColor="text1"/>
          <w:highlight w:val="none"/>
          <w14:textFill>
            <w14:solidFill>
              <w14:schemeClr w14:val="tx1"/>
            </w14:solidFill>
          </w14:textFill>
        </w:rPr>
      </w:pPr>
    </w:p>
    <w:p>
      <w:pPr>
        <w:pStyle w:val="10"/>
        <w:shd w:val="clear"/>
        <w:tabs>
          <w:tab w:val="left" w:pos="1497"/>
          <w:tab w:val="left" w:pos="2457"/>
          <w:tab w:val="left" w:pos="4496"/>
          <w:tab w:val="left" w:pos="5697"/>
          <w:tab w:val="left" w:pos="6897"/>
          <w:tab w:val="left" w:pos="8936"/>
        </w:tabs>
        <w:spacing w:before="1"/>
        <w:ind w:left="777"/>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甲</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方</w:t>
      </w:r>
      <w:r>
        <w:rPr>
          <w:color w:val="000000" w:themeColor="text1"/>
          <w:spacing w:val="-10"/>
          <w:highlight w:val="none"/>
          <w14:textFill>
            <w14:solidFill>
              <w14:schemeClr w14:val="tx1"/>
            </w14:solidFill>
          </w14:textFill>
        </w:rPr>
        <w:t>：</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u w:val="single"/>
          <w14:textFill>
            <w14:solidFill>
              <w14:schemeClr w14:val="tx1"/>
            </w14:solidFill>
          </w14:textFill>
        </w:rPr>
        <w:t>（单位盖章</w:t>
      </w:r>
      <w:r>
        <w:rPr>
          <w:color w:val="000000" w:themeColor="text1"/>
          <w:spacing w:val="-10"/>
          <w:highlight w:val="none"/>
          <w:u w:val="single"/>
          <w14:textFill>
            <w14:solidFill>
              <w14:schemeClr w14:val="tx1"/>
            </w14:solidFill>
          </w14:textFill>
        </w:rPr>
        <w:t>）</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乙方</w:t>
      </w:r>
      <w:r>
        <w:rPr>
          <w:color w:val="000000" w:themeColor="text1"/>
          <w:spacing w:val="-10"/>
          <w:highlight w:val="none"/>
          <w14:textFill>
            <w14:solidFill>
              <w14:schemeClr w14:val="tx1"/>
            </w14:solidFill>
          </w14:textFill>
        </w:rPr>
        <w:t>：</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u w:val="single"/>
          <w14:textFill>
            <w14:solidFill>
              <w14:schemeClr w14:val="tx1"/>
            </w14:solidFill>
          </w14:textFill>
        </w:rPr>
        <w:t>（单位盖章</w:t>
      </w:r>
      <w:r>
        <w:rPr>
          <w:color w:val="000000" w:themeColor="text1"/>
          <w:spacing w:val="-10"/>
          <w:highlight w:val="none"/>
          <w:u w:val="single"/>
          <w14:textFill>
            <w14:solidFill>
              <w14:schemeClr w14:val="tx1"/>
            </w14:solidFill>
          </w14:textFill>
        </w:rPr>
        <w:t>）</w:t>
      </w:r>
      <w:r>
        <w:rPr>
          <w:color w:val="000000" w:themeColor="text1"/>
          <w:highlight w:val="none"/>
          <w:u w:val="single"/>
          <w14:textFill>
            <w14:solidFill>
              <w14:schemeClr w14:val="tx1"/>
            </w14:solidFill>
          </w14:textFill>
        </w:rPr>
        <w:tab/>
      </w:r>
    </w:p>
    <w:p>
      <w:pPr>
        <w:pStyle w:val="10"/>
        <w:shd w:val="clear"/>
        <w:tabs>
          <w:tab w:val="left" w:pos="5697"/>
        </w:tabs>
        <w:spacing w:before="189"/>
        <w:ind w:left="77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法定代表</w:t>
      </w:r>
      <w:r>
        <w:rPr>
          <w:color w:val="000000" w:themeColor="text1"/>
          <w:spacing w:val="-10"/>
          <w:highlight w:val="none"/>
          <w14:textFill>
            <w14:solidFill>
              <w14:schemeClr w14:val="tx1"/>
            </w14:solidFill>
          </w14:textFill>
        </w:rPr>
        <w:t>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法定代表</w:t>
      </w:r>
      <w:r>
        <w:rPr>
          <w:color w:val="000000" w:themeColor="text1"/>
          <w:spacing w:val="-10"/>
          <w:highlight w:val="none"/>
          <w14:textFill>
            <w14:solidFill>
              <w14:schemeClr w14:val="tx1"/>
            </w14:solidFill>
          </w14:textFill>
        </w:rPr>
        <w:t>人</w:t>
      </w:r>
    </w:p>
    <w:p>
      <w:pPr>
        <w:pStyle w:val="10"/>
        <w:shd w:val="clear"/>
        <w:tabs>
          <w:tab w:val="left" w:pos="5817"/>
        </w:tabs>
        <w:spacing w:before="187"/>
        <w:ind w:left="77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或授权代表（签字</w:t>
      </w:r>
      <w:r>
        <w:rPr>
          <w:color w:val="000000" w:themeColor="text1"/>
          <w:spacing w:val="-5"/>
          <w:highlight w:val="none"/>
          <w14:textFill>
            <w14:solidFill>
              <w14:schemeClr w14:val="tx1"/>
            </w14:solidFill>
          </w14:textFill>
        </w:rPr>
        <w:t>）：</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或授权代表（签字</w:t>
      </w:r>
      <w:r>
        <w:rPr>
          <w:color w:val="000000" w:themeColor="text1"/>
          <w:spacing w:val="-5"/>
          <w:highlight w:val="none"/>
          <w14:textFill>
            <w14:solidFill>
              <w14:schemeClr w14:val="tx1"/>
            </w14:solidFill>
          </w14:textFill>
        </w:rPr>
        <w:t>）：</w:t>
      </w:r>
    </w:p>
    <w:p>
      <w:pPr>
        <w:pStyle w:val="10"/>
        <w:shd w:val="clear"/>
        <w:tabs>
          <w:tab w:val="left" w:pos="2217"/>
          <w:tab w:val="left" w:pos="2937"/>
          <w:tab w:val="left" w:pos="3657"/>
          <w:tab w:val="left" w:pos="5697"/>
          <w:tab w:val="left" w:pos="7137"/>
          <w:tab w:val="left" w:pos="7857"/>
          <w:tab w:val="left" w:pos="8577"/>
        </w:tabs>
        <w:spacing w:before="188" w:line="386" w:lineRule="auto"/>
        <w:ind w:left="5697" w:right="1046" w:hanging="4920"/>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时间：</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10"/>
          <w:highlight w:val="none"/>
          <w14:textFill>
            <w14:solidFill>
              <w14:schemeClr w14:val="tx1"/>
            </w14:solidFill>
          </w14:textFill>
        </w:rPr>
        <w:t>年</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10"/>
          <w:highlight w:val="none"/>
          <w14:textFill>
            <w14:solidFill>
              <w14:schemeClr w14:val="tx1"/>
            </w14:solidFill>
          </w14:textFill>
        </w:rPr>
        <w:t>月</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10"/>
          <w:highlight w:val="none"/>
          <w14:textFill>
            <w14:solidFill>
              <w14:schemeClr w14:val="tx1"/>
            </w14:solidFill>
          </w14:textFill>
        </w:rPr>
        <w:t>日</w:t>
      </w:r>
      <w:r>
        <w:rPr>
          <w:color w:val="000000" w:themeColor="text1"/>
          <w:highlight w:val="none"/>
          <w14:textFill>
            <w14:solidFill>
              <w14:schemeClr w14:val="tx1"/>
            </w14:solidFill>
          </w14:textFill>
        </w:rPr>
        <w:tab/>
      </w:r>
      <w:r>
        <w:rPr>
          <w:color w:val="000000" w:themeColor="text1"/>
          <w:spacing w:val="-4"/>
          <w:highlight w:val="none"/>
          <w14:textFill>
            <w14:solidFill>
              <w14:schemeClr w14:val="tx1"/>
            </w14:solidFill>
          </w14:textFill>
        </w:rPr>
        <w:t>时间：</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10"/>
          <w:highlight w:val="none"/>
          <w14:textFill>
            <w14:solidFill>
              <w14:schemeClr w14:val="tx1"/>
            </w14:solidFill>
          </w14:textFill>
        </w:rPr>
        <w:t>年</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10"/>
          <w:highlight w:val="none"/>
          <w14:textFill>
            <w14:solidFill>
              <w14:schemeClr w14:val="tx1"/>
            </w14:solidFill>
          </w14:textFill>
        </w:rPr>
        <w:t>月</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10"/>
          <w:highlight w:val="none"/>
          <w14:textFill>
            <w14:solidFill>
              <w14:schemeClr w14:val="tx1"/>
            </w14:solidFill>
          </w14:textFill>
        </w:rPr>
        <w:t>日</w:t>
      </w:r>
      <w:r>
        <w:rPr>
          <w:color w:val="000000" w:themeColor="text1"/>
          <w:spacing w:val="-2"/>
          <w:highlight w:val="none"/>
          <w14:textFill>
            <w14:solidFill>
              <w14:schemeClr w14:val="tx1"/>
            </w14:solidFill>
          </w14:textFill>
        </w:rPr>
        <w:t>乙方账户信息</w:t>
      </w:r>
    </w:p>
    <w:p>
      <w:pPr>
        <w:pStyle w:val="10"/>
        <w:shd w:val="clear"/>
        <w:tabs>
          <w:tab w:val="left" w:pos="7916"/>
        </w:tabs>
        <w:spacing w:line="308" w:lineRule="exact"/>
        <w:ind w:left="5697"/>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户名</w:t>
      </w:r>
      <w:r>
        <w:rPr>
          <w:color w:val="000000" w:themeColor="text1"/>
          <w:spacing w:val="-10"/>
          <w:highlight w:val="none"/>
          <w14:textFill>
            <w14:solidFill>
              <w14:schemeClr w14:val="tx1"/>
            </w14:solidFill>
          </w14:textFill>
        </w:rPr>
        <w:t>：</w:t>
      </w:r>
      <w:r>
        <w:rPr>
          <w:rFonts w:ascii="Times New Roman" w:eastAsia="Times New Roman"/>
          <w:color w:val="000000" w:themeColor="text1"/>
          <w:highlight w:val="none"/>
          <w:u w:val="single"/>
          <w14:textFill>
            <w14:solidFill>
              <w14:schemeClr w14:val="tx1"/>
            </w14:solidFill>
          </w14:textFill>
        </w:rPr>
        <w:tab/>
      </w:r>
    </w:p>
    <w:p>
      <w:pPr>
        <w:pStyle w:val="10"/>
        <w:shd w:val="clear"/>
        <w:tabs>
          <w:tab w:val="left" w:pos="7916"/>
        </w:tabs>
        <w:spacing w:before="187"/>
        <w:ind w:left="5697"/>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账号</w:t>
      </w:r>
      <w:r>
        <w:rPr>
          <w:color w:val="000000" w:themeColor="text1"/>
          <w:spacing w:val="-10"/>
          <w:highlight w:val="none"/>
          <w14:textFill>
            <w14:solidFill>
              <w14:schemeClr w14:val="tx1"/>
            </w14:solidFill>
          </w14:textFill>
        </w:rPr>
        <w:t>：</w:t>
      </w:r>
      <w:r>
        <w:rPr>
          <w:rFonts w:ascii="Times New Roman" w:eastAsia="Times New Roman"/>
          <w:color w:val="000000" w:themeColor="text1"/>
          <w:highlight w:val="none"/>
          <w:u w:val="single"/>
          <w14:textFill>
            <w14:solidFill>
              <w14:schemeClr w14:val="tx1"/>
            </w14:solidFill>
          </w14:textFill>
        </w:rPr>
        <w:tab/>
      </w:r>
    </w:p>
    <w:p>
      <w:pPr>
        <w:pStyle w:val="10"/>
        <w:shd w:val="clear"/>
        <w:tabs>
          <w:tab w:val="left" w:pos="7916"/>
        </w:tabs>
        <w:spacing w:before="189"/>
        <w:ind w:left="5697"/>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开户银行</w:t>
      </w:r>
      <w:r>
        <w:rPr>
          <w:color w:val="000000" w:themeColor="text1"/>
          <w:spacing w:val="-10"/>
          <w:highlight w:val="none"/>
          <w14:textFill>
            <w14:solidFill>
              <w14:schemeClr w14:val="tx1"/>
            </w14:solidFill>
          </w14:textFill>
        </w:rPr>
        <w:t>：</w:t>
      </w:r>
      <w:r>
        <w:rPr>
          <w:rFonts w:ascii="Times New Roman" w:eastAsia="Times New Roman"/>
          <w:color w:val="000000" w:themeColor="text1"/>
          <w:highlight w:val="none"/>
          <w:u w:val="single"/>
          <w14:textFill>
            <w14:solidFill>
              <w14:schemeClr w14:val="tx1"/>
            </w14:solidFill>
          </w14:textFill>
        </w:rPr>
        <w:tab/>
      </w:r>
    </w:p>
    <w:p>
      <w:pPr>
        <w:shd w:val="clear"/>
        <w:rPr>
          <w:rFonts w:ascii="Times New Roman" w:eastAsia="Times New Roman"/>
          <w:color w:val="000000" w:themeColor="text1"/>
          <w:highlight w:val="none"/>
          <w14:textFill>
            <w14:solidFill>
              <w14:schemeClr w14:val="tx1"/>
            </w14:solidFill>
          </w14:textFill>
        </w:rPr>
        <w:sectPr>
          <w:pgSz w:w="11910" w:h="16840"/>
          <w:pgMar w:top="1380" w:right="1019" w:bottom="1040" w:left="1020" w:header="878" w:footer="853" w:gutter="0"/>
          <w:cols w:space="720" w:num="1"/>
        </w:sectPr>
      </w:pPr>
    </w:p>
    <w:p>
      <w:pPr>
        <w:pStyle w:val="4"/>
        <w:shd w:val="clear"/>
        <w:spacing w:before="49"/>
        <w:ind w:right="0"/>
        <w:rPr>
          <w:color w:val="000000" w:themeColor="text1"/>
          <w:highlight w:val="none"/>
          <w14:textFill>
            <w14:solidFill>
              <w14:schemeClr w14:val="tx1"/>
            </w14:solidFill>
          </w14:textFill>
        </w:rPr>
      </w:pPr>
      <w:bookmarkStart w:id="131" w:name="第二部分_合同一般条款"/>
      <w:bookmarkEnd w:id="131"/>
      <w:r>
        <w:rPr>
          <w:color w:val="000000" w:themeColor="text1"/>
          <w:spacing w:val="-6"/>
          <w:highlight w:val="none"/>
          <w14:textFill>
            <w14:solidFill>
              <w14:schemeClr w14:val="tx1"/>
            </w14:solidFill>
          </w14:textFill>
        </w:rPr>
        <w:t>第二部分 合同一般条款</w:t>
      </w:r>
    </w:p>
    <w:p>
      <w:pPr>
        <w:pStyle w:val="7"/>
        <w:numPr>
          <w:ilvl w:val="1"/>
          <w:numId w:val="53"/>
        </w:numPr>
        <w:shd w:val="clear"/>
        <w:tabs>
          <w:tab w:val="left" w:pos="1695"/>
        </w:tabs>
        <w:spacing w:before="235"/>
        <w:ind w:left="1695" w:hanging="481"/>
        <w:jc w:val="both"/>
        <w:rPr>
          <w:color w:val="000000" w:themeColor="text1"/>
          <w:highlight w:val="none"/>
          <w14:textFill>
            <w14:solidFill>
              <w14:schemeClr w14:val="tx1"/>
            </w14:solidFill>
          </w14:textFill>
        </w:rPr>
      </w:pPr>
      <w:bookmarkStart w:id="132" w:name="2.1_定义"/>
      <w:bookmarkEnd w:id="132"/>
      <w:r>
        <w:rPr>
          <w:color w:val="000000" w:themeColor="text1"/>
          <w:spacing w:val="-7"/>
          <w:highlight w:val="none"/>
          <w14:textFill>
            <w14:solidFill>
              <w14:schemeClr w14:val="tx1"/>
            </w14:solidFill>
          </w14:textFill>
        </w:rPr>
        <w:t>定义</w:t>
      </w:r>
    </w:p>
    <w:p>
      <w:pPr>
        <w:pStyle w:val="10"/>
        <w:shd w:val="clear"/>
        <w:spacing w:before="156"/>
        <w:ind w:left="1211"/>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本合同中的下列词语应按以下内容进行解释：</w:t>
      </w:r>
    </w:p>
    <w:p>
      <w:pPr>
        <w:pStyle w:val="19"/>
        <w:numPr>
          <w:ilvl w:val="2"/>
          <w:numId w:val="53"/>
        </w:numPr>
        <w:shd w:val="clear"/>
        <w:tabs>
          <w:tab w:val="left" w:pos="1811"/>
        </w:tabs>
        <w:spacing w:before="154" w:line="357" w:lineRule="auto"/>
        <w:ind w:right="853" w:firstLine="434"/>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“合同”系指采购人和中标人签订的载明双方当事人所达成的协议，并包括所有的附件、附录和构成合同的其他文件。</w:t>
      </w:r>
    </w:p>
    <w:p>
      <w:pPr>
        <w:pStyle w:val="19"/>
        <w:numPr>
          <w:ilvl w:val="2"/>
          <w:numId w:val="53"/>
        </w:numPr>
        <w:shd w:val="clear"/>
        <w:tabs>
          <w:tab w:val="left" w:pos="1811"/>
        </w:tabs>
        <w:spacing w:before="4" w:line="360" w:lineRule="auto"/>
        <w:ind w:right="853" w:firstLine="434"/>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“合同价”系指根据合同约定，中标人在完全履行合同义务后，采购人应支付给中标人的价格。</w:t>
      </w:r>
    </w:p>
    <w:p>
      <w:pPr>
        <w:pStyle w:val="19"/>
        <w:numPr>
          <w:ilvl w:val="2"/>
          <w:numId w:val="53"/>
        </w:numPr>
        <w:shd w:val="clear"/>
        <w:tabs>
          <w:tab w:val="left" w:pos="1811"/>
        </w:tabs>
        <w:spacing w:line="360" w:lineRule="auto"/>
        <w:ind w:right="775" w:firstLine="434"/>
        <w:jc w:val="both"/>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“服务”系指中标人根据合同约定应向采购人履行的除货物和工程以</w:t>
      </w:r>
      <w:r>
        <w:rPr>
          <w:color w:val="000000" w:themeColor="text1"/>
          <w:spacing w:val="-10"/>
          <w:sz w:val="24"/>
          <w:highlight w:val="none"/>
          <w14:textFill>
            <w14:solidFill>
              <w14:schemeClr w14:val="tx1"/>
            </w14:solidFill>
          </w14:textFill>
        </w:rPr>
        <w:t>外的其他政府采购对象，包括采购人自身需要的服务和向社会公众提供的公共服</w:t>
      </w:r>
      <w:r>
        <w:rPr>
          <w:color w:val="000000" w:themeColor="text1"/>
          <w:spacing w:val="-6"/>
          <w:sz w:val="24"/>
          <w:highlight w:val="none"/>
          <w14:textFill>
            <w14:solidFill>
              <w14:schemeClr w14:val="tx1"/>
            </w14:solidFill>
          </w14:textFill>
        </w:rPr>
        <w:t>务。</w:t>
      </w:r>
    </w:p>
    <w:p>
      <w:pPr>
        <w:pStyle w:val="19"/>
        <w:numPr>
          <w:ilvl w:val="2"/>
          <w:numId w:val="53"/>
        </w:numPr>
        <w:shd w:val="clear"/>
        <w:tabs>
          <w:tab w:val="left" w:pos="1811"/>
        </w:tabs>
        <w:spacing w:line="357" w:lineRule="auto"/>
        <w:ind w:right="853" w:firstLine="434"/>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“甲方”系指与中标人签署合同的采购人；采购人委托采购代理机构代表其与乙方签订合同的，采购人的授权委托书作为合同附件。</w:t>
      </w:r>
    </w:p>
    <w:p>
      <w:pPr>
        <w:pStyle w:val="19"/>
        <w:numPr>
          <w:ilvl w:val="2"/>
          <w:numId w:val="53"/>
        </w:numPr>
        <w:shd w:val="clear"/>
        <w:tabs>
          <w:tab w:val="left" w:pos="1811"/>
        </w:tabs>
        <w:spacing w:line="357" w:lineRule="auto"/>
        <w:ind w:right="686" w:firstLine="434"/>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“乙方”系指根据合同约定提供服务的中标人；两个以上的自然人、法人或者其他组织组成一个联合体，以一个供应商的身份共同参加政府采购的，</w:t>
      </w:r>
      <w:r>
        <w:rPr>
          <w:color w:val="000000" w:themeColor="text1"/>
          <w:spacing w:val="-6"/>
          <w:sz w:val="24"/>
          <w:highlight w:val="none"/>
          <w14:textFill>
            <w14:solidFill>
              <w14:schemeClr w14:val="tx1"/>
            </w14:solidFill>
          </w14:textFill>
        </w:rPr>
        <w:t>联合体各方均应为乙方或者与乙方相同地位的合同当事人，并就合同约定的事项</w:t>
      </w:r>
      <w:r>
        <w:rPr>
          <w:color w:val="000000" w:themeColor="text1"/>
          <w:spacing w:val="-2"/>
          <w:sz w:val="24"/>
          <w:highlight w:val="none"/>
          <w14:textFill>
            <w14:solidFill>
              <w14:schemeClr w14:val="tx1"/>
            </w14:solidFill>
          </w14:textFill>
        </w:rPr>
        <w:t>对甲方承担连带责任。</w:t>
      </w:r>
    </w:p>
    <w:p>
      <w:pPr>
        <w:pStyle w:val="19"/>
        <w:numPr>
          <w:ilvl w:val="2"/>
          <w:numId w:val="53"/>
        </w:numPr>
        <w:shd w:val="clear"/>
        <w:tabs>
          <w:tab w:val="left" w:pos="1811"/>
        </w:tabs>
        <w:spacing w:before="6"/>
        <w:ind w:left="1811" w:hanging="600"/>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“现场”系指合同约定提供服务的地点。</w:t>
      </w:r>
    </w:p>
    <w:p>
      <w:pPr>
        <w:pStyle w:val="7"/>
        <w:numPr>
          <w:ilvl w:val="1"/>
          <w:numId w:val="53"/>
        </w:numPr>
        <w:shd w:val="clear"/>
        <w:tabs>
          <w:tab w:val="left" w:pos="1695"/>
        </w:tabs>
        <w:spacing w:before="156"/>
        <w:ind w:left="1695" w:hanging="481"/>
        <w:jc w:val="both"/>
        <w:rPr>
          <w:color w:val="000000" w:themeColor="text1"/>
          <w:highlight w:val="none"/>
          <w14:textFill>
            <w14:solidFill>
              <w14:schemeClr w14:val="tx1"/>
            </w14:solidFill>
          </w14:textFill>
        </w:rPr>
      </w:pPr>
      <w:bookmarkStart w:id="133" w:name="2.2_技术规范"/>
      <w:bookmarkEnd w:id="133"/>
      <w:r>
        <w:rPr>
          <w:color w:val="000000" w:themeColor="text1"/>
          <w:spacing w:val="-4"/>
          <w:highlight w:val="none"/>
          <w14:textFill>
            <w14:solidFill>
              <w14:schemeClr w14:val="tx1"/>
            </w14:solidFill>
          </w14:textFill>
        </w:rPr>
        <w:t>技术规范</w:t>
      </w:r>
    </w:p>
    <w:p>
      <w:pPr>
        <w:pStyle w:val="10"/>
        <w:shd w:val="clear"/>
        <w:spacing w:before="154" w:line="357" w:lineRule="auto"/>
        <w:ind w:left="777" w:right="775" w:firstLine="434"/>
        <w:jc w:val="both"/>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货物所应遵守的技术规范应与采购文件规定的技术规范和技术规范附件(如果有的话)及其技术规范偏差表(如果被甲方接受的话)相一致；如果采购文件中</w:t>
      </w:r>
      <w:r>
        <w:rPr>
          <w:color w:val="000000" w:themeColor="text1"/>
          <w:spacing w:val="-10"/>
          <w:highlight w:val="none"/>
          <w14:textFill>
            <w14:solidFill>
              <w14:schemeClr w14:val="tx1"/>
            </w14:solidFill>
          </w14:textFill>
        </w:rPr>
        <w:t>没有技术规范的相应说明，那么应以国家有关部门最新颁布的相应标准和规范为</w:t>
      </w:r>
      <w:r>
        <w:rPr>
          <w:color w:val="000000" w:themeColor="text1"/>
          <w:spacing w:val="-6"/>
          <w:highlight w:val="none"/>
          <w14:textFill>
            <w14:solidFill>
              <w14:schemeClr w14:val="tx1"/>
            </w14:solidFill>
          </w14:textFill>
        </w:rPr>
        <w:t>准。</w:t>
      </w:r>
    </w:p>
    <w:p>
      <w:pPr>
        <w:pStyle w:val="7"/>
        <w:numPr>
          <w:ilvl w:val="1"/>
          <w:numId w:val="53"/>
        </w:numPr>
        <w:shd w:val="clear"/>
        <w:tabs>
          <w:tab w:val="left" w:pos="1695"/>
        </w:tabs>
        <w:spacing w:before="8"/>
        <w:ind w:left="1695" w:hanging="481"/>
        <w:jc w:val="both"/>
        <w:rPr>
          <w:color w:val="000000" w:themeColor="text1"/>
          <w:highlight w:val="none"/>
          <w14:textFill>
            <w14:solidFill>
              <w14:schemeClr w14:val="tx1"/>
            </w14:solidFill>
          </w14:textFill>
        </w:rPr>
      </w:pPr>
      <w:bookmarkStart w:id="134" w:name="2.3_知识产权"/>
      <w:bookmarkEnd w:id="134"/>
      <w:r>
        <w:rPr>
          <w:color w:val="000000" w:themeColor="text1"/>
          <w:spacing w:val="-4"/>
          <w:highlight w:val="none"/>
          <w14:textFill>
            <w14:solidFill>
              <w14:schemeClr w14:val="tx1"/>
            </w14:solidFill>
          </w14:textFill>
        </w:rPr>
        <w:t>知识产权</w:t>
      </w:r>
    </w:p>
    <w:p>
      <w:pPr>
        <w:pStyle w:val="19"/>
        <w:numPr>
          <w:ilvl w:val="2"/>
          <w:numId w:val="53"/>
        </w:numPr>
        <w:shd w:val="clear"/>
        <w:tabs>
          <w:tab w:val="left" w:pos="1871"/>
        </w:tabs>
        <w:spacing w:before="156" w:line="360" w:lineRule="auto"/>
        <w:ind w:right="777" w:firstLine="434"/>
        <w:jc w:val="both"/>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乙方应保证其提供的服务不受任何第三方提出的侵犯其著作权、商标</w:t>
      </w:r>
      <w:r>
        <w:rPr>
          <w:color w:val="000000" w:themeColor="text1"/>
          <w:spacing w:val="-4"/>
          <w:sz w:val="24"/>
          <w:highlight w:val="none"/>
          <w14:textFill>
            <w14:solidFill>
              <w14:schemeClr w14:val="tx1"/>
            </w14:solidFill>
          </w14:textFill>
        </w:rPr>
        <w:t>权、专利权等知识产权方面的起诉；如果任何第三方提出侵权指控，那么乙方须</w:t>
      </w:r>
      <w:r>
        <w:rPr>
          <w:color w:val="000000" w:themeColor="text1"/>
          <w:spacing w:val="-2"/>
          <w:sz w:val="24"/>
          <w:highlight w:val="none"/>
          <w14:textFill>
            <w14:solidFill>
              <w14:schemeClr w14:val="tx1"/>
            </w14:solidFill>
          </w14:textFill>
        </w:rPr>
        <w:t>与该第三方交涉并承担由此发生的一切责任、费用和赔偿；</w:t>
      </w:r>
    </w:p>
    <w:p>
      <w:pPr>
        <w:pStyle w:val="19"/>
        <w:numPr>
          <w:ilvl w:val="2"/>
          <w:numId w:val="53"/>
        </w:numPr>
        <w:shd w:val="clear"/>
        <w:tabs>
          <w:tab w:val="left" w:pos="1871"/>
        </w:tabs>
        <w:spacing w:line="360" w:lineRule="auto"/>
        <w:ind w:right="787" w:firstLine="434"/>
        <w:jc w:val="both"/>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具有知识产权的计算机软件等货物的知识产权归属，详见</w:t>
      </w:r>
      <w:r>
        <w:rPr>
          <w:b/>
          <w:color w:val="000000" w:themeColor="text1"/>
          <w:spacing w:val="-2"/>
          <w:sz w:val="24"/>
          <w:highlight w:val="none"/>
          <w:u w:val="single"/>
          <w14:textFill>
            <w14:solidFill>
              <w14:schemeClr w14:val="tx1"/>
            </w14:solidFill>
          </w14:textFill>
        </w:rPr>
        <w:t>合同专用条</w:t>
      </w:r>
      <w:r>
        <w:rPr>
          <w:b/>
          <w:color w:val="000000" w:themeColor="text1"/>
          <w:spacing w:val="-6"/>
          <w:sz w:val="24"/>
          <w:highlight w:val="none"/>
          <w:u w:val="single"/>
          <w14:textFill>
            <w14:solidFill>
              <w14:schemeClr w14:val="tx1"/>
            </w14:solidFill>
          </w14:textFill>
        </w:rPr>
        <w:t>款</w:t>
      </w:r>
      <w:r>
        <w:rPr>
          <w:color w:val="000000" w:themeColor="text1"/>
          <w:spacing w:val="-6"/>
          <w:sz w:val="24"/>
          <w:highlight w:val="none"/>
          <w14:textFill>
            <w14:solidFill>
              <w14:schemeClr w14:val="tx1"/>
            </w14:solidFill>
          </w14:textFill>
        </w:rPr>
        <w:t>。</w:t>
      </w:r>
    </w:p>
    <w:p>
      <w:pPr>
        <w:pStyle w:val="7"/>
        <w:numPr>
          <w:ilvl w:val="1"/>
          <w:numId w:val="53"/>
        </w:numPr>
        <w:shd w:val="clear"/>
        <w:tabs>
          <w:tab w:val="left" w:pos="1695"/>
        </w:tabs>
        <w:spacing w:line="310" w:lineRule="exact"/>
        <w:ind w:left="1695" w:hanging="481"/>
        <w:jc w:val="both"/>
        <w:rPr>
          <w:color w:val="000000" w:themeColor="text1"/>
          <w:highlight w:val="none"/>
          <w14:textFill>
            <w14:solidFill>
              <w14:schemeClr w14:val="tx1"/>
            </w14:solidFill>
          </w14:textFill>
        </w:rPr>
      </w:pPr>
      <w:bookmarkStart w:id="135" w:name="2.4_履约检查和问题反馈"/>
      <w:bookmarkEnd w:id="135"/>
      <w:r>
        <w:rPr>
          <w:color w:val="000000" w:themeColor="text1"/>
          <w:spacing w:val="-3"/>
          <w:highlight w:val="none"/>
          <w14:textFill>
            <w14:solidFill>
              <w14:schemeClr w14:val="tx1"/>
            </w14:solidFill>
          </w14:textFill>
        </w:rPr>
        <w:t>履约检查和问题反馈</w:t>
      </w:r>
    </w:p>
    <w:p>
      <w:pPr>
        <w:shd w:val="clear"/>
        <w:spacing w:line="310" w:lineRule="exact"/>
        <w:jc w:val="both"/>
        <w:rPr>
          <w:color w:val="000000" w:themeColor="text1"/>
          <w:highlight w:val="none"/>
          <w14:textFill>
            <w14:solidFill>
              <w14:schemeClr w14:val="tx1"/>
            </w14:solidFill>
          </w14:textFill>
        </w:rPr>
        <w:sectPr>
          <w:pgSz w:w="11910" w:h="16840"/>
          <w:pgMar w:top="1380" w:right="1019" w:bottom="1040" w:left="1020" w:header="878" w:footer="853" w:gutter="0"/>
          <w:cols w:space="720" w:num="1"/>
        </w:sectPr>
      </w:pPr>
    </w:p>
    <w:p>
      <w:pPr>
        <w:pStyle w:val="19"/>
        <w:numPr>
          <w:ilvl w:val="2"/>
          <w:numId w:val="53"/>
        </w:numPr>
        <w:shd w:val="clear"/>
        <w:tabs>
          <w:tab w:val="left" w:pos="1871"/>
        </w:tabs>
        <w:spacing w:before="51" w:line="360" w:lineRule="auto"/>
        <w:ind w:right="775" w:firstLine="434"/>
        <w:jc w:val="both"/>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甲方有权在其认为必要时，对乙方是否能够按照合同约定提供服务进</w:t>
      </w:r>
      <w:r>
        <w:rPr>
          <w:color w:val="000000" w:themeColor="text1"/>
          <w:spacing w:val="-4"/>
          <w:sz w:val="24"/>
          <w:highlight w:val="none"/>
          <w14:textFill>
            <w14:solidFill>
              <w14:schemeClr w14:val="tx1"/>
            </w14:solidFill>
          </w14:textFill>
        </w:rPr>
        <w:t>行履约检查，以确保乙方所提供的服务能够依约满足甲方项目需求，但不得因履</w:t>
      </w:r>
      <w:r>
        <w:rPr>
          <w:color w:val="000000" w:themeColor="text1"/>
          <w:spacing w:val="-2"/>
          <w:sz w:val="24"/>
          <w:highlight w:val="none"/>
          <w14:textFill>
            <w14:solidFill>
              <w14:schemeClr w14:val="tx1"/>
            </w14:solidFill>
          </w14:textFill>
        </w:rPr>
        <w:t>约检查妨碍乙方的正常工作，乙方应予积极配合；</w:t>
      </w:r>
    </w:p>
    <w:p>
      <w:pPr>
        <w:pStyle w:val="19"/>
        <w:numPr>
          <w:ilvl w:val="2"/>
          <w:numId w:val="53"/>
        </w:numPr>
        <w:shd w:val="clear"/>
        <w:tabs>
          <w:tab w:val="left" w:pos="1871"/>
        </w:tabs>
        <w:spacing w:line="357" w:lineRule="auto"/>
        <w:ind w:right="793" w:firstLine="434"/>
        <w:jc w:val="both"/>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合同履行期间，甲方有权将履行过程中出现的问题反馈给乙方，双方当事人应以书面形式约定需要完善和改进的内容。</w:t>
      </w:r>
    </w:p>
    <w:p>
      <w:pPr>
        <w:pStyle w:val="7"/>
        <w:numPr>
          <w:ilvl w:val="1"/>
          <w:numId w:val="53"/>
        </w:numPr>
        <w:shd w:val="clear"/>
        <w:tabs>
          <w:tab w:val="left" w:pos="1694"/>
        </w:tabs>
        <w:spacing w:before="2" w:line="357" w:lineRule="auto"/>
        <w:ind w:left="1211" w:right="6000" w:firstLine="2"/>
        <w:jc w:val="both"/>
        <w:rPr>
          <w:b w:val="0"/>
          <w:color w:val="000000" w:themeColor="text1"/>
          <w:highlight w:val="none"/>
          <w14:textFill>
            <w14:solidFill>
              <w14:schemeClr w14:val="tx1"/>
            </w14:solidFill>
          </w14:textFill>
        </w:rPr>
      </w:pPr>
      <w:bookmarkStart w:id="136" w:name="2.5_结算方式和付款条件"/>
      <w:bookmarkEnd w:id="136"/>
      <w:r>
        <w:rPr>
          <w:color w:val="000000" w:themeColor="text1"/>
          <w:spacing w:val="-2"/>
          <w:highlight w:val="none"/>
          <w14:textFill>
            <w14:solidFill>
              <w14:schemeClr w14:val="tx1"/>
            </w14:solidFill>
          </w14:textFill>
        </w:rPr>
        <w:t>结算方式和付款条件</w:t>
      </w:r>
      <w:r>
        <w:rPr>
          <w:b w:val="0"/>
          <w:color w:val="000000" w:themeColor="text1"/>
          <w:spacing w:val="-2"/>
          <w:highlight w:val="none"/>
          <w14:textFill>
            <w14:solidFill>
              <w14:schemeClr w14:val="tx1"/>
            </w14:solidFill>
          </w14:textFill>
        </w:rPr>
        <w:t>详见</w:t>
      </w:r>
      <w:r>
        <w:rPr>
          <w:color w:val="000000" w:themeColor="text1"/>
          <w:spacing w:val="-2"/>
          <w:highlight w:val="none"/>
          <w:u w:val="single"/>
          <w14:textFill>
            <w14:solidFill>
              <w14:schemeClr w14:val="tx1"/>
            </w14:solidFill>
          </w14:textFill>
        </w:rPr>
        <w:t>合同专用条款</w:t>
      </w:r>
      <w:r>
        <w:rPr>
          <w:b w:val="0"/>
          <w:color w:val="000000" w:themeColor="text1"/>
          <w:spacing w:val="-2"/>
          <w:highlight w:val="none"/>
          <w14:textFill>
            <w14:solidFill>
              <w14:schemeClr w14:val="tx1"/>
            </w14:solidFill>
          </w14:textFill>
        </w:rPr>
        <w:t>。</w:t>
      </w:r>
    </w:p>
    <w:p>
      <w:pPr>
        <w:pStyle w:val="19"/>
        <w:numPr>
          <w:ilvl w:val="1"/>
          <w:numId w:val="53"/>
        </w:numPr>
        <w:shd w:val="clear"/>
        <w:tabs>
          <w:tab w:val="left" w:pos="1695"/>
        </w:tabs>
        <w:spacing w:before="4"/>
        <w:ind w:left="1695" w:hanging="481"/>
        <w:jc w:val="both"/>
        <w:rPr>
          <w:b/>
          <w:color w:val="000000" w:themeColor="text1"/>
          <w:sz w:val="24"/>
          <w:highlight w:val="none"/>
          <w14:textFill>
            <w14:solidFill>
              <w14:schemeClr w14:val="tx1"/>
            </w14:solidFill>
          </w14:textFill>
        </w:rPr>
      </w:pPr>
      <w:bookmarkStart w:id="137" w:name="2.6_技术资料和保密义务"/>
      <w:bookmarkEnd w:id="137"/>
      <w:r>
        <w:rPr>
          <w:b/>
          <w:color w:val="000000" w:themeColor="text1"/>
          <w:spacing w:val="-3"/>
          <w:sz w:val="24"/>
          <w:highlight w:val="none"/>
          <w14:textFill>
            <w14:solidFill>
              <w14:schemeClr w14:val="tx1"/>
            </w14:solidFill>
          </w14:textFill>
        </w:rPr>
        <w:t>技术资料和保密义务</w:t>
      </w:r>
    </w:p>
    <w:p>
      <w:pPr>
        <w:pStyle w:val="19"/>
        <w:numPr>
          <w:ilvl w:val="2"/>
          <w:numId w:val="53"/>
        </w:numPr>
        <w:shd w:val="clear"/>
        <w:tabs>
          <w:tab w:val="left" w:pos="1871"/>
        </w:tabs>
        <w:spacing w:before="156" w:line="357" w:lineRule="auto"/>
        <w:ind w:right="793" w:firstLine="434"/>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乙方有权依据合同约定和项目需要，向甲方了解有关情况，调阅有关资料等，甲方应予积极配合；</w:t>
      </w:r>
    </w:p>
    <w:p>
      <w:pPr>
        <w:pStyle w:val="19"/>
        <w:numPr>
          <w:ilvl w:val="2"/>
          <w:numId w:val="53"/>
        </w:numPr>
        <w:shd w:val="clear"/>
        <w:tabs>
          <w:tab w:val="left" w:pos="1871"/>
        </w:tabs>
        <w:spacing w:before="1"/>
        <w:ind w:left="1871" w:hanging="660"/>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乙方有义务妥善保管和保护由甲方提供的前款信息和资料等；</w:t>
      </w:r>
    </w:p>
    <w:p>
      <w:pPr>
        <w:pStyle w:val="19"/>
        <w:numPr>
          <w:ilvl w:val="2"/>
          <w:numId w:val="53"/>
        </w:numPr>
        <w:shd w:val="clear"/>
        <w:tabs>
          <w:tab w:val="left" w:pos="1871"/>
        </w:tabs>
        <w:spacing w:before="156" w:line="360" w:lineRule="auto"/>
        <w:ind w:right="775" w:firstLine="434"/>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除非依照法律规定或者对方当事人的书面同意，任何一方均应保证不向任何第三方提供或披露有关合同的或者履行合同过程中知悉的对方当事人任</w:t>
      </w:r>
      <w:r>
        <w:rPr>
          <w:color w:val="000000" w:themeColor="text1"/>
          <w:spacing w:val="-4"/>
          <w:sz w:val="24"/>
          <w:highlight w:val="none"/>
          <w14:textFill>
            <w14:solidFill>
              <w14:schemeClr w14:val="tx1"/>
            </w14:solidFill>
          </w14:textFill>
        </w:rPr>
        <w:t>何未公开的信息和资料，包括但不限于技术情报、技术资料、商业秘密和商业信</w:t>
      </w:r>
      <w:r>
        <w:rPr>
          <w:color w:val="000000" w:themeColor="text1"/>
          <w:spacing w:val="-12"/>
          <w:sz w:val="24"/>
          <w:highlight w:val="none"/>
          <w14:textFill>
            <w14:solidFill>
              <w14:schemeClr w14:val="tx1"/>
            </w14:solidFill>
          </w14:textFill>
        </w:rPr>
        <w:t>息等，并采取一切合理和必要措施和方式防止任何第三方接触到对方当事人的上</w:t>
      </w:r>
      <w:r>
        <w:rPr>
          <w:color w:val="000000" w:themeColor="text1"/>
          <w:spacing w:val="-2"/>
          <w:sz w:val="24"/>
          <w:highlight w:val="none"/>
          <w14:textFill>
            <w14:solidFill>
              <w14:schemeClr w14:val="tx1"/>
            </w14:solidFill>
          </w14:textFill>
        </w:rPr>
        <w:t>述保密信息和资料。</w:t>
      </w:r>
    </w:p>
    <w:p>
      <w:pPr>
        <w:pStyle w:val="7"/>
        <w:numPr>
          <w:ilvl w:val="1"/>
          <w:numId w:val="53"/>
        </w:numPr>
        <w:shd w:val="clear"/>
        <w:tabs>
          <w:tab w:val="left" w:pos="1695"/>
        </w:tabs>
        <w:spacing w:line="307" w:lineRule="exact"/>
        <w:ind w:left="1695" w:hanging="481"/>
        <w:rPr>
          <w:color w:val="000000" w:themeColor="text1"/>
          <w:highlight w:val="none"/>
          <w14:textFill>
            <w14:solidFill>
              <w14:schemeClr w14:val="tx1"/>
            </w14:solidFill>
          </w14:textFill>
        </w:rPr>
      </w:pPr>
      <w:bookmarkStart w:id="138" w:name="2.7_质量保证"/>
      <w:bookmarkEnd w:id="138"/>
      <w:r>
        <w:rPr>
          <w:color w:val="000000" w:themeColor="text1"/>
          <w:spacing w:val="-4"/>
          <w:highlight w:val="none"/>
          <w14:textFill>
            <w14:solidFill>
              <w14:schemeClr w14:val="tx1"/>
            </w14:solidFill>
          </w14:textFill>
        </w:rPr>
        <w:t>质量保证</w:t>
      </w:r>
    </w:p>
    <w:p>
      <w:pPr>
        <w:pStyle w:val="19"/>
        <w:numPr>
          <w:ilvl w:val="2"/>
          <w:numId w:val="53"/>
        </w:numPr>
        <w:shd w:val="clear"/>
        <w:tabs>
          <w:tab w:val="left" w:pos="1871"/>
        </w:tabs>
        <w:spacing w:before="154" w:line="360" w:lineRule="auto"/>
        <w:ind w:right="793" w:firstLine="434"/>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乙方应建立和完善履行合同的内部质量保证体系，并提供相关内部规章制度给甲方，以便甲方进行监督检查；</w:t>
      </w:r>
    </w:p>
    <w:p>
      <w:pPr>
        <w:pStyle w:val="19"/>
        <w:numPr>
          <w:ilvl w:val="2"/>
          <w:numId w:val="53"/>
        </w:numPr>
        <w:shd w:val="clear"/>
        <w:tabs>
          <w:tab w:val="left" w:pos="1871"/>
        </w:tabs>
        <w:spacing w:line="360" w:lineRule="auto"/>
        <w:ind w:right="793" w:firstLine="434"/>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乙方应保证履行合同的人员数量和素质、软件和硬件设备的配置、场地、环境和设施等满足全面履行合同的要求，并应接受甲方的监督检查。</w:t>
      </w:r>
    </w:p>
    <w:p>
      <w:pPr>
        <w:pStyle w:val="7"/>
        <w:numPr>
          <w:ilvl w:val="1"/>
          <w:numId w:val="53"/>
        </w:numPr>
        <w:shd w:val="clear"/>
        <w:tabs>
          <w:tab w:val="left" w:pos="1695"/>
        </w:tabs>
        <w:spacing w:line="310" w:lineRule="exact"/>
        <w:ind w:left="1695" w:hanging="481"/>
        <w:rPr>
          <w:color w:val="000000" w:themeColor="text1"/>
          <w:highlight w:val="none"/>
          <w14:textFill>
            <w14:solidFill>
              <w14:schemeClr w14:val="tx1"/>
            </w14:solidFill>
          </w14:textFill>
        </w:rPr>
      </w:pPr>
      <w:bookmarkStart w:id="139" w:name="2.8_延迟履行"/>
      <w:bookmarkEnd w:id="139"/>
      <w:r>
        <w:rPr>
          <w:color w:val="000000" w:themeColor="text1"/>
          <w:spacing w:val="-4"/>
          <w:highlight w:val="none"/>
          <w14:textFill>
            <w14:solidFill>
              <w14:schemeClr w14:val="tx1"/>
            </w14:solidFill>
          </w14:textFill>
        </w:rPr>
        <w:t>延迟履行</w:t>
      </w:r>
    </w:p>
    <w:p>
      <w:pPr>
        <w:pStyle w:val="10"/>
        <w:shd w:val="clear"/>
        <w:spacing w:before="153" w:line="360" w:lineRule="auto"/>
        <w:ind w:left="777" w:right="655" w:firstLine="434"/>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在合同履行过程中，如果乙方遇到不能按时提供服务的情况，应及时以书面</w:t>
      </w:r>
      <w:r>
        <w:rPr>
          <w:color w:val="000000" w:themeColor="text1"/>
          <w:spacing w:val="-13"/>
          <w:highlight w:val="none"/>
          <w14:textFill>
            <w14:solidFill>
              <w14:schemeClr w14:val="tx1"/>
            </w14:solidFill>
          </w14:textFill>
        </w:rPr>
        <w:t>形式将不能按时提供服务的理由、预期延误时间通知甲方；甲方收到乙方通知后，</w:t>
      </w:r>
      <w:r>
        <w:rPr>
          <w:color w:val="000000" w:themeColor="text1"/>
          <w:spacing w:val="-2"/>
          <w:highlight w:val="none"/>
          <w14:textFill>
            <w14:solidFill>
              <w14:schemeClr w14:val="tx1"/>
            </w14:solidFill>
          </w14:textFill>
        </w:rPr>
        <w:t>认为其理由正当的，可以书面形式酌情同意乙方可以延长履行的具体时间。</w:t>
      </w:r>
    </w:p>
    <w:p>
      <w:pPr>
        <w:pStyle w:val="7"/>
        <w:numPr>
          <w:ilvl w:val="1"/>
          <w:numId w:val="53"/>
        </w:numPr>
        <w:shd w:val="clear"/>
        <w:tabs>
          <w:tab w:val="left" w:pos="1695"/>
        </w:tabs>
        <w:spacing w:line="307" w:lineRule="exact"/>
        <w:ind w:left="1695" w:hanging="481"/>
        <w:rPr>
          <w:color w:val="000000" w:themeColor="text1"/>
          <w:highlight w:val="none"/>
          <w14:textFill>
            <w14:solidFill>
              <w14:schemeClr w14:val="tx1"/>
            </w14:solidFill>
          </w14:textFill>
        </w:rPr>
      </w:pPr>
      <w:bookmarkStart w:id="140" w:name="2.9_合同变更"/>
      <w:bookmarkEnd w:id="140"/>
      <w:r>
        <w:rPr>
          <w:color w:val="000000" w:themeColor="text1"/>
          <w:spacing w:val="-4"/>
          <w:highlight w:val="none"/>
          <w14:textFill>
            <w14:solidFill>
              <w14:schemeClr w14:val="tx1"/>
            </w14:solidFill>
          </w14:textFill>
        </w:rPr>
        <w:t>合同变更</w:t>
      </w:r>
    </w:p>
    <w:p>
      <w:pPr>
        <w:pStyle w:val="19"/>
        <w:numPr>
          <w:ilvl w:val="2"/>
          <w:numId w:val="53"/>
        </w:numPr>
        <w:shd w:val="clear"/>
        <w:tabs>
          <w:tab w:val="left" w:pos="1871"/>
        </w:tabs>
        <w:spacing w:before="156" w:line="357" w:lineRule="auto"/>
        <w:ind w:right="793" w:firstLine="434"/>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双方当事人协商一致，可以签订书面补充合同的形式变更合同，但不得违背采购文件确定的事项；</w:t>
      </w:r>
    </w:p>
    <w:p>
      <w:pPr>
        <w:pStyle w:val="19"/>
        <w:numPr>
          <w:ilvl w:val="2"/>
          <w:numId w:val="53"/>
        </w:numPr>
        <w:shd w:val="clear"/>
        <w:tabs>
          <w:tab w:val="left" w:pos="1871"/>
        </w:tabs>
        <w:spacing w:before="4" w:line="360" w:lineRule="auto"/>
        <w:ind w:right="686" w:firstLine="434"/>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w:t>
      </w:r>
    </w:p>
    <w:p>
      <w:pPr>
        <w:shd w:val="clear"/>
        <w:spacing w:line="360" w:lineRule="auto"/>
        <w:rPr>
          <w:color w:val="000000" w:themeColor="text1"/>
          <w:sz w:val="24"/>
          <w:highlight w:val="none"/>
          <w14:textFill>
            <w14:solidFill>
              <w14:schemeClr w14:val="tx1"/>
            </w14:solidFill>
          </w14:textFill>
        </w:rPr>
        <w:sectPr>
          <w:pgSz w:w="11910" w:h="16840"/>
          <w:pgMar w:top="1380" w:right="1019" w:bottom="1040" w:left="1020" w:header="878" w:footer="853" w:gutter="0"/>
          <w:cols w:space="720" w:num="1"/>
        </w:sectPr>
      </w:pPr>
    </w:p>
    <w:p>
      <w:pPr>
        <w:pStyle w:val="10"/>
        <w:shd w:val="clear"/>
        <w:spacing w:before="51"/>
        <w:ind w:left="777"/>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各自承担相应的责任。</w:t>
      </w:r>
    </w:p>
    <w:p>
      <w:pPr>
        <w:pStyle w:val="7"/>
        <w:numPr>
          <w:ilvl w:val="1"/>
          <w:numId w:val="53"/>
        </w:numPr>
        <w:shd w:val="clear"/>
        <w:tabs>
          <w:tab w:val="left" w:pos="1814"/>
        </w:tabs>
        <w:spacing w:before="156"/>
        <w:ind w:left="1814" w:hanging="600"/>
        <w:jc w:val="both"/>
        <w:rPr>
          <w:color w:val="000000" w:themeColor="text1"/>
          <w:highlight w:val="none"/>
          <w14:textFill>
            <w14:solidFill>
              <w14:schemeClr w14:val="tx1"/>
            </w14:solidFill>
          </w14:textFill>
        </w:rPr>
      </w:pPr>
      <w:bookmarkStart w:id="141" w:name="2.10_合同转让和分包"/>
      <w:bookmarkEnd w:id="141"/>
      <w:r>
        <w:rPr>
          <w:color w:val="000000" w:themeColor="text1"/>
          <w:spacing w:val="-4"/>
          <w:highlight w:val="none"/>
          <w14:textFill>
            <w14:solidFill>
              <w14:schemeClr w14:val="tx1"/>
            </w14:solidFill>
          </w14:textFill>
        </w:rPr>
        <w:t>合同转让和分包</w:t>
      </w:r>
    </w:p>
    <w:p>
      <w:pPr>
        <w:pStyle w:val="10"/>
        <w:shd w:val="clear"/>
        <w:spacing w:before="154" w:line="360" w:lineRule="auto"/>
        <w:ind w:left="777" w:right="775" w:firstLine="434"/>
        <w:jc w:val="both"/>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合同的权利义务依法不得转让，但经甲方同意，乙方可以依法采取分包方式</w:t>
      </w:r>
      <w:r>
        <w:rPr>
          <w:color w:val="000000" w:themeColor="text1"/>
          <w:spacing w:val="-4"/>
          <w:highlight w:val="none"/>
          <w14:textFill>
            <w14:solidFill>
              <w14:schemeClr w14:val="tx1"/>
            </w14:solidFill>
          </w14:textFill>
        </w:rPr>
        <w:t>履行合同，即：依法可以将合同项下的部分非主体、非关键性工作分包给他人完成，接受分包的人应当具备相应的资格条件，并不得再次分包，且乙方应就分包</w:t>
      </w:r>
      <w:r>
        <w:rPr>
          <w:color w:val="000000" w:themeColor="text1"/>
          <w:spacing w:val="-2"/>
          <w:highlight w:val="none"/>
          <w14:textFill>
            <w14:solidFill>
              <w14:schemeClr w14:val="tx1"/>
            </w14:solidFill>
          </w14:textFill>
        </w:rPr>
        <w:t>项目向甲方负责，并与分包供应商就分包项目向甲方承担连带责任。</w:t>
      </w:r>
    </w:p>
    <w:p>
      <w:pPr>
        <w:pStyle w:val="7"/>
        <w:numPr>
          <w:ilvl w:val="1"/>
          <w:numId w:val="53"/>
        </w:numPr>
        <w:shd w:val="clear"/>
        <w:tabs>
          <w:tab w:val="left" w:pos="1814"/>
        </w:tabs>
        <w:spacing w:line="307" w:lineRule="exact"/>
        <w:ind w:left="1814" w:hanging="600"/>
        <w:jc w:val="both"/>
        <w:rPr>
          <w:color w:val="000000" w:themeColor="text1"/>
          <w:highlight w:val="none"/>
          <w14:textFill>
            <w14:solidFill>
              <w14:schemeClr w14:val="tx1"/>
            </w14:solidFill>
          </w14:textFill>
        </w:rPr>
      </w:pPr>
      <w:bookmarkStart w:id="142" w:name="2.11_不可抗力"/>
      <w:bookmarkEnd w:id="142"/>
      <w:r>
        <w:rPr>
          <w:color w:val="000000" w:themeColor="text1"/>
          <w:spacing w:val="-4"/>
          <w:highlight w:val="none"/>
          <w14:textFill>
            <w14:solidFill>
              <w14:schemeClr w14:val="tx1"/>
            </w14:solidFill>
          </w14:textFill>
        </w:rPr>
        <w:t>不可抗力</w:t>
      </w:r>
    </w:p>
    <w:p>
      <w:pPr>
        <w:pStyle w:val="19"/>
        <w:numPr>
          <w:ilvl w:val="2"/>
          <w:numId w:val="53"/>
        </w:numPr>
        <w:shd w:val="clear"/>
        <w:tabs>
          <w:tab w:val="left" w:pos="1991"/>
        </w:tabs>
        <w:spacing w:before="156" w:line="360" w:lineRule="auto"/>
        <w:ind w:right="775" w:firstLine="434"/>
        <w:jc w:val="both"/>
        <w:rPr>
          <w:color w:val="000000" w:themeColor="text1"/>
          <w:sz w:val="24"/>
          <w:highlight w:val="none"/>
          <w14:textFill>
            <w14:solidFill>
              <w14:schemeClr w14:val="tx1"/>
            </w14:solidFill>
          </w14:textFill>
        </w:rPr>
      </w:pPr>
      <w:r>
        <w:rPr>
          <w:color w:val="000000" w:themeColor="text1"/>
          <w:spacing w:val="-7"/>
          <w:sz w:val="24"/>
          <w:highlight w:val="none"/>
          <w14:textFill>
            <w14:solidFill>
              <w14:schemeClr w14:val="tx1"/>
            </w14:solidFill>
          </w14:textFill>
        </w:rPr>
        <w:t>如果任何一方遭遇法律规定的不可抗力，致使合同履行受阻时，履行</w:t>
      </w:r>
      <w:r>
        <w:rPr>
          <w:color w:val="000000" w:themeColor="text1"/>
          <w:spacing w:val="-2"/>
          <w:sz w:val="24"/>
          <w:highlight w:val="none"/>
          <w14:textFill>
            <w14:solidFill>
              <w14:schemeClr w14:val="tx1"/>
            </w14:solidFill>
          </w14:textFill>
        </w:rPr>
        <w:t>合同的期限应予延长，延长的期限应相当于不可抗力所影响的时间；</w:t>
      </w:r>
    </w:p>
    <w:p>
      <w:pPr>
        <w:pStyle w:val="19"/>
        <w:numPr>
          <w:ilvl w:val="2"/>
          <w:numId w:val="53"/>
        </w:numPr>
        <w:shd w:val="clear"/>
        <w:tabs>
          <w:tab w:val="left" w:pos="1991"/>
        </w:tabs>
        <w:spacing w:line="310" w:lineRule="exact"/>
        <w:ind w:left="1991" w:hanging="780"/>
        <w:jc w:val="both"/>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因不可抗力致使不能实现合同目的的，当事人可以解除合同；</w:t>
      </w:r>
    </w:p>
    <w:p>
      <w:pPr>
        <w:pStyle w:val="19"/>
        <w:numPr>
          <w:ilvl w:val="2"/>
          <w:numId w:val="53"/>
        </w:numPr>
        <w:shd w:val="clear"/>
        <w:tabs>
          <w:tab w:val="left" w:pos="1991"/>
        </w:tabs>
        <w:spacing w:before="154" w:line="360" w:lineRule="auto"/>
        <w:ind w:right="775" w:firstLine="434"/>
        <w:jc w:val="both"/>
        <w:rPr>
          <w:color w:val="000000" w:themeColor="text1"/>
          <w:sz w:val="24"/>
          <w:highlight w:val="none"/>
          <w14:textFill>
            <w14:solidFill>
              <w14:schemeClr w14:val="tx1"/>
            </w14:solidFill>
          </w14:textFill>
        </w:rPr>
      </w:pPr>
      <w:r>
        <w:rPr>
          <w:color w:val="000000" w:themeColor="text1"/>
          <w:spacing w:val="-9"/>
          <w:sz w:val="24"/>
          <w:highlight w:val="none"/>
          <w14:textFill>
            <w14:solidFill>
              <w14:schemeClr w14:val="tx1"/>
            </w14:solidFill>
          </w14:textFill>
        </w:rPr>
        <w:t>因不可抗力致使合同有变更必要的，双方当事人应在</w:t>
      </w:r>
      <w:r>
        <w:rPr>
          <w:b/>
          <w:color w:val="000000" w:themeColor="text1"/>
          <w:spacing w:val="-2"/>
          <w:sz w:val="24"/>
          <w:highlight w:val="none"/>
          <w:u w:val="single"/>
          <w14:textFill>
            <w14:solidFill>
              <w14:schemeClr w14:val="tx1"/>
            </w14:solidFill>
          </w14:textFill>
        </w:rPr>
        <w:t>合同专用条款</w:t>
      </w:r>
      <w:r>
        <w:rPr>
          <w:color w:val="000000" w:themeColor="text1"/>
          <w:spacing w:val="-2"/>
          <w:sz w:val="24"/>
          <w:highlight w:val="none"/>
          <w14:textFill>
            <w14:solidFill>
              <w14:schemeClr w14:val="tx1"/>
            </w14:solidFill>
          </w14:textFill>
        </w:rPr>
        <w:t>约定时间内以书面形式变更合同；</w:t>
      </w:r>
    </w:p>
    <w:p>
      <w:pPr>
        <w:pStyle w:val="19"/>
        <w:numPr>
          <w:ilvl w:val="2"/>
          <w:numId w:val="53"/>
        </w:numPr>
        <w:shd w:val="clear"/>
        <w:tabs>
          <w:tab w:val="left" w:pos="1991"/>
        </w:tabs>
        <w:spacing w:line="360" w:lineRule="auto"/>
        <w:ind w:right="775" w:firstLine="434"/>
        <w:jc w:val="both"/>
        <w:rPr>
          <w:color w:val="000000" w:themeColor="text1"/>
          <w:sz w:val="24"/>
          <w:highlight w:val="none"/>
          <w14:textFill>
            <w14:solidFill>
              <w14:schemeClr w14:val="tx1"/>
            </w14:solidFill>
          </w14:textFill>
        </w:rPr>
      </w:pPr>
      <w:r>
        <w:rPr>
          <w:color w:val="000000" w:themeColor="text1"/>
          <w:spacing w:val="-8"/>
          <w:sz w:val="24"/>
          <w:highlight w:val="none"/>
          <w14:textFill>
            <w14:solidFill>
              <w14:schemeClr w14:val="tx1"/>
            </w14:solidFill>
          </w14:textFill>
        </w:rPr>
        <w:t>受不可抗力影响的一方在不可抗力发生后，应在</w:t>
      </w:r>
      <w:r>
        <w:rPr>
          <w:b/>
          <w:color w:val="000000" w:themeColor="text1"/>
          <w:spacing w:val="-2"/>
          <w:sz w:val="24"/>
          <w:highlight w:val="none"/>
          <w:u w:val="single"/>
          <w14:textFill>
            <w14:solidFill>
              <w14:schemeClr w14:val="tx1"/>
            </w14:solidFill>
          </w14:textFill>
        </w:rPr>
        <w:t>合同专用条款</w:t>
      </w:r>
      <w:r>
        <w:rPr>
          <w:color w:val="000000" w:themeColor="text1"/>
          <w:spacing w:val="-2"/>
          <w:sz w:val="24"/>
          <w:highlight w:val="none"/>
          <w14:textFill>
            <w14:solidFill>
              <w14:schemeClr w14:val="tx1"/>
            </w14:solidFill>
          </w14:textFill>
        </w:rPr>
        <w:t>约定时</w:t>
      </w:r>
      <w:r>
        <w:rPr>
          <w:color w:val="000000" w:themeColor="text1"/>
          <w:spacing w:val="-4"/>
          <w:sz w:val="24"/>
          <w:highlight w:val="none"/>
          <w14:textFill>
            <w14:solidFill>
              <w14:schemeClr w14:val="tx1"/>
            </w14:solidFill>
          </w14:textFill>
        </w:rPr>
        <w:t>间内以书面形式通知对方当事人，并在</w:t>
      </w:r>
      <w:r>
        <w:rPr>
          <w:b/>
          <w:color w:val="000000" w:themeColor="text1"/>
          <w:spacing w:val="-4"/>
          <w:sz w:val="24"/>
          <w:highlight w:val="none"/>
          <w:u w:val="single"/>
          <w14:textFill>
            <w14:solidFill>
              <w14:schemeClr w14:val="tx1"/>
            </w14:solidFill>
          </w14:textFill>
        </w:rPr>
        <w:t>合同专用条款</w:t>
      </w:r>
      <w:r>
        <w:rPr>
          <w:color w:val="000000" w:themeColor="text1"/>
          <w:spacing w:val="-4"/>
          <w:sz w:val="24"/>
          <w:highlight w:val="none"/>
          <w14:textFill>
            <w14:solidFill>
              <w14:schemeClr w14:val="tx1"/>
            </w14:solidFill>
          </w14:textFill>
        </w:rPr>
        <w:t>约定时间内，将有关部门出</w:t>
      </w:r>
      <w:r>
        <w:rPr>
          <w:color w:val="000000" w:themeColor="text1"/>
          <w:spacing w:val="-2"/>
          <w:sz w:val="24"/>
          <w:highlight w:val="none"/>
          <w14:textFill>
            <w14:solidFill>
              <w14:schemeClr w14:val="tx1"/>
            </w14:solidFill>
          </w14:textFill>
        </w:rPr>
        <w:t>具的证明文件送达对方当事人。</w:t>
      </w:r>
    </w:p>
    <w:p>
      <w:pPr>
        <w:pStyle w:val="7"/>
        <w:numPr>
          <w:ilvl w:val="1"/>
          <w:numId w:val="53"/>
        </w:numPr>
        <w:shd w:val="clear"/>
        <w:tabs>
          <w:tab w:val="left" w:pos="1814"/>
        </w:tabs>
        <w:spacing w:line="307" w:lineRule="exact"/>
        <w:ind w:left="1814" w:hanging="600"/>
        <w:jc w:val="both"/>
        <w:rPr>
          <w:color w:val="000000" w:themeColor="text1"/>
          <w:highlight w:val="none"/>
          <w14:textFill>
            <w14:solidFill>
              <w14:schemeClr w14:val="tx1"/>
            </w14:solidFill>
          </w14:textFill>
        </w:rPr>
      </w:pPr>
      <w:bookmarkStart w:id="143" w:name="2.12_税费"/>
      <w:bookmarkEnd w:id="143"/>
      <w:r>
        <w:rPr>
          <w:color w:val="000000" w:themeColor="text1"/>
          <w:spacing w:val="-7"/>
          <w:highlight w:val="none"/>
          <w14:textFill>
            <w14:solidFill>
              <w14:schemeClr w14:val="tx1"/>
            </w14:solidFill>
          </w14:textFill>
        </w:rPr>
        <w:t>税费</w:t>
      </w:r>
    </w:p>
    <w:p>
      <w:pPr>
        <w:pStyle w:val="10"/>
        <w:shd w:val="clear"/>
        <w:spacing w:before="156"/>
        <w:ind w:left="1211"/>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与合同有关的一切税费，均按照中华人民共和国法律的相关规定缴纳。</w:t>
      </w:r>
    </w:p>
    <w:p>
      <w:pPr>
        <w:pStyle w:val="7"/>
        <w:numPr>
          <w:ilvl w:val="1"/>
          <w:numId w:val="53"/>
        </w:numPr>
        <w:shd w:val="clear"/>
        <w:tabs>
          <w:tab w:val="left" w:pos="1814"/>
        </w:tabs>
        <w:spacing w:before="153"/>
        <w:ind w:left="1814" w:hanging="600"/>
        <w:rPr>
          <w:color w:val="000000" w:themeColor="text1"/>
          <w:highlight w:val="none"/>
          <w14:textFill>
            <w14:solidFill>
              <w14:schemeClr w14:val="tx1"/>
            </w14:solidFill>
          </w14:textFill>
        </w:rPr>
      </w:pPr>
      <w:bookmarkStart w:id="144" w:name="2.13_乙方破产"/>
      <w:bookmarkEnd w:id="144"/>
      <w:r>
        <w:rPr>
          <w:color w:val="000000" w:themeColor="text1"/>
          <w:spacing w:val="-4"/>
          <w:highlight w:val="none"/>
          <w14:textFill>
            <w14:solidFill>
              <w14:schemeClr w14:val="tx1"/>
            </w14:solidFill>
          </w14:textFill>
        </w:rPr>
        <w:t>乙方破产</w:t>
      </w:r>
    </w:p>
    <w:p>
      <w:pPr>
        <w:pStyle w:val="10"/>
        <w:shd w:val="clear"/>
        <w:spacing w:before="156" w:line="360" w:lineRule="auto"/>
        <w:ind w:left="777" w:right="775" w:firstLine="434"/>
        <w:jc w:val="both"/>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如果乙方破产导致合同无法履行时，甲方可以书面形式通知乙方终止合同且</w:t>
      </w:r>
      <w:r>
        <w:rPr>
          <w:color w:val="000000" w:themeColor="text1"/>
          <w:spacing w:val="-9"/>
          <w:highlight w:val="none"/>
          <w14:textFill>
            <w14:solidFill>
              <w14:schemeClr w14:val="tx1"/>
            </w14:solidFill>
          </w14:textFill>
        </w:rPr>
        <w:t>不给予乙方任何补偿和赔偿，但合同的终止不损害或不影响甲方已经采取或将要</w:t>
      </w:r>
      <w:r>
        <w:rPr>
          <w:color w:val="000000" w:themeColor="text1"/>
          <w:spacing w:val="-2"/>
          <w:highlight w:val="none"/>
          <w14:textFill>
            <w14:solidFill>
              <w14:schemeClr w14:val="tx1"/>
            </w14:solidFill>
          </w14:textFill>
        </w:rPr>
        <w:t>采取的任何要求乙方支付违约金、赔偿损失等的行动或补救措施的权利。</w:t>
      </w:r>
    </w:p>
    <w:p>
      <w:pPr>
        <w:pStyle w:val="7"/>
        <w:numPr>
          <w:ilvl w:val="1"/>
          <w:numId w:val="53"/>
        </w:numPr>
        <w:shd w:val="clear"/>
        <w:tabs>
          <w:tab w:val="left" w:pos="1814"/>
        </w:tabs>
        <w:spacing w:line="307" w:lineRule="exact"/>
        <w:ind w:left="1814" w:hanging="600"/>
        <w:jc w:val="both"/>
        <w:rPr>
          <w:color w:val="000000" w:themeColor="text1"/>
          <w:highlight w:val="none"/>
          <w14:textFill>
            <w14:solidFill>
              <w14:schemeClr w14:val="tx1"/>
            </w14:solidFill>
          </w14:textFill>
        </w:rPr>
      </w:pPr>
      <w:bookmarkStart w:id="145" w:name="2.14_合同中止、终止"/>
      <w:bookmarkEnd w:id="145"/>
      <w:r>
        <w:rPr>
          <w:color w:val="000000" w:themeColor="text1"/>
          <w:spacing w:val="-4"/>
          <w:highlight w:val="none"/>
          <w14:textFill>
            <w14:solidFill>
              <w14:schemeClr w14:val="tx1"/>
            </w14:solidFill>
          </w14:textFill>
        </w:rPr>
        <w:t>合同中止、终止</w:t>
      </w:r>
    </w:p>
    <w:p>
      <w:pPr>
        <w:pStyle w:val="19"/>
        <w:numPr>
          <w:ilvl w:val="2"/>
          <w:numId w:val="53"/>
        </w:numPr>
        <w:shd w:val="clear"/>
        <w:tabs>
          <w:tab w:val="left" w:pos="1991"/>
        </w:tabs>
        <w:spacing w:before="156"/>
        <w:ind w:left="1991" w:hanging="780"/>
        <w:jc w:val="both"/>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双方当事人不得擅自中止或者终止合同；</w:t>
      </w:r>
    </w:p>
    <w:p>
      <w:pPr>
        <w:pStyle w:val="19"/>
        <w:numPr>
          <w:ilvl w:val="2"/>
          <w:numId w:val="53"/>
        </w:numPr>
        <w:shd w:val="clear"/>
        <w:tabs>
          <w:tab w:val="left" w:pos="1991"/>
        </w:tabs>
        <w:spacing w:before="156" w:line="357" w:lineRule="auto"/>
        <w:ind w:right="775" w:firstLine="434"/>
        <w:jc w:val="both"/>
        <w:rPr>
          <w:color w:val="000000" w:themeColor="text1"/>
          <w:sz w:val="24"/>
          <w:highlight w:val="none"/>
          <w14:textFill>
            <w14:solidFill>
              <w14:schemeClr w14:val="tx1"/>
            </w14:solidFill>
          </w14:textFill>
        </w:rPr>
      </w:pPr>
      <w:r>
        <w:rPr>
          <w:color w:val="000000" w:themeColor="text1"/>
          <w:spacing w:val="-7"/>
          <w:sz w:val="24"/>
          <w:highlight w:val="none"/>
          <w14:textFill>
            <w14:solidFill>
              <w14:schemeClr w14:val="tx1"/>
            </w14:solidFill>
          </w14:textFill>
        </w:rPr>
        <w:t>合同继续履行将损害国家利益和社会公共利益的，双方当事人应当中</w:t>
      </w:r>
      <w:r>
        <w:rPr>
          <w:color w:val="000000" w:themeColor="text1"/>
          <w:spacing w:val="-4"/>
          <w:sz w:val="24"/>
          <w:highlight w:val="none"/>
          <w14:textFill>
            <w14:solidFill>
              <w14:schemeClr w14:val="tx1"/>
            </w14:solidFill>
          </w14:textFill>
        </w:rPr>
        <w:t>止或者终止合同。有过错的一方应当承担赔偿责任，双方当事人都有过错的，各</w:t>
      </w:r>
      <w:r>
        <w:rPr>
          <w:color w:val="000000" w:themeColor="text1"/>
          <w:spacing w:val="-2"/>
          <w:sz w:val="24"/>
          <w:highlight w:val="none"/>
          <w14:textFill>
            <w14:solidFill>
              <w14:schemeClr w14:val="tx1"/>
            </w14:solidFill>
          </w14:textFill>
        </w:rPr>
        <w:t>自承担相应的责任。</w:t>
      </w:r>
    </w:p>
    <w:p>
      <w:pPr>
        <w:pStyle w:val="7"/>
        <w:numPr>
          <w:ilvl w:val="1"/>
          <w:numId w:val="53"/>
        </w:numPr>
        <w:shd w:val="clear"/>
        <w:tabs>
          <w:tab w:val="left" w:pos="1814"/>
        </w:tabs>
        <w:spacing w:before="5"/>
        <w:ind w:left="1814" w:hanging="600"/>
        <w:jc w:val="both"/>
        <w:rPr>
          <w:color w:val="000000" w:themeColor="text1"/>
          <w:highlight w:val="none"/>
          <w14:textFill>
            <w14:solidFill>
              <w14:schemeClr w14:val="tx1"/>
            </w14:solidFill>
          </w14:textFill>
        </w:rPr>
      </w:pPr>
      <w:bookmarkStart w:id="146" w:name="2.15_检验和验收"/>
      <w:bookmarkEnd w:id="146"/>
      <w:r>
        <w:rPr>
          <w:color w:val="000000" w:themeColor="text1"/>
          <w:spacing w:val="-4"/>
          <w:highlight w:val="none"/>
          <w14:textFill>
            <w14:solidFill>
              <w14:schemeClr w14:val="tx1"/>
            </w14:solidFill>
          </w14:textFill>
        </w:rPr>
        <w:t>检验和验收</w:t>
      </w:r>
    </w:p>
    <w:p>
      <w:pPr>
        <w:pStyle w:val="19"/>
        <w:numPr>
          <w:ilvl w:val="2"/>
          <w:numId w:val="53"/>
        </w:numPr>
        <w:shd w:val="clear"/>
        <w:tabs>
          <w:tab w:val="left" w:pos="1991"/>
        </w:tabs>
        <w:spacing w:before="153" w:line="360" w:lineRule="auto"/>
        <w:ind w:right="777" w:firstLine="434"/>
        <w:jc w:val="both"/>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乙方按照</w:t>
      </w:r>
      <w:r>
        <w:rPr>
          <w:b/>
          <w:color w:val="000000" w:themeColor="text1"/>
          <w:spacing w:val="-2"/>
          <w:sz w:val="24"/>
          <w:highlight w:val="none"/>
          <w:u w:val="single"/>
          <w14:textFill>
            <w14:solidFill>
              <w14:schemeClr w14:val="tx1"/>
            </w14:solidFill>
          </w14:textFill>
        </w:rPr>
        <w:t>合同专用条款</w:t>
      </w:r>
      <w:r>
        <w:rPr>
          <w:color w:val="000000" w:themeColor="text1"/>
          <w:spacing w:val="-14"/>
          <w:sz w:val="24"/>
          <w:highlight w:val="none"/>
          <w14:textFill>
            <w14:solidFill>
              <w14:schemeClr w14:val="tx1"/>
            </w14:solidFill>
          </w14:textFill>
        </w:rPr>
        <w:t>的约定，定期提交服务报告，甲方按照</w:t>
      </w:r>
      <w:r>
        <w:rPr>
          <w:b/>
          <w:color w:val="000000" w:themeColor="text1"/>
          <w:spacing w:val="-2"/>
          <w:sz w:val="24"/>
          <w:highlight w:val="none"/>
          <w:u w:val="single"/>
          <w14:textFill>
            <w14:solidFill>
              <w14:schemeClr w14:val="tx1"/>
            </w14:solidFill>
          </w14:textFill>
        </w:rPr>
        <w:t>合同专</w:t>
      </w:r>
      <w:r>
        <w:rPr>
          <w:b/>
          <w:color w:val="000000" w:themeColor="text1"/>
          <w:spacing w:val="40"/>
          <w:sz w:val="24"/>
          <w:highlight w:val="none"/>
          <w:u w:val="single"/>
          <w14:textFill>
            <w14:solidFill>
              <w14:schemeClr w14:val="tx1"/>
            </w14:solidFill>
          </w14:textFill>
        </w:rPr>
        <w:t xml:space="preserve"> </w:t>
      </w:r>
      <w:r>
        <w:rPr>
          <w:b/>
          <w:color w:val="000000" w:themeColor="text1"/>
          <w:spacing w:val="-2"/>
          <w:sz w:val="24"/>
          <w:highlight w:val="none"/>
          <w:u w:val="single"/>
          <w14:textFill>
            <w14:solidFill>
              <w14:schemeClr w14:val="tx1"/>
            </w14:solidFill>
          </w14:textFill>
        </w:rPr>
        <w:t>用条款</w:t>
      </w:r>
      <w:r>
        <w:rPr>
          <w:color w:val="000000" w:themeColor="text1"/>
          <w:spacing w:val="-2"/>
          <w:sz w:val="24"/>
          <w:highlight w:val="none"/>
          <w14:textFill>
            <w14:solidFill>
              <w14:schemeClr w14:val="tx1"/>
            </w14:solidFill>
          </w14:textFill>
        </w:rPr>
        <w:t>的约定进行定期验收；</w:t>
      </w:r>
    </w:p>
    <w:p>
      <w:pPr>
        <w:pStyle w:val="19"/>
        <w:numPr>
          <w:ilvl w:val="2"/>
          <w:numId w:val="53"/>
        </w:numPr>
        <w:shd w:val="clear"/>
        <w:tabs>
          <w:tab w:val="left" w:pos="1991"/>
        </w:tabs>
        <w:ind w:left="1991" w:hanging="780"/>
        <w:jc w:val="both"/>
        <w:rPr>
          <w:color w:val="000000" w:themeColor="text1"/>
          <w:sz w:val="24"/>
          <w:highlight w:val="none"/>
          <w14:textFill>
            <w14:solidFill>
              <w14:schemeClr w14:val="tx1"/>
            </w14:solidFill>
          </w14:textFill>
        </w:rPr>
      </w:pPr>
      <w:r>
        <w:rPr>
          <w:color w:val="000000" w:themeColor="text1"/>
          <w:spacing w:val="-8"/>
          <w:sz w:val="24"/>
          <w:highlight w:val="none"/>
          <w14:textFill>
            <w14:solidFill>
              <w14:schemeClr w14:val="tx1"/>
            </w14:solidFill>
          </w14:textFill>
        </w:rPr>
        <w:t>合同期满或者履行完毕后，甲方有权组织</w:t>
      </w:r>
      <w:r>
        <w:rPr>
          <w:color w:val="000000" w:themeColor="text1"/>
          <w:sz w:val="24"/>
          <w:highlight w:val="none"/>
          <w14:textFill>
            <w14:solidFill>
              <w14:schemeClr w14:val="tx1"/>
            </w14:solidFill>
          </w14:textFill>
        </w:rPr>
        <w:t>（</w:t>
      </w:r>
      <w:r>
        <w:rPr>
          <w:color w:val="000000" w:themeColor="text1"/>
          <w:spacing w:val="-1"/>
          <w:sz w:val="24"/>
          <w:highlight w:val="none"/>
          <w14:textFill>
            <w14:solidFill>
              <w14:schemeClr w14:val="tx1"/>
            </w14:solidFill>
          </w14:textFill>
        </w:rPr>
        <w:t>包括依法邀请国家认可的</w:t>
      </w:r>
    </w:p>
    <w:p>
      <w:pPr>
        <w:shd w:val="clear"/>
        <w:jc w:val="both"/>
        <w:rPr>
          <w:color w:val="000000" w:themeColor="text1"/>
          <w:sz w:val="24"/>
          <w:highlight w:val="none"/>
          <w14:textFill>
            <w14:solidFill>
              <w14:schemeClr w14:val="tx1"/>
            </w14:solidFill>
          </w14:textFill>
        </w:rPr>
        <w:sectPr>
          <w:pgSz w:w="11910" w:h="16840"/>
          <w:pgMar w:top="1380" w:right="1019" w:bottom="1040" w:left="1020" w:header="878" w:footer="853" w:gutter="0"/>
          <w:cols w:space="720" w:num="1"/>
        </w:sectPr>
      </w:pPr>
    </w:p>
    <w:p>
      <w:pPr>
        <w:pStyle w:val="10"/>
        <w:shd w:val="clear"/>
        <w:spacing w:before="51" w:line="360" w:lineRule="auto"/>
        <w:ind w:left="777" w:right="775"/>
        <w:jc w:val="both"/>
        <w:rPr>
          <w:color w:val="000000" w:themeColor="text1"/>
          <w:highlight w:val="none"/>
          <w14:textFill>
            <w14:solidFill>
              <w14:schemeClr w14:val="tx1"/>
            </w14:solidFill>
          </w14:textFill>
        </w:rPr>
      </w:pPr>
      <w:bookmarkStart w:id="147" w:name="第三部分_合同专用条款"/>
      <w:bookmarkEnd w:id="147"/>
      <w:r>
        <w:rPr>
          <w:color w:val="000000" w:themeColor="text1"/>
          <w:spacing w:val="-4"/>
          <w:highlight w:val="none"/>
          <w14:textFill>
            <w14:solidFill>
              <w14:schemeClr w14:val="tx1"/>
            </w14:solidFill>
          </w14:textFill>
        </w:rPr>
        <w:t>质量检测机构参加）对乙方履约的验收，即：按照合同约定的标准，组织对乙方履约情况的验收，并出具验收书；向社会公众提供的公共服务项目，验收时应当</w:t>
      </w:r>
      <w:r>
        <w:rPr>
          <w:color w:val="000000" w:themeColor="text1"/>
          <w:spacing w:val="-2"/>
          <w:highlight w:val="none"/>
          <w14:textFill>
            <w14:solidFill>
              <w14:schemeClr w14:val="tx1"/>
            </w14:solidFill>
          </w14:textFill>
        </w:rPr>
        <w:t>邀请服务对象参与并出具意见，验收结果应当向社会公告；</w:t>
      </w:r>
    </w:p>
    <w:p>
      <w:pPr>
        <w:pStyle w:val="19"/>
        <w:numPr>
          <w:ilvl w:val="2"/>
          <w:numId w:val="53"/>
        </w:numPr>
        <w:shd w:val="clear"/>
        <w:tabs>
          <w:tab w:val="left" w:pos="1991"/>
        </w:tabs>
        <w:spacing w:line="357" w:lineRule="auto"/>
        <w:ind w:right="777" w:firstLine="434"/>
        <w:rPr>
          <w:color w:val="000000" w:themeColor="text1"/>
          <w:sz w:val="24"/>
          <w:highlight w:val="none"/>
          <w14:textFill>
            <w14:solidFill>
              <w14:schemeClr w14:val="tx1"/>
            </w14:solidFill>
          </w14:textFill>
        </w:rPr>
      </w:pPr>
      <w:r>
        <w:rPr>
          <w:color w:val="000000" w:themeColor="text1"/>
          <w:spacing w:val="-13"/>
          <w:sz w:val="24"/>
          <w:highlight w:val="none"/>
          <w14:textFill>
            <w14:solidFill>
              <w14:schemeClr w14:val="tx1"/>
            </w14:solidFill>
          </w14:textFill>
        </w:rPr>
        <w:t>检验和验收标准、程序等具体内容以及前述验收书的效力详见</w:t>
      </w:r>
      <w:r>
        <w:rPr>
          <w:b/>
          <w:color w:val="000000" w:themeColor="text1"/>
          <w:spacing w:val="-2"/>
          <w:sz w:val="24"/>
          <w:highlight w:val="none"/>
          <w:u w:val="single"/>
          <w14:textFill>
            <w14:solidFill>
              <w14:schemeClr w14:val="tx1"/>
            </w14:solidFill>
          </w14:textFill>
        </w:rPr>
        <w:t>合同专</w:t>
      </w:r>
      <w:r>
        <w:rPr>
          <w:b/>
          <w:color w:val="000000" w:themeColor="text1"/>
          <w:spacing w:val="-4"/>
          <w:sz w:val="24"/>
          <w:highlight w:val="none"/>
          <w:u w:val="single"/>
          <w14:textFill>
            <w14:solidFill>
              <w14:schemeClr w14:val="tx1"/>
            </w14:solidFill>
          </w14:textFill>
        </w:rPr>
        <w:t>用条款</w:t>
      </w:r>
      <w:r>
        <w:rPr>
          <w:color w:val="000000" w:themeColor="text1"/>
          <w:spacing w:val="-4"/>
          <w:sz w:val="24"/>
          <w:highlight w:val="none"/>
          <w14:textFill>
            <w14:solidFill>
              <w14:schemeClr w14:val="tx1"/>
            </w14:solidFill>
          </w14:textFill>
        </w:rPr>
        <w:t>。</w:t>
      </w:r>
    </w:p>
    <w:p>
      <w:pPr>
        <w:pStyle w:val="7"/>
        <w:numPr>
          <w:ilvl w:val="1"/>
          <w:numId w:val="53"/>
        </w:numPr>
        <w:shd w:val="clear"/>
        <w:tabs>
          <w:tab w:val="left" w:pos="1814"/>
        </w:tabs>
        <w:spacing w:before="2"/>
        <w:ind w:left="1814" w:hanging="600"/>
        <w:rPr>
          <w:color w:val="000000" w:themeColor="text1"/>
          <w:highlight w:val="none"/>
          <w14:textFill>
            <w14:solidFill>
              <w14:schemeClr w14:val="tx1"/>
            </w14:solidFill>
          </w14:textFill>
        </w:rPr>
      </w:pPr>
      <w:bookmarkStart w:id="148" w:name="2.16_合同使用的文字和适用的法律"/>
      <w:bookmarkEnd w:id="148"/>
      <w:r>
        <w:rPr>
          <w:color w:val="000000" w:themeColor="text1"/>
          <w:spacing w:val="-3"/>
          <w:highlight w:val="none"/>
          <w14:textFill>
            <w14:solidFill>
              <w14:schemeClr w14:val="tx1"/>
            </w14:solidFill>
          </w14:textFill>
        </w:rPr>
        <w:t>合同使用的文字和适用的法律</w:t>
      </w:r>
    </w:p>
    <w:p>
      <w:pPr>
        <w:pStyle w:val="19"/>
        <w:numPr>
          <w:ilvl w:val="2"/>
          <w:numId w:val="53"/>
        </w:numPr>
        <w:shd w:val="clear"/>
        <w:tabs>
          <w:tab w:val="left" w:pos="1991"/>
        </w:tabs>
        <w:spacing w:before="153"/>
        <w:ind w:left="1991" w:hanging="780"/>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合同使用汉语书就、变更和解释；</w:t>
      </w:r>
    </w:p>
    <w:p>
      <w:pPr>
        <w:pStyle w:val="19"/>
        <w:numPr>
          <w:ilvl w:val="2"/>
          <w:numId w:val="53"/>
        </w:numPr>
        <w:shd w:val="clear"/>
        <w:tabs>
          <w:tab w:val="left" w:pos="1991"/>
        </w:tabs>
        <w:spacing w:before="156"/>
        <w:ind w:left="1991" w:hanging="780"/>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合同适用中华人民共和国法律。</w:t>
      </w:r>
    </w:p>
    <w:p>
      <w:pPr>
        <w:pStyle w:val="7"/>
        <w:numPr>
          <w:ilvl w:val="1"/>
          <w:numId w:val="53"/>
        </w:numPr>
        <w:shd w:val="clear"/>
        <w:tabs>
          <w:tab w:val="left" w:pos="1814"/>
        </w:tabs>
        <w:spacing w:before="156"/>
        <w:ind w:left="1814" w:hanging="600"/>
        <w:jc w:val="both"/>
        <w:rPr>
          <w:color w:val="000000" w:themeColor="text1"/>
          <w:highlight w:val="none"/>
          <w14:textFill>
            <w14:solidFill>
              <w14:schemeClr w14:val="tx1"/>
            </w14:solidFill>
          </w14:textFill>
        </w:rPr>
      </w:pPr>
      <w:bookmarkStart w:id="149" w:name="2.17_履约保证金"/>
      <w:bookmarkEnd w:id="149"/>
      <w:r>
        <w:rPr>
          <w:color w:val="000000" w:themeColor="text1"/>
          <w:spacing w:val="-4"/>
          <w:highlight w:val="none"/>
          <w14:textFill>
            <w14:solidFill>
              <w14:schemeClr w14:val="tx1"/>
            </w14:solidFill>
          </w14:textFill>
        </w:rPr>
        <w:t>履约保证金</w:t>
      </w:r>
    </w:p>
    <w:p>
      <w:pPr>
        <w:pStyle w:val="19"/>
        <w:numPr>
          <w:ilvl w:val="2"/>
          <w:numId w:val="53"/>
        </w:numPr>
        <w:shd w:val="clear"/>
        <w:tabs>
          <w:tab w:val="left" w:pos="1991"/>
        </w:tabs>
        <w:spacing w:before="154" w:line="360" w:lineRule="auto"/>
        <w:ind w:right="775" w:firstLine="434"/>
        <w:jc w:val="both"/>
        <w:rPr>
          <w:color w:val="000000" w:themeColor="text1"/>
          <w:sz w:val="24"/>
          <w:highlight w:val="none"/>
          <w14:textFill>
            <w14:solidFill>
              <w14:schemeClr w14:val="tx1"/>
            </w14:solidFill>
          </w14:textFill>
        </w:rPr>
      </w:pPr>
      <w:r>
        <w:rPr>
          <w:color w:val="000000" w:themeColor="text1"/>
          <w:spacing w:val="-9"/>
          <w:sz w:val="24"/>
          <w:highlight w:val="none"/>
          <w14:textFill>
            <w14:solidFill>
              <w14:schemeClr w14:val="tx1"/>
            </w14:solidFill>
          </w14:textFill>
        </w:rPr>
        <w:t>采购文件要求乙方提交履约保证金的，乙方应按</w:t>
      </w:r>
      <w:r>
        <w:rPr>
          <w:b/>
          <w:color w:val="000000" w:themeColor="text1"/>
          <w:spacing w:val="-2"/>
          <w:sz w:val="24"/>
          <w:highlight w:val="none"/>
          <w:u w:val="single"/>
          <w14:textFill>
            <w14:solidFill>
              <w14:schemeClr w14:val="tx1"/>
            </w14:solidFill>
          </w14:textFill>
        </w:rPr>
        <w:t>合同专用条款</w:t>
      </w:r>
      <w:r>
        <w:rPr>
          <w:color w:val="000000" w:themeColor="text1"/>
          <w:spacing w:val="-2"/>
          <w:sz w:val="24"/>
          <w:highlight w:val="none"/>
          <w14:textFill>
            <w14:solidFill>
              <w14:schemeClr w14:val="tx1"/>
            </w14:solidFill>
          </w14:textFill>
        </w:rPr>
        <w:t>约定的</w:t>
      </w:r>
      <w:r>
        <w:rPr>
          <w:color w:val="000000" w:themeColor="text1"/>
          <w:spacing w:val="-4"/>
          <w:sz w:val="24"/>
          <w:highlight w:val="none"/>
          <w14:textFill>
            <w14:solidFill>
              <w14:schemeClr w14:val="tx1"/>
            </w14:solidFill>
          </w14:textFill>
        </w:rPr>
        <w:t>方式，以支票、汇票、本票或者金融机构、担保机构出具的保函等非现金形式提</w:t>
      </w:r>
      <w:r>
        <w:rPr>
          <w:color w:val="000000" w:themeColor="text1"/>
          <w:spacing w:val="-6"/>
          <w:sz w:val="24"/>
          <w:highlight w:val="none"/>
          <w14:textFill>
            <w14:solidFill>
              <w14:schemeClr w14:val="tx1"/>
            </w14:solidFill>
          </w14:textFill>
        </w:rPr>
        <w:t>交；</w:t>
      </w:r>
    </w:p>
    <w:p>
      <w:pPr>
        <w:pStyle w:val="19"/>
        <w:numPr>
          <w:ilvl w:val="2"/>
          <w:numId w:val="53"/>
        </w:numPr>
        <w:shd w:val="clear"/>
        <w:tabs>
          <w:tab w:val="left" w:pos="1991"/>
        </w:tabs>
        <w:spacing w:line="360" w:lineRule="auto"/>
        <w:ind w:right="775" w:firstLine="434"/>
        <w:jc w:val="both"/>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履约保证金在</w:t>
      </w:r>
      <w:r>
        <w:rPr>
          <w:b/>
          <w:color w:val="000000" w:themeColor="text1"/>
          <w:spacing w:val="-2"/>
          <w:sz w:val="24"/>
          <w:highlight w:val="none"/>
          <w:u w:val="single"/>
          <w14:textFill>
            <w14:solidFill>
              <w14:schemeClr w14:val="tx1"/>
            </w14:solidFill>
          </w14:textFill>
        </w:rPr>
        <w:t>合同专用条款</w:t>
      </w:r>
      <w:r>
        <w:rPr>
          <w:color w:val="000000" w:themeColor="text1"/>
          <w:spacing w:val="-9"/>
          <w:sz w:val="24"/>
          <w:highlight w:val="none"/>
          <w14:textFill>
            <w14:solidFill>
              <w14:schemeClr w14:val="tx1"/>
            </w14:solidFill>
          </w14:textFill>
        </w:rPr>
        <w:t>约定期间内不予退还或者应完全有效，前</w:t>
      </w:r>
      <w:r>
        <w:rPr>
          <w:color w:val="000000" w:themeColor="text1"/>
          <w:sz w:val="24"/>
          <w:highlight w:val="none"/>
          <w14:textFill>
            <w14:solidFill>
              <w14:schemeClr w14:val="tx1"/>
            </w14:solidFill>
          </w14:textFill>
        </w:rPr>
        <w:t>述约定期间届满之日起</w:t>
      </w:r>
      <w:r>
        <w:rPr>
          <w:rFonts w:ascii="Times New Roman" w:eastAsia="Times New Roman"/>
          <w:color w:val="000000" w:themeColor="text1"/>
          <w:spacing w:val="80"/>
          <w:w w:val="150"/>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个工作日内，甲方应将履约保证金退还乙方，甲方逾</w:t>
      </w:r>
      <w:r>
        <w:rPr>
          <w:color w:val="000000" w:themeColor="text1"/>
          <w:spacing w:val="-2"/>
          <w:sz w:val="24"/>
          <w:highlight w:val="none"/>
          <w14:textFill>
            <w14:solidFill>
              <w14:schemeClr w14:val="tx1"/>
            </w14:solidFill>
          </w14:textFill>
        </w:rPr>
        <w:t>期退还履约保证金应承担违约责任。</w:t>
      </w:r>
    </w:p>
    <w:p>
      <w:pPr>
        <w:pStyle w:val="19"/>
        <w:numPr>
          <w:ilvl w:val="2"/>
          <w:numId w:val="53"/>
        </w:numPr>
        <w:shd w:val="clear"/>
        <w:tabs>
          <w:tab w:val="left" w:pos="1991"/>
        </w:tabs>
        <w:spacing w:line="360" w:lineRule="auto"/>
        <w:ind w:right="775" w:firstLine="434"/>
        <w:jc w:val="both"/>
        <w:rPr>
          <w:color w:val="000000" w:themeColor="text1"/>
          <w:sz w:val="24"/>
          <w:highlight w:val="none"/>
          <w14:textFill>
            <w14:solidFill>
              <w14:schemeClr w14:val="tx1"/>
            </w14:solidFill>
          </w14:textFill>
        </w:rPr>
      </w:pPr>
      <w:r>
        <w:rPr>
          <w:color w:val="000000" w:themeColor="text1"/>
          <w:spacing w:val="-11"/>
          <w:sz w:val="24"/>
          <w:highlight w:val="none"/>
          <w14:textFill>
            <w14:solidFill>
              <w14:schemeClr w14:val="tx1"/>
            </w14:solidFill>
          </w14:textFill>
        </w:rPr>
        <w:t>如果乙方不履行合同，履约保证金不予退还；如果乙方未能按合同约</w:t>
      </w:r>
      <w:r>
        <w:rPr>
          <w:color w:val="000000" w:themeColor="text1"/>
          <w:spacing w:val="-4"/>
          <w:sz w:val="24"/>
          <w:highlight w:val="none"/>
          <w14:textFill>
            <w14:solidFill>
              <w14:schemeClr w14:val="tx1"/>
            </w14:solidFill>
          </w14:textFill>
        </w:rPr>
        <w:t>定全面履行义务，那么甲方有权从履约保证金中取得补偿或赔偿，同时不影响甲</w:t>
      </w:r>
      <w:r>
        <w:rPr>
          <w:color w:val="000000" w:themeColor="text1"/>
          <w:spacing w:val="-2"/>
          <w:sz w:val="24"/>
          <w:highlight w:val="none"/>
          <w14:textFill>
            <w14:solidFill>
              <w14:schemeClr w14:val="tx1"/>
            </w14:solidFill>
          </w14:textFill>
        </w:rPr>
        <w:t>方要求乙方承担合同约定的超过履约保证金的违约责任的权利。</w:t>
      </w:r>
    </w:p>
    <w:p>
      <w:pPr>
        <w:pStyle w:val="7"/>
        <w:numPr>
          <w:ilvl w:val="1"/>
          <w:numId w:val="53"/>
        </w:numPr>
        <w:shd w:val="clear"/>
        <w:tabs>
          <w:tab w:val="left" w:pos="1814"/>
        </w:tabs>
        <w:spacing w:line="310" w:lineRule="exact"/>
        <w:ind w:left="1814" w:hanging="600"/>
        <w:jc w:val="both"/>
        <w:rPr>
          <w:color w:val="000000" w:themeColor="text1"/>
          <w:highlight w:val="none"/>
          <w14:textFill>
            <w14:solidFill>
              <w14:schemeClr w14:val="tx1"/>
            </w14:solidFill>
          </w14:textFill>
        </w:rPr>
      </w:pPr>
      <w:bookmarkStart w:id="150" w:name="2.18_合同份数"/>
      <w:bookmarkEnd w:id="150"/>
      <w:r>
        <w:rPr>
          <w:color w:val="000000" w:themeColor="text1"/>
          <w:spacing w:val="-4"/>
          <w:highlight w:val="none"/>
          <w14:textFill>
            <w14:solidFill>
              <w14:schemeClr w14:val="tx1"/>
            </w14:solidFill>
          </w14:textFill>
        </w:rPr>
        <w:t>合同份数</w:t>
      </w:r>
    </w:p>
    <w:p>
      <w:pPr>
        <w:shd w:val="clear"/>
        <w:spacing w:before="146"/>
        <w:ind w:left="1211"/>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合同份数按</w:t>
      </w:r>
      <w:r>
        <w:rPr>
          <w:b/>
          <w:color w:val="000000" w:themeColor="text1"/>
          <w:spacing w:val="-2"/>
          <w:sz w:val="24"/>
          <w:highlight w:val="none"/>
          <w:u w:val="single"/>
          <w14:textFill>
            <w14:solidFill>
              <w14:schemeClr w14:val="tx1"/>
            </w14:solidFill>
          </w14:textFill>
        </w:rPr>
        <w:t>合同专用条款</w:t>
      </w:r>
      <w:r>
        <w:rPr>
          <w:color w:val="000000" w:themeColor="text1"/>
          <w:spacing w:val="-3"/>
          <w:sz w:val="24"/>
          <w:highlight w:val="none"/>
          <w14:textFill>
            <w14:solidFill>
              <w14:schemeClr w14:val="tx1"/>
            </w14:solidFill>
          </w14:textFill>
        </w:rPr>
        <w:t>规定，每份均具有同等法律效力。</w:t>
      </w:r>
    </w:p>
    <w:p>
      <w:pPr>
        <w:shd w:val="clear"/>
        <w:rPr>
          <w:color w:val="000000" w:themeColor="text1"/>
          <w:sz w:val="24"/>
          <w:highlight w:val="none"/>
          <w14:textFill>
            <w14:solidFill>
              <w14:schemeClr w14:val="tx1"/>
            </w14:solidFill>
          </w14:textFill>
        </w:rPr>
        <w:sectPr>
          <w:pgSz w:w="11910" w:h="16840"/>
          <w:pgMar w:top="1380" w:right="1019" w:bottom="1040" w:left="1020" w:header="878" w:footer="853" w:gutter="0"/>
          <w:cols w:space="720" w:num="1"/>
        </w:sectPr>
      </w:pPr>
    </w:p>
    <w:p>
      <w:pPr>
        <w:pStyle w:val="4"/>
        <w:shd w:val="clear"/>
        <w:spacing w:before="49"/>
        <w:ind w:right="0"/>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第三部分 合同专用条款</w:t>
      </w:r>
    </w:p>
    <w:p>
      <w:pPr>
        <w:pStyle w:val="10"/>
        <w:shd w:val="clear"/>
        <w:spacing w:before="235" w:line="360" w:lineRule="auto"/>
        <w:ind w:left="777" w:right="733" w:firstLine="434"/>
        <w:jc w:val="both"/>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4"/>
        <w:tblW w:w="0" w:type="auto"/>
        <w:tblInd w:w="75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4"/>
        <w:gridCol w:w="75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1" w:hRule="atLeast"/>
        </w:trPr>
        <w:tc>
          <w:tcPr>
            <w:tcW w:w="794" w:type="dxa"/>
            <w:tcBorders>
              <w:left w:val="single" w:color="000000" w:sz="4" w:space="0"/>
            </w:tcBorders>
          </w:tcPr>
          <w:p>
            <w:pPr>
              <w:pStyle w:val="20"/>
              <w:keepNext w:val="0"/>
              <w:keepLines w:val="0"/>
              <w:suppressLineNumbers w:val="0"/>
              <w:shd w:val="clear"/>
              <w:spacing w:before="36" w:beforeAutospacing="0" w:after="0" w:afterAutospacing="0"/>
              <w:ind w:left="36" w:right="0"/>
              <w:rPr>
                <w:rFonts w:hint="default"/>
                <w:b/>
                <w:color w:val="000000" w:themeColor="text1"/>
                <w:sz w:val="24"/>
                <w:highlight w:val="none"/>
                <w14:textFill>
                  <w14:solidFill>
                    <w14:schemeClr w14:val="tx1"/>
                  </w14:solidFill>
                </w14:textFill>
              </w:rPr>
            </w:pPr>
            <w:r>
              <w:rPr>
                <w:rFonts w:hint="default"/>
                <w:b/>
                <w:color w:val="000000" w:themeColor="text1"/>
                <w:spacing w:val="-5"/>
                <w:sz w:val="24"/>
                <w:highlight w:val="none"/>
                <w14:textFill>
                  <w14:solidFill>
                    <w14:schemeClr w14:val="tx1"/>
                  </w14:solidFill>
                </w14:textFill>
              </w:rPr>
              <w:t>条款号</w:t>
            </w:r>
          </w:p>
        </w:tc>
        <w:tc>
          <w:tcPr>
            <w:tcW w:w="7568" w:type="dxa"/>
          </w:tcPr>
          <w:p>
            <w:pPr>
              <w:pStyle w:val="20"/>
              <w:keepNext w:val="0"/>
              <w:keepLines w:val="0"/>
              <w:suppressLineNumbers w:val="0"/>
              <w:shd w:val="clear"/>
              <w:spacing w:before="36" w:beforeAutospacing="0" w:after="0" w:afterAutospacing="0"/>
              <w:ind w:left="14" w:right="0"/>
              <w:jc w:val="center"/>
              <w:rPr>
                <w:rFonts w:hint="default"/>
                <w:b/>
                <w:color w:val="000000" w:themeColor="text1"/>
                <w:sz w:val="24"/>
                <w:highlight w:val="none"/>
                <w14:textFill>
                  <w14:solidFill>
                    <w14:schemeClr w14:val="tx1"/>
                  </w14:solidFill>
                </w14:textFill>
              </w:rPr>
            </w:pPr>
            <w:r>
              <w:rPr>
                <w:rFonts w:hint="default"/>
                <w:b/>
                <w:color w:val="000000" w:themeColor="text1"/>
                <w:spacing w:val="-4"/>
                <w:sz w:val="24"/>
                <w:highlight w:val="none"/>
                <w14:textFill>
                  <w14:solidFill>
                    <w14:schemeClr w14:val="tx1"/>
                  </w14:solidFill>
                </w14:textFill>
              </w:rPr>
              <w:t>约定内容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794" w:type="dxa"/>
            <w:tcBorders>
              <w:left w:val="single" w:color="000000" w:sz="4" w:space="0"/>
            </w:tcBorders>
          </w:tcPr>
          <w:p>
            <w:pPr>
              <w:pStyle w:val="20"/>
              <w:keepNext w:val="0"/>
              <w:keepLines w:val="0"/>
              <w:suppressLineNumbers w:val="0"/>
              <w:shd w:val="clear"/>
              <w:spacing w:before="0" w:beforeAutospacing="0" w:after="0" w:afterAutospacing="0"/>
              <w:ind w:left="0" w:right="0"/>
              <w:rPr>
                <w:rFonts w:hint="default" w:ascii="Times New Roman"/>
                <w:color w:val="000000" w:themeColor="text1"/>
                <w:highlight w:val="none"/>
                <w14:textFill>
                  <w14:solidFill>
                    <w14:schemeClr w14:val="tx1"/>
                  </w14:solidFill>
                </w14:textFill>
              </w:rPr>
            </w:pPr>
          </w:p>
        </w:tc>
        <w:tc>
          <w:tcPr>
            <w:tcW w:w="7568"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794" w:type="dxa"/>
            <w:tcBorders>
              <w:left w:val="single" w:color="000000" w:sz="4" w:space="0"/>
            </w:tcBorders>
          </w:tcPr>
          <w:p>
            <w:pPr>
              <w:pStyle w:val="20"/>
              <w:keepNext w:val="0"/>
              <w:keepLines w:val="0"/>
              <w:suppressLineNumbers w:val="0"/>
              <w:shd w:val="clear"/>
              <w:spacing w:before="0" w:beforeAutospacing="0" w:after="0" w:afterAutospacing="0"/>
              <w:ind w:left="0" w:right="0"/>
              <w:rPr>
                <w:rFonts w:hint="default" w:ascii="Times New Roman"/>
                <w:color w:val="000000" w:themeColor="text1"/>
                <w:highlight w:val="none"/>
                <w14:textFill>
                  <w14:solidFill>
                    <w14:schemeClr w14:val="tx1"/>
                  </w14:solidFill>
                </w14:textFill>
              </w:rPr>
            </w:pPr>
          </w:p>
        </w:tc>
        <w:tc>
          <w:tcPr>
            <w:tcW w:w="7568"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794" w:type="dxa"/>
            <w:tcBorders>
              <w:left w:val="single" w:color="000000" w:sz="4" w:space="0"/>
            </w:tcBorders>
          </w:tcPr>
          <w:p>
            <w:pPr>
              <w:pStyle w:val="20"/>
              <w:keepNext w:val="0"/>
              <w:keepLines w:val="0"/>
              <w:suppressLineNumbers w:val="0"/>
              <w:shd w:val="clear"/>
              <w:spacing w:before="0" w:beforeAutospacing="0" w:after="0" w:afterAutospacing="0"/>
              <w:ind w:left="0" w:right="0"/>
              <w:rPr>
                <w:rFonts w:hint="default" w:ascii="Times New Roman"/>
                <w:color w:val="000000" w:themeColor="text1"/>
                <w:highlight w:val="none"/>
                <w14:textFill>
                  <w14:solidFill>
                    <w14:schemeClr w14:val="tx1"/>
                  </w14:solidFill>
                </w14:textFill>
              </w:rPr>
            </w:pPr>
          </w:p>
        </w:tc>
        <w:tc>
          <w:tcPr>
            <w:tcW w:w="7568"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794" w:type="dxa"/>
            <w:tcBorders>
              <w:left w:val="single" w:color="000000" w:sz="4" w:space="0"/>
            </w:tcBorders>
          </w:tcPr>
          <w:p>
            <w:pPr>
              <w:pStyle w:val="20"/>
              <w:keepNext w:val="0"/>
              <w:keepLines w:val="0"/>
              <w:suppressLineNumbers w:val="0"/>
              <w:shd w:val="clear"/>
              <w:spacing w:before="0" w:beforeAutospacing="0" w:after="0" w:afterAutospacing="0"/>
              <w:ind w:left="0" w:right="0"/>
              <w:rPr>
                <w:rFonts w:hint="default" w:ascii="Times New Roman"/>
                <w:color w:val="000000" w:themeColor="text1"/>
                <w:highlight w:val="none"/>
                <w14:textFill>
                  <w14:solidFill>
                    <w14:schemeClr w14:val="tx1"/>
                  </w14:solidFill>
                </w14:textFill>
              </w:rPr>
            </w:pPr>
          </w:p>
        </w:tc>
        <w:tc>
          <w:tcPr>
            <w:tcW w:w="7568"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9" w:hRule="atLeast"/>
        </w:trPr>
        <w:tc>
          <w:tcPr>
            <w:tcW w:w="794" w:type="dxa"/>
            <w:tcBorders>
              <w:left w:val="single" w:color="000000" w:sz="4" w:space="0"/>
            </w:tcBorders>
          </w:tcPr>
          <w:p>
            <w:pPr>
              <w:pStyle w:val="20"/>
              <w:keepNext w:val="0"/>
              <w:keepLines w:val="0"/>
              <w:suppressLineNumbers w:val="0"/>
              <w:shd w:val="clear"/>
              <w:spacing w:before="0" w:beforeAutospacing="0" w:after="0" w:afterAutospacing="0"/>
              <w:ind w:left="0" w:right="0"/>
              <w:rPr>
                <w:rFonts w:hint="default" w:ascii="Times New Roman"/>
                <w:color w:val="000000" w:themeColor="text1"/>
                <w:highlight w:val="none"/>
                <w14:textFill>
                  <w14:solidFill>
                    <w14:schemeClr w14:val="tx1"/>
                  </w14:solidFill>
                </w14:textFill>
              </w:rPr>
            </w:pPr>
          </w:p>
        </w:tc>
        <w:tc>
          <w:tcPr>
            <w:tcW w:w="7568"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794" w:type="dxa"/>
            <w:tcBorders>
              <w:left w:val="single" w:color="000000" w:sz="4" w:space="0"/>
            </w:tcBorders>
          </w:tcPr>
          <w:p>
            <w:pPr>
              <w:pStyle w:val="20"/>
              <w:keepNext w:val="0"/>
              <w:keepLines w:val="0"/>
              <w:suppressLineNumbers w:val="0"/>
              <w:shd w:val="clear"/>
              <w:spacing w:before="0" w:beforeAutospacing="0" w:after="0" w:afterAutospacing="0"/>
              <w:ind w:left="0" w:right="0"/>
              <w:rPr>
                <w:rFonts w:hint="default" w:ascii="Times New Roman"/>
                <w:color w:val="000000" w:themeColor="text1"/>
                <w:highlight w:val="none"/>
                <w14:textFill>
                  <w14:solidFill>
                    <w14:schemeClr w14:val="tx1"/>
                  </w14:solidFill>
                </w14:textFill>
              </w:rPr>
            </w:pPr>
          </w:p>
        </w:tc>
        <w:tc>
          <w:tcPr>
            <w:tcW w:w="7568"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794" w:type="dxa"/>
            <w:tcBorders>
              <w:left w:val="single" w:color="000000" w:sz="4" w:space="0"/>
            </w:tcBorders>
          </w:tcPr>
          <w:p>
            <w:pPr>
              <w:pStyle w:val="20"/>
              <w:keepNext w:val="0"/>
              <w:keepLines w:val="0"/>
              <w:suppressLineNumbers w:val="0"/>
              <w:shd w:val="clear"/>
              <w:spacing w:before="0" w:beforeAutospacing="0" w:after="0" w:afterAutospacing="0"/>
              <w:ind w:left="0" w:right="0"/>
              <w:rPr>
                <w:rFonts w:hint="default" w:ascii="Times New Roman"/>
                <w:color w:val="000000" w:themeColor="text1"/>
                <w:highlight w:val="none"/>
                <w14:textFill>
                  <w14:solidFill>
                    <w14:schemeClr w14:val="tx1"/>
                  </w14:solidFill>
                </w14:textFill>
              </w:rPr>
            </w:pPr>
          </w:p>
        </w:tc>
        <w:tc>
          <w:tcPr>
            <w:tcW w:w="7568"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794" w:type="dxa"/>
            <w:tcBorders>
              <w:left w:val="single" w:color="000000" w:sz="4" w:space="0"/>
            </w:tcBorders>
          </w:tcPr>
          <w:p>
            <w:pPr>
              <w:pStyle w:val="20"/>
              <w:keepNext w:val="0"/>
              <w:keepLines w:val="0"/>
              <w:suppressLineNumbers w:val="0"/>
              <w:shd w:val="clear"/>
              <w:spacing w:before="0" w:beforeAutospacing="0" w:after="0" w:afterAutospacing="0"/>
              <w:ind w:left="0" w:right="0"/>
              <w:rPr>
                <w:rFonts w:hint="default" w:ascii="Times New Roman"/>
                <w:color w:val="000000" w:themeColor="text1"/>
                <w:highlight w:val="none"/>
                <w14:textFill>
                  <w14:solidFill>
                    <w14:schemeClr w14:val="tx1"/>
                  </w14:solidFill>
                </w14:textFill>
              </w:rPr>
            </w:pPr>
          </w:p>
        </w:tc>
        <w:tc>
          <w:tcPr>
            <w:tcW w:w="7568"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794" w:type="dxa"/>
            <w:tcBorders>
              <w:left w:val="single" w:color="000000" w:sz="4" w:space="0"/>
            </w:tcBorders>
          </w:tcPr>
          <w:p>
            <w:pPr>
              <w:pStyle w:val="20"/>
              <w:keepNext w:val="0"/>
              <w:keepLines w:val="0"/>
              <w:suppressLineNumbers w:val="0"/>
              <w:shd w:val="clear"/>
              <w:spacing w:before="0" w:beforeAutospacing="0" w:after="0" w:afterAutospacing="0"/>
              <w:ind w:left="0" w:right="0"/>
              <w:rPr>
                <w:rFonts w:hint="default" w:ascii="Times New Roman"/>
                <w:color w:val="000000" w:themeColor="text1"/>
                <w:highlight w:val="none"/>
                <w14:textFill>
                  <w14:solidFill>
                    <w14:schemeClr w14:val="tx1"/>
                  </w14:solidFill>
                </w14:textFill>
              </w:rPr>
            </w:pPr>
          </w:p>
        </w:tc>
        <w:tc>
          <w:tcPr>
            <w:tcW w:w="7568"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794" w:type="dxa"/>
            <w:tcBorders>
              <w:left w:val="single" w:color="000000" w:sz="4" w:space="0"/>
            </w:tcBorders>
          </w:tcPr>
          <w:p>
            <w:pPr>
              <w:pStyle w:val="20"/>
              <w:keepNext w:val="0"/>
              <w:keepLines w:val="0"/>
              <w:suppressLineNumbers w:val="0"/>
              <w:shd w:val="clear"/>
              <w:spacing w:before="0" w:beforeAutospacing="0" w:after="0" w:afterAutospacing="0"/>
              <w:ind w:left="0" w:right="0"/>
              <w:rPr>
                <w:rFonts w:hint="default" w:ascii="Times New Roman"/>
                <w:color w:val="000000" w:themeColor="text1"/>
                <w:highlight w:val="none"/>
                <w14:textFill>
                  <w14:solidFill>
                    <w14:schemeClr w14:val="tx1"/>
                  </w14:solidFill>
                </w14:textFill>
              </w:rPr>
            </w:pPr>
          </w:p>
        </w:tc>
        <w:tc>
          <w:tcPr>
            <w:tcW w:w="7568"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794" w:type="dxa"/>
            <w:tcBorders>
              <w:left w:val="single" w:color="000000" w:sz="4" w:space="0"/>
            </w:tcBorders>
          </w:tcPr>
          <w:p>
            <w:pPr>
              <w:pStyle w:val="20"/>
              <w:keepNext w:val="0"/>
              <w:keepLines w:val="0"/>
              <w:suppressLineNumbers w:val="0"/>
              <w:shd w:val="clear"/>
              <w:spacing w:before="0" w:beforeAutospacing="0" w:after="0" w:afterAutospacing="0"/>
              <w:ind w:left="0" w:right="0"/>
              <w:rPr>
                <w:rFonts w:hint="default" w:ascii="Times New Roman"/>
                <w:color w:val="000000" w:themeColor="text1"/>
                <w:highlight w:val="none"/>
                <w14:textFill>
                  <w14:solidFill>
                    <w14:schemeClr w14:val="tx1"/>
                  </w14:solidFill>
                </w14:textFill>
              </w:rPr>
            </w:pPr>
          </w:p>
        </w:tc>
        <w:tc>
          <w:tcPr>
            <w:tcW w:w="7568"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794" w:type="dxa"/>
            <w:tcBorders>
              <w:left w:val="single" w:color="000000" w:sz="4" w:space="0"/>
            </w:tcBorders>
          </w:tcPr>
          <w:p>
            <w:pPr>
              <w:pStyle w:val="20"/>
              <w:keepNext w:val="0"/>
              <w:keepLines w:val="0"/>
              <w:suppressLineNumbers w:val="0"/>
              <w:shd w:val="clear"/>
              <w:spacing w:before="0" w:beforeAutospacing="0" w:after="0" w:afterAutospacing="0"/>
              <w:ind w:left="0" w:right="0"/>
              <w:rPr>
                <w:rFonts w:hint="default" w:ascii="Times New Roman"/>
                <w:color w:val="000000" w:themeColor="text1"/>
                <w:highlight w:val="none"/>
                <w14:textFill>
                  <w14:solidFill>
                    <w14:schemeClr w14:val="tx1"/>
                  </w14:solidFill>
                </w14:textFill>
              </w:rPr>
            </w:pPr>
          </w:p>
        </w:tc>
        <w:tc>
          <w:tcPr>
            <w:tcW w:w="7568"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highlight w:val="none"/>
                <w14:textFill>
                  <w14:solidFill>
                    <w14:schemeClr w14:val="tx1"/>
                  </w14:solidFill>
                </w14:textFill>
              </w:rPr>
            </w:pPr>
          </w:p>
        </w:tc>
      </w:tr>
    </w:tbl>
    <w:p>
      <w:pPr>
        <w:shd w:val="clear"/>
        <w:rPr>
          <w:rFonts w:ascii="Times New Roman"/>
          <w:color w:val="000000" w:themeColor="text1"/>
          <w:highlight w:val="none"/>
          <w14:textFill>
            <w14:solidFill>
              <w14:schemeClr w14:val="tx1"/>
            </w14:solidFill>
          </w14:textFill>
        </w:rPr>
        <w:sectPr>
          <w:pgSz w:w="11910" w:h="16840"/>
          <w:pgMar w:top="1380" w:right="1019" w:bottom="1040" w:left="1020" w:header="878" w:footer="853" w:gutter="0"/>
          <w:cols w:space="720" w:num="1"/>
        </w:sectPr>
      </w:pPr>
    </w:p>
    <w:p>
      <w:pPr>
        <w:pStyle w:val="10"/>
        <w:shd w:val="clear"/>
        <w:ind w:left="0"/>
        <w:rPr>
          <w:color w:val="000000" w:themeColor="text1"/>
          <w:sz w:val="36"/>
          <w:highlight w:val="none"/>
          <w14:textFill>
            <w14:solidFill>
              <w14:schemeClr w14:val="tx1"/>
            </w14:solidFill>
          </w14:textFill>
        </w:rPr>
      </w:pPr>
    </w:p>
    <w:p>
      <w:pPr>
        <w:pStyle w:val="10"/>
        <w:shd w:val="clear"/>
        <w:ind w:left="0"/>
        <w:rPr>
          <w:color w:val="000000" w:themeColor="text1"/>
          <w:sz w:val="36"/>
          <w:highlight w:val="none"/>
          <w14:textFill>
            <w14:solidFill>
              <w14:schemeClr w14:val="tx1"/>
            </w14:solidFill>
          </w14:textFill>
        </w:rPr>
      </w:pPr>
    </w:p>
    <w:p>
      <w:pPr>
        <w:pStyle w:val="10"/>
        <w:shd w:val="clear"/>
        <w:ind w:left="0"/>
        <w:rPr>
          <w:color w:val="000000" w:themeColor="text1"/>
          <w:sz w:val="36"/>
          <w:highlight w:val="none"/>
          <w14:textFill>
            <w14:solidFill>
              <w14:schemeClr w14:val="tx1"/>
            </w14:solidFill>
          </w14:textFill>
        </w:rPr>
      </w:pPr>
    </w:p>
    <w:p>
      <w:pPr>
        <w:pStyle w:val="10"/>
        <w:shd w:val="clear"/>
        <w:spacing w:before="210"/>
        <w:ind w:left="0"/>
        <w:rPr>
          <w:color w:val="000000" w:themeColor="text1"/>
          <w:sz w:val="36"/>
          <w:highlight w:val="none"/>
          <w14:textFill>
            <w14:solidFill>
              <w14:schemeClr w14:val="tx1"/>
            </w14:solidFill>
          </w14:textFill>
        </w:rPr>
      </w:pPr>
    </w:p>
    <w:p>
      <w:pPr>
        <w:pStyle w:val="4"/>
        <w:shd w:val="clear"/>
        <w:spacing w:before="0"/>
        <w:ind w:right="0"/>
        <w:outlineLvl w:val="0"/>
        <w:rPr>
          <w:color w:val="000000" w:themeColor="text1"/>
          <w:highlight w:val="none"/>
          <w14:textFill>
            <w14:solidFill>
              <w14:schemeClr w14:val="tx1"/>
            </w14:solidFill>
          </w14:textFill>
        </w:rPr>
      </w:pPr>
      <w:bookmarkStart w:id="151" w:name="第七章_投标文件格式"/>
      <w:bookmarkEnd w:id="151"/>
      <w:bookmarkStart w:id="152" w:name="_bookmark31"/>
      <w:bookmarkEnd w:id="152"/>
      <w:bookmarkStart w:id="153" w:name="_Toc12644"/>
      <w:r>
        <w:rPr>
          <w:color w:val="000000" w:themeColor="text1"/>
          <w:spacing w:val="-5"/>
          <w:highlight w:val="none"/>
          <w14:textFill>
            <w14:solidFill>
              <w14:schemeClr w14:val="tx1"/>
            </w14:solidFill>
          </w14:textFill>
        </w:rPr>
        <w:t>第七章 投标文件格式</w:t>
      </w:r>
      <w:bookmarkEnd w:id="153"/>
    </w:p>
    <w:p>
      <w:pPr>
        <w:shd w:val="clear"/>
        <w:rPr>
          <w:color w:val="000000" w:themeColor="text1"/>
          <w:highlight w:val="none"/>
          <w14:textFill>
            <w14:solidFill>
              <w14:schemeClr w14:val="tx1"/>
            </w14:solidFill>
          </w14:textFill>
        </w:rPr>
        <w:sectPr>
          <w:pgSz w:w="11910" w:h="16840"/>
          <w:pgMar w:top="1380" w:right="1019" w:bottom="1040" w:left="1020" w:header="878" w:footer="853" w:gutter="0"/>
          <w:cols w:space="720" w:num="1"/>
        </w:sectPr>
      </w:pPr>
    </w:p>
    <w:p>
      <w:pPr>
        <w:pStyle w:val="10"/>
        <w:shd w:val="clear"/>
        <w:spacing w:before="207"/>
        <w:ind w:left="0"/>
        <w:rPr>
          <w:b/>
          <w:color w:val="000000" w:themeColor="text1"/>
          <w:highlight w:val="none"/>
          <w14:textFill>
            <w14:solidFill>
              <w14:schemeClr w14:val="tx1"/>
            </w14:solidFill>
          </w14:textFill>
        </w:rPr>
      </w:pPr>
    </w:p>
    <w:p>
      <w:pPr>
        <w:pStyle w:val="10"/>
        <w:shd w:val="clear"/>
        <w:ind w:left="1257"/>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封面：</w:t>
      </w:r>
    </w:p>
    <w:p>
      <w:pPr>
        <w:pStyle w:val="10"/>
        <w:shd w:val="clear"/>
        <w:spacing w:before="541"/>
        <w:ind w:left="0"/>
        <w:rPr>
          <w:color w:val="000000" w:themeColor="text1"/>
          <w:sz w:val="84"/>
          <w:highlight w:val="none"/>
          <w14:textFill>
            <w14:solidFill>
              <w14:schemeClr w14:val="tx1"/>
            </w14:solidFill>
          </w14:textFill>
        </w:rPr>
      </w:pPr>
    </w:p>
    <w:p>
      <w:pPr>
        <w:pStyle w:val="2"/>
        <w:shd w:val="clear"/>
        <w:rPr>
          <w:color w:val="000000" w:themeColor="text1"/>
          <w:highlight w:val="none"/>
          <w14:textFill>
            <w14:solidFill>
              <w14:schemeClr w14:val="tx1"/>
            </w14:solidFill>
          </w14:textFill>
        </w:rPr>
      </w:pPr>
      <w:bookmarkStart w:id="154" w:name="_bookmark32"/>
      <w:bookmarkEnd w:id="154"/>
      <w:bookmarkStart w:id="155" w:name="_Toc15599"/>
      <w:r>
        <w:rPr>
          <w:color w:val="000000" w:themeColor="text1"/>
          <w:spacing w:val="-7"/>
          <w:highlight w:val="none"/>
          <w14:textFill>
            <w14:solidFill>
              <w14:schemeClr w14:val="tx1"/>
            </w14:solidFill>
          </w14:textFill>
        </w:rPr>
        <w:t>投 标 文 件</w:t>
      </w:r>
      <w:bookmarkEnd w:id="155"/>
    </w:p>
    <w:p>
      <w:pPr>
        <w:pStyle w:val="3"/>
        <w:shd w:val="clear"/>
        <w:rPr>
          <w:color w:val="000000" w:themeColor="text1"/>
          <w:highlight w:val="none"/>
          <w14:textFill>
            <w14:solidFill>
              <w14:schemeClr w14:val="tx1"/>
            </w14:solidFill>
          </w14:textFill>
        </w:rPr>
      </w:pPr>
      <w:bookmarkStart w:id="156" w:name="资格证明文件"/>
      <w:bookmarkEnd w:id="156"/>
      <w:bookmarkStart w:id="157" w:name="_bookmark33"/>
      <w:bookmarkEnd w:id="157"/>
      <w:r>
        <w:rPr>
          <w:color w:val="000000" w:themeColor="text1"/>
          <w:spacing w:val="-5"/>
          <w:highlight w:val="none"/>
          <w14:textFill>
            <w14:solidFill>
              <w14:schemeClr w14:val="tx1"/>
            </w14:solidFill>
          </w14:textFill>
        </w:rPr>
        <w:t>资格证明文件</w:t>
      </w:r>
    </w:p>
    <w:p>
      <w:pPr>
        <w:shd w:val="clear"/>
        <w:spacing w:before="429"/>
        <w:ind w:right="1"/>
        <w:jc w:val="center"/>
        <w:rPr>
          <w:color w:val="000000" w:themeColor="text1"/>
          <w:sz w:val="36"/>
          <w:highlight w:val="none"/>
          <w14:textFill>
            <w14:solidFill>
              <w14:schemeClr w14:val="tx1"/>
            </w14:solidFill>
          </w14:textFill>
        </w:rPr>
      </w:pPr>
      <w:r>
        <w:rPr>
          <w:color w:val="000000" w:themeColor="text1"/>
          <w:sz w:val="36"/>
          <w:highlight w:val="none"/>
          <w14:textFill>
            <w14:solidFill>
              <w14:schemeClr w14:val="tx1"/>
            </w14:solidFill>
          </w14:textFill>
        </w:rPr>
        <w:t>（第</w:t>
      </w:r>
      <w:r>
        <w:rPr>
          <w:rFonts w:hint="eastAsia"/>
          <w:color w:val="000000" w:themeColor="text1"/>
          <w:sz w:val="36"/>
          <w:highlight w:val="none"/>
          <w14:textFill>
            <w14:solidFill>
              <w14:schemeClr w14:val="tx1"/>
            </w14:solidFill>
          </w14:textFill>
        </w:rPr>
        <w:t>X标段</w:t>
      </w:r>
      <w:r>
        <w:rPr>
          <w:color w:val="000000" w:themeColor="text1"/>
          <w:sz w:val="36"/>
          <w:highlight w:val="none"/>
          <w14:textFill>
            <w14:solidFill>
              <w14:schemeClr w14:val="tx1"/>
            </w14:solidFill>
          </w14:textFill>
        </w:rPr>
        <w:t>）</w:t>
      </w:r>
    </w:p>
    <w:p>
      <w:pPr>
        <w:pStyle w:val="10"/>
        <w:shd w:val="clear"/>
        <w:ind w:left="0"/>
        <w:rPr>
          <w:color w:val="000000" w:themeColor="text1"/>
          <w:sz w:val="36"/>
          <w:highlight w:val="none"/>
          <w14:textFill>
            <w14:solidFill>
              <w14:schemeClr w14:val="tx1"/>
            </w14:solidFill>
          </w14:textFill>
        </w:rPr>
      </w:pPr>
    </w:p>
    <w:p>
      <w:pPr>
        <w:pStyle w:val="10"/>
        <w:shd w:val="clear"/>
        <w:ind w:left="0"/>
        <w:rPr>
          <w:color w:val="000000" w:themeColor="text1"/>
          <w:sz w:val="36"/>
          <w:highlight w:val="none"/>
          <w14:textFill>
            <w14:solidFill>
              <w14:schemeClr w14:val="tx1"/>
            </w14:solidFill>
          </w14:textFill>
        </w:rPr>
      </w:pPr>
    </w:p>
    <w:p>
      <w:pPr>
        <w:pStyle w:val="10"/>
        <w:shd w:val="clear"/>
        <w:ind w:left="0"/>
        <w:rPr>
          <w:color w:val="000000" w:themeColor="text1"/>
          <w:sz w:val="36"/>
          <w:highlight w:val="none"/>
          <w14:textFill>
            <w14:solidFill>
              <w14:schemeClr w14:val="tx1"/>
            </w14:solidFill>
          </w14:textFill>
        </w:rPr>
      </w:pPr>
    </w:p>
    <w:p>
      <w:pPr>
        <w:pStyle w:val="10"/>
        <w:shd w:val="clear"/>
        <w:ind w:left="0"/>
        <w:rPr>
          <w:color w:val="000000" w:themeColor="text1"/>
          <w:sz w:val="36"/>
          <w:highlight w:val="none"/>
          <w14:textFill>
            <w14:solidFill>
              <w14:schemeClr w14:val="tx1"/>
            </w14:solidFill>
          </w14:textFill>
        </w:rPr>
      </w:pPr>
    </w:p>
    <w:p>
      <w:pPr>
        <w:pStyle w:val="10"/>
        <w:shd w:val="clear"/>
        <w:ind w:left="0"/>
        <w:rPr>
          <w:color w:val="000000" w:themeColor="text1"/>
          <w:sz w:val="36"/>
          <w:highlight w:val="none"/>
          <w14:textFill>
            <w14:solidFill>
              <w14:schemeClr w14:val="tx1"/>
            </w14:solidFill>
          </w14:textFill>
        </w:rPr>
      </w:pPr>
    </w:p>
    <w:p>
      <w:pPr>
        <w:pStyle w:val="10"/>
        <w:shd w:val="clear"/>
        <w:spacing w:before="148"/>
        <w:ind w:left="0"/>
        <w:rPr>
          <w:color w:val="000000" w:themeColor="text1"/>
          <w:sz w:val="36"/>
          <w:highlight w:val="none"/>
          <w14:textFill>
            <w14:solidFill>
              <w14:schemeClr w14:val="tx1"/>
            </w14:solidFill>
          </w14:textFill>
        </w:rPr>
      </w:pPr>
    </w:p>
    <w:p>
      <w:pPr>
        <w:shd w:val="clear"/>
        <w:tabs>
          <w:tab w:val="left" w:pos="8846"/>
        </w:tabs>
        <w:spacing w:before="1" w:line="360" w:lineRule="auto"/>
        <w:ind w:left="1197" w:right="1017"/>
        <w:jc w:val="both"/>
        <w:rPr>
          <w:rFonts w:ascii="Times New Roman" w:eastAsia="Times New Roman"/>
          <w:color w:val="000000" w:themeColor="text1"/>
          <w:sz w:val="36"/>
          <w:highlight w:val="none"/>
          <w14:textFill>
            <w14:solidFill>
              <w14:schemeClr w14:val="tx1"/>
            </w14:solidFill>
          </w14:textFill>
        </w:rPr>
      </w:pPr>
      <w:r>
        <w:rPr>
          <w:color w:val="000000" w:themeColor="text1"/>
          <w:spacing w:val="-2"/>
          <w:sz w:val="36"/>
          <w:highlight w:val="none"/>
          <w14:textFill>
            <w14:solidFill>
              <w14:schemeClr w14:val="tx1"/>
            </w14:solidFill>
          </w14:textFill>
        </w:rPr>
        <w:t>项目编号/包号：</w:t>
      </w:r>
      <w:r>
        <w:rPr>
          <w:rFonts w:ascii="Times New Roman" w:eastAsia="Times New Roman"/>
          <w:color w:val="000000" w:themeColor="text1"/>
          <w:sz w:val="36"/>
          <w:highlight w:val="none"/>
          <w:u w:val="single"/>
          <w14:textFill>
            <w14:solidFill>
              <w14:schemeClr w14:val="tx1"/>
            </w14:solidFill>
          </w14:textFill>
        </w:rPr>
        <w:tab/>
      </w:r>
      <w:r>
        <w:rPr>
          <w:rFonts w:ascii="Times New Roman" w:eastAsia="Times New Roman"/>
          <w:color w:val="000000" w:themeColor="text1"/>
          <w:sz w:val="36"/>
          <w:highlight w:val="none"/>
          <w14:textFill>
            <w14:solidFill>
              <w14:schemeClr w14:val="tx1"/>
            </w14:solidFill>
          </w14:textFill>
        </w:rPr>
        <w:t xml:space="preserve"> </w:t>
      </w:r>
      <w:r>
        <w:rPr>
          <w:color w:val="000000" w:themeColor="text1"/>
          <w:spacing w:val="-2"/>
          <w:sz w:val="36"/>
          <w:highlight w:val="none"/>
          <w14:textFill>
            <w14:solidFill>
              <w14:schemeClr w14:val="tx1"/>
            </w14:solidFill>
          </w14:textFill>
        </w:rPr>
        <w:t>项目名称：</w:t>
      </w:r>
      <w:r>
        <w:rPr>
          <w:rFonts w:ascii="Times New Roman" w:eastAsia="Times New Roman"/>
          <w:color w:val="000000" w:themeColor="text1"/>
          <w:sz w:val="36"/>
          <w:highlight w:val="none"/>
          <w:u w:val="single"/>
          <w14:textFill>
            <w14:solidFill>
              <w14:schemeClr w14:val="tx1"/>
            </w14:solidFill>
          </w14:textFill>
        </w:rPr>
        <w:tab/>
      </w:r>
      <w:r>
        <w:rPr>
          <w:rFonts w:ascii="Times New Roman" w:eastAsia="Times New Roman"/>
          <w:color w:val="000000" w:themeColor="text1"/>
          <w:sz w:val="36"/>
          <w:highlight w:val="none"/>
          <w14:textFill>
            <w14:solidFill>
              <w14:schemeClr w14:val="tx1"/>
            </w14:solidFill>
          </w14:textFill>
        </w:rPr>
        <w:t xml:space="preserve"> </w:t>
      </w:r>
      <w:r>
        <w:rPr>
          <w:color w:val="000000" w:themeColor="text1"/>
          <w:sz w:val="36"/>
          <w:highlight w:val="none"/>
          <w14:textFill>
            <w14:solidFill>
              <w14:schemeClr w14:val="tx1"/>
            </w14:solidFill>
          </w14:textFill>
        </w:rPr>
        <w:t>投 标 人</w:t>
      </w:r>
      <w:r>
        <w:rPr>
          <w:color w:val="000000" w:themeColor="text1"/>
          <w:spacing w:val="-10"/>
          <w:sz w:val="36"/>
          <w:highlight w:val="none"/>
          <w14:textFill>
            <w14:solidFill>
              <w14:schemeClr w14:val="tx1"/>
            </w14:solidFill>
          </w14:textFill>
        </w:rPr>
        <w:t>：</w:t>
      </w:r>
      <w:r>
        <w:rPr>
          <w:rFonts w:ascii="Times New Roman" w:eastAsia="Times New Roman"/>
          <w:color w:val="000000" w:themeColor="text1"/>
          <w:sz w:val="36"/>
          <w:highlight w:val="none"/>
          <w:u w:val="single"/>
          <w14:textFill>
            <w14:solidFill>
              <w14:schemeClr w14:val="tx1"/>
            </w14:solidFill>
          </w14:textFill>
        </w:rPr>
        <w:tab/>
      </w:r>
    </w:p>
    <w:p>
      <w:pPr>
        <w:pStyle w:val="10"/>
        <w:shd w:val="clear"/>
        <w:ind w:left="0"/>
        <w:rPr>
          <w:rFonts w:ascii="Times New Roman"/>
          <w:color w:val="000000" w:themeColor="text1"/>
          <w:sz w:val="32"/>
          <w:highlight w:val="none"/>
          <w14:textFill>
            <w14:solidFill>
              <w14:schemeClr w14:val="tx1"/>
            </w14:solidFill>
          </w14:textFill>
        </w:rPr>
      </w:pPr>
    </w:p>
    <w:p>
      <w:pPr>
        <w:pStyle w:val="10"/>
        <w:shd w:val="clear"/>
        <w:spacing w:before="352"/>
        <w:ind w:left="0"/>
        <w:rPr>
          <w:rFonts w:ascii="Times New Roman"/>
          <w:color w:val="000000" w:themeColor="text1"/>
          <w:sz w:val="32"/>
          <w:highlight w:val="none"/>
          <w14:textFill>
            <w14:solidFill>
              <w14:schemeClr w14:val="tx1"/>
            </w14:solidFill>
          </w14:textFill>
        </w:rPr>
      </w:pPr>
    </w:p>
    <w:p>
      <w:pPr>
        <w:shd w:val="clear"/>
        <w:tabs>
          <w:tab w:val="left" w:pos="799"/>
          <w:tab w:val="left" w:pos="1759"/>
        </w:tabs>
        <w:jc w:val="center"/>
        <w:rPr>
          <w:color w:val="000000" w:themeColor="text1"/>
          <w:sz w:val="32"/>
          <w:highlight w:val="none"/>
          <w14:textFill>
            <w14:solidFill>
              <w14:schemeClr w14:val="tx1"/>
            </w14:solidFill>
          </w14:textFill>
        </w:rPr>
      </w:pPr>
      <w:r>
        <w:rPr>
          <w:color w:val="000000" w:themeColor="text1"/>
          <w:spacing w:val="-10"/>
          <w:sz w:val="32"/>
          <w:highlight w:val="none"/>
          <w14:textFill>
            <w14:solidFill>
              <w14:schemeClr w14:val="tx1"/>
            </w14:solidFill>
          </w14:textFill>
        </w:rPr>
        <w:t>年</w:t>
      </w:r>
      <w:r>
        <w:rPr>
          <w:color w:val="000000" w:themeColor="text1"/>
          <w:sz w:val="32"/>
          <w:highlight w:val="none"/>
          <w14:textFill>
            <w14:solidFill>
              <w14:schemeClr w14:val="tx1"/>
            </w14:solidFill>
          </w14:textFill>
        </w:rPr>
        <w:tab/>
      </w:r>
      <w:r>
        <w:rPr>
          <w:color w:val="000000" w:themeColor="text1"/>
          <w:spacing w:val="-10"/>
          <w:sz w:val="32"/>
          <w:highlight w:val="none"/>
          <w14:textFill>
            <w14:solidFill>
              <w14:schemeClr w14:val="tx1"/>
            </w14:solidFill>
          </w14:textFill>
        </w:rPr>
        <w:t>月</w:t>
      </w:r>
      <w:r>
        <w:rPr>
          <w:color w:val="000000" w:themeColor="text1"/>
          <w:sz w:val="32"/>
          <w:highlight w:val="none"/>
          <w14:textFill>
            <w14:solidFill>
              <w14:schemeClr w14:val="tx1"/>
            </w14:solidFill>
          </w14:textFill>
        </w:rPr>
        <w:tab/>
      </w:r>
      <w:r>
        <w:rPr>
          <w:color w:val="000000" w:themeColor="text1"/>
          <w:spacing w:val="-10"/>
          <w:sz w:val="32"/>
          <w:highlight w:val="none"/>
          <w14:textFill>
            <w14:solidFill>
              <w14:schemeClr w14:val="tx1"/>
            </w14:solidFill>
          </w14:textFill>
        </w:rPr>
        <w:t>日</w:t>
      </w:r>
    </w:p>
    <w:p>
      <w:pPr>
        <w:shd w:val="clear"/>
        <w:jc w:val="center"/>
        <w:rPr>
          <w:color w:val="000000" w:themeColor="text1"/>
          <w:sz w:val="32"/>
          <w:highlight w:val="none"/>
          <w14:textFill>
            <w14:solidFill>
              <w14:schemeClr w14:val="tx1"/>
            </w14:solidFill>
          </w14:textFill>
        </w:rPr>
        <w:sectPr>
          <w:pgSz w:w="11910" w:h="16840"/>
          <w:pgMar w:top="1380" w:right="1019" w:bottom="1040" w:left="1020" w:header="878" w:footer="853" w:gutter="0"/>
          <w:cols w:space="720" w:num="1"/>
        </w:sectPr>
      </w:pPr>
    </w:p>
    <w:p>
      <w:pPr>
        <w:pStyle w:val="10"/>
        <w:shd w:val="clear"/>
        <w:ind w:left="0"/>
        <w:rPr>
          <w:color w:val="000000" w:themeColor="text1"/>
          <w:sz w:val="28"/>
          <w:highlight w:val="none"/>
          <w14:textFill>
            <w14:solidFill>
              <w14:schemeClr w14:val="tx1"/>
            </w14:solidFill>
          </w14:textFill>
        </w:rPr>
      </w:pPr>
    </w:p>
    <w:p>
      <w:pPr>
        <w:pStyle w:val="10"/>
        <w:shd w:val="clear"/>
        <w:spacing w:before="51"/>
        <w:ind w:left="0"/>
        <w:rPr>
          <w:color w:val="000000" w:themeColor="text1"/>
          <w:sz w:val="28"/>
          <w:highlight w:val="none"/>
          <w14:textFill>
            <w14:solidFill>
              <w14:schemeClr w14:val="tx1"/>
            </w14:solidFill>
          </w14:textFill>
        </w:rPr>
      </w:pPr>
    </w:p>
    <w:p>
      <w:pPr>
        <w:pStyle w:val="6"/>
        <w:shd w:val="clear"/>
        <w:ind w:left="777"/>
        <w:outlineLvl w:val="0"/>
        <w:rPr>
          <w:color w:val="000000" w:themeColor="text1"/>
          <w:highlight w:val="none"/>
          <w14:textFill>
            <w14:solidFill>
              <w14:schemeClr w14:val="tx1"/>
            </w14:solidFill>
          </w14:textFill>
        </w:rPr>
      </w:pPr>
      <w:bookmarkStart w:id="158" w:name="一、满足《中华人民共和国政府采购法》第二十二条规定"/>
      <w:bookmarkEnd w:id="158"/>
      <w:bookmarkStart w:id="159" w:name="_bookmark34"/>
      <w:bookmarkEnd w:id="159"/>
      <w:bookmarkStart w:id="160" w:name="_Toc4984"/>
      <w:r>
        <w:rPr>
          <w:color w:val="000000" w:themeColor="text1"/>
          <w:spacing w:val="-5"/>
          <w:highlight w:val="none"/>
          <w14:textFill>
            <w14:solidFill>
              <w14:schemeClr w14:val="tx1"/>
            </w14:solidFill>
          </w14:textFill>
        </w:rPr>
        <w:t>一、满足《中华人民共和国政府采购法》第二十二条规定</w:t>
      </w:r>
      <w:bookmarkEnd w:id="160"/>
    </w:p>
    <w:p>
      <w:pPr>
        <w:pStyle w:val="10"/>
        <w:shd w:val="clear"/>
        <w:spacing w:before="162"/>
        <w:ind w:left="0"/>
        <w:rPr>
          <w:b/>
          <w:color w:val="000000" w:themeColor="text1"/>
          <w:sz w:val="28"/>
          <w:highlight w:val="none"/>
          <w14:textFill>
            <w14:solidFill>
              <w14:schemeClr w14:val="tx1"/>
            </w14:solidFill>
          </w14:textFill>
        </w:rPr>
      </w:pPr>
    </w:p>
    <w:p>
      <w:pPr>
        <w:pStyle w:val="7"/>
        <w:shd w:val="clear"/>
        <w:ind w:left="777"/>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（一）</w:t>
      </w:r>
      <w:r>
        <w:rPr>
          <w:color w:val="000000" w:themeColor="text1"/>
          <w:spacing w:val="-3"/>
          <w:highlight w:val="none"/>
          <w14:textFill>
            <w14:solidFill>
              <w14:schemeClr w14:val="tx1"/>
            </w14:solidFill>
          </w14:textFill>
        </w:rPr>
        <w:t>法人、其他组织或者自然人的证明文件</w:t>
      </w:r>
    </w:p>
    <w:p>
      <w:pPr>
        <w:pStyle w:val="10"/>
        <w:shd w:val="clear"/>
        <w:spacing w:before="154"/>
        <w:ind w:left="125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1、投标人为企业（包括合伙企业）</w:t>
      </w:r>
      <w:r>
        <w:rPr>
          <w:color w:val="000000" w:themeColor="text1"/>
          <w:spacing w:val="-1"/>
          <w:highlight w:val="none"/>
          <w14:textFill>
            <w14:solidFill>
              <w14:schemeClr w14:val="tx1"/>
            </w14:solidFill>
          </w14:textFill>
        </w:rPr>
        <w:t>的，应提供有效的“营业执照”；</w:t>
      </w:r>
    </w:p>
    <w:p>
      <w:pPr>
        <w:pStyle w:val="10"/>
        <w:shd w:val="clear"/>
        <w:spacing w:before="156"/>
        <w:ind w:left="125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color w:val="000000" w:themeColor="text1"/>
          <w:spacing w:val="-1"/>
          <w:highlight w:val="none"/>
          <w14:textFill>
            <w14:solidFill>
              <w14:schemeClr w14:val="tx1"/>
            </w14:solidFill>
          </w14:textFill>
        </w:rPr>
        <w:t>、投标人为事业单位的，应提供有效的“事业单位法人证书”；</w:t>
      </w:r>
    </w:p>
    <w:p>
      <w:pPr>
        <w:pStyle w:val="10"/>
        <w:shd w:val="clear"/>
        <w:spacing w:before="153" w:line="360" w:lineRule="auto"/>
        <w:ind w:left="777" w:right="806" w:firstLine="480"/>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3、投标人为非企业机构的，应提供有效的“执业许可证”、“登记证书”等证明文件；</w:t>
      </w:r>
    </w:p>
    <w:p>
      <w:pPr>
        <w:pStyle w:val="10"/>
        <w:shd w:val="clear"/>
        <w:spacing w:line="310" w:lineRule="exact"/>
        <w:ind w:left="125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r>
        <w:rPr>
          <w:color w:val="000000" w:themeColor="text1"/>
          <w:spacing w:val="-1"/>
          <w:highlight w:val="none"/>
          <w14:textFill>
            <w14:solidFill>
              <w14:schemeClr w14:val="tx1"/>
            </w14:solidFill>
          </w14:textFill>
        </w:rPr>
        <w:t>、投标人是个体工商户的，应提供有效的“个体工商户营业执照”；</w:t>
      </w:r>
    </w:p>
    <w:p>
      <w:pPr>
        <w:pStyle w:val="10"/>
        <w:shd w:val="clear"/>
        <w:spacing w:before="156"/>
        <w:ind w:left="125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w:t>
      </w:r>
      <w:r>
        <w:rPr>
          <w:color w:val="000000" w:themeColor="text1"/>
          <w:spacing w:val="-1"/>
          <w:highlight w:val="none"/>
          <w14:textFill>
            <w14:solidFill>
              <w14:schemeClr w14:val="tx1"/>
            </w14:solidFill>
          </w14:textFill>
        </w:rPr>
        <w:t>、投标人是自然人的，应提供有效的自然人身份证明。</w:t>
      </w:r>
    </w:p>
    <w:p>
      <w:pPr>
        <w:shd w:val="clear"/>
        <w:rPr>
          <w:color w:val="000000" w:themeColor="text1"/>
          <w:highlight w:val="none"/>
          <w14:textFill>
            <w14:solidFill>
              <w14:schemeClr w14:val="tx1"/>
            </w14:solidFill>
          </w14:textFill>
        </w:rPr>
        <w:sectPr>
          <w:pgSz w:w="11910" w:h="16840"/>
          <w:pgMar w:top="1380" w:right="1019" w:bottom="1040" w:left="1020" w:header="878" w:footer="853" w:gutter="0"/>
          <w:cols w:space="720" w:num="1"/>
        </w:sectPr>
      </w:pPr>
    </w:p>
    <w:p>
      <w:pPr>
        <w:pStyle w:val="7"/>
        <w:shd w:val="clear"/>
        <w:spacing w:before="51"/>
        <w:ind w:left="777"/>
        <w:rPr>
          <w:color w:val="000000" w:themeColor="text1"/>
          <w:highlight w:val="none"/>
          <w14:textFill>
            <w14:solidFill>
              <w14:schemeClr w14:val="tx1"/>
            </w14:solidFill>
          </w14:textFill>
        </w:rPr>
      </w:pPr>
      <w:bookmarkStart w:id="161" w:name="（二）兵团政府采购供应商信用承诺函"/>
      <w:bookmarkEnd w:id="161"/>
      <w:r>
        <w:rPr>
          <w:color w:val="000000" w:themeColor="text1"/>
          <w:spacing w:val="-2"/>
          <w:highlight w:val="none"/>
          <w14:textFill>
            <w14:solidFill>
              <w14:schemeClr w14:val="tx1"/>
            </w14:solidFill>
          </w14:textFill>
        </w:rPr>
        <w:t>（二）</w:t>
      </w:r>
      <w:r>
        <w:rPr>
          <w:color w:val="000000" w:themeColor="text1"/>
          <w:spacing w:val="-3"/>
          <w:highlight w:val="none"/>
          <w14:textFill>
            <w14:solidFill>
              <w14:schemeClr w14:val="tx1"/>
            </w14:solidFill>
          </w14:textFill>
        </w:rPr>
        <w:t>政府采购供应商信用承诺函</w:t>
      </w:r>
    </w:p>
    <w:p>
      <w:pPr>
        <w:pStyle w:val="10"/>
        <w:shd w:val="clear"/>
        <w:spacing w:before="149"/>
        <w:ind w:left="0"/>
        <w:rPr>
          <w:b/>
          <w:color w:val="000000" w:themeColor="text1"/>
          <w:highlight w:val="none"/>
          <w14:textFill>
            <w14:solidFill>
              <w14:schemeClr w14:val="tx1"/>
            </w14:solidFill>
          </w14:textFill>
        </w:rPr>
      </w:pPr>
    </w:p>
    <w:p>
      <w:pPr>
        <w:pStyle w:val="10"/>
        <w:shd w:val="clear"/>
        <w:ind w:left="77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单位名称（自然人姓名</w:t>
      </w:r>
      <w:r>
        <w:rPr>
          <w:color w:val="000000" w:themeColor="text1"/>
          <w:spacing w:val="-5"/>
          <w:highlight w:val="none"/>
          <w14:textFill>
            <w14:solidFill>
              <w14:schemeClr w14:val="tx1"/>
            </w14:solidFill>
          </w14:textFill>
        </w:rPr>
        <w:t>）：</w:t>
      </w:r>
    </w:p>
    <w:p>
      <w:pPr>
        <w:pStyle w:val="10"/>
        <w:shd w:val="clear"/>
        <w:spacing w:before="250" w:line="429" w:lineRule="auto"/>
        <w:ind w:left="777" w:right="5246"/>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统一社会信用代码（身份证号码）：法定代表人（负责人）：</w:t>
      </w:r>
    </w:p>
    <w:p>
      <w:pPr>
        <w:pStyle w:val="10"/>
        <w:shd w:val="clear"/>
        <w:spacing w:before="251"/>
        <w:ind w:left="0"/>
        <w:rPr>
          <w:color w:val="000000" w:themeColor="text1"/>
          <w:highlight w:val="none"/>
          <w14:textFill>
            <w14:solidFill>
              <w14:schemeClr w14:val="tx1"/>
            </w14:solidFill>
          </w14:textFill>
        </w:rPr>
      </w:pPr>
    </w:p>
    <w:p>
      <w:pPr>
        <w:pStyle w:val="10"/>
        <w:shd w:val="clear"/>
        <w:spacing w:line="429" w:lineRule="auto"/>
        <w:ind w:left="777" w:right="775" w:firstLine="480"/>
        <w:jc w:val="both"/>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我单位（本人）自愿参加本次政府采购活动，严格遵守《中华人民共和国政府采购法》及相关法律法规，坚守公开、公平、公正和诚实信用等原则，依法诚</w:t>
      </w:r>
      <w:r>
        <w:rPr>
          <w:color w:val="000000" w:themeColor="text1"/>
          <w:spacing w:val="-2"/>
          <w:highlight w:val="none"/>
          <w14:textFill>
            <w14:solidFill>
              <w14:schemeClr w14:val="tx1"/>
            </w14:solidFill>
          </w14:textFill>
        </w:rPr>
        <w:t>信经营，并郑重承诺：</w:t>
      </w:r>
    </w:p>
    <w:p>
      <w:pPr>
        <w:pStyle w:val="10"/>
        <w:shd w:val="clear"/>
        <w:spacing w:before="4"/>
        <w:ind w:left="125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一、我单位（本人）</w:t>
      </w:r>
      <w:r>
        <w:rPr>
          <w:color w:val="000000" w:themeColor="text1"/>
          <w:spacing w:val="-1"/>
          <w:highlight w:val="none"/>
          <w14:textFill>
            <w14:solidFill>
              <w14:schemeClr w14:val="tx1"/>
            </w14:solidFill>
          </w14:textFill>
        </w:rPr>
        <w:t>符合《中华人民共和国政府采购法》第二十二条规定：</w:t>
      </w:r>
    </w:p>
    <w:p>
      <w:pPr>
        <w:pStyle w:val="10"/>
        <w:shd w:val="clear"/>
        <w:spacing w:before="248"/>
        <w:ind w:left="125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（一）</w:t>
      </w:r>
      <w:r>
        <w:rPr>
          <w:color w:val="000000" w:themeColor="text1"/>
          <w:spacing w:val="-1"/>
          <w:highlight w:val="none"/>
          <w14:textFill>
            <w14:solidFill>
              <w14:schemeClr w14:val="tx1"/>
            </w14:solidFill>
          </w14:textFill>
        </w:rPr>
        <w:t>具有独立承担民事责任的能力;</w:t>
      </w:r>
    </w:p>
    <w:p>
      <w:pPr>
        <w:pStyle w:val="10"/>
        <w:shd w:val="clear"/>
        <w:spacing w:before="247"/>
        <w:ind w:left="125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（二）</w:t>
      </w:r>
      <w:r>
        <w:rPr>
          <w:color w:val="000000" w:themeColor="text1"/>
          <w:spacing w:val="-1"/>
          <w:highlight w:val="none"/>
          <w14:textFill>
            <w14:solidFill>
              <w14:schemeClr w14:val="tx1"/>
            </w14:solidFill>
          </w14:textFill>
        </w:rPr>
        <w:t>具有良好的商业信誉和健全的财务会计制度;</w:t>
      </w:r>
    </w:p>
    <w:p>
      <w:pPr>
        <w:pStyle w:val="10"/>
        <w:shd w:val="clear"/>
        <w:spacing w:before="249"/>
        <w:ind w:left="125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（三）</w:t>
      </w:r>
      <w:r>
        <w:rPr>
          <w:color w:val="000000" w:themeColor="text1"/>
          <w:spacing w:val="-1"/>
          <w:highlight w:val="none"/>
          <w14:textFill>
            <w14:solidFill>
              <w14:schemeClr w14:val="tx1"/>
            </w14:solidFill>
          </w14:textFill>
        </w:rPr>
        <w:t>具有履行合同所必需的设备和专业技术能力;</w:t>
      </w:r>
    </w:p>
    <w:p>
      <w:pPr>
        <w:pStyle w:val="10"/>
        <w:shd w:val="clear"/>
        <w:spacing w:before="248"/>
        <w:ind w:left="125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（四）</w:t>
      </w:r>
      <w:r>
        <w:rPr>
          <w:color w:val="000000" w:themeColor="text1"/>
          <w:spacing w:val="-1"/>
          <w:highlight w:val="none"/>
          <w14:textFill>
            <w14:solidFill>
              <w14:schemeClr w14:val="tx1"/>
            </w14:solidFill>
          </w14:textFill>
        </w:rPr>
        <w:t>有依法缴纳税收和社会保障资金的良好记录;</w:t>
      </w:r>
    </w:p>
    <w:p>
      <w:pPr>
        <w:pStyle w:val="10"/>
        <w:shd w:val="clear"/>
        <w:spacing w:before="247"/>
        <w:ind w:left="125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（五）</w:t>
      </w:r>
      <w:r>
        <w:rPr>
          <w:color w:val="000000" w:themeColor="text1"/>
          <w:spacing w:val="-1"/>
          <w:highlight w:val="none"/>
          <w14:textFill>
            <w14:solidFill>
              <w14:schemeClr w14:val="tx1"/>
            </w14:solidFill>
          </w14:textFill>
        </w:rPr>
        <w:t>参加政府采购活动前三年内，在经营活动中没有重大违法记录;</w:t>
      </w:r>
    </w:p>
    <w:p>
      <w:pPr>
        <w:pStyle w:val="10"/>
        <w:shd w:val="clear"/>
        <w:spacing w:before="249"/>
        <w:ind w:left="125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（六）</w:t>
      </w:r>
      <w:r>
        <w:rPr>
          <w:color w:val="000000" w:themeColor="text1"/>
          <w:spacing w:val="-1"/>
          <w:highlight w:val="none"/>
          <w14:textFill>
            <w14:solidFill>
              <w14:schemeClr w14:val="tx1"/>
            </w14:solidFill>
          </w14:textFill>
        </w:rPr>
        <w:t>符合法律、行政法规规定的其他条件。</w:t>
      </w:r>
    </w:p>
    <w:p>
      <w:pPr>
        <w:pStyle w:val="10"/>
        <w:shd w:val="clear"/>
        <w:spacing w:before="248" w:line="429" w:lineRule="auto"/>
        <w:ind w:left="777" w:right="775" w:firstLine="480"/>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二、我单位（本人）未被列入严重违法失信名单、失信被执行人名单、重大</w:t>
      </w:r>
      <w:r>
        <w:rPr>
          <w:color w:val="000000" w:themeColor="text1"/>
          <w:spacing w:val="-2"/>
          <w:highlight w:val="none"/>
          <w14:textFill>
            <w14:solidFill>
              <w14:schemeClr w14:val="tx1"/>
            </w14:solidFill>
          </w14:textFill>
        </w:rPr>
        <w:t>税收违法失信主体、政府采购严重违法失信行为记录名单。</w:t>
      </w:r>
    </w:p>
    <w:p>
      <w:pPr>
        <w:pStyle w:val="10"/>
        <w:shd w:val="clear"/>
        <w:spacing w:before="3" w:line="429" w:lineRule="auto"/>
        <w:ind w:left="777" w:right="775" w:firstLine="480"/>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三、如果本公司（本人）有幸中标（成交），在合同签订之前，采购单位有</w:t>
      </w:r>
      <w:r>
        <w:rPr>
          <w:color w:val="000000" w:themeColor="text1"/>
          <w:spacing w:val="-2"/>
          <w:highlight w:val="none"/>
          <w14:textFill>
            <w14:solidFill>
              <w14:schemeClr w14:val="tx1"/>
            </w14:solidFill>
          </w14:textFill>
        </w:rPr>
        <w:t>权要求本公司（本人）提供资格证明材料原件进行核验。</w:t>
      </w:r>
    </w:p>
    <w:p>
      <w:pPr>
        <w:pStyle w:val="10"/>
        <w:shd w:val="clear"/>
        <w:spacing w:before="2" w:line="432" w:lineRule="auto"/>
        <w:ind w:left="777" w:right="535" w:firstLine="480"/>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 xml:space="preserve">四、我单位（本人）保证上述承诺事项的真实性。如有弄虚作假或其他违法 </w:t>
      </w:r>
      <w:r>
        <w:rPr>
          <w:color w:val="000000" w:themeColor="text1"/>
          <w:spacing w:val="-12"/>
          <w:highlight w:val="none"/>
          <w14:textFill>
            <w14:solidFill>
              <w14:schemeClr w14:val="tx1"/>
            </w14:solidFill>
          </w14:textFill>
        </w:rPr>
        <w:t>违规行为，自愿按照规定将违背承诺行为作为失信行为记录到社会信用信息平台，</w:t>
      </w:r>
      <w:r>
        <w:rPr>
          <w:color w:val="000000" w:themeColor="text1"/>
          <w:spacing w:val="-2"/>
          <w:highlight w:val="none"/>
          <w14:textFill>
            <w14:solidFill>
              <w14:schemeClr w14:val="tx1"/>
            </w14:solidFill>
          </w14:textFill>
        </w:rPr>
        <w:t>并视同为“提供虚假材料谋取中标、成交”按照《中华人民共和国政府采购法》</w:t>
      </w:r>
      <w:r>
        <w:rPr>
          <w:color w:val="000000" w:themeColor="text1"/>
          <w:spacing w:val="-4"/>
          <w:highlight w:val="none"/>
          <w14:textFill>
            <w14:solidFill>
              <w14:schemeClr w14:val="tx1"/>
            </w14:solidFill>
          </w14:textFill>
        </w:rPr>
        <w:t>第七十七、七十九条规定，处以采购金额千分之五以上千分之十以下的罚款，列入</w:t>
      </w:r>
      <w:r>
        <w:rPr>
          <w:color w:val="000000" w:themeColor="text1"/>
          <w:spacing w:val="-2"/>
          <w:highlight w:val="none"/>
          <w14:textFill>
            <w14:solidFill>
              <w14:schemeClr w14:val="tx1"/>
            </w14:solidFill>
          </w14:textFill>
        </w:rPr>
        <w:t>不良行为记录名单，在一至三年内禁止参加政府采购活动，有违法所得的，并</w:t>
      </w:r>
    </w:p>
    <w:p>
      <w:pPr>
        <w:shd w:val="clear"/>
        <w:spacing w:line="432" w:lineRule="auto"/>
        <w:rPr>
          <w:color w:val="000000" w:themeColor="text1"/>
          <w:highlight w:val="none"/>
          <w14:textFill>
            <w14:solidFill>
              <w14:schemeClr w14:val="tx1"/>
            </w14:solidFill>
          </w14:textFill>
        </w:rPr>
        <w:sectPr>
          <w:pgSz w:w="11910" w:h="16840"/>
          <w:pgMar w:top="1380" w:right="1019" w:bottom="1040" w:left="1020" w:header="878" w:footer="853" w:gutter="0"/>
          <w:cols w:space="720" w:num="1"/>
        </w:sectPr>
      </w:pPr>
    </w:p>
    <w:p>
      <w:pPr>
        <w:pStyle w:val="10"/>
        <w:shd w:val="clear"/>
        <w:spacing w:before="260" w:line="429" w:lineRule="auto"/>
        <w:ind w:left="777" w:right="655"/>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处没收违法所得，情节严重的，由市场监管部门吊销营业执照；构成犯罪的，依</w:t>
      </w:r>
      <w:r>
        <w:rPr>
          <w:color w:val="000000" w:themeColor="text1"/>
          <w:spacing w:val="-17"/>
          <w:highlight w:val="none"/>
          <w14:textFill>
            <w14:solidFill>
              <w14:schemeClr w14:val="tx1"/>
            </w14:solidFill>
          </w14:textFill>
        </w:rPr>
        <w:t>法追究刑事责任；给他人造成损失的，并应依照有关民事法律规定承担民事责任。</w:t>
      </w:r>
    </w:p>
    <w:p>
      <w:pPr>
        <w:pStyle w:val="10"/>
        <w:shd w:val="clear"/>
        <w:ind w:left="0"/>
        <w:rPr>
          <w:color w:val="000000" w:themeColor="text1"/>
          <w:highlight w:val="none"/>
          <w14:textFill>
            <w14:solidFill>
              <w14:schemeClr w14:val="tx1"/>
            </w14:solidFill>
          </w14:textFill>
        </w:rPr>
      </w:pPr>
    </w:p>
    <w:p>
      <w:pPr>
        <w:pStyle w:val="10"/>
        <w:shd w:val="clear"/>
        <w:ind w:left="0"/>
        <w:rPr>
          <w:color w:val="000000" w:themeColor="text1"/>
          <w:highlight w:val="none"/>
          <w14:textFill>
            <w14:solidFill>
              <w14:schemeClr w14:val="tx1"/>
            </w14:solidFill>
          </w14:textFill>
        </w:rPr>
      </w:pPr>
    </w:p>
    <w:p>
      <w:pPr>
        <w:pStyle w:val="10"/>
        <w:shd w:val="clear"/>
        <w:spacing w:before="186"/>
        <w:ind w:left="0"/>
        <w:rPr>
          <w:color w:val="000000" w:themeColor="text1"/>
          <w:highlight w:val="none"/>
          <w14:textFill>
            <w14:solidFill>
              <w14:schemeClr w14:val="tx1"/>
            </w14:solidFill>
          </w14:textFill>
        </w:rPr>
      </w:pPr>
    </w:p>
    <w:p>
      <w:pPr>
        <w:pStyle w:val="10"/>
        <w:shd w:val="clear"/>
        <w:ind w:left="77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供应商名称（公章</w:t>
      </w:r>
      <w:r>
        <w:rPr>
          <w:color w:val="000000" w:themeColor="text1"/>
          <w:spacing w:val="-5"/>
          <w:highlight w:val="none"/>
          <w14:textFill>
            <w14:solidFill>
              <w14:schemeClr w14:val="tx1"/>
            </w14:solidFill>
          </w14:textFill>
        </w:rPr>
        <w:t>）：</w:t>
      </w:r>
    </w:p>
    <w:p>
      <w:pPr>
        <w:pStyle w:val="10"/>
        <w:shd w:val="clear"/>
        <w:spacing w:before="248" w:line="432" w:lineRule="auto"/>
        <w:ind w:left="777" w:right="2846"/>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法定代表人、负责人、本人、或授权代表（签字或盖章）：</w:t>
      </w:r>
      <w:r>
        <w:rPr>
          <w:color w:val="000000" w:themeColor="text1"/>
          <w:highlight w:val="none"/>
          <w14:textFill>
            <w14:solidFill>
              <w14:schemeClr w14:val="tx1"/>
            </w14:solidFill>
          </w14:textFill>
        </w:rPr>
        <w:t>日期： 年 月 日</w:t>
      </w:r>
    </w:p>
    <w:p>
      <w:pPr>
        <w:shd w:val="clear"/>
        <w:spacing w:line="432" w:lineRule="auto"/>
        <w:rPr>
          <w:color w:val="000000" w:themeColor="text1"/>
          <w:highlight w:val="none"/>
          <w14:textFill>
            <w14:solidFill>
              <w14:schemeClr w14:val="tx1"/>
            </w14:solidFill>
          </w14:textFill>
        </w:rPr>
        <w:sectPr>
          <w:pgSz w:w="11910" w:h="16840"/>
          <w:pgMar w:top="1380" w:right="1019" w:bottom="1040" w:left="1020" w:header="878" w:footer="853" w:gutter="0"/>
          <w:cols w:space="720" w:num="1"/>
        </w:sectPr>
      </w:pPr>
    </w:p>
    <w:p>
      <w:pPr>
        <w:pStyle w:val="6"/>
        <w:shd w:val="clear"/>
        <w:spacing w:before="52"/>
        <w:ind w:left="777"/>
        <w:outlineLvl w:val="0"/>
        <w:rPr>
          <w:color w:val="000000" w:themeColor="text1"/>
          <w:highlight w:val="none"/>
          <w14:textFill>
            <w14:solidFill>
              <w14:schemeClr w14:val="tx1"/>
            </w14:solidFill>
          </w14:textFill>
        </w:rPr>
      </w:pPr>
      <w:bookmarkStart w:id="162" w:name="二、联合体协议书【如适用】"/>
      <w:bookmarkEnd w:id="162"/>
      <w:bookmarkStart w:id="163" w:name="四、落实政府采购政策相关证明文件"/>
      <w:bookmarkEnd w:id="163"/>
      <w:bookmarkStart w:id="164" w:name="_bookmark37"/>
      <w:bookmarkEnd w:id="164"/>
      <w:bookmarkStart w:id="165" w:name="_bookmark35"/>
      <w:bookmarkEnd w:id="165"/>
      <w:bookmarkStart w:id="166" w:name="_Toc21580"/>
      <w:r>
        <w:rPr>
          <w:rFonts w:hint="eastAsia"/>
          <w:color w:val="000000" w:themeColor="text1"/>
          <w:spacing w:val="-5"/>
          <w:highlight w:val="none"/>
          <w14:textFill>
            <w14:solidFill>
              <w14:schemeClr w14:val="tx1"/>
            </w14:solidFill>
          </w14:textFill>
        </w:rPr>
        <w:t>二</w:t>
      </w:r>
      <w:r>
        <w:rPr>
          <w:color w:val="000000" w:themeColor="text1"/>
          <w:spacing w:val="-5"/>
          <w:highlight w:val="none"/>
          <w14:textFill>
            <w14:solidFill>
              <w14:schemeClr w14:val="tx1"/>
            </w14:solidFill>
          </w14:textFill>
        </w:rPr>
        <w:t>、落实政府采购政策相关证明文件</w:t>
      </w:r>
      <w:bookmarkEnd w:id="166"/>
    </w:p>
    <w:p>
      <w:pPr>
        <w:pStyle w:val="10"/>
        <w:shd w:val="clear"/>
        <w:spacing w:before="51" w:line="360" w:lineRule="auto"/>
        <w:ind w:left="777" w:right="775"/>
        <w:rPr>
          <w:color w:val="000000" w:themeColor="text1"/>
          <w:highlight w:val="none"/>
          <w14:textFill>
            <w14:solidFill>
              <w14:schemeClr w14:val="tx1"/>
            </w14:solidFill>
          </w14:textFill>
        </w:rPr>
      </w:pPr>
      <w:bookmarkStart w:id="167" w:name="（一）节能环保产品清单及证明材料【如适用】"/>
      <w:bookmarkEnd w:id="167"/>
      <w:r>
        <w:rPr>
          <w:b/>
          <w:color w:val="000000" w:themeColor="text1"/>
          <w:spacing w:val="-2"/>
          <w:sz w:val="24"/>
          <w:highlight w:val="none"/>
          <w14:textFill>
            <w14:solidFill>
              <w14:schemeClr w14:val="tx1"/>
            </w14:solidFill>
          </w14:textFill>
        </w:rPr>
        <w:t>（一）</w:t>
      </w:r>
      <w:bookmarkStart w:id="168" w:name="（二）中小企业声明函【如专门面向中小企业采购的项目，此函可放于此处，否则，应后置"/>
      <w:bookmarkEnd w:id="168"/>
      <w:r>
        <w:rPr>
          <w:b/>
          <w:color w:val="000000" w:themeColor="text1"/>
          <w:spacing w:val="-4"/>
          <w:highlight w:val="none"/>
          <w14:textFill>
            <w14:solidFill>
              <w14:schemeClr w14:val="tx1"/>
            </w14:solidFill>
          </w14:textFill>
        </w:rPr>
        <w:t>中小企业声明函</w:t>
      </w:r>
    </w:p>
    <w:p>
      <w:pPr>
        <w:pStyle w:val="5"/>
        <w:shd w:val="clear"/>
        <w:spacing w:before="298"/>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中小企业声明函</w:t>
      </w:r>
    </w:p>
    <w:p>
      <w:pPr>
        <w:pStyle w:val="10"/>
        <w:shd w:val="clear"/>
        <w:spacing w:before="208" w:line="360" w:lineRule="auto"/>
        <w:ind w:left="777" w:right="770" w:firstLine="504"/>
        <w:jc w:val="both"/>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本公司</w:t>
      </w:r>
      <w:r>
        <w:rPr>
          <w:color w:val="000000" w:themeColor="text1"/>
          <w:spacing w:val="10"/>
          <w:highlight w:val="none"/>
          <w14:textFill>
            <w14:solidFill>
              <w14:schemeClr w14:val="tx1"/>
            </w14:solidFill>
          </w14:textFill>
        </w:rPr>
        <w:t>（联合体</w:t>
      </w:r>
      <w:r>
        <w:rPr>
          <w:color w:val="000000" w:themeColor="text1"/>
          <w:highlight w:val="none"/>
          <w14:textFill>
            <w14:solidFill>
              <w14:schemeClr w14:val="tx1"/>
            </w14:solidFill>
          </w14:textFill>
        </w:rPr>
        <w:t>）</w:t>
      </w:r>
      <w:r>
        <w:rPr>
          <w:color w:val="000000" w:themeColor="text1"/>
          <w:spacing w:val="9"/>
          <w:highlight w:val="none"/>
          <w14:textFill>
            <w14:solidFill>
              <w14:schemeClr w14:val="tx1"/>
            </w14:solidFill>
          </w14:textFill>
        </w:rPr>
        <w:t>郑重声明，根据《政府采购促进中小企业发展管理办</w:t>
      </w:r>
      <w:r>
        <w:rPr>
          <w:color w:val="000000" w:themeColor="text1"/>
          <w:spacing w:val="12"/>
          <w:highlight w:val="none"/>
          <w14:textFill>
            <w14:solidFill>
              <w14:schemeClr w14:val="tx1"/>
            </w14:solidFill>
          </w14:textFill>
        </w:rPr>
        <w:t>法》（财库</w:t>
      </w:r>
      <w:r>
        <w:rPr>
          <w:color w:val="000000" w:themeColor="text1"/>
          <w:highlight w:val="none"/>
          <w14:textFill>
            <w14:solidFill>
              <w14:schemeClr w14:val="tx1"/>
            </w14:solidFill>
          </w14:textFill>
        </w:rPr>
        <w:t>﹝2020﹞46</w:t>
      </w:r>
      <w:r>
        <w:rPr>
          <w:color w:val="000000" w:themeColor="text1"/>
          <w:spacing w:val="6"/>
          <w:highlight w:val="none"/>
          <w14:textFill>
            <w14:solidFill>
              <w14:schemeClr w14:val="tx1"/>
            </w14:solidFill>
          </w14:textFill>
        </w:rPr>
        <w:t xml:space="preserve"> 号</w:t>
      </w:r>
      <w:r>
        <w:rPr>
          <w:color w:val="000000" w:themeColor="text1"/>
          <w:spacing w:val="12"/>
          <w:highlight w:val="none"/>
          <w14:textFill>
            <w14:solidFill>
              <w14:schemeClr w14:val="tx1"/>
            </w14:solidFill>
          </w14:textFill>
        </w:rPr>
        <w:t>）的规定，本公司（联合体）</w:t>
      </w:r>
      <w:r>
        <w:rPr>
          <w:color w:val="000000" w:themeColor="text1"/>
          <w:spacing w:val="11"/>
          <w:highlight w:val="none"/>
          <w14:textFill>
            <w14:solidFill>
              <w14:schemeClr w14:val="tx1"/>
            </w14:solidFill>
          </w14:textFill>
        </w:rPr>
        <w:t>参加</w:t>
      </w:r>
      <w:r>
        <w:rPr>
          <w:rFonts w:ascii="Times New Roman" w:eastAsia="Times New Roman"/>
          <w:color w:val="000000" w:themeColor="text1"/>
          <w:spacing w:val="11"/>
          <w:highlight w:val="none"/>
          <w:u w:val="single"/>
          <w14:textFill>
            <w14:solidFill>
              <w14:schemeClr w14:val="tx1"/>
            </w14:solidFill>
          </w14:textFill>
        </w:rPr>
        <w:t xml:space="preserve"> </w:t>
      </w:r>
      <w:r>
        <w:rPr>
          <w:color w:val="000000" w:themeColor="text1"/>
          <w:spacing w:val="12"/>
          <w:highlight w:val="none"/>
          <w:u w:val="single"/>
          <w14:textFill>
            <w14:solidFill>
              <w14:schemeClr w14:val="tx1"/>
            </w14:solidFill>
          </w14:textFill>
        </w:rPr>
        <w:t>（单位名称</w:t>
      </w:r>
      <w:r>
        <w:rPr>
          <w:color w:val="000000" w:themeColor="text1"/>
          <w:highlight w:val="none"/>
          <w:u w:val="single"/>
          <w14:textFill>
            <w14:solidFill>
              <w14:schemeClr w14:val="tx1"/>
            </w14:solidFill>
          </w14:textFill>
        </w:rPr>
        <w:t>）</w:t>
      </w:r>
      <w:r>
        <w:rPr>
          <w:color w:val="000000" w:themeColor="text1"/>
          <w:spacing w:val="11"/>
          <w:highlight w:val="none"/>
          <w14:textFill>
            <w14:solidFill>
              <w14:schemeClr w14:val="tx1"/>
            </w14:solidFill>
          </w14:textFill>
        </w:rPr>
        <w:t>的</w:t>
      </w:r>
      <w:r>
        <w:rPr>
          <w:rFonts w:ascii="Times New Roman" w:eastAsia="Times New Roman"/>
          <w:color w:val="000000" w:themeColor="text1"/>
          <w:spacing w:val="11"/>
          <w:highlight w:val="none"/>
          <w:u w:val="single"/>
          <w14:textFill>
            <w14:solidFill>
              <w14:schemeClr w14:val="tx1"/>
            </w14:solidFill>
          </w14:textFill>
        </w:rPr>
        <w:t xml:space="preserve"> </w:t>
      </w:r>
      <w:r>
        <w:rPr>
          <w:color w:val="000000" w:themeColor="text1"/>
          <w:spacing w:val="12"/>
          <w:highlight w:val="none"/>
          <w:u w:val="single"/>
          <w14:textFill>
            <w14:solidFill>
              <w14:schemeClr w14:val="tx1"/>
            </w14:solidFill>
          </w14:textFill>
        </w:rPr>
        <w:t>（项目名称</w:t>
      </w:r>
      <w:r>
        <w:rPr>
          <w:color w:val="000000" w:themeColor="text1"/>
          <w:highlight w:val="none"/>
          <w:u w:val="single"/>
          <w14:textFill>
            <w14:solidFill>
              <w14:schemeClr w14:val="tx1"/>
            </w14:solidFill>
          </w14:textFill>
        </w:rPr>
        <w:t xml:space="preserve">） </w:t>
      </w:r>
      <w:r>
        <w:rPr>
          <w:color w:val="000000" w:themeColor="text1"/>
          <w:spacing w:val="7"/>
          <w:highlight w:val="none"/>
          <w14:textFill>
            <w14:solidFill>
              <w14:schemeClr w14:val="tx1"/>
            </w14:solidFill>
          </w14:textFill>
        </w:rPr>
        <w:t>采购活动，服务全部由符合政策要求的中小企业承接。相</w:t>
      </w:r>
      <w:r>
        <w:rPr>
          <w:color w:val="000000" w:themeColor="text1"/>
          <w:spacing w:val="6"/>
          <w:highlight w:val="none"/>
          <w14:textFill>
            <w14:solidFill>
              <w14:schemeClr w14:val="tx1"/>
            </w14:solidFill>
          </w14:textFill>
        </w:rPr>
        <w:t>关企业</w:t>
      </w:r>
      <w:r>
        <w:rPr>
          <w:color w:val="000000" w:themeColor="text1"/>
          <w:spacing w:val="10"/>
          <w:highlight w:val="none"/>
          <w14:textFill>
            <w14:solidFill>
              <w14:schemeClr w14:val="tx1"/>
            </w14:solidFill>
          </w14:textFill>
        </w:rPr>
        <w:t>（</w:t>
      </w:r>
      <w:r>
        <w:rPr>
          <w:color w:val="000000" w:themeColor="text1"/>
          <w:spacing w:val="9"/>
          <w:highlight w:val="none"/>
          <w14:textFill>
            <w14:solidFill>
              <w14:schemeClr w14:val="tx1"/>
            </w14:solidFill>
          </w14:textFill>
        </w:rPr>
        <w:t>含联合体中的中小企业、签订分包意向协议的中小企业</w:t>
      </w:r>
      <w:r>
        <w:rPr>
          <w:color w:val="000000" w:themeColor="text1"/>
          <w:highlight w:val="none"/>
          <w14:textFill>
            <w14:solidFill>
              <w14:schemeClr w14:val="tx1"/>
            </w14:solidFill>
          </w14:textFill>
        </w:rPr>
        <w:t>）</w:t>
      </w:r>
      <w:r>
        <w:rPr>
          <w:color w:val="000000" w:themeColor="text1"/>
          <w:spacing w:val="7"/>
          <w:highlight w:val="none"/>
          <w14:textFill>
            <w14:solidFill>
              <w14:schemeClr w14:val="tx1"/>
            </w14:solidFill>
          </w14:textFill>
        </w:rPr>
        <w:t>的具体情</w:t>
      </w:r>
      <w:r>
        <w:rPr>
          <w:color w:val="000000" w:themeColor="text1"/>
          <w:spacing w:val="6"/>
          <w:highlight w:val="none"/>
          <w14:textFill>
            <w14:solidFill>
              <w14:schemeClr w14:val="tx1"/>
            </w14:solidFill>
          </w14:textFill>
        </w:rPr>
        <w:t>况如下：</w:t>
      </w:r>
    </w:p>
    <w:p>
      <w:pPr>
        <w:pStyle w:val="19"/>
        <w:numPr>
          <w:ilvl w:val="0"/>
          <w:numId w:val="54"/>
        </w:numPr>
        <w:shd w:val="clear"/>
        <w:tabs>
          <w:tab w:val="left" w:pos="1659"/>
          <w:tab w:val="left" w:pos="2469"/>
          <w:tab w:val="left" w:pos="7545"/>
        </w:tabs>
        <w:spacing w:line="360" w:lineRule="auto"/>
        <w:ind w:right="787" w:firstLine="504"/>
        <w:jc w:val="both"/>
        <w:rPr>
          <w:color w:val="000000" w:themeColor="text1"/>
          <w:sz w:val="24"/>
          <w:highlight w:val="none"/>
          <w14:textFill>
            <w14:solidFill>
              <w14:schemeClr w14:val="tx1"/>
            </w14:solidFill>
          </w14:textFill>
        </w:rPr>
      </w:pPr>
      <w:r>
        <w:rPr>
          <w:color w:val="000000" w:themeColor="text1"/>
          <w:spacing w:val="12"/>
          <w:sz w:val="24"/>
          <w:highlight w:val="none"/>
          <w:u w:val="single"/>
          <w14:textFill>
            <w14:solidFill>
              <w14:schemeClr w14:val="tx1"/>
            </w14:solidFill>
          </w14:textFill>
        </w:rPr>
        <w:t>（标的名称</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w:t>
      </w:r>
      <w:r>
        <w:rPr>
          <w:color w:val="000000" w:themeColor="text1"/>
          <w:spacing w:val="12"/>
          <w:sz w:val="24"/>
          <w:highlight w:val="none"/>
          <w14:textFill>
            <w14:solidFill>
              <w14:schemeClr w14:val="tx1"/>
            </w14:solidFill>
          </w14:textFill>
        </w:rPr>
        <w:t>属</w:t>
      </w:r>
      <w:r>
        <w:rPr>
          <w:color w:val="000000" w:themeColor="text1"/>
          <w:spacing w:val="11"/>
          <w:sz w:val="24"/>
          <w:highlight w:val="none"/>
          <w14:textFill>
            <w14:solidFill>
              <w14:schemeClr w14:val="tx1"/>
            </w14:solidFill>
          </w14:textFill>
        </w:rPr>
        <w:t>于</w:t>
      </w:r>
      <w:r>
        <w:rPr>
          <w:rFonts w:ascii="Times New Roman" w:eastAsia="Times New Roman"/>
          <w:color w:val="000000" w:themeColor="text1"/>
          <w:spacing w:val="40"/>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w:t>
      </w:r>
      <w:r>
        <w:rPr>
          <w:color w:val="000000" w:themeColor="text1"/>
          <w:spacing w:val="12"/>
          <w:sz w:val="24"/>
          <w:highlight w:val="none"/>
          <w:u w:val="single"/>
          <w14:textFill>
            <w14:solidFill>
              <w14:schemeClr w14:val="tx1"/>
            </w14:solidFill>
          </w14:textFill>
        </w:rPr>
        <w:t>采购文件中明确的所属行业</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w:t>
      </w:r>
      <w:r>
        <w:rPr>
          <w:color w:val="000000" w:themeColor="text1"/>
          <w:spacing w:val="12"/>
          <w:sz w:val="24"/>
          <w:highlight w:val="none"/>
          <w14:textFill>
            <w14:solidFill>
              <w14:schemeClr w14:val="tx1"/>
            </w14:solidFill>
          </w14:textFill>
        </w:rPr>
        <w:t>承接企</w:t>
      </w:r>
      <w:r>
        <w:rPr>
          <w:color w:val="000000" w:themeColor="text1"/>
          <w:sz w:val="24"/>
          <w:highlight w:val="none"/>
          <w14:textFill>
            <w14:solidFill>
              <w14:schemeClr w14:val="tx1"/>
            </w14:solidFill>
          </w14:textFill>
        </w:rPr>
        <w:t>业</w:t>
      </w:r>
      <w:r>
        <w:rPr>
          <w:color w:val="000000" w:themeColor="text1"/>
          <w:spacing w:val="11"/>
          <w:sz w:val="24"/>
          <w:highlight w:val="none"/>
          <w14:textFill>
            <w14:solidFill>
              <w14:schemeClr w14:val="tx1"/>
            </w14:solidFill>
          </w14:textFill>
        </w:rPr>
        <w:t>为</w:t>
      </w:r>
      <w:r>
        <w:rPr>
          <w:rFonts w:ascii="Times New Roman" w:eastAsia="Times New Roman"/>
          <w:color w:val="000000" w:themeColor="text1"/>
          <w:spacing w:val="40"/>
          <w:sz w:val="24"/>
          <w:highlight w:val="none"/>
          <w:u w:val="single"/>
          <w14:textFill>
            <w14:solidFill>
              <w14:schemeClr w14:val="tx1"/>
            </w14:solidFill>
          </w14:textFill>
        </w:rPr>
        <w:t xml:space="preserve"> </w:t>
      </w:r>
      <w:r>
        <w:rPr>
          <w:color w:val="000000" w:themeColor="text1"/>
          <w:spacing w:val="12"/>
          <w:sz w:val="24"/>
          <w:highlight w:val="none"/>
          <w:u w:val="single"/>
          <w14:textFill>
            <w14:solidFill>
              <w14:schemeClr w14:val="tx1"/>
            </w14:solidFill>
          </w14:textFill>
        </w:rPr>
        <w:t>（企业名称</w:t>
      </w:r>
      <w:r>
        <w:rPr>
          <w:color w:val="000000" w:themeColor="text1"/>
          <w:sz w:val="24"/>
          <w:highlight w:val="none"/>
          <w:u w:val="single"/>
          <w14:textFill>
            <w14:solidFill>
              <w14:schemeClr w14:val="tx1"/>
            </w14:solidFill>
          </w14:textFill>
        </w:rPr>
        <w:t>）</w:t>
      </w:r>
      <w:r>
        <w:rPr>
          <w:color w:val="000000" w:themeColor="text1"/>
          <w:spacing w:val="80"/>
          <w:sz w:val="24"/>
          <w:highlight w:val="none"/>
          <w:u w:val="single"/>
          <w14:textFill>
            <w14:solidFill>
              <w14:schemeClr w14:val="tx1"/>
            </w14:solidFill>
          </w14:textFill>
        </w:rPr>
        <w:t xml:space="preserve"> </w:t>
      </w:r>
      <w:r>
        <w:rPr>
          <w:color w:val="000000" w:themeColor="text1"/>
          <w:spacing w:val="12"/>
          <w:sz w:val="24"/>
          <w:highlight w:val="none"/>
          <w14:textFill>
            <w14:solidFill>
              <w14:schemeClr w14:val="tx1"/>
            </w14:solidFill>
          </w14:textFill>
        </w:rPr>
        <w:t>，从业人</w:t>
      </w:r>
      <w:r>
        <w:rPr>
          <w:color w:val="000000" w:themeColor="text1"/>
          <w:spacing w:val="11"/>
          <w:sz w:val="24"/>
          <w:highlight w:val="none"/>
          <w14:textFill>
            <w14:solidFill>
              <w14:schemeClr w14:val="tx1"/>
            </w14:solidFill>
          </w14:textFill>
        </w:rPr>
        <w:t>员</w:t>
      </w:r>
      <w:r>
        <w:rPr>
          <w:rFonts w:ascii="Times New Roman" w:eastAsia="Times New Roman"/>
          <w:color w:val="000000" w:themeColor="text1"/>
          <w:spacing w:val="80"/>
          <w:w w:val="150"/>
          <w:sz w:val="24"/>
          <w:highlight w:val="none"/>
          <w:u w:val="single"/>
          <w14:textFill>
            <w14:solidFill>
              <w14:schemeClr w14:val="tx1"/>
            </w14:solidFill>
          </w14:textFill>
        </w:rPr>
        <w:t xml:space="preserve">   </w:t>
      </w:r>
      <w:r>
        <w:rPr>
          <w:color w:val="000000" w:themeColor="text1"/>
          <w:spacing w:val="12"/>
          <w:sz w:val="24"/>
          <w:highlight w:val="none"/>
          <w14:textFill>
            <w14:solidFill>
              <w14:schemeClr w14:val="tx1"/>
            </w14:solidFill>
          </w14:textFill>
        </w:rPr>
        <w:t>人，营业收入</w:t>
      </w:r>
      <w:r>
        <w:rPr>
          <w:color w:val="000000" w:themeColor="text1"/>
          <w:spacing w:val="11"/>
          <w:sz w:val="24"/>
          <w:highlight w:val="none"/>
          <w14:textFill>
            <w14:solidFill>
              <w14:schemeClr w14:val="tx1"/>
            </w14:solidFill>
          </w14:textFill>
        </w:rPr>
        <w:t>为</w:t>
      </w:r>
      <w:r>
        <w:rPr>
          <w:rFonts w:ascii="Times New Roman" w:eastAsia="Times New Roman"/>
          <w:color w:val="000000" w:themeColor="text1"/>
          <w:sz w:val="24"/>
          <w:highlight w:val="none"/>
          <w:u w:val="single"/>
          <w14:textFill>
            <w14:solidFill>
              <w14:schemeClr w14:val="tx1"/>
            </w14:solidFill>
          </w14:textFill>
        </w:rPr>
        <w:tab/>
      </w:r>
      <w:r>
        <w:rPr>
          <w:color w:val="000000" w:themeColor="text1"/>
          <w:spacing w:val="10"/>
          <w:sz w:val="24"/>
          <w:highlight w:val="none"/>
          <w14:textFill>
            <w14:solidFill>
              <w14:schemeClr w14:val="tx1"/>
            </w14:solidFill>
          </w14:textFill>
        </w:rPr>
        <w:t>万元，资产</w:t>
      </w:r>
      <w:r>
        <w:rPr>
          <w:color w:val="000000" w:themeColor="text1"/>
          <w:sz w:val="24"/>
          <w:highlight w:val="none"/>
          <w14:textFill>
            <w14:solidFill>
              <w14:schemeClr w14:val="tx1"/>
            </w14:solidFill>
          </w14:textFill>
        </w:rPr>
        <w:t>总</w:t>
      </w:r>
      <w:r>
        <w:rPr>
          <w:color w:val="000000" w:themeColor="text1"/>
          <w:spacing w:val="6"/>
          <w:sz w:val="24"/>
          <w:highlight w:val="none"/>
          <w14:textFill>
            <w14:solidFill>
              <w14:schemeClr w14:val="tx1"/>
            </w14:solidFill>
          </w14:textFill>
        </w:rPr>
        <w:t>额为</w:t>
      </w:r>
      <w:r>
        <w:rPr>
          <w:rFonts w:ascii="Times New Roman" w:eastAsia="Times New Roman"/>
          <w:color w:val="000000" w:themeColor="text1"/>
          <w:sz w:val="24"/>
          <w:highlight w:val="none"/>
          <w:u w:val="single"/>
          <w14:textFill>
            <w14:solidFill>
              <w14:schemeClr w14:val="tx1"/>
            </w14:solidFill>
          </w14:textFill>
        </w:rPr>
        <w:tab/>
      </w:r>
      <w:r>
        <w:rPr>
          <w:color w:val="000000" w:themeColor="text1"/>
          <w:sz w:val="24"/>
          <w:highlight w:val="none"/>
          <w14:textFill>
            <w14:solidFill>
              <w14:schemeClr w14:val="tx1"/>
            </w14:solidFill>
          </w14:textFill>
        </w:rPr>
        <w:tab/>
      </w:r>
      <w:r>
        <w:rPr>
          <w:color w:val="000000" w:themeColor="text1"/>
          <w:spacing w:val="10"/>
          <w:sz w:val="24"/>
          <w:highlight w:val="none"/>
          <w14:textFill>
            <w14:solidFill>
              <w14:schemeClr w14:val="tx1"/>
            </w14:solidFill>
          </w14:textFill>
        </w:rPr>
        <w:t>万元，属于</w:t>
      </w:r>
      <w:r>
        <w:rPr>
          <w:color w:val="000000" w:themeColor="text1"/>
          <w:spacing w:val="10"/>
          <w:sz w:val="24"/>
          <w:highlight w:val="none"/>
          <w:u w:val="single"/>
          <w14:textFill>
            <w14:solidFill>
              <w14:schemeClr w14:val="tx1"/>
            </w14:solidFill>
          </w14:textFill>
        </w:rPr>
        <w:t>（中型企业、小型企业、微型企业</w:t>
      </w:r>
      <w:r>
        <w:rPr>
          <w:color w:val="000000" w:themeColor="text1"/>
          <w:sz w:val="24"/>
          <w:highlight w:val="none"/>
          <w:u w:val="single"/>
          <w14:textFill>
            <w14:solidFill>
              <w14:schemeClr w14:val="tx1"/>
            </w14:solidFill>
          </w14:textFill>
        </w:rPr>
        <w:t>）</w:t>
      </w:r>
      <w:r>
        <w:rPr>
          <w:color w:val="000000" w:themeColor="text1"/>
          <w:sz w:val="24"/>
          <w:highlight w:val="none"/>
          <w14:textFill>
            <w14:solidFill>
              <w14:schemeClr w14:val="tx1"/>
            </w14:solidFill>
          </w14:textFill>
        </w:rPr>
        <w:t>；</w:t>
      </w:r>
    </w:p>
    <w:p>
      <w:pPr>
        <w:pStyle w:val="19"/>
        <w:numPr>
          <w:ilvl w:val="0"/>
          <w:numId w:val="54"/>
        </w:numPr>
        <w:shd w:val="clear"/>
        <w:tabs>
          <w:tab w:val="left" w:pos="1532"/>
          <w:tab w:val="left" w:pos="2469"/>
          <w:tab w:val="left" w:pos="7545"/>
        </w:tabs>
        <w:spacing w:line="360" w:lineRule="auto"/>
        <w:ind w:right="787" w:firstLine="504"/>
        <w:jc w:val="both"/>
        <w:rPr>
          <w:color w:val="000000" w:themeColor="text1"/>
          <w:sz w:val="24"/>
          <w:highlight w:val="none"/>
          <w14:textFill>
            <w14:solidFill>
              <w14:schemeClr w14:val="tx1"/>
            </w14:solidFill>
          </w14:textFill>
        </w:rPr>
      </w:pPr>
      <w:r>
        <w:rPr>
          <w:rFonts w:ascii="Times New Roman" w:eastAsia="Times New Roman"/>
          <w:color w:val="000000" w:themeColor="text1"/>
          <w:spacing w:val="40"/>
          <w:sz w:val="24"/>
          <w:highlight w:val="none"/>
          <w:u w:val="single"/>
          <w14:textFill>
            <w14:solidFill>
              <w14:schemeClr w14:val="tx1"/>
            </w14:solidFill>
          </w14:textFill>
        </w:rPr>
        <w:t xml:space="preserve"> </w:t>
      </w:r>
      <w:r>
        <w:rPr>
          <w:color w:val="000000" w:themeColor="text1"/>
          <w:spacing w:val="12"/>
          <w:sz w:val="24"/>
          <w:highlight w:val="none"/>
          <w:u w:val="single"/>
          <w14:textFill>
            <w14:solidFill>
              <w14:schemeClr w14:val="tx1"/>
            </w14:solidFill>
          </w14:textFill>
        </w:rPr>
        <w:t>（标的名称</w:t>
      </w:r>
      <w:r>
        <w:rPr>
          <w:color w:val="000000" w:themeColor="text1"/>
          <w:sz w:val="24"/>
          <w:highlight w:val="none"/>
          <w:u w:val="single"/>
          <w14:textFill>
            <w14:solidFill>
              <w14:schemeClr w14:val="tx1"/>
            </w14:solidFill>
          </w14:textFill>
        </w:rPr>
        <w:t>）</w:t>
      </w:r>
      <w:r>
        <w:rPr>
          <w:color w:val="000000" w:themeColor="text1"/>
          <w:sz w:val="24"/>
          <w:highlight w:val="none"/>
          <w14:textFill>
            <w14:solidFill>
              <w14:schemeClr w14:val="tx1"/>
            </w14:solidFill>
          </w14:textFill>
        </w:rPr>
        <w:t xml:space="preserve"> ，</w:t>
      </w:r>
      <w:r>
        <w:rPr>
          <w:color w:val="000000" w:themeColor="text1"/>
          <w:spacing w:val="12"/>
          <w:sz w:val="24"/>
          <w:highlight w:val="none"/>
          <w14:textFill>
            <w14:solidFill>
              <w14:schemeClr w14:val="tx1"/>
            </w14:solidFill>
          </w14:textFill>
        </w:rPr>
        <w:t>属</w:t>
      </w:r>
      <w:r>
        <w:rPr>
          <w:color w:val="000000" w:themeColor="text1"/>
          <w:spacing w:val="11"/>
          <w:sz w:val="24"/>
          <w:highlight w:val="none"/>
          <w14:textFill>
            <w14:solidFill>
              <w14:schemeClr w14:val="tx1"/>
            </w14:solidFill>
          </w14:textFill>
        </w:rPr>
        <w:t>于</w:t>
      </w:r>
      <w:r>
        <w:rPr>
          <w:rFonts w:ascii="Times New Roman" w:eastAsia="Times New Roman"/>
          <w:color w:val="000000" w:themeColor="text1"/>
          <w:spacing w:val="40"/>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w:t>
      </w:r>
      <w:r>
        <w:rPr>
          <w:color w:val="000000" w:themeColor="text1"/>
          <w:spacing w:val="12"/>
          <w:sz w:val="24"/>
          <w:highlight w:val="none"/>
          <w:u w:val="single"/>
          <w14:textFill>
            <w14:solidFill>
              <w14:schemeClr w14:val="tx1"/>
            </w14:solidFill>
          </w14:textFill>
        </w:rPr>
        <w:t>采购文件中明确的所属行业</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w:t>
      </w:r>
      <w:r>
        <w:rPr>
          <w:color w:val="000000" w:themeColor="text1"/>
          <w:spacing w:val="12"/>
          <w:sz w:val="24"/>
          <w:highlight w:val="none"/>
          <w14:textFill>
            <w14:solidFill>
              <w14:schemeClr w14:val="tx1"/>
            </w14:solidFill>
          </w14:textFill>
        </w:rPr>
        <w:t>承接企</w:t>
      </w:r>
      <w:r>
        <w:rPr>
          <w:color w:val="000000" w:themeColor="text1"/>
          <w:sz w:val="24"/>
          <w:highlight w:val="none"/>
          <w14:textFill>
            <w14:solidFill>
              <w14:schemeClr w14:val="tx1"/>
            </w14:solidFill>
          </w14:textFill>
        </w:rPr>
        <w:t>业</w:t>
      </w:r>
      <w:r>
        <w:rPr>
          <w:color w:val="000000" w:themeColor="text1"/>
          <w:spacing w:val="11"/>
          <w:sz w:val="24"/>
          <w:highlight w:val="none"/>
          <w14:textFill>
            <w14:solidFill>
              <w14:schemeClr w14:val="tx1"/>
            </w14:solidFill>
          </w14:textFill>
        </w:rPr>
        <w:t>为</w:t>
      </w:r>
      <w:r>
        <w:rPr>
          <w:rFonts w:ascii="Times New Roman" w:eastAsia="Times New Roman"/>
          <w:color w:val="000000" w:themeColor="text1"/>
          <w:spacing w:val="40"/>
          <w:sz w:val="24"/>
          <w:highlight w:val="none"/>
          <w:u w:val="single"/>
          <w14:textFill>
            <w14:solidFill>
              <w14:schemeClr w14:val="tx1"/>
            </w14:solidFill>
          </w14:textFill>
        </w:rPr>
        <w:t xml:space="preserve"> </w:t>
      </w:r>
      <w:r>
        <w:rPr>
          <w:color w:val="000000" w:themeColor="text1"/>
          <w:spacing w:val="12"/>
          <w:sz w:val="24"/>
          <w:highlight w:val="none"/>
          <w:u w:val="single"/>
          <w14:textFill>
            <w14:solidFill>
              <w14:schemeClr w14:val="tx1"/>
            </w14:solidFill>
          </w14:textFill>
        </w:rPr>
        <w:t>（企业名称</w:t>
      </w:r>
      <w:r>
        <w:rPr>
          <w:color w:val="000000" w:themeColor="text1"/>
          <w:sz w:val="24"/>
          <w:highlight w:val="none"/>
          <w:u w:val="single"/>
          <w14:textFill>
            <w14:solidFill>
              <w14:schemeClr w14:val="tx1"/>
            </w14:solidFill>
          </w14:textFill>
        </w:rPr>
        <w:t>）</w:t>
      </w:r>
      <w:r>
        <w:rPr>
          <w:color w:val="000000" w:themeColor="text1"/>
          <w:spacing w:val="80"/>
          <w:sz w:val="24"/>
          <w:highlight w:val="none"/>
          <w:u w:val="single"/>
          <w14:textFill>
            <w14:solidFill>
              <w14:schemeClr w14:val="tx1"/>
            </w14:solidFill>
          </w14:textFill>
        </w:rPr>
        <w:t xml:space="preserve"> </w:t>
      </w:r>
      <w:r>
        <w:rPr>
          <w:color w:val="000000" w:themeColor="text1"/>
          <w:spacing w:val="12"/>
          <w:sz w:val="24"/>
          <w:highlight w:val="none"/>
          <w14:textFill>
            <w14:solidFill>
              <w14:schemeClr w14:val="tx1"/>
            </w14:solidFill>
          </w14:textFill>
        </w:rPr>
        <w:t>，从业人</w:t>
      </w:r>
      <w:r>
        <w:rPr>
          <w:color w:val="000000" w:themeColor="text1"/>
          <w:spacing w:val="11"/>
          <w:sz w:val="24"/>
          <w:highlight w:val="none"/>
          <w14:textFill>
            <w14:solidFill>
              <w14:schemeClr w14:val="tx1"/>
            </w14:solidFill>
          </w14:textFill>
        </w:rPr>
        <w:t>员</w:t>
      </w:r>
      <w:r>
        <w:rPr>
          <w:rFonts w:ascii="Times New Roman" w:eastAsia="Times New Roman"/>
          <w:color w:val="000000" w:themeColor="text1"/>
          <w:spacing w:val="80"/>
          <w:w w:val="150"/>
          <w:sz w:val="24"/>
          <w:highlight w:val="none"/>
          <w:u w:val="single"/>
          <w14:textFill>
            <w14:solidFill>
              <w14:schemeClr w14:val="tx1"/>
            </w14:solidFill>
          </w14:textFill>
        </w:rPr>
        <w:t xml:space="preserve">   </w:t>
      </w:r>
      <w:r>
        <w:rPr>
          <w:color w:val="000000" w:themeColor="text1"/>
          <w:spacing w:val="12"/>
          <w:sz w:val="24"/>
          <w:highlight w:val="none"/>
          <w14:textFill>
            <w14:solidFill>
              <w14:schemeClr w14:val="tx1"/>
            </w14:solidFill>
          </w14:textFill>
        </w:rPr>
        <w:t>人，营业收入</w:t>
      </w:r>
      <w:r>
        <w:rPr>
          <w:color w:val="000000" w:themeColor="text1"/>
          <w:spacing w:val="11"/>
          <w:sz w:val="24"/>
          <w:highlight w:val="none"/>
          <w14:textFill>
            <w14:solidFill>
              <w14:schemeClr w14:val="tx1"/>
            </w14:solidFill>
          </w14:textFill>
        </w:rPr>
        <w:t>为</w:t>
      </w:r>
      <w:r>
        <w:rPr>
          <w:rFonts w:ascii="Times New Roman" w:eastAsia="Times New Roman"/>
          <w:color w:val="000000" w:themeColor="text1"/>
          <w:sz w:val="24"/>
          <w:highlight w:val="none"/>
          <w:u w:val="single"/>
          <w14:textFill>
            <w14:solidFill>
              <w14:schemeClr w14:val="tx1"/>
            </w14:solidFill>
          </w14:textFill>
        </w:rPr>
        <w:tab/>
      </w:r>
      <w:r>
        <w:rPr>
          <w:color w:val="000000" w:themeColor="text1"/>
          <w:spacing w:val="10"/>
          <w:sz w:val="24"/>
          <w:highlight w:val="none"/>
          <w14:textFill>
            <w14:solidFill>
              <w14:schemeClr w14:val="tx1"/>
            </w14:solidFill>
          </w14:textFill>
        </w:rPr>
        <w:t>万元，资产</w:t>
      </w:r>
      <w:r>
        <w:rPr>
          <w:color w:val="000000" w:themeColor="text1"/>
          <w:sz w:val="24"/>
          <w:highlight w:val="none"/>
          <w14:textFill>
            <w14:solidFill>
              <w14:schemeClr w14:val="tx1"/>
            </w14:solidFill>
          </w14:textFill>
        </w:rPr>
        <w:t>总</w:t>
      </w:r>
      <w:r>
        <w:rPr>
          <w:color w:val="000000" w:themeColor="text1"/>
          <w:spacing w:val="6"/>
          <w:sz w:val="24"/>
          <w:highlight w:val="none"/>
          <w14:textFill>
            <w14:solidFill>
              <w14:schemeClr w14:val="tx1"/>
            </w14:solidFill>
          </w14:textFill>
        </w:rPr>
        <w:t>额为</w:t>
      </w:r>
      <w:r>
        <w:rPr>
          <w:rFonts w:ascii="Times New Roman" w:eastAsia="Times New Roman"/>
          <w:color w:val="000000" w:themeColor="text1"/>
          <w:sz w:val="24"/>
          <w:highlight w:val="none"/>
          <w:u w:val="single"/>
          <w14:textFill>
            <w14:solidFill>
              <w14:schemeClr w14:val="tx1"/>
            </w14:solidFill>
          </w14:textFill>
        </w:rPr>
        <w:tab/>
      </w:r>
      <w:r>
        <w:rPr>
          <w:color w:val="000000" w:themeColor="text1"/>
          <w:sz w:val="24"/>
          <w:highlight w:val="none"/>
          <w14:textFill>
            <w14:solidFill>
              <w14:schemeClr w14:val="tx1"/>
            </w14:solidFill>
          </w14:textFill>
        </w:rPr>
        <w:tab/>
      </w:r>
      <w:r>
        <w:rPr>
          <w:color w:val="000000" w:themeColor="text1"/>
          <w:spacing w:val="10"/>
          <w:sz w:val="24"/>
          <w:highlight w:val="none"/>
          <w14:textFill>
            <w14:solidFill>
              <w14:schemeClr w14:val="tx1"/>
            </w14:solidFill>
          </w14:textFill>
        </w:rPr>
        <w:t>万元，属于</w:t>
      </w:r>
      <w:r>
        <w:rPr>
          <w:color w:val="000000" w:themeColor="text1"/>
          <w:spacing w:val="10"/>
          <w:sz w:val="24"/>
          <w:highlight w:val="none"/>
          <w:u w:val="single"/>
          <w14:textFill>
            <w14:solidFill>
              <w14:schemeClr w14:val="tx1"/>
            </w14:solidFill>
          </w14:textFill>
        </w:rPr>
        <w:t>（中型企业、小型企业、微型企业</w:t>
      </w:r>
      <w:r>
        <w:rPr>
          <w:color w:val="000000" w:themeColor="text1"/>
          <w:sz w:val="24"/>
          <w:highlight w:val="none"/>
          <w:u w:val="single"/>
          <w14:textFill>
            <w14:solidFill>
              <w14:schemeClr w14:val="tx1"/>
            </w14:solidFill>
          </w14:textFill>
        </w:rPr>
        <w:t>）</w:t>
      </w:r>
      <w:r>
        <w:rPr>
          <w:color w:val="000000" w:themeColor="text1"/>
          <w:sz w:val="24"/>
          <w:highlight w:val="none"/>
          <w14:textFill>
            <w14:solidFill>
              <w14:schemeClr w14:val="tx1"/>
            </w14:solidFill>
          </w14:textFill>
        </w:rPr>
        <w:t>；</w:t>
      </w:r>
    </w:p>
    <w:p>
      <w:pPr>
        <w:shd w:val="clear"/>
        <w:spacing w:line="307" w:lineRule="exact"/>
        <w:ind w:left="1281"/>
        <w:rPr>
          <w:color w:val="000000" w:themeColor="text1"/>
          <w:sz w:val="24"/>
          <w:highlight w:val="none"/>
          <w14:textFill>
            <w14:solidFill>
              <w14:schemeClr w14:val="tx1"/>
            </w14:solidFill>
          </w14:textFill>
        </w:rPr>
      </w:pPr>
      <w:r>
        <w:rPr>
          <w:color w:val="000000" w:themeColor="text1"/>
          <w:spacing w:val="-5"/>
          <w:sz w:val="24"/>
          <w:highlight w:val="none"/>
          <w14:textFill>
            <w14:solidFill>
              <w14:schemeClr w14:val="tx1"/>
            </w14:solidFill>
          </w14:textFill>
        </w:rPr>
        <w:t>……</w:t>
      </w:r>
    </w:p>
    <w:p>
      <w:pPr>
        <w:pStyle w:val="10"/>
        <w:shd w:val="clear"/>
        <w:spacing w:before="146" w:line="357" w:lineRule="auto"/>
        <w:ind w:left="777" w:right="662" w:firstLine="504"/>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以上企业，不属于大企业的分支机构，不存在控股股东为大企业的情形，</w:t>
      </w:r>
      <w:r>
        <w:rPr>
          <w:color w:val="000000" w:themeColor="text1"/>
          <w:spacing w:val="9"/>
          <w:highlight w:val="none"/>
          <w14:textFill>
            <w14:solidFill>
              <w14:schemeClr w14:val="tx1"/>
            </w14:solidFill>
          </w14:textFill>
        </w:rPr>
        <w:t>也不存在与大企业的负责人为同一人的情形。</w:t>
      </w:r>
    </w:p>
    <w:p>
      <w:pPr>
        <w:pStyle w:val="10"/>
        <w:shd w:val="clear"/>
        <w:spacing w:before="4"/>
        <w:ind w:left="1281"/>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本企业对上述声明内容的真实性负责。如有虚假，将依法承担相应责任。</w:t>
      </w:r>
    </w:p>
    <w:p>
      <w:pPr>
        <w:pStyle w:val="10"/>
        <w:shd w:val="clear"/>
        <w:ind w:left="0"/>
        <w:rPr>
          <w:color w:val="000000" w:themeColor="text1"/>
          <w:highlight w:val="none"/>
          <w14:textFill>
            <w14:solidFill>
              <w14:schemeClr w14:val="tx1"/>
            </w14:solidFill>
          </w14:textFill>
        </w:rPr>
      </w:pPr>
    </w:p>
    <w:p>
      <w:pPr>
        <w:pStyle w:val="10"/>
        <w:shd w:val="clear"/>
        <w:ind w:left="0"/>
        <w:rPr>
          <w:color w:val="000000" w:themeColor="text1"/>
          <w:highlight w:val="none"/>
          <w14:textFill>
            <w14:solidFill>
              <w14:schemeClr w14:val="tx1"/>
            </w14:solidFill>
          </w14:textFill>
        </w:rPr>
      </w:pPr>
    </w:p>
    <w:p>
      <w:pPr>
        <w:pStyle w:val="10"/>
        <w:shd w:val="clear"/>
        <w:spacing w:before="154"/>
        <w:ind w:left="0"/>
        <w:rPr>
          <w:color w:val="000000" w:themeColor="text1"/>
          <w:highlight w:val="none"/>
          <w14:textFill>
            <w14:solidFill>
              <w14:schemeClr w14:val="tx1"/>
            </w14:solidFill>
          </w14:textFill>
        </w:rPr>
      </w:pPr>
    </w:p>
    <w:p>
      <w:pPr>
        <w:pStyle w:val="10"/>
        <w:shd w:val="clear"/>
        <w:tabs>
          <w:tab w:val="left" w:pos="6213"/>
        </w:tabs>
        <w:spacing w:line="357" w:lineRule="auto"/>
        <w:ind w:left="5061" w:right="2378"/>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投标人名称</w:t>
      </w:r>
      <w:r>
        <w:rPr>
          <w:color w:val="000000" w:themeColor="text1"/>
          <w:highlight w:val="none"/>
          <w14:textFill>
            <w14:solidFill>
              <w14:schemeClr w14:val="tx1"/>
            </w14:solidFill>
          </w14:textFill>
        </w:rPr>
        <w:t>（公章)：</w:t>
      </w:r>
      <w:r>
        <w:rPr>
          <w:color w:val="000000" w:themeColor="text1"/>
          <w:spacing w:val="12"/>
          <w:highlight w:val="none"/>
          <w14:textFill>
            <w14:solidFill>
              <w14:schemeClr w14:val="tx1"/>
            </w14:solidFill>
          </w14:textFill>
        </w:rPr>
        <w:t>日期</w:t>
      </w:r>
      <w:r>
        <w:rPr>
          <w:color w:val="000000" w:themeColor="text1"/>
          <w:spacing w:val="-10"/>
          <w:highlight w:val="none"/>
          <w14:textFill>
            <w14:solidFill>
              <w14:schemeClr w14:val="tx1"/>
            </w14:solidFill>
          </w14:textFill>
        </w:rPr>
        <w:t>：</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年</w:t>
      </w:r>
      <w:r>
        <w:rPr>
          <w:color w:val="000000" w:themeColor="text1"/>
          <w:spacing w:val="18"/>
          <w:highlight w:val="none"/>
          <w14:textFill>
            <w14:solidFill>
              <w14:schemeClr w14:val="tx1"/>
            </w14:solidFill>
          </w14:textFill>
        </w:rPr>
        <w:t xml:space="preserve">  </w:t>
      </w:r>
      <w:r>
        <w:rPr>
          <w:color w:val="000000" w:themeColor="text1"/>
          <w:highlight w:val="none"/>
          <w14:textFill>
            <w14:solidFill>
              <w14:schemeClr w14:val="tx1"/>
            </w14:solidFill>
          </w14:textFill>
        </w:rPr>
        <w:t>月</w:t>
      </w:r>
      <w:r>
        <w:rPr>
          <w:color w:val="000000" w:themeColor="text1"/>
          <w:spacing w:val="18"/>
          <w:highlight w:val="none"/>
          <w14:textFill>
            <w14:solidFill>
              <w14:schemeClr w14:val="tx1"/>
            </w14:solidFill>
          </w14:textFill>
        </w:rPr>
        <w:t xml:space="preserve">  </w:t>
      </w:r>
      <w:r>
        <w:rPr>
          <w:color w:val="000000" w:themeColor="text1"/>
          <w:spacing w:val="-10"/>
          <w:highlight w:val="none"/>
          <w14:textFill>
            <w14:solidFill>
              <w14:schemeClr w14:val="tx1"/>
            </w14:solidFill>
          </w14:textFill>
        </w:rPr>
        <w:t>日</w:t>
      </w:r>
    </w:p>
    <w:p>
      <w:pPr>
        <w:pStyle w:val="10"/>
        <w:shd w:val="clear"/>
        <w:spacing w:before="157"/>
        <w:ind w:left="0"/>
        <w:rPr>
          <w:color w:val="000000" w:themeColor="text1"/>
          <w:highlight w:val="none"/>
          <w14:textFill>
            <w14:solidFill>
              <w14:schemeClr w14:val="tx1"/>
            </w14:solidFill>
          </w14:textFill>
        </w:rPr>
      </w:pPr>
    </w:p>
    <w:p>
      <w:pPr>
        <w:shd w:val="clear"/>
        <w:spacing w:line="360" w:lineRule="auto"/>
        <w:ind w:left="777" w:right="856"/>
        <w:rPr>
          <w:b/>
          <w:color w:val="000000" w:themeColor="text1"/>
          <w:sz w:val="21"/>
          <w:highlight w:val="none"/>
          <w14:textFill>
            <w14:solidFill>
              <w14:schemeClr w14:val="tx1"/>
            </w14:solidFill>
          </w14:textFill>
        </w:rPr>
      </w:pPr>
      <w:r>
        <w:rPr>
          <w:b/>
          <w:color w:val="000000" w:themeColor="text1"/>
          <w:spacing w:val="7"/>
          <w:sz w:val="21"/>
          <w:highlight w:val="none"/>
          <w14:textFill>
            <w14:solidFill>
              <w14:schemeClr w14:val="tx1"/>
            </w14:solidFill>
          </w14:textFill>
        </w:rPr>
        <w:t>说明：</w:t>
      </w:r>
      <w:r>
        <w:rPr>
          <w:b/>
          <w:color w:val="000000" w:themeColor="text1"/>
          <w:sz w:val="21"/>
          <w:highlight w:val="none"/>
          <w14:textFill>
            <w14:solidFill>
              <w14:schemeClr w14:val="tx1"/>
            </w14:solidFill>
          </w14:textFill>
        </w:rPr>
        <w:t>1</w:t>
      </w:r>
      <w:r>
        <w:rPr>
          <w:b/>
          <w:color w:val="000000" w:themeColor="text1"/>
          <w:spacing w:val="5"/>
          <w:sz w:val="21"/>
          <w:highlight w:val="none"/>
          <w14:textFill>
            <w14:solidFill>
              <w14:schemeClr w14:val="tx1"/>
            </w14:solidFill>
          </w14:textFill>
        </w:rPr>
        <w:t xml:space="preserve">.重要提示：供应商应仔细阅读本函附件 </w:t>
      </w:r>
      <w:r>
        <w:rPr>
          <w:b/>
          <w:color w:val="000000" w:themeColor="text1"/>
          <w:sz w:val="21"/>
          <w:highlight w:val="none"/>
          <w14:textFill>
            <w14:solidFill>
              <w14:schemeClr w14:val="tx1"/>
            </w14:solidFill>
          </w14:textFill>
        </w:rPr>
        <w:t>1</w:t>
      </w:r>
      <w:r>
        <w:rPr>
          <w:b/>
          <w:color w:val="000000" w:themeColor="text1"/>
          <w:spacing w:val="3"/>
          <w:sz w:val="21"/>
          <w:highlight w:val="none"/>
          <w14:textFill>
            <w14:solidFill>
              <w14:schemeClr w14:val="tx1"/>
            </w14:solidFill>
          </w14:textFill>
        </w:rPr>
        <w:t xml:space="preserve"> 关于“中小企业声明函”的填写要</w:t>
      </w:r>
      <w:r>
        <w:rPr>
          <w:b/>
          <w:color w:val="000000" w:themeColor="text1"/>
          <w:spacing w:val="10"/>
          <w:sz w:val="21"/>
          <w:highlight w:val="none"/>
          <w14:textFill>
            <w14:solidFill>
              <w14:schemeClr w14:val="tx1"/>
            </w14:solidFill>
          </w14:textFill>
        </w:rPr>
        <w:t>求及提交要求，否则，因填写或提交等产生的一切不利后果，须自行承担。</w:t>
      </w:r>
    </w:p>
    <w:p>
      <w:pPr>
        <w:shd w:val="clear"/>
        <w:spacing w:line="357" w:lineRule="auto"/>
        <w:ind w:left="777" w:right="885" w:firstLine="664"/>
        <w:rPr>
          <w:color w:val="000000" w:themeColor="text1"/>
          <w:sz w:val="21"/>
          <w:highlight w:val="none"/>
          <w14:textFill>
            <w14:solidFill>
              <w14:schemeClr w14:val="tx1"/>
            </w14:solidFill>
          </w14:textFill>
        </w:rPr>
      </w:pPr>
      <w:r>
        <w:rPr>
          <w:b/>
          <w:color w:val="000000" w:themeColor="text1"/>
          <w:sz w:val="21"/>
          <w:highlight w:val="none"/>
          <w14:textFill>
            <w14:solidFill>
              <w14:schemeClr w14:val="tx1"/>
            </w14:solidFill>
          </w14:textFill>
        </w:rPr>
        <w:t>2.</w:t>
      </w:r>
      <w:r>
        <w:rPr>
          <w:color w:val="000000" w:themeColor="text1"/>
          <w:spacing w:val="9"/>
          <w:sz w:val="21"/>
          <w:highlight w:val="none"/>
          <w14:textFill>
            <w14:solidFill>
              <w14:schemeClr w14:val="tx1"/>
            </w14:solidFill>
          </w14:textFill>
        </w:rPr>
        <w:t>从业人员、营业收入、资产总额填报上一年度数据，无上一年度数据的新成</w:t>
      </w:r>
      <w:r>
        <w:rPr>
          <w:color w:val="000000" w:themeColor="text1"/>
          <w:spacing w:val="8"/>
          <w:sz w:val="21"/>
          <w:highlight w:val="none"/>
          <w14:textFill>
            <w14:solidFill>
              <w14:schemeClr w14:val="tx1"/>
            </w14:solidFill>
          </w14:textFill>
        </w:rPr>
        <w:t>立企业可不填报。</w:t>
      </w:r>
    </w:p>
    <w:p>
      <w:pPr>
        <w:shd w:val="clear"/>
        <w:spacing w:line="357" w:lineRule="auto"/>
        <w:rPr>
          <w:color w:val="000000" w:themeColor="text1"/>
          <w:sz w:val="21"/>
          <w:highlight w:val="none"/>
          <w14:textFill>
            <w14:solidFill>
              <w14:schemeClr w14:val="tx1"/>
            </w14:solidFill>
          </w14:textFill>
        </w:rPr>
        <w:sectPr>
          <w:pgSz w:w="11910" w:h="16840"/>
          <w:pgMar w:top="1380" w:right="1019" w:bottom="1040" w:left="1020" w:header="878" w:footer="853" w:gutter="0"/>
          <w:cols w:space="720" w:num="1"/>
        </w:sectPr>
      </w:pPr>
    </w:p>
    <w:p>
      <w:pPr>
        <w:pStyle w:val="10"/>
        <w:shd w:val="clear"/>
        <w:spacing w:before="147"/>
        <w:ind w:left="0"/>
        <w:rPr>
          <w:color w:val="000000" w:themeColor="text1"/>
          <w:highlight w:val="none"/>
          <w14:textFill>
            <w14:solidFill>
              <w14:schemeClr w14:val="tx1"/>
            </w14:solidFill>
          </w14:textFill>
        </w:rPr>
      </w:pPr>
    </w:p>
    <w:p>
      <w:pPr>
        <w:pStyle w:val="7"/>
        <w:shd w:val="clear"/>
        <w:ind w:left="777"/>
        <w:rPr>
          <w:color w:val="000000" w:themeColor="text1"/>
          <w:highlight w:val="none"/>
          <w14:textFill>
            <w14:solidFill>
              <w14:schemeClr w14:val="tx1"/>
            </w14:solidFill>
          </w14:textFill>
        </w:rPr>
      </w:pPr>
      <w:r>
        <w:rPr>
          <w:color w:val="000000" w:themeColor="text1"/>
          <w:spacing w:val="-22"/>
          <w:highlight w:val="none"/>
          <w14:textFill>
            <w14:solidFill>
              <w14:schemeClr w14:val="tx1"/>
            </w14:solidFill>
          </w14:textFill>
        </w:rPr>
        <w:t xml:space="preserve">附件 </w:t>
      </w:r>
      <w:r>
        <w:rPr>
          <w:color w:val="000000" w:themeColor="text1"/>
          <w:spacing w:val="-10"/>
          <w:highlight w:val="none"/>
          <w14:textFill>
            <w14:solidFill>
              <w14:schemeClr w14:val="tx1"/>
            </w14:solidFill>
          </w14:textFill>
        </w:rPr>
        <w:t>1</w:t>
      </w:r>
    </w:p>
    <w:p>
      <w:pPr>
        <w:pStyle w:val="10"/>
        <w:shd w:val="clear"/>
        <w:spacing w:before="233"/>
        <w:ind w:left="0"/>
        <w:rPr>
          <w:b/>
          <w:color w:val="000000" w:themeColor="text1"/>
          <w:highlight w:val="none"/>
          <w14:textFill>
            <w14:solidFill>
              <w14:schemeClr w14:val="tx1"/>
            </w14:solidFill>
          </w14:textFill>
        </w:rPr>
      </w:pPr>
    </w:p>
    <w:p>
      <w:pPr>
        <w:shd w:val="clear"/>
        <w:spacing w:line="360" w:lineRule="auto"/>
        <w:ind w:left="1257" w:right="4029"/>
        <w:rPr>
          <w:color w:val="000000" w:themeColor="text1"/>
          <w:sz w:val="24"/>
          <w:highlight w:val="none"/>
          <w14:textFill>
            <w14:solidFill>
              <w14:schemeClr w14:val="tx1"/>
            </w14:solidFill>
          </w14:textFill>
        </w:rPr>
      </w:pPr>
      <w:r>
        <w:rPr>
          <w:b/>
          <w:color w:val="000000" w:themeColor="text1"/>
          <w:spacing w:val="-2"/>
          <w:sz w:val="24"/>
          <w:highlight w:val="none"/>
          <w14:textFill>
            <w14:solidFill>
              <w14:schemeClr w14:val="tx1"/>
            </w14:solidFill>
          </w14:textFill>
        </w:rPr>
        <w:t xml:space="preserve">（一）关于“中小企业声明函”的填写要求 </w:t>
      </w:r>
      <w:r>
        <w:rPr>
          <w:color w:val="000000" w:themeColor="text1"/>
          <w:spacing w:val="-2"/>
          <w:sz w:val="24"/>
          <w:highlight w:val="none"/>
          <w14:textFill>
            <w14:solidFill>
              <w14:schemeClr w14:val="tx1"/>
            </w14:solidFill>
          </w14:textFill>
        </w:rPr>
        <w:t>“中小企业声明函”具体填写要求如下： 1.“单位名称”应填写采购人名称。</w:t>
      </w:r>
    </w:p>
    <w:p>
      <w:pPr>
        <w:pStyle w:val="19"/>
        <w:numPr>
          <w:ilvl w:val="0"/>
          <w:numId w:val="55"/>
        </w:numPr>
        <w:shd w:val="clear"/>
        <w:tabs>
          <w:tab w:val="left" w:pos="1468"/>
        </w:tabs>
        <w:spacing w:line="360" w:lineRule="auto"/>
        <w:ind w:right="775" w:firstLine="480"/>
        <w:jc w:val="both"/>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“项目名称”应按照采购文件中确定的项目名称填写。对于分包方式面向</w:t>
      </w:r>
      <w:r>
        <w:rPr>
          <w:color w:val="000000" w:themeColor="text1"/>
          <w:spacing w:val="-4"/>
          <w:sz w:val="24"/>
          <w:highlight w:val="none"/>
          <w14:textFill>
            <w14:solidFill>
              <w14:schemeClr w14:val="tx1"/>
            </w14:solidFill>
          </w14:textFill>
        </w:rPr>
        <w:t>中小企业采购的项目，应标明中小企业的具体分包内容；对于以联合体方式面向</w:t>
      </w:r>
      <w:r>
        <w:rPr>
          <w:color w:val="000000" w:themeColor="text1"/>
          <w:spacing w:val="-2"/>
          <w:sz w:val="24"/>
          <w:highlight w:val="none"/>
          <w14:textFill>
            <w14:solidFill>
              <w14:schemeClr w14:val="tx1"/>
            </w14:solidFill>
          </w14:textFill>
        </w:rPr>
        <w:t>中小企业采购的项目，应标明联合体中中小企业所承担的具体内容。</w:t>
      </w:r>
    </w:p>
    <w:p>
      <w:pPr>
        <w:pStyle w:val="19"/>
        <w:numPr>
          <w:ilvl w:val="0"/>
          <w:numId w:val="55"/>
        </w:numPr>
        <w:shd w:val="clear"/>
        <w:tabs>
          <w:tab w:val="left" w:pos="1468"/>
        </w:tabs>
        <w:spacing w:line="360" w:lineRule="auto"/>
        <w:ind w:right="686" w:firstLine="48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标的名称”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pPr>
        <w:pStyle w:val="19"/>
        <w:numPr>
          <w:ilvl w:val="0"/>
          <w:numId w:val="55"/>
        </w:numPr>
        <w:shd w:val="clear"/>
        <w:tabs>
          <w:tab w:val="left" w:pos="1451"/>
        </w:tabs>
        <w:spacing w:line="360" w:lineRule="auto"/>
        <w:ind w:right="775" w:firstLine="480"/>
        <w:jc w:val="both"/>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“采购文件中明确的所属行业”应填写采购文件中明确的采购标的所属行</w:t>
      </w:r>
      <w:r>
        <w:rPr>
          <w:color w:val="000000" w:themeColor="text1"/>
          <w:spacing w:val="-4"/>
          <w:sz w:val="24"/>
          <w:highlight w:val="none"/>
          <w14:textFill>
            <w14:solidFill>
              <w14:schemeClr w14:val="tx1"/>
            </w14:solidFill>
          </w14:textFill>
        </w:rPr>
        <w:t>业，并应确保与采购标的涉及的货物制造商/服务承接商/工程承建商（根据项目</w:t>
      </w:r>
      <w:r>
        <w:rPr>
          <w:color w:val="000000" w:themeColor="text1"/>
          <w:spacing w:val="-2"/>
          <w:sz w:val="24"/>
          <w:highlight w:val="none"/>
          <w14:textFill>
            <w14:solidFill>
              <w14:schemeClr w14:val="tx1"/>
            </w14:solidFill>
          </w14:textFill>
        </w:rPr>
        <w:t>属性确定）本身的所属行业保持一致。</w:t>
      </w:r>
    </w:p>
    <w:p>
      <w:pPr>
        <w:pStyle w:val="10"/>
        <w:shd w:val="clear"/>
        <w:spacing w:line="360" w:lineRule="auto"/>
        <w:ind w:left="777" w:right="775" w:firstLine="480"/>
        <w:jc w:val="both"/>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对于分包方式面向中小企业采购的项目，“采购文件中明确的所属行业”应</w:t>
      </w:r>
      <w:r>
        <w:rPr>
          <w:color w:val="000000" w:themeColor="text1"/>
          <w:spacing w:val="-5"/>
          <w:highlight w:val="none"/>
          <w14:textFill>
            <w14:solidFill>
              <w14:schemeClr w14:val="tx1"/>
            </w14:solidFill>
          </w14:textFill>
        </w:rPr>
        <w:t>按照采购文件中注明的分包给中小企业的采购标的所属行业填写，并应确保与该</w:t>
      </w:r>
      <w:r>
        <w:rPr>
          <w:color w:val="000000" w:themeColor="text1"/>
          <w:spacing w:val="-6"/>
          <w:highlight w:val="none"/>
          <w14:textFill>
            <w14:solidFill>
              <w14:schemeClr w14:val="tx1"/>
            </w14:solidFill>
          </w14:textFill>
        </w:rPr>
        <w:t>分包部分采购标的涉及的货物制造商/服务承接商/工程承建商</w:t>
      </w:r>
      <w:r>
        <w:rPr>
          <w:color w:val="000000" w:themeColor="text1"/>
          <w:spacing w:val="-2"/>
          <w:highlight w:val="none"/>
          <w14:textFill>
            <w14:solidFill>
              <w14:schemeClr w14:val="tx1"/>
            </w14:solidFill>
          </w14:textFill>
        </w:rPr>
        <w:t>（根据项目属性确定）本身的所属行业保持一致。</w:t>
      </w:r>
    </w:p>
    <w:p>
      <w:pPr>
        <w:pStyle w:val="10"/>
        <w:shd w:val="clear"/>
        <w:spacing w:line="360" w:lineRule="auto"/>
        <w:ind w:left="777" w:right="655" w:firstLine="480"/>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对于以联合体方式面向中小企业采购的项目</w:t>
      </w:r>
      <w:r>
        <w:rPr>
          <w:color w:val="000000" w:themeColor="text1"/>
          <w:spacing w:val="-18"/>
          <w:highlight w:val="none"/>
          <w14:textFill>
            <w14:solidFill>
              <w14:schemeClr w14:val="tx1"/>
            </w14:solidFill>
          </w14:textFill>
        </w:rPr>
        <w:t>，“采购文件中明确的所属行业”</w:t>
      </w:r>
      <w:r>
        <w:rPr>
          <w:color w:val="000000" w:themeColor="text1"/>
          <w:spacing w:val="-5"/>
          <w:highlight w:val="none"/>
          <w14:textFill>
            <w14:solidFill>
              <w14:schemeClr w14:val="tx1"/>
            </w14:solidFill>
          </w14:textFill>
        </w:rPr>
        <w:t>应按照采购文件中注明的联合体中中小企业承担的采购标的所属行业填写，并应确保与该承担部分采购标的涉及的货物制造商/服务承接商/工程承建商</w:t>
      </w:r>
      <w:r>
        <w:rPr>
          <w:color w:val="000000" w:themeColor="text1"/>
          <w:spacing w:val="-2"/>
          <w:highlight w:val="none"/>
          <w14:textFill>
            <w14:solidFill>
              <w14:schemeClr w14:val="tx1"/>
            </w14:solidFill>
          </w14:textFill>
        </w:rPr>
        <w:t>（根据项目属性确定）本身的所属行业保持一致。</w:t>
      </w:r>
    </w:p>
    <w:p>
      <w:pPr>
        <w:pStyle w:val="19"/>
        <w:numPr>
          <w:ilvl w:val="0"/>
          <w:numId w:val="55"/>
        </w:numPr>
        <w:shd w:val="clear"/>
        <w:tabs>
          <w:tab w:val="left" w:pos="1475"/>
        </w:tabs>
        <w:spacing w:line="307" w:lineRule="exact"/>
        <w:ind w:left="1475" w:hanging="218"/>
        <w:rPr>
          <w:color w:val="000000" w:themeColor="text1"/>
          <w:sz w:val="24"/>
          <w:highlight w:val="none"/>
          <w14:textFill>
            <w14:solidFill>
              <w14:schemeClr w14:val="tx1"/>
            </w14:solidFill>
          </w14:textFill>
        </w:rPr>
      </w:pPr>
      <w:r>
        <w:rPr>
          <w:color w:val="000000" w:themeColor="text1"/>
          <w:spacing w:val="-4"/>
          <w:sz w:val="24"/>
          <w:highlight w:val="none"/>
          <w14:textFill>
            <w14:solidFill>
              <w14:schemeClr w14:val="tx1"/>
            </w14:solidFill>
          </w14:textFill>
        </w:rPr>
        <w:t>“企业名称”应填写投标（响应）</w:t>
      </w:r>
      <w:r>
        <w:rPr>
          <w:color w:val="000000" w:themeColor="text1"/>
          <w:spacing w:val="-5"/>
          <w:sz w:val="24"/>
          <w:highlight w:val="none"/>
          <w14:textFill>
            <w14:solidFill>
              <w14:schemeClr w14:val="tx1"/>
            </w14:solidFill>
          </w14:textFill>
        </w:rPr>
        <w:t>的货物制造商/服务承接商/工程承建商</w:t>
      </w:r>
    </w:p>
    <w:p>
      <w:pPr>
        <w:pStyle w:val="10"/>
        <w:shd w:val="clear"/>
        <w:spacing w:before="137"/>
        <w:ind w:left="77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（根据项目属性确定）</w:t>
      </w:r>
      <w:r>
        <w:rPr>
          <w:color w:val="000000" w:themeColor="text1"/>
          <w:spacing w:val="-10"/>
          <w:highlight w:val="none"/>
          <w14:textFill>
            <w14:solidFill>
              <w14:schemeClr w14:val="tx1"/>
            </w14:solidFill>
          </w14:textFill>
        </w:rPr>
        <w:t>。</w:t>
      </w:r>
    </w:p>
    <w:p>
      <w:pPr>
        <w:pStyle w:val="10"/>
        <w:shd w:val="clear"/>
        <w:spacing w:before="154" w:line="360" w:lineRule="auto"/>
        <w:ind w:left="777" w:right="775" w:firstLine="480"/>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对于分包方式面向中小企业采购的项目，“企业名称”应填写分包部分采购</w:t>
      </w:r>
      <w:r>
        <w:rPr>
          <w:color w:val="000000" w:themeColor="text1"/>
          <w:spacing w:val="-2"/>
          <w:highlight w:val="none"/>
          <w14:textFill>
            <w14:solidFill>
              <w14:schemeClr w14:val="tx1"/>
            </w14:solidFill>
          </w14:textFill>
        </w:rPr>
        <w:t>标的对应的货物制造商/服务承接商/工程承建商（根据项目属性确定）。</w:t>
      </w:r>
    </w:p>
    <w:p>
      <w:pPr>
        <w:shd w:val="clear"/>
        <w:spacing w:line="360" w:lineRule="auto"/>
        <w:rPr>
          <w:color w:val="000000" w:themeColor="text1"/>
          <w:highlight w:val="none"/>
          <w14:textFill>
            <w14:solidFill>
              <w14:schemeClr w14:val="tx1"/>
            </w14:solidFill>
          </w14:textFill>
        </w:rPr>
        <w:sectPr>
          <w:pgSz w:w="11910" w:h="16840"/>
          <w:pgMar w:top="1380" w:right="1019" w:bottom="1040" w:left="1020" w:header="878" w:footer="853" w:gutter="0"/>
          <w:cols w:space="720" w:num="1"/>
        </w:sectPr>
      </w:pPr>
    </w:p>
    <w:p>
      <w:pPr>
        <w:pStyle w:val="10"/>
        <w:shd w:val="clear"/>
        <w:spacing w:before="51" w:line="360" w:lineRule="auto"/>
        <w:ind w:left="777" w:right="775" w:firstLine="480"/>
        <w:jc w:val="both"/>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对于以联合体方式面向中小企业采购的项目，“企业名称”应填写联合体中</w:t>
      </w:r>
      <w:r>
        <w:rPr>
          <w:color w:val="000000" w:themeColor="text1"/>
          <w:spacing w:val="-5"/>
          <w:highlight w:val="none"/>
          <w14:textFill>
            <w14:solidFill>
              <w14:schemeClr w14:val="tx1"/>
            </w14:solidFill>
          </w14:textFill>
        </w:rPr>
        <w:t>中小企业承担采购标的对应的货物制造商/服务承接商/工程承建商</w:t>
      </w:r>
      <w:r>
        <w:rPr>
          <w:color w:val="000000" w:themeColor="text1"/>
          <w:spacing w:val="-2"/>
          <w:highlight w:val="none"/>
          <w14:textFill>
            <w14:solidFill>
              <w14:schemeClr w14:val="tx1"/>
            </w14:solidFill>
          </w14:textFill>
        </w:rPr>
        <w:t>（根据项目属性确定）。</w:t>
      </w:r>
    </w:p>
    <w:p>
      <w:pPr>
        <w:pStyle w:val="19"/>
        <w:numPr>
          <w:ilvl w:val="0"/>
          <w:numId w:val="55"/>
        </w:numPr>
        <w:shd w:val="clear"/>
        <w:tabs>
          <w:tab w:val="left" w:pos="1497"/>
        </w:tabs>
        <w:spacing w:line="357" w:lineRule="auto"/>
        <w:ind w:right="775" w:firstLine="480"/>
        <w:rPr>
          <w:color w:val="000000" w:themeColor="text1"/>
          <w:sz w:val="24"/>
          <w:highlight w:val="none"/>
          <w14:textFill>
            <w14:solidFill>
              <w14:schemeClr w14:val="tx1"/>
            </w14:solidFill>
          </w14:textFill>
        </w:rPr>
      </w:pPr>
      <w:r>
        <w:rPr>
          <w:color w:val="000000" w:themeColor="text1"/>
          <w:spacing w:val="-4"/>
          <w:sz w:val="24"/>
          <w:highlight w:val="none"/>
          <w14:textFill>
            <w14:solidFill>
              <w14:schemeClr w14:val="tx1"/>
            </w14:solidFill>
          </w14:textFill>
        </w:rPr>
        <w:t>从业人员、资产总额指标以上年度末数据为依据，营业收入指标以上年度</w:t>
      </w:r>
      <w:r>
        <w:rPr>
          <w:color w:val="000000" w:themeColor="text1"/>
          <w:spacing w:val="-2"/>
          <w:sz w:val="24"/>
          <w:highlight w:val="none"/>
          <w14:textFill>
            <w14:solidFill>
              <w14:schemeClr w14:val="tx1"/>
            </w14:solidFill>
          </w14:textFill>
        </w:rPr>
        <w:t>累计数据为依据。无上年度数据的新成立企业可不填报。</w:t>
      </w:r>
    </w:p>
    <w:p>
      <w:pPr>
        <w:pStyle w:val="19"/>
        <w:numPr>
          <w:ilvl w:val="0"/>
          <w:numId w:val="55"/>
        </w:numPr>
        <w:shd w:val="clear"/>
        <w:tabs>
          <w:tab w:val="left" w:pos="1468"/>
        </w:tabs>
        <w:spacing w:before="2" w:line="360" w:lineRule="auto"/>
        <w:ind w:right="775" w:firstLine="480"/>
        <w:jc w:val="both"/>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“中型企业/小型企业/微型企业”部分，供应商应依据企业上年度从业人</w:t>
      </w:r>
      <w:r>
        <w:rPr>
          <w:color w:val="000000" w:themeColor="text1"/>
          <w:spacing w:val="-4"/>
          <w:sz w:val="24"/>
          <w:highlight w:val="none"/>
          <w14:textFill>
            <w14:solidFill>
              <w14:schemeClr w14:val="tx1"/>
            </w14:solidFill>
          </w14:textFill>
        </w:rPr>
        <w:t>员、营业收入、资产总额等指标，按照《中小企业划型标准规定》（工信部联企</w:t>
      </w:r>
      <w:r>
        <w:rPr>
          <w:color w:val="000000" w:themeColor="text1"/>
          <w:spacing w:val="-2"/>
          <w:sz w:val="24"/>
          <w:highlight w:val="none"/>
          <w14:textFill>
            <w14:solidFill>
              <w14:schemeClr w14:val="tx1"/>
            </w14:solidFill>
          </w14:textFill>
        </w:rPr>
        <w:t>业〔2011〕300</w:t>
      </w:r>
      <w:r>
        <w:rPr>
          <w:color w:val="000000" w:themeColor="text1"/>
          <w:spacing w:val="-11"/>
          <w:sz w:val="24"/>
          <w:highlight w:val="none"/>
          <w14:textFill>
            <w14:solidFill>
              <w14:schemeClr w14:val="tx1"/>
            </w14:solidFill>
          </w14:textFill>
        </w:rPr>
        <w:t xml:space="preserve"> 号</w:t>
      </w:r>
      <w:r>
        <w:rPr>
          <w:color w:val="000000" w:themeColor="text1"/>
          <w:spacing w:val="-2"/>
          <w:sz w:val="24"/>
          <w:highlight w:val="none"/>
          <w14:textFill>
            <w14:solidFill>
              <w14:schemeClr w14:val="tx1"/>
            </w14:solidFill>
          </w14:textFill>
        </w:rPr>
        <w:t>）、《金融业企业划型标准规定》（银发〔2015〕309</w:t>
      </w:r>
      <w:r>
        <w:rPr>
          <w:color w:val="000000" w:themeColor="text1"/>
          <w:spacing w:val="-11"/>
          <w:sz w:val="24"/>
          <w:highlight w:val="none"/>
          <w14:textFill>
            <w14:solidFill>
              <w14:schemeClr w14:val="tx1"/>
            </w14:solidFill>
          </w14:textFill>
        </w:rPr>
        <w:t xml:space="preserve"> 号</w:t>
      </w:r>
      <w:r>
        <w:rPr>
          <w:color w:val="000000" w:themeColor="text1"/>
          <w:spacing w:val="-2"/>
          <w:sz w:val="24"/>
          <w:highlight w:val="none"/>
          <w14:textFill>
            <w14:solidFill>
              <w14:schemeClr w14:val="tx1"/>
            </w14:solidFill>
          </w14:textFill>
        </w:rPr>
        <w:t>），</w:t>
      </w:r>
      <w:r>
        <w:rPr>
          <w:color w:val="000000" w:themeColor="text1"/>
          <w:spacing w:val="-4"/>
          <w:sz w:val="24"/>
          <w:highlight w:val="none"/>
          <w14:textFill>
            <w14:solidFill>
              <w14:schemeClr w14:val="tx1"/>
            </w14:solidFill>
          </w14:textFill>
        </w:rPr>
        <w:t>判断“中小企业声明函”载明的货物制造商/服务承接商/工程承建商（根据项目</w:t>
      </w:r>
      <w:r>
        <w:rPr>
          <w:color w:val="000000" w:themeColor="text1"/>
          <w:spacing w:val="-2"/>
          <w:sz w:val="24"/>
          <w:highlight w:val="none"/>
          <w14:textFill>
            <w14:solidFill>
              <w14:schemeClr w14:val="tx1"/>
            </w14:solidFill>
          </w14:textFill>
        </w:rPr>
        <w:t>属性确定）是否属于采购文件所属行业的中型企业/小型企业/微型企业。</w:t>
      </w:r>
    </w:p>
    <w:p>
      <w:pPr>
        <w:pStyle w:val="19"/>
        <w:numPr>
          <w:ilvl w:val="0"/>
          <w:numId w:val="55"/>
        </w:numPr>
        <w:shd w:val="clear"/>
        <w:tabs>
          <w:tab w:val="left" w:pos="1497"/>
        </w:tabs>
        <w:spacing w:line="360" w:lineRule="auto"/>
        <w:ind w:right="686" w:firstLine="48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pPr>
        <w:pStyle w:val="7"/>
        <w:shd w:val="clear"/>
        <w:spacing w:line="307" w:lineRule="exact"/>
        <w:ind w:left="1257"/>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（二）</w:t>
      </w:r>
      <w:r>
        <w:rPr>
          <w:color w:val="000000" w:themeColor="text1"/>
          <w:spacing w:val="-3"/>
          <w:highlight w:val="none"/>
          <w14:textFill>
            <w14:solidFill>
              <w14:schemeClr w14:val="tx1"/>
            </w14:solidFill>
          </w14:textFill>
        </w:rPr>
        <w:t>关于“中小企业声明函”的提交要求</w:t>
      </w:r>
    </w:p>
    <w:p>
      <w:pPr>
        <w:pStyle w:val="19"/>
        <w:numPr>
          <w:ilvl w:val="0"/>
          <w:numId w:val="56"/>
        </w:numPr>
        <w:shd w:val="clear"/>
        <w:tabs>
          <w:tab w:val="left" w:pos="1497"/>
        </w:tabs>
        <w:spacing w:before="146" w:line="360" w:lineRule="auto"/>
        <w:ind w:right="655" w:firstLine="48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投标（响应）供应商对“中小企业声明函”的真实性负责。投标（响应）供应商应当核实投标（响应）的货物制造商/服务承接商/工程承建商（根据项目属性确定</w:t>
      </w:r>
      <w:r>
        <w:rPr>
          <w:color w:val="000000" w:themeColor="text1"/>
          <w:spacing w:val="-70"/>
          <w:sz w:val="24"/>
          <w:highlight w:val="none"/>
          <w14:textFill>
            <w14:solidFill>
              <w14:schemeClr w14:val="tx1"/>
            </w14:solidFill>
          </w14:textFill>
        </w:rPr>
        <w:t>）</w:t>
      </w:r>
      <w:r>
        <w:rPr>
          <w:color w:val="000000" w:themeColor="text1"/>
          <w:spacing w:val="-15"/>
          <w:sz w:val="24"/>
          <w:highlight w:val="none"/>
          <w14:textFill>
            <w14:solidFill>
              <w14:schemeClr w14:val="tx1"/>
            </w14:solidFill>
          </w14:textFill>
        </w:rPr>
        <w:t>的相关信息，如对相关信息了解不充分，或者不能确定相关信息真实、</w:t>
      </w:r>
      <w:r>
        <w:rPr>
          <w:color w:val="000000" w:themeColor="text1"/>
          <w:spacing w:val="-2"/>
          <w:sz w:val="24"/>
          <w:highlight w:val="none"/>
          <w14:textFill>
            <w14:solidFill>
              <w14:schemeClr w14:val="tx1"/>
            </w14:solidFill>
          </w14:textFill>
        </w:rPr>
        <w:t>准确的，不建议出具“中小企业声明函”。</w:t>
      </w:r>
    </w:p>
    <w:p>
      <w:pPr>
        <w:pStyle w:val="19"/>
        <w:numPr>
          <w:ilvl w:val="0"/>
          <w:numId w:val="56"/>
        </w:numPr>
        <w:shd w:val="clear"/>
        <w:tabs>
          <w:tab w:val="left" w:pos="1497"/>
        </w:tabs>
        <w:spacing w:line="360" w:lineRule="auto"/>
        <w:ind w:right="775" w:firstLine="480"/>
        <w:rPr>
          <w:color w:val="000000" w:themeColor="text1"/>
          <w:sz w:val="24"/>
          <w:highlight w:val="none"/>
          <w14:textFill>
            <w14:solidFill>
              <w14:schemeClr w14:val="tx1"/>
            </w14:solidFill>
          </w14:textFill>
        </w:rPr>
      </w:pPr>
      <w:r>
        <w:rPr>
          <w:color w:val="000000" w:themeColor="text1"/>
          <w:spacing w:val="-4"/>
          <w:sz w:val="24"/>
          <w:highlight w:val="none"/>
          <w14:textFill>
            <w14:solidFill>
              <w14:schemeClr w14:val="tx1"/>
            </w14:solidFill>
          </w14:textFill>
        </w:rPr>
        <w:t>鼓励供应商在投标（响应）时一并提供对货物制造商、服务承接商、工程</w:t>
      </w:r>
      <w:r>
        <w:rPr>
          <w:color w:val="000000" w:themeColor="text1"/>
          <w:spacing w:val="-2"/>
          <w:sz w:val="24"/>
          <w:highlight w:val="none"/>
          <w14:textFill>
            <w14:solidFill>
              <w14:schemeClr w14:val="tx1"/>
            </w14:solidFill>
          </w14:textFill>
        </w:rPr>
        <w:t>承建商相关信息的核实核验情况以及其他佐证材料。</w:t>
      </w:r>
    </w:p>
    <w:p>
      <w:pPr>
        <w:pStyle w:val="19"/>
        <w:numPr>
          <w:ilvl w:val="0"/>
          <w:numId w:val="56"/>
        </w:numPr>
        <w:shd w:val="clear"/>
        <w:tabs>
          <w:tab w:val="left" w:pos="1497"/>
        </w:tabs>
        <w:spacing w:line="360" w:lineRule="auto"/>
        <w:ind w:right="655" w:firstLine="480"/>
        <w:rPr>
          <w:color w:val="000000" w:themeColor="text1"/>
          <w:sz w:val="24"/>
          <w:highlight w:val="none"/>
          <w14:textFill>
            <w14:solidFill>
              <w14:schemeClr w14:val="tx1"/>
            </w14:solidFill>
          </w14:textFill>
        </w:rPr>
      </w:pPr>
      <w:r>
        <w:rPr>
          <w:color w:val="000000" w:themeColor="text1"/>
          <w:spacing w:val="-18"/>
          <w:sz w:val="24"/>
          <w:highlight w:val="none"/>
          <w14:textFill>
            <w14:solidFill>
              <w14:schemeClr w14:val="tx1"/>
            </w14:solidFill>
          </w14:textFill>
        </w:rPr>
        <w:t>如供应商提供的“中小企业声明函”存在按采购文件所属行业划型不实的，</w:t>
      </w:r>
      <w:r>
        <w:rPr>
          <w:color w:val="000000" w:themeColor="text1"/>
          <w:spacing w:val="-2"/>
          <w:sz w:val="24"/>
          <w:highlight w:val="none"/>
          <w14:textFill>
            <w14:solidFill>
              <w14:schemeClr w14:val="tx1"/>
            </w14:solidFill>
          </w14:textFill>
        </w:rPr>
        <w:t>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hd w:val="clear"/>
        <w:spacing w:line="360" w:lineRule="auto"/>
        <w:rPr>
          <w:color w:val="000000" w:themeColor="text1"/>
          <w:sz w:val="24"/>
          <w:highlight w:val="none"/>
          <w14:textFill>
            <w14:solidFill>
              <w14:schemeClr w14:val="tx1"/>
            </w14:solidFill>
          </w14:textFill>
        </w:rPr>
        <w:sectPr>
          <w:pgSz w:w="11910" w:h="16840"/>
          <w:pgMar w:top="1380" w:right="1019" w:bottom="1040" w:left="1020" w:header="878" w:footer="853" w:gutter="0"/>
          <w:cols w:space="720" w:num="1"/>
        </w:sectPr>
      </w:pPr>
    </w:p>
    <w:p>
      <w:pPr>
        <w:pStyle w:val="10"/>
        <w:shd w:val="clear"/>
        <w:spacing w:before="186"/>
        <w:ind w:left="0"/>
        <w:rPr>
          <w:color w:val="000000" w:themeColor="text1"/>
          <w:sz w:val="20"/>
          <w:highlight w:val="none"/>
          <w14:textFill>
            <w14:solidFill>
              <w14:schemeClr w14:val="tx1"/>
            </w14:solidFill>
          </w14:textFill>
        </w:rPr>
      </w:pPr>
    </w:p>
    <w:p>
      <w:pPr>
        <w:shd w:val="clear"/>
        <w:rPr>
          <w:color w:val="000000" w:themeColor="text1"/>
          <w:sz w:val="20"/>
          <w:highlight w:val="none"/>
          <w14:textFill>
            <w14:solidFill>
              <w14:schemeClr w14:val="tx1"/>
            </w14:solidFill>
          </w14:textFill>
        </w:rPr>
        <w:sectPr>
          <w:pgSz w:w="11910" w:h="16840"/>
          <w:pgMar w:top="1380" w:right="1019" w:bottom="1040" w:left="1020" w:header="878" w:footer="853" w:gutter="0"/>
          <w:cols w:space="720" w:num="1"/>
        </w:sectPr>
      </w:pPr>
    </w:p>
    <w:p>
      <w:pPr>
        <w:shd w:val="clear"/>
        <w:spacing w:before="61"/>
        <w:ind w:left="777"/>
        <w:rPr>
          <w:b/>
          <w:color w:val="000000" w:themeColor="text1"/>
          <w:sz w:val="24"/>
          <w:highlight w:val="none"/>
          <w14:textFill>
            <w14:solidFill>
              <w14:schemeClr w14:val="tx1"/>
            </w14:solidFill>
          </w14:textFill>
        </w:rPr>
      </w:pPr>
      <w:r>
        <w:rPr>
          <w:b/>
          <w:color w:val="000000" w:themeColor="text1"/>
          <w:spacing w:val="-22"/>
          <w:sz w:val="24"/>
          <w:highlight w:val="none"/>
          <w14:textFill>
            <w14:solidFill>
              <w14:schemeClr w14:val="tx1"/>
            </w14:solidFill>
          </w14:textFill>
        </w:rPr>
        <w:t xml:space="preserve">附件 </w:t>
      </w:r>
      <w:r>
        <w:rPr>
          <w:b/>
          <w:color w:val="000000" w:themeColor="text1"/>
          <w:spacing w:val="-5"/>
          <w:sz w:val="24"/>
          <w:highlight w:val="none"/>
          <w14:textFill>
            <w14:solidFill>
              <w14:schemeClr w14:val="tx1"/>
            </w14:solidFill>
          </w14:textFill>
        </w:rPr>
        <w:t>2：</w:t>
      </w:r>
    </w:p>
    <w:p>
      <w:pPr>
        <w:pStyle w:val="5"/>
        <w:shd w:val="clear"/>
        <w:spacing w:before="374"/>
        <w:ind w:right="1722"/>
        <w:rPr>
          <w:color w:val="000000" w:themeColor="text1"/>
          <w:highlight w:val="none"/>
          <w14:textFill>
            <w14:solidFill>
              <w14:schemeClr w14:val="tx1"/>
            </w14:solidFill>
          </w14:textFill>
        </w:rPr>
      </w:pPr>
      <w:r>
        <w:rPr>
          <w:b w:val="0"/>
          <w:color w:val="000000" w:themeColor="text1"/>
          <w:highlight w:val="none"/>
          <w14:textFill>
            <w14:solidFill>
              <w14:schemeClr w14:val="tx1"/>
            </w14:solidFill>
          </w14:textFill>
        </w:rPr>
        <w:br w:type="column"/>
      </w:r>
      <w:r>
        <w:rPr>
          <w:color w:val="000000" w:themeColor="text1"/>
          <w:spacing w:val="-3"/>
          <w:highlight w:val="none"/>
          <w14:textFill>
            <w14:solidFill>
              <w14:schemeClr w14:val="tx1"/>
            </w14:solidFill>
          </w14:textFill>
        </w:rPr>
        <w:t>关于印发中小企业划型标准规定的通知</w:t>
      </w:r>
    </w:p>
    <w:p>
      <w:pPr>
        <w:pStyle w:val="10"/>
        <w:shd w:val="clear"/>
        <w:spacing w:before="47"/>
        <w:ind w:left="0" w:right="1722"/>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工信部联企业〔2011〕300</w:t>
      </w:r>
      <w:r>
        <w:rPr>
          <w:color w:val="000000" w:themeColor="text1"/>
          <w:spacing w:val="-35"/>
          <w:highlight w:val="none"/>
          <w14:textFill>
            <w14:solidFill>
              <w14:schemeClr w14:val="tx1"/>
            </w14:solidFill>
          </w14:textFill>
        </w:rPr>
        <w:t xml:space="preserve"> 号</w:t>
      </w:r>
    </w:p>
    <w:p>
      <w:pPr>
        <w:shd w:val="clear"/>
        <w:jc w:val="center"/>
        <w:rPr>
          <w:color w:val="000000" w:themeColor="text1"/>
          <w:highlight w:val="none"/>
          <w14:textFill>
            <w14:solidFill>
              <w14:schemeClr w14:val="tx1"/>
            </w14:solidFill>
          </w14:textFill>
        </w:rPr>
        <w:sectPr>
          <w:type w:val="continuous"/>
          <w:pgSz w:w="11910" w:h="16840"/>
          <w:pgMar w:top="1920" w:right="1019" w:bottom="280" w:left="1020" w:header="878" w:footer="853" w:gutter="0"/>
          <w:cols w:equalWidth="0" w:num="2">
            <w:col w:w="1681" w:space="40"/>
            <w:col w:w="8150"/>
          </w:cols>
        </w:sectPr>
      </w:pPr>
    </w:p>
    <w:p>
      <w:pPr>
        <w:pStyle w:val="10"/>
        <w:shd w:val="clear"/>
        <w:spacing w:before="95"/>
        <w:ind w:left="0"/>
        <w:rPr>
          <w:color w:val="000000" w:themeColor="text1"/>
          <w:highlight w:val="none"/>
          <w14:textFill>
            <w14:solidFill>
              <w14:schemeClr w14:val="tx1"/>
            </w14:solidFill>
          </w14:textFill>
        </w:rPr>
      </w:pPr>
    </w:p>
    <w:p>
      <w:pPr>
        <w:pStyle w:val="10"/>
        <w:shd w:val="clear"/>
        <w:spacing w:before="1"/>
        <w:ind w:left="777"/>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各省、自治区、直辖市人民政府，国务院各部委、各直属机构及有关单位：</w:t>
      </w:r>
    </w:p>
    <w:p>
      <w:pPr>
        <w:pStyle w:val="10"/>
        <w:shd w:val="clear"/>
        <w:spacing w:before="48" w:line="276" w:lineRule="auto"/>
        <w:ind w:left="777" w:right="775" w:firstLine="480"/>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为贯彻落实《中华人民共和国中小企业促进法》和《国务院关于进一步促进</w:t>
      </w:r>
      <w:r>
        <w:rPr>
          <w:color w:val="000000" w:themeColor="text1"/>
          <w:highlight w:val="none"/>
          <w14:textFill>
            <w14:solidFill>
              <w14:schemeClr w14:val="tx1"/>
            </w14:solidFill>
          </w14:textFill>
        </w:rPr>
        <w:t>中小企业发展的若干意见》（国发〔2009〕36</w:t>
      </w:r>
      <w:r>
        <w:rPr>
          <w:color w:val="000000" w:themeColor="text1"/>
          <w:spacing w:val="-21"/>
          <w:highlight w:val="none"/>
          <w14:textFill>
            <w14:solidFill>
              <w14:schemeClr w14:val="tx1"/>
            </w14:solidFill>
          </w14:textFill>
        </w:rPr>
        <w:t xml:space="preserve"> 号</w:t>
      </w:r>
      <w:r>
        <w:rPr>
          <w:color w:val="000000" w:themeColor="text1"/>
          <w:highlight w:val="none"/>
          <w14:textFill>
            <w14:solidFill>
              <w14:schemeClr w14:val="tx1"/>
            </w14:solidFill>
          </w14:textFill>
        </w:rPr>
        <w:t>），工业和信息化部、国家统</w:t>
      </w:r>
      <w:r>
        <w:rPr>
          <w:color w:val="000000" w:themeColor="text1"/>
          <w:spacing w:val="-4"/>
          <w:highlight w:val="none"/>
          <w14:textFill>
            <w14:solidFill>
              <w14:schemeClr w14:val="tx1"/>
            </w14:solidFill>
          </w14:textFill>
        </w:rPr>
        <w:t>计局、发展改革委、财政部研究制定了《中小企业划型标准规定》。经国务院同</w:t>
      </w:r>
      <w:r>
        <w:rPr>
          <w:color w:val="000000" w:themeColor="text1"/>
          <w:spacing w:val="-2"/>
          <w:highlight w:val="none"/>
          <w14:textFill>
            <w14:solidFill>
              <w14:schemeClr w14:val="tx1"/>
            </w14:solidFill>
          </w14:textFill>
        </w:rPr>
        <w:t>意，现印发给你们，请遵照执行。</w:t>
      </w:r>
    </w:p>
    <w:p>
      <w:pPr>
        <w:pStyle w:val="10"/>
        <w:shd w:val="clear"/>
        <w:tabs>
          <w:tab w:val="left" w:pos="7888"/>
          <w:tab w:val="left" w:pos="8368"/>
        </w:tabs>
        <w:spacing w:before="4" w:line="276" w:lineRule="auto"/>
        <w:ind w:left="5728" w:right="775" w:firstLine="240"/>
        <w:jc w:val="right"/>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工业和信息化部</w:t>
      </w:r>
      <w:r>
        <w:rPr>
          <w:color w:val="000000" w:themeColor="text1"/>
          <w:highlight w:val="none"/>
          <w14:textFill>
            <w14:solidFill>
              <w14:schemeClr w14:val="tx1"/>
            </w14:solidFill>
          </w14:textFill>
        </w:rPr>
        <w:tab/>
      </w:r>
      <w:r>
        <w:rPr>
          <w:color w:val="000000" w:themeColor="text1"/>
          <w:spacing w:val="-4"/>
          <w:highlight w:val="none"/>
          <w14:textFill>
            <w14:solidFill>
              <w14:schemeClr w14:val="tx1"/>
            </w14:solidFill>
          </w14:textFill>
        </w:rPr>
        <w:t>国家统计局</w:t>
      </w:r>
      <w:r>
        <w:rPr>
          <w:color w:val="000000" w:themeColor="text1"/>
          <w:spacing w:val="-2"/>
          <w:highlight w:val="none"/>
          <w14:textFill>
            <w14:solidFill>
              <w14:schemeClr w14:val="tx1"/>
            </w14:solidFill>
          </w14:textFill>
        </w:rPr>
        <w:t>国家发展和改革委员会</w:t>
      </w:r>
      <w:r>
        <w:rPr>
          <w:color w:val="000000" w:themeColor="text1"/>
          <w:highlight w:val="none"/>
          <w14:textFill>
            <w14:solidFill>
              <w14:schemeClr w14:val="tx1"/>
            </w14:solidFill>
          </w14:textFill>
        </w:rPr>
        <w:tab/>
      </w:r>
      <w:r>
        <w:rPr>
          <w:color w:val="000000" w:themeColor="text1"/>
          <w:spacing w:val="-4"/>
          <w:highlight w:val="none"/>
          <w14:textFill>
            <w14:solidFill>
              <w14:schemeClr w14:val="tx1"/>
            </w14:solidFill>
          </w14:textFill>
        </w:rPr>
        <w:t>财政部</w:t>
      </w:r>
      <w:r>
        <w:rPr>
          <w:color w:val="000000" w:themeColor="text1"/>
          <w:spacing w:val="-2"/>
          <w:highlight w:val="none"/>
          <w14:textFill>
            <w14:solidFill>
              <w14:schemeClr w14:val="tx1"/>
            </w14:solidFill>
          </w14:textFill>
        </w:rPr>
        <w:t>二○一一年六月十八日</w:t>
      </w:r>
    </w:p>
    <w:p>
      <w:pPr>
        <w:pStyle w:val="10"/>
        <w:shd w:val="clear"/>
        <w:spacing w:before="42"/>
        <w:ind w:left="0"/>
        <w:rPr>
          <w:color w:val="000000" w:themeColor="text1"/>
          <w:highlight w:val="none"/>
          <w14:textFill>
            <w14:solidFill>
              <w14:schemeClr w14:val="tx1"/>
            </w14:solidFill>
          </w14:textFill>
        </w:rPr>
      </w:pPr>
    </w:p>
    <w:p>
      <w:pPr>
        <w:pStyle w:val="6"/>
        <w:shd w:val="clear"/>
        <w:ind w:left="3528"/>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中小企业划型标准规定</w:t>
      </w:r>
    </w:p>
    <w:p>
      <w:pPr>
        <w:pStyle w:val="10"/>
        <w:shd w:val="clear"/>
        <w:spacing w:before="78" w:line="307" w:lineRule="auto"/>
        <w:ind w:left="777" w:right="775" w:firstLine="480"/>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一、根据《中华人民共和国中小企业促进法》和《国务院关于进一步促进中</w:t>
      </w:r>
      <w:r>
        <w:rPr>
          <w:color w:val="000000" w:themeColor="text1"/>
          <w:highlight w:val="none"/>
          <w14:textFill>
            <w14:solidFill>
              <w14:schemeClr w14:val="tx1"/>
            </w14:solidFill>
          </w14:textFill>
        </w:rPr>
        <w:t>小企业发展的若干意见》(国发〔2009〕36</w:t>
      </w:r>
      <w:r>
        <w:rPr>
          <w:color w:val="000000" w:themeColor="text1"/>
          <w:spacing w:val="-7"/>
          <w:highlight w:val="none"/>
          <w14:textFill>
            <w14:solidFill>
              <w14:schemeClr w14:val="tx1"/>
            </w14:solidFill>
          </w14:textFill>
        </w:rPr>
        <w:t xml:space="preserve"> 号)，制定本规定。</w:t>
      </w:r>
    </w:p>
    <w:p>
      <w:pPr>
        <w:pStyle w:val="10"/>
        <w:shd w:val="clear"/>
        <w:spacing w:before="1" w:line="307" w:lineRule="auto"/>
        <w:ind w:left="777" w:right="775" w:firstLine="480"/>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二、中小企业划分为中型、小型、微型三种类型，具体标准根据企业从业人</w:t>
      </w:r>
      <w:r>
        <w:rPr>
          <w:color w:val="000000" w:themeColor="text1"/>
          <w:spacing w:val="-2"/>
          <w:highlight w:val="none"/>
          <w14:textFill>
            <w14:solidFill>
              <w14:schemeClr w14:val="tx1"/>
            </w14:solidFill>
          </w14:textFill>
        </w:rPr>
        <w:t>员、营业收入、资产总额等指标，结合行业特点制定。</w:t>
      </w:r>
    </w:p>
    <w:p>
      <w:pPr>
        <w:pStyle w:val="10"/>
        <w:shd w:val="clear"/>
        <w:spacing w:before="2" w:line="307" w:lineRule="auto"/>
        <w:ind w:left="777" w:right="655" w:firstLine="480"/>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w:t>
      </w:r>
      <w:r>
        <w:rPr>
          <w:color w:val="000000" w:themeColor="text1"/>
          <w:spacing w:val="-16"/>
          <w:highlight w:val="none"/>
          <w14:textFill>
            <w14:solidFill>
              <w14:schemeClr w14:val="tx1"/>
            </w14:solidFill>
          </w14:textFill>
        </w:rPr>
        <w:t>管理，租赁和商务服务业，其他未列明行业</w:t>
      </w:r>
      <w:r>
        <w:rPr>
          <w:color w:val="000000" w:themeColor="text1"/>
          <w:spacing w:val="-2"/>
          <w:highlight w:val="none"/>
          <w14:textFill>
            <w14:solidFill>
              <w14:schemeClr w14:val="tx1"/>
            </w14:solidFill>
          </w14:textFill>
        </w:rPr>
        <w:t>（</w:t>
      </w:r>
      <w:r>
        <w:rPr>
          <w:color w:val="000000" w:themeColor="text1"/>
          <w:spacing w:val="-6"/>
          <w:highlight w:val="none"/>
          <w14:textFill>
            <w14:solidFill>
              <w14:schemeClr w14:val="tx1"/>
            </w14:solidFill>
          </w14:textFill>
        </w:rPr>
        <w:t>包括科学研究和技术服务业，水利、</w:t>
      </w:r>
      <w:r>
        <w:rPr>
          <w:color w:val="000000" w:themeColor="text1"/>
          <w:spacing w:val="-2"/>
          <w:highlight w:val="none"/>
          <w14:textFill>
            <w14:solidFill>
              <w14:schemeClr w14:val="tx1"/>
            </w14:solidFill>
          </w14:textFill>
        </w:rPr>
        <w:t>环境和公共设施管理业，居民服务、修理和其他服务业，社会工作，文化、体育和娱乐业等）。</w:t>
      </w:r>
    </w:p>
    <w:p>
      <w:pPr>
        <w:pStyle w:val="10"/>
        <w:shd w:val="clear"/>
        <w:spacing w:before="3"/>
        <w:ind w:left="1257"/>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四、各行业划型标准为：</w:t>
      </w:r>
    </w:p>
    <w:p>
      <w:pPr>
        <w:pStyle w:val="10"/>
        <w:shd w:val="clear"/>
        <w:spacing w:before="89"/>
        <w:ind w:left="1245"/>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（一）</w:t>
      </w:r>
      <w:r>
        <w:rPr>
          <w:color w:val="000000" w:themeColor="text1"/>
          <w:spacing w:val="-7"/>
          <w:highlight w:val="none"/>
          <w14:textFill>
            <w14:solidFill>
              <w14:schemeClr w14:val="tx1"/>
            </w14:solidFill>
          </w14:textFill>
        </w:rPr>
        <w:t xml:space="preserve">农、林、牧、渔业。营业收入 </w:t>
      </w:r>
      <w:r>
        <w:rPr>
          <w:color w:val="000000" w:themeColor="text1"/>
          <w:spacing w:val="-4"/>
          <w:highlight w:val="none"/>
          <w14:textFill>
            <w14:solidFill>
              <w14:schemeClr w14:val="tx1"/>
            </w14:solidFill>
          </w14:textFill>
        </w:rPr>
        <w:t>20000</w:t>
      </w:r>
      <w:r>
        <w:rPr>
          <w:color w:val="000000" w:themeColor="text1"/>
          <w:spacing w:val="-10"/>
          <w:highlight w:val="none"/>
          <w14:textFill>
            <w14:solidFill>
              <w14:schemeClr w14:val="tx1"/>
            </w14:solidFill>
          </w14:textFill>
        </w:rPr>
        <w:t xml:space="preserve"> 万元以下的为中小微型企业。其</w:t>
      </w:r>
    </w:p>
    <w:p>
      <w:pPr>
        <w:pStyle w:val="10"/>
        <w:shd w:val="clear"/>
        <w:spacing w:before="89"/>
        <w:ind w:left="777"/>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 xml:space="preserve">中，营业收入 </w:t>
      </w:r>
      <w:r>
        <w:rPr>
          <w:color w:val="000000" w:themeColor="text1"/>
          <w:highlight w:val="none"/>
          <w14:textFill>
            <w14:solidFill>
              <w14:schemeClr w14:val="tx1"/>
            </w14:solidFill>
          </w14:textFill>
        </w:rPr>
        <w:t>500</w:t>
      </w:r>
      <w:r>
        <w:rPr>
          <w:color w:val="000000" w:themeColor="text1"/>
          <w:spacing w:val="-11"/>
          <w:highlight w:val="none"/>
          <w14:textFill>
            <w14:solidFill>
              <w14:schemeClr w14:val="tx1"/>
            </w14:solidFill>
          </w14:textFill>
        </w:rPr>
        <w:t xml:space="preserve"> 万元及以上的为中型企业，营业收入 </w:t>
      </w:r>
      <w:r>
        <w:rPr>
          <w:color w:val="000000" w:themeColor="text1"/>
          <w:highlight w:val="none"/>
          <w14:textFill>
            <w14:solidFill>
              <w14:schemeClr w14:val="tx1"/>
            </w14:solidFill>
          </w14:textFill>
        </w:rPr>
        <w:t>50</w:t>
      </w:r>
      <w:r>
        <w:rPr>
          <w:color w:val="000000" w:themeColor="text1"/>
          <w:spacing w:val="-9"/>
          <w:highlight w:val="none"/>
          <w14:textFill>
            <w14:solidFill>
              <w14:schemeClr w14:val="tx1"/>
            </w14:solidFill>
          </w14:textFill>
        </w:rPr>
        <w:t xml:space="preserve"> 万元及以上的为小型</w:t>
      </w:r>
    </w:p>
    <w:p>
      <w:pPr>
        <w:pStyle w:val="10"/>
        <w:shd w:val="clear"/>
        <w:spacing w:before="86"/>
        <w:ind w:left="777"/>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 xml:space="preserve">企业，营业收入 </w:t>
      </w:r>
      <w:r>
        <w:rPr>
          <w:color w:val="000000" w:themeColor="text1"/>
          <w:highlight w:val="none"/>
          <w14:textFill>
            <w14:solidFill>
              <w14:schemeClr w14:val="tx1"/>
            </w14:solidFill>
          </w14:textFill>
        </w:rPr>
        <w:t>50</w:t>
      </w:r>
      <w:r>
        <w:rPr>
          <w:color w:val="000000" w:themeColor="text1"/>
          <w:spacing w:val="-9"/>
          <w:highlight w:val="none"/>
          <w14:textFill>
            <w14:solidFill>
              <w14:schemeClr w14:val="tx1"/>
            </w14:solidFill>
          </w14:textFill>
        </w:rPr>
        <w:t xml:space="preserve"> 万元以下的为微型企业。</w:t>
      </w:r>
    </w:p>
    <w:p>
      <w:pPr>
        <w:pStyle w:val="10"/>
        <w:shd w:val="clear"/>
        <w:spacing w:before="89"/>
        <w:ind w:left="0" w:right="806"/>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（二）</w:t>
      </w:r>
      <w:r>
        <w:rPr>
          <w:color w:val="000000" w:themeColor="text1"/>
          <w:spacing w:val="-8"/>
          <w:highlight w:val="none"/>
          <w14:textFill>
            <w14:solidFill>
              <w14:schemeClr w14:val="tx1"/>
            </w14:solidFill>
          </w14:textFill>
        </w:rPr>
        <w:t xml:space="preserve">工业。从业人员 </w:t>
      </w:r>
      <w:r>
        <w:rPr>
          <w:color w:val="000000" w:themeColor="text1"/>
          <w:highlight w:val="none"/>
          <w14:textFill>
            <w14:solidFill>
              <w14:schemeClr w14:val="tx1"/>
            </w14:solidFill>
          </w14:textFill>
        </w:rPr>
        <w:t>1000</w:t>
      </w:r>
      <w:r>
        <w:rPr>
          <w:color w:val="000000" w:themeColor="text1"/>
          <w:spacing w:val="-14"/>
          <w:highlight w:val="none"/>
          <w14:textFill>
            <w14:solidFill>
              <w14:schemeClr w14:val="tx1"/>
            </w14:solidFill>
          </w14:textFill>
        </w:rPr>
        <w:t xml:space="preserve"> 人以下或营业收入 </w:t>
      </w:r>
      <w:r>
        <w:rPr>
          <w:color w:val="000000" w:themeColor="text1"/>
          <w:highlight w:val="none"/>
          <w14:textFill>
            <w14:solidFill>
              <w14:schemeClr w14:val="tx1"/>
            </w14:solidFill>
          </w14:textFill>
        </w:rPr>
        <w:t>40000</w:t>
      </w:r>
      <w:r>
        <w:rPr>
          <w:color w:val="000000" w:themeColor="text1"/>
          <w:spacing w:val="-9"/>
          <w:highlight w:val="none"/>
          <w14:textFill>
            <w14:solidFill>
              <w14:schemeClr w14:val="tx1"/>
            </w14:solidFill>
          </w14:textFill>
        </w:rPr>
        <w:t xml:space="preserve"> 万元以下的为中小微</w:t>
      </w:r>
    </w:p>
    <w:p>
      <w:pPr>
        <w:pStyle w:val="10"/>
        <w:shd w:val="clear"/>
        <w:spacing w:before="89"/>
        <w:ind w:left="0" w:right="806"/>
        <w:jc w:val="right"/>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 xml:space="preserve">型企业。其中，从业人员 </w:t>
      </w:r>
      <w:r>
        <w:rPr>
          <w:color w:val="000000" w:themeColor="text1"/>
          <w:highlight w:val="none"/>
          <w14:textFill>
            <w14:solidFill>
              <w14:schemeClr w14:val="tx1"/>
            </w14:solidFill>
          </w14:textFill>
        </w:rPr>
        <w:t>300</w:t>
      </w:r>
      <w:r>
        <w:rPr>
          <w:color w:val="000000" w:themeColor="text1"/>
          <w:spacing w:val="-13"/>
          <w:highlight w:val="none"/>
          <w14:textFill>
            <w14:solidFill>
              <w14:schemeClr w14:val="tx1"/>
            </w14:solidFill>
          </w14:textFill>
        </w:rPr>
        <w:t xml:space="preserve"> 人及以上，且营业收入 </w:t>
      </w:r>
      <w:r>
        <w:rPr>
          <w:color w:val="000000" w:themeColor="text1"/>
          <w:highlight w:val="none"/>
          <w14:textFill>
            <w14:solidFill>
              <w14:schemeClr w14:val="tx1"/>
            </w14:solidFill>
          </w14:textFill>
        </w:rPr>
        <w:t>2000</w:t>
      </w:r>
      <w:r>
        <w:rPr>
          <w:color w:val="000000" w:themeColor="text1"/>
          <w:spacing w:val="-9"/>
          <w:highlight w:val="none"/>
          <w14:textFill>
            <w14:solidFill>
              <w14:schemeClr w14:val="tx1"/>
            </w14:solidFill>
          </w14:textFill>
        </w:rPr>
        <w:t xml:space="preserve"> 万元及以上的为中型</w:t>
      </w:r>
    </w:p>
    <w:p>
      <w:pPr>
        <w:pStyle w:val="10"/>
        <w:shd w:val="clear"/>
        <w:spacing w:before="86"/>
        <w:ind w:left="0" w:right="806"/>
        <w:jc w:val="right"/>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 xml:space="preserve">企业；从业人员 </w:t>
      </w:r>
      <w:r>
        <w:rPr>
          <w:color w:val="000000" w:themeColor="text1"/>
          <w:highlight w:val="none"/>
          <w14:textFill>
            <w14:solidFill>
              <w14:schemeClr w14:val="tx1"/>
            </w14:solidFill>
          </w14:textFill>
        </w:rPr>
        <w:t>20</w:t>
      </w:r>
      <w:r>
        <w:rPr>
          <w:color w:val="000000" w:themeColor="text1"/>
          <w:spacing w:val="-13"/>
          <w:highlight w:val="none"/>
          <w14:textFill>
            <w14:solidFill>
              <w14:schemeClr w14:val="tx1"/>
            </w14:solidFill>
          </w14:textFill>
        </w:rPr>
        <w:t xml:space="preserve"> 人及以上，且营业收入 </w:t>
      </w:r>
      <w:r>
        <w:rPr>
          <w:color w:val="000000" w:themeColor="text1"/>
          <w:highlight w:val="none"/>
          <w14:textFill>
            <w14:solidFill>
              <w14:schemeClr w14:val="tx1"/>
            </w14:solidFill>
          </w14:textFill>
        </w:rPr>
        <w:t>300</w:t>
      </w:r>
      <w:r>
        <w:rPr>
          <w:color w:val="000000" w:themeColor="text1"/>
          <w:spacing w:val="-9"/>
          <w:highlight w:val="none"/>
          <w14:textFill>
            <w14:solidFill>
              <w14:schemeClr w14:val="tx1"/>
            </w14:solidFill>
          </w14:textFill>
        </w:rPr>
        <w:t xml:space="preserve"> 万元及以上的为小型企业；从业</w:t>
      </w:r>
    </w:p>
    <w:p>
      <w:pPr>
        <w:pStyle w:val="10"/>
        <w:shd w:val="clear"/>
        <w:spacing w:before="89"/>
        <w:ind w:left="777"/>
        <w:rPr>
          <w:color w:val="000000" w:themeColor="text1"/>
          <w:highlight w:val="none"/>
          <w14:textFill>
            <w14:solidFill>
              <w14:schemeClr w14:val="tx1"/>
            </w14:solidFill>
          </w14:textFill>
        </w:rPr>
      </w:pPr>
      <w:r>
        <w:rPr>
          <w:color w:val="000000" w:themeColor="text1"/>
          <w:spacing w:val="-20"/>
          <w:highlight w:val="none"/>
          <w14:textFill>
            <w14:solidFill>
              <w14:schemeClr w14:val="tx1"/>
            </w14:solidFill>
          </w14:textFill>
        </w:rPr>
        <w:t xml:space="preserve">人员 </w:t>
      </w:r>
      <w:r>
        <w:rPr>
          <w:color w:val="000000" w:themeColor="text1"/>
          <w:highlight w:val="none"/>
          <w14:textFill>
            <w14:solidFill>
              <w14:schemeClr w14:val="tx1"/>
            </w14:solidFill>
          </w14:textFill>
        </w:rPr>
        <w:t>20</w:t>
      </w:r>
      <w:r>
        <w:rPr>
          <w:color w:val="000000" w:themeColor="text1"/>
          <w:spacing w:val="-14"/>
          <w:highlight w:val="none"/>
          <w14:textFill>
            <w14:solidFill>
              <w14:schemeClr w14:val="tx1"/>
            </w14:solidFill>
          </w14:textFill>
        </w:rPr>
        <w:t xml:space="preserve"> 人以下或营业收入 </w:t>
      </w:r>
      <w:r>
        <w:rPr>
          <w:color w:val="000000" w:themeColor="text1"/>
          <w:highlight w:val="none"/>
          <w14:textFill>
            <w14:solidFill>
              <w14:schemeClr w14:val="tx1"/>
            </w14:solidFill>
          </w14:textFill>
        </w:rPr>
        <w:t>300</w:t>
      </w:r>
      <w:r>
        <w:rPr>
          <w:color w:val="000000" w:themeColor="text1"/>
          <w:spacing w:val="-9"/>
          <w:highlight w:val="none"/>
          <w14:textFill>
            <w14:solidFill>
              <w14:schemeClr w14:val="tx1"/>
            </w14:solidFill>
          </w14:textFill>
        </w:rPr>
        <w:t xml:space="preserve"> 万元以下的为微型企业。</w:t>
      </w:r>
    </w:p>
    <w:p>
      <w:pPr>
        <w:pStyle w:val="10"/>
        <w:shd w:val="clear"/>
        <w:spacing w:before="89"/>
        <w:ind w:left="0" w:right="775"/>
        <w:jc w:val="right"/>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（三）</w:t>
      </w:r>
      <w:r>
        <w:rPr>
          <w:color w:val="000000" w:themeColor="text1"/>
          <w:spacing w:val="-8"/>
          <w:highlight w:val="none"/>
          <w14:textFill>
            <w14:solidFill>
              <w14:schemeClr w14:val="tx1"/>
            </w14:solidFill>
          </w14:textFill>
        </w:rPr>
        <w:t xml:space="preserve">建筑业。营业收入 </w:t>
      </w:r>
      <w:r>
        <w:rPr>
          <w:color w:val="000000" w:themeColor="text1"/>
          <w:spacing w:val="-2"/>
          <w:highlight w:val="none"/>
          <w14:textFill>
            <w14:solidFill>
              <w14:schemeClr w14:val="tx1"/>
            </w14:solidFill>
          </w14:textFill>
        </w:rPr>
        <w:t>80000</w:t>
      </w:r>
      <w:r>
        <w:rPr>
          <w:color w:val="000000" w:themeColor="text1"/>
          <w:spacing w:val="-15"/>
          <w:highlight w:val="none"/>
          <w14:textFill>
            <w14:solidFill>
              <w14:schemeClr w14:val="tx1"/>
            </w14:solidFill>
          </w14:textFill>
        </w:rPr>
        <w:t xml:space="preserve"> 万元以下或资产总额 </w:t>
      </w:r>
      <w:r>
        <w:rPr>
          <w:color w:val="000000" w:themeColor="text1"/>
          <w:spacing w:val="-2"/>
          <w:highlight w:val="none"/>
          <w14:textFill>
            <w14:solidFill>
              <w14:schemeClr w14:val="tx1"/>
            </w14:solidFill>
          </w14:textFill>
        </w:rPr>
        <w:t>80000</w:t>
      </w:r>
      <w:r>
        <w:rPr>
          <w:color w:val="000000" w:themeColor="text1"/>
          <w:spacing w:val="-11"/>
          <w:highlight w:val="none"/>
          <w14:textFill>
            <w14:solidFill>
              <w14:schemeClr w14:val="tx1"/>
            </w14:solidFill>
          </w14:textFill>
        </w:rPr>
        <w:t xml:space="preserve"> 万元以下的为中</w:t>
      </w:r>
    </w:p>
    <w:p>
      <w:pPr>
        <w:pStyle w:val="10"/>
        <w:shd w:val="clear"/>
        <w:spacing w:before="86"/>
        <w:ind w:left="0" w:right="775"/>
        <w:jc w:val="right"/>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 xml:space="preserve">小微型企业。其中，营业收入 </w:t>
      </w:r>
      <w:r>
        <w:rPr>
          <w:color w:val="000000" w:themeColor="text1"/>
          <w:spacing w:val="-4"/>
          <w:highlight w:val="none"/>
          <w14:textFill>
            <w14:solidFill>
              <w14:schemeClr w14:val="tx1"/>
            </w14:solidFill>
          </w14:textFill>
        </w:rPr>
        <w:t>6000</w:t>
      </w:r>
      <w:r>
        <w:rPr>
          <w:color w:val="000000" w:themeColor="text1"/>
          <w:spacing w:val="-14"/>
          <w:highlight w:val="none"/>
          <w14:textFill>
            <w14:solidFill>
              <w14:schemeClr w14:val="tx1"/>
            </w14:solidFill>
          </w14:textFill>
        </w:rPr>
        <w:t xml:space="preserve"> 万元及以上，且资产总额 </w:t>
      </w:r>
      <w:r>
        <w:rPr>
          <w:color w:val="000000" w:themeColor="text1"/>
          <w:spacing w:val="-4"/>
          <w:highlight w:val="none"/>
          <w14:textFill>
            <w14:solidFill>
              <w14:schemeClr w14:val="tx1"/>
            </w14:solidFill>
          </w14:textFill>
        </w:rPr>
        <w:t>5000</w:t>
      </w:r>
      <w:r>
        <w:rPr>
          <w:color w:val="000000" w:themeColor="text1"/>
          <w:spacing w:val="-12"/>
          <w:highlight w:val="none"/>
          <w14:textFill>
            <w14:solidFill>
              <w14:schemeClr w14:val="tx1"/>
            </w14:solidFill>
          </w14:textFill>
        </w:rPr>
        <w:t xml:space="preserve"> 万元及以上的</w:t>
      </w:r>
    </w:p>
    <w:p>
      <w:pPr>
        <w:shd w:val="clear"/>
        <w:jc w:val="right"/>
        <w:rPr>
          <w:color w:val="000000" w:themeColor="text1"/>
          <w:highlight w:val="none"/>
          <w14:textFill>
            <w14:solidFill>
              <w14:schemeClr w14:val="tx1"/>
            </w14:solidFill>
          </w14:textFill>
        </w:rPr>
        <w:sectPr>
          <w:type w:val="continuous"/>
          <w:pgSz w:w="11910" w:h="16840"/>
          <w:pgMar w:top="1920" w:right="1019" w:bottom="280" w:left="1020" w:header="878" w:footer="853" w:gutter="0"/>
          <w:cols w:space="720" w:num="1"/>
        </w:sectPr>
      </w:pPr>
    </w:p>
    <w:p>
      <w:pPr>
        <w:pStyle w:val="10"/>
        <w:shd w:val="clear"/>
        <w:spacing w:before="131"/>
        <w:ind w:left="777"/>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 xml:space="preserve">为中型企业；营业收入 </w:t>
      </w:r>
      <w:r>
        <w:rPr>
          <w:color w:val="000000" w:themeColor="text1"/>
          <w:spacing w:val="-4"/>
          <w:highlight w:val="none"/>
          <w14:textFill>
            <w14:solidFill>
              <w14:schemeClr w14:val="tx1"/>
            </w14:solidFill>
          </w14:textFill>
        </w:rPr>
        <w:t>300</w:t>
      </w:r>
      <w:r>
        <w:rPr>
          <w:color w:val="000000" w:themeColor="text1"/>
          <w:spacing w:val="-14"/>
          <w:highlight w:val="none"/>
          <w14:textFill>
            <w14:solidFill>
              <w14:schemeClr w14:val="tx1"/>
            </w14:solidFill>
          </w14:textFill>
        </w:rPr>
        <w:t xml:space="preserve"> 万元及以上，且资产总额 </w:t>
      </w:r>
      <w:r>
        <w:rPr>
          <w:color w:val="000000" w:themeColor="text1"/>
          <w:spacing w:val="-4"/>
          <w:highlight w:val="none"/>
          <w14:textFill>
            <w14:solidFill>
              <w14:schemeClr w14:val="tx1"/>
            </w14:solidFill>
          </w14:textFill>
        </w:rPr>
        <w:t>300</w:t>
      </w:r>
      <w:r>
        <w:rPr>
          <w:color w:val="000000" w:themeColor="text1"/>
          <w:spacing w:val="-11"/>
          <w:highlight w:val="none"/>
          <w14:textFill>
            <w14:solidFill>
              <w14:schemeClr w14:val="tx1"/>
            </w14:solidFill>
          </w14:textFill>
        </w:rPr>
        <w:t xml:space="preserve"> 万元及以上的为小型企</w:t>
      </w:r>
    </w:p>
    <w:p>
      <w:pPr>
        <w:pStyle w:val="10"/>
        <w:shd w:val="clear"/>
        <w:spacing w:before="88"/>
        <w:ind w:left="777"/>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 xml:space="preserve">业；营业收入 </w:t>
      </w:r>
      <w:r>
        <w:rPr>
          <w:color w:val="000000" w:themeColor="text1"/>
          <w:highlight w:val="none"/>
          <w14:textFill>
            <w14:solidFill>
              <w14:schemeClr w14:val="tx1"/>
            </w14:solidFill>
          </w14:textFill>
        </w:rPr>
        <w:t>300</w:t>
      </w:r>
      <w:r>
        <w:rPr>
          <w:color w:val="000000" w:themeColor="text1"/>
          <w:spacing w:val="-13"/>
          <w:highlight w:val="none"/>
          <w14:textFill>
            <w14:solidFill>
              <w14:schemeClr w14:val="tx1"/>
            </w14:solidFill>
          </w14:textFill>
        </w:rPr>
        <w:t xml:space="preserve"> 万元以下或资产总额 </w:t>
      </w:r>
      <w:r>
        <w:rPr>
          <w:color w:val="000000" w:themeColor="text1"/>
          <w:highlight w:val="none"/>
          <w14:textFill>
            <w14:solidFill>
              <w14:schemeClr w14:val="tx1"/>
            </w14:solidFill>
          </w14:textFill>
        </w:rPr>
        <w:t>300</w:t>
      </w:r>
      <w:r>
        <w:rPr>
          <w:color w:val="000000" w:themeColor="text1"/>
          <w:spacing w:val="-9"/>
          <w:highlight w:val="none"/>
          <w14:textFill>
            <w14:solidFill>
              <w14:schemeClr w14:val="tx1"/>
            </w14:solidFill>
          </w14:textFill>
        </w:rPr>
        <w:t xml:space="preserve"> 万元以下的为微型企业。</w:t>
      </w:r>
    </w:p>
    <w:p>
      <w:pPr>
        <w:pStyle w:val="10"/>
        <w:shd w:val="clear"/>
        <w:spacing w:before="89"/>
        <w:ind w:left="0" w:right="775"/>
        <w:jc w:val="right"/>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（四）</w:t>
      </w:r>
      <w:r>
        <w:rPr>
          <w:color w:val="000000" w:themeColor="text1"/>
          <w:spacing w:val="-9"/>
          <w:highlight w:val="none"/>
          <w14:textFill>
            <w14:solidFill>
              <w14:schemeClr w14:val="tx1"/>
            </w14:solidFill>
          </w14:textFill>
        </w:rPr>
        <w:t xml:space="preserve">批发业。从业人员 </w:t>
      </w:r>
      <w:r>
        <w:rPr>
          <w:color w:val="000000" w:themeColor="text1"/>
          <w:spacing w:val="-2"/>
          <w:highlight w:val="none"/>
          <w14:textFill>
            <w14:solidFill>
              <w14:schemeClr w14:val="tx1"/>
            </w14:solidFill>
          </w14:textFill>
        </w:rPr>
        <w:t>200</w:t>
      </w:r>
      <w:r>
        <w:rPr>
          <w:color w:val="000000" w:themeColor="text1"/>
          <w:spacing w:val="-15"/>
          <w:highlight w:val="none"/>
          <w14:textFill>
            <w14:solidFill>
              <w14:schemeClr w14:val="tx1"/>
            </w14:solidFill>
          </w14:textFill>
        </w:rPr>
        <w:t xml:space="preserve"> 人以下或营业收入 </w:t>
      </w:r>
      <w:r>
        <w:rPr>
          <w:color w:val="000000" w:themeColor="text1"/>
          <w:spacing w:val="-2"/>
          <w:highlight w:val="none"/>
          <w14:textFill>
            <w14:solidFill>
              <w14:schemeClr w14:val="tx1"/>
            </w14:solidFill>
          </w14:textFill>
        </w:rPr>
        <w:t>40000</w:t>
      </w:r>
      <w:r>
        <w:rPr>
          <w:color w:val="000000" w:themeColor="text1"/>
          <w:spacing w:val="-10"/>
          <w:highlight w:val="none"/>
          <w14:textFill>
            <w14:solidFill>
              <w14:schemeClr w14:val="tx1"/>
            </w14:solidFill>
          </w14:textFill>
        </w:rPr>
        <w:t xml:space="preserve"> 万元以下的为中小微</w:t>
      </w:r>
    </w:p>
    <w:p>
      <w:pPr>
        <w:pStyle w:val="10"/>
        <w:shd w:val="clear"/>
        <w:spacing w:before="87"/>
        <w:ind w:left="0" w:right="775"/>
        <w:jc w:val="right"/>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 xml:space="preserve">型企业。其中，从业人员 </w:t>
      </w:r>
      <w:r>
        <w:rPr>
          <w:color w:val="000000" w:themeColor="text1"/>
          <w:spacing w:val="-4"/>
          <w:highlight w:val="none"/>
          <w14:textFill>
            <w14:solidFill>
              <w14:schemeClr w14:val="tx1"/>
            </w14:solidFill>
          </w14:textFill>
        </w:rPr>
        <w:t>20</w:t>
      </w:r>
      <w:r>
        <w:rPr>
          <w:color w:val="000000" w:themeColor="text1"/>
          <w:spacing w:val="-14"/>
          <w:highlight w:val="none"/>
          <w14:textFill>
            <w14:solidFill>
              <w14:schemeClr w14:val="tx1"/>
            </w14:solidFill>
          </w14:textFill>
        </w:rPr>
        <w:t xml:space="preserve"> 人及以上，且营业收入 </w:t>
      </w:r>
      <w:r>
        <w:rPr>
          <w:color w:val="000000" w:themeColor="text1"/>
          <w:spacing w:val="-4"/>
          <w:highlight w:val="none"/>
          <w14:textFill>
            <w14:solidFill>
              <w14:schemeClr w14:val="tx1"/>
            </w14:solidFill>
          </w14:textFill>
        </w:rPr>
        <w:t>5000</w:t>
      </w:r>
      <w:r>
        <w:rPr>
          <w:color w:val="000000" w:themeColor="text1"/>
          <w:spacing w:val="-11"/>
          <w:highlight w:val="none"/>
          <w14:textFill>
            <w14:solidFill>
              <w14:schemeClr w14:val="tx1"/>
            </w14:solidFill>
          </w14:textFill>
        </w:rPr>
        <w:t xml:space="preserve"> 万元及以上的为中型企</w:t>
      </w:r>
    </w:p>
    <w:p>
      <w:pPr>
        <w:pStyle w:val="10"/>
        <w:shd w:val="clear"/>
        <w:spacing w:before="88"/>
        <w:ind w:left="0" w:right="806"/>
        <w:jc w:val="right"/>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 xml:space="preserve">业；从业人员 </w:t>
      </w:r>
      <w:r>
        <w:rPr>
          <w:color w:val="000000" w:themeColor="text1"/>
          <w:highlight w:val="none"/>
          <w14:textFill>
            <w14:solidFill>
              <w14:schemeClr w14:val="tx1"/>
            </w14:solidFill>
          </w14:textFill>
        </w:rPr>
        <w:t>5</w:t>
      </w:r>
      <w:r>
        <w:rPr>
          <w:color w:val="000000" w:themeColor="text1"/>
          <w:spacing w:val="-13"/>
          <w:highlight w:val="none"/>
          <w14:textFill>
            <w14:solidFill>
              <w14:schemeClr w14:val="tx1"/>
            </w14:solidFill>
          </w14:textFill>
        </w:rPr>
        <w:t xml:space="preserve"> 人及以上，且营业收入 </w:t>
      </w:r>
      <w:r>
        <w:rPr>
          <w:color w:val="000000" w:themeColor="text1"/>
          <w:highlight w:val="none"/>
          <w14:textFill>
            <w14:solidFill>
              <w14:schemeClr w14:val="tx1"/>
            </w14:solidFill>
          </w14:textFill>
        </w:rPr>
        <w:t>1000</w:t>
      </w:r>
      <w:r>
        <w:rPr>
          <w:color w:val="000000" w:themeColor="text1"/>
          <w:spacing w:val="-9"/>
          <w:highlight w:val="none"/>
          <w14:textFill>
            <w14:solidFill>
              <w14:schemeClr w14:val="tx1"/>
            </w14:solidFill>
          </w14:textFill>
        </w:rPr>
        <w:t xml:space="preserve"> 万元及以上的为小型企业；从业人</w:t>
      </w:r>
    </w:p>
    <w:p>
      <w:pPr>
        <w:pStyle w:val="10"/>
        <w:shd w:val="clear"/>
        <w:spacing w:before="89"/>
        <w:ind w:left="777"/>
        <w:rPr>
          <w:color w:val="000000" w:themeColor="text1"/>
          <w:highlight w:val="none"/>
          <w14:textFill>
            <w14:solidFill>
              <w14:schemeClr w14:val="tx1"/>
            </w14:solidFill>
          </w14:textFill>
        </w:rPr>
      </w:pPr>
      <w:r>
        <w:rPr>
          <w:color w:val="000000" w:themeColor="text1"/>
          <w:spacing w:val="-30"/>
          <w:highlight w:val="none"/>
          <w14:textFill>
            <w14:solidFill>
              <w14:schemeClr w14:val="tx1"/>
            </w14:solidFill>
          </w14:textFill>
        </w:rPr>
        <w:t xml:space="preserve">员 </w:t>
      </w:r>
      <w:r>
        <w:rPr>
          <w:color w:val="000000" w:themeColor="text1"/>
          <w:highlight w:val="none"/>
          <w14:textFill>
            <w14:solidFill>
              <w14:schemeClr w14:val="tx1"/>
            </w14:solidFill>
          </w14:textFill>
        </w:rPr>
        <w:t>5</w:t>
      </w:r>
      <w:r>
        <w:rPr>
          <w:color w:val="000000" w:themeColor="text1"/>
          <w:spacing w:val="-14"/>
          <w:highlight w:val="none"/>
          <w14:textFill>
            <w14:solidFill>
              <w14:schemeClr w14:val="tx1"/>
            </w14:solidFill>
          </w14:textFill>
        </w:rPr>
        <w:t xml:space="preserve"> 人以下或营业收入 </w:t>
      </w:r>
      <w:r>
        <w:rPr>
          <w:color w:val="000000" w:themeColor="text1"/>
          <w:highlight w:val="none"/>
          <w14:textFill>
            <w14:solidFill>
              <w14:schemeClr w14:val="tx1"/>
            </w14:solidFill>
          </w14:textFill>
        </w:rPr>
        <w:t>1000</w:t>
      </w:r>
      <w:r>
        <w:rPr>
          <w:color w:val="000000" w:themeColor="text1"/>
          <w:spacing w:val="-9"/>
          <w:highlight w:val="none"/>
          <w14:textFill>
            <w14:solidFill>
              <w14:schemeClr w14:val="tx1"/>
            </w14:solidFill>
          </w14:textFill>
        </w:rPr>
        <w:t xml:space="preserve"> 万元以下的为微型企业。</w:t>
      </w:r>
    </w:p>
    <w:p>
      <w:pPr>
        <w:pStyle w:val="10"/>
        <w:shd w:val="clear"/>
        <w:spacing w:before="87"/>
        <w:ind w:left="0" w:right="775"/>
        <w:jc w:val="right"/>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（五）</w:t>
      </w:r>
      <w:r>
        <w:rPr>
          <w:color w:val="000000" w:themeColor="text1"/>
          <w:spacing w:val="-9"/>
          <w:highlight w:val="none"/>
          <w14:textFill>
            <w14:solidFill>
              <w14:schemeClr w14:val="tx1"/>
            </w14:solidFill>
          </w14:textFill>
        </w:rPr>
        <w:t xml:space="preserve">零售业。从业人员 </w:t>
      </w:r>
      <w:r>
        <w:rPr>
          <w:color w:val="000000" w:themeColor="text1"/>
          <w:spacing w:val="-2"/>
          <w:highlight w:val="none"/>
          <w14:textFill>
            <w14:solidFill>
              <w14:schemeClr w14:val="tx1"/>
            </w14:solidFill>
          </w14:textFill>
        </w:rPr>
        <w:t>300</w:t>
      </w:r>
      <w:r>
        <w:rPr>
          <w:color w:val="000000" w:themeColor="text1"/>
          <w:spacing w:val="-15"/>
          <w:highlight w:val="none"/>
          <w14:textFill>
            <w14:solidFill>
              <w14:schemeClr w14:val="tx1"/>
            </w14:solidFill>
          </w14:textFill>
        </w:rPr>
        <w:t xml:space="preserve"> 人以下或营业收入 </w:t>
      </w:r>
      <w:r>
        <w:rPr>
          <w:color w:val="000000" w:themeColor="text1"/>
          <w:spacing w:val="-2"/>
          <w:highlight w:val="none"/>
          <w14:textFill>
            <w14:solidFill>
              <w14:schemeClr w14:val="tx1"/>
            </w14:solidFill>
          </w14:textFill>
        </w:rPr>
        <w:t>20000</w:t>
      </w:r>
      <w:r>
        <w:rPr>
          <w:color w:val="000000" w:themeColor="text1"/>
          <w:spacing w:val="-10"/>
          <w:highlight w:val="none"/>
          <w14:textFill>
            <w14:solidFill>
              <w14:schemeClr w14:val="tx1"/>
            </w14:solidFill>
          </w14:textFill>
        </w:rPr>
        <w:t xml:space="preserve"> 万元以下的为中小微</w:t>
      </w:r>
    </w:p>
    <w:p>
      <w:pPr>
        <w:pStyle w:val="10"/>
        <w:shd w:val="clear"/>
        <w:spacing w:before="88"/>
        <w:ind w:left="0" w:right="806"/>
        <w:jc w:val="right"/>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 xml:space="preserve">型企业。其中，从业人员 </w:t>
      </w:r>
      <w:r>
        <w:rPr>
          <w:color w:val="000000" w:themeColor="text1"/>
          <w:highlight w:val="none"/>
          <w14:textFill>
            <w14:solidFill>
              <w14:schemeClr w14:val="tx1"/>
            </w14:solidFill>
          </w14:textFill>
        </w:rPr>
        <w:t>50</w:t>
      </w:r>
      <w:r>
        <w:rPr>
          <w:color w:val="000000" w:themeColor="text1"/>
          <w:spacing w:val="-13"/>
          <w:highlight w:val="none"/>
          <w14:textFill>
            <w14:solidFill>
              <w14:schemeClr w14:val="tx1"/>
            </w14:solidFill>
          </w14:textFill>
        </w:rPr>
        <w:t xml:space="preserve"> 人及以上，且营业收入 </w:t>
      </w:r>
      <w:r>
        <w:rPr>
          <w:color w:val="000000" w:themeColor="text1"/>
          <w:highlight w:val="none"/>
          <w14:textFill>
            <w14:solidFill>
              <w14:schemeClr w14:val="tx1"/>
            </w14:solidFill>
          </w14:textFill>
        </w:rPr>
        <w:t>500</w:t>
      </w:r>
      <w:r>
        <w:rPr>
          <w:color w:val="000000" w:themeColor="text1"/>
          <w:spacing w:val="-9"/>
          <w:highlight w:val="none"/>
          <w14:textFill>
            <w14:solidFill>
              <w14:schemeClr w14:val="tx1"/>
            </w14:solidFill>
          </w14:textFill>
        </w:rPr>
        <w:t xml:space="preserve"> 万元及以上的为中型企</w:t>
      </w:r>
    </w:p>
    <w:p>
      <w:pPr>
        <w:pStyle w:val="10"/>
        <w:shd w:val="clear"/>
        <w:spacing w:before="89"/>
        <w:ind w:left="0" w:right="806"/>
        <w:jc w:val="right"/>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 xml:space="preserve">业；从业人员 </w:t>
      </w:r>
      <w:r>
        <w:rPr>
          <w:color w:val="000000" w:themeColor="text1"/>
          <w:highlight w:val="none"/>
          <w14:textFill>
            <w14:solidFill>
              <w14:schemeClr w14:val="tx1"/>
            </w14:solidFill>
          </w14:textFill>
        </w:rPr>
        <w:t>10</w:t>
      </w:r>
      <w:r>
        <w:rPr>
          <w:color w:val="000000" w:themeColor="text1"/>
          <w:spacing w:val="-13"/>
          <w:highlight w:val="none"/>
          <w14:textFill>
            <w14:solidFill>
              <w14:schemeClr w14:val="tx1"/>
            </w14:solidFill>
          </w14:textFill>
        </w:rPr>
        <w:t xml:space="preserve"> 人及以上，且营业收入 </w:t>
      </w:r>
      <w:r>
        <w:rPr>
          <w:color w:val="000000" w:themeColor="text1"/>
          <w:highlight w:val="none"/>
          <w14:textFill>
            <w14:solidFill>
              <w14:schemeClr w14:val="tx1"/>
            </w14:solidFill>
          </w14:textFill>
        </w:rPr>
        <w:t>100</w:t>
      </w:r>
      <w:r>
        <w:rPr>
          <w:color w:val="000000" w:themeColor="text1"/>
          <w:spacing w:val="-9"/>
          <w:highlight w:val="none"/>
          <w14:textFill>
            <w14:solidFill>
              <w14:schemeClr w14:val="tx1"/>
            </w14:solidFill>
          </w14:textFill>
        </w:rPr>
        <w:t xml:space="preserve"> 万元及以上的为小型企业；从业人</w:t>
      </w:r>
    </w:p>
    <w:p>
      <w:pPr>
        <w:pStyle w:val="10"/>
        <w:shd w:val="clear"/>
        <w:spacing w:before="87"/>
        <w:ind w:left="777"/>
        <w:rPr>
          <w:color w:val="000000" w:themeColor="text1"/>
          <w:highlight w:val="none"/>
          <w14:textFill>
            <w14:solidFill>
              <w14:schemeClr w14:val="tx1"/>
            </w14:solidFill>
          </w14:textFill>
        </w:rPr>
      </w:pPr>
      <w:r>
        <w:rPr>
          <w:color w:val="000000" w:themeColor="text1"/>
          <w:spacing w:val="-30"/>
          <w:highlight w:val="none"/>
          <w14:textFill>
            <w14:solidFill>
              <w14:schemeClr w14:val="tx1"/>
            </w14:solidFill>
          </w14:textFill>
        </w:rPr>
        <w:t xml:space="preserve">员 </w:t>
      </w:r>
      <w:r>
        <w:rPr>
          <w:color w:val="000000" w:themeColor="text1"/>
          <w:highlight w:val="none"/>
          <w14:textFill>
            <w14:solidFill>
              <w14:schemeClr w14:val="tx1"/>
            </w14:solidFill>
          </w14:textFill>
        </w:rPr>
        <w:t>10</w:t>
      </w:r>
      <w:r>
        <w:rPr>
          <w:color w:val="000000" w:themeColor="text1"/>
          <w:spacing w:val="-14"/>
          <w:highlight w:val="none"/>
          <w14:textFill>
            <w14:solidFill>
              <w14:schemeClr w14:val="tx1"/>
            </w14:solidFill>
          </w14:textFill>
        </w:rPr>
        <w:t xml:space="preserve"> 人以下或营业收入 </w:t>
      </w:r>
      <w:r>
        <w:rPr>
          <w:color w:val="000000" w:themeColor="text1"/>
          <w:highlight w:val="none"/>
          <w14:textFill>
            <w14:solidFill>
              <w14:schemeClr w14:val="tx1"/>
            </w14:solidFill>
          </w14:textFill>
        </w:rPr>
        <w:t>100</w:t>
      </w:r>
      <w:r>
        <w:rPr>
          <w:color w:val="000000" w:themeColor="text1"/>
          <w:spacing w:val="-9"/>
          <w:highlight w:val="none"/>
          <w14:textFill>
            <w14:solidFill>
              <w14:schemeClr w14:val="tx1"/>
            </w14:solidFill>
          </w14:textFill>
        </w:rPr>
        <w:t xml:space="preserve"> 万元以下的为微型企业。</w:t>
      </w:r>
    </w:p>
    <w:p>
      <w:pPr>
        <w:pStyle w:val="10"/>
        <w:shd w:val="clear"/>
        <w:spacing w:before="88"/>
        <w:ind w:left="0" w:right="806"/>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（六）</w:t>
      </w:r>
      <w:r>
        <w:rPr>
          <w:color w:val="000000" w:themeColor="text1"/>
          <w:spacing w:val="-6"/>
          <w:highlight w:val="none"/>
          <w14:textFill>
            <w14:solidFill>
              <w14:schemeClr w14:val="tx1"/>
            </w14:solidFill>
          </w14:textFill>
        </w:rPr>
        <w:t xml:space="preserve">交通运输业。从业人员 </w:t>
      </w:r>
      <w:r>
        <w:rPr>
          <w:color w:val="000000" w:themeColor="text1"/>
          <w:highlight w:val="none"/>
          <w14:textFill>
            <w14:solidFill>
              <w14:schemeClr w14:val="tx1"/>
            </w14:solidFill>
          </w14:textFill>
        </w:rPr>
        <w:t>1000</w:t>
      </w:r>
      <w:r>
        <w:rPr>
          <w:color w:val="000000" w:themeColor="text1"/>
          <w:spacing w:val="-14"/>
          <w:highlight w:val="none"/>
          <w14:textFill>
            <w14:solidFill>
              <w14:schemeClr w14:val="tx1"/>
            </w14:solidFill>
          </w14:textFill>
        </w:rPr>
        <w:t xml:space="preserve"> 人以下或营业收入 </w:t>
      </w:r>
      <w:r>
        <w:rPr>
          <w:color w:val="000000" w:themeColor="text1"/>
          <w:highlight w:val="none"/>
          <w14:textFill>
            <w14:solidFill>
              <w14:schemeClr w14:val="tx1"/>
            </w14:solidFill>
          </w14:textFill>
        </w:rPr>
        <w:t>30000</w:t>
      </w:r>
      <w:r>
        <w:rPr>
          <w:color w:val="000000" w:themeColor="text1"/>
          <w:spacing w:val="-10"/>
          <w:highlight w:val="none"/>
          <w14:textFill>
            <w14:solidFill>
              <w14:schemeClr w14:val="tx1"/>
            </w14:solidFill>
          </w14:textFill>
        </w:rPr>
        <w:t xml:space="preserve"> 万元以下的为</w:t>
      </w:r>
    </w:p>
    <w:p>
      <w:pPr>
        <w:pStyle w:val="10"/>
        <w:shd w:val="clear"/>
        <w:spacing w:before="89"/>
        <w:ind w:left="0" w:right="806"/>
        <w:jc w:val="right"/>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 xml:space="preserve">中小微型企业。其中，从业人员 </w:t>
      </w:r>
      <w:r>
        <w:rPr>
          <w:color w:val="000000" w:themeColor="text1"/>
          <w:highlight w:val="none"/>
          <w14:textFill>
            <w14:solidFill>
              <w14:schemeClr w14:val="tx1"/>
            </w14:solidFill>
          </w14:textFill>
        </w:rPr>
        <w:t>300</w:t>
      </w:r>
      <w:r>
        <w:rPr>
          <w:color w:val="000000" w:themeColor="text1"/>
          <w:spacing w:val="-13"/>
          <w:highlight w:val="none"/>
          <w14:textFill>
            <w14:solidFill>
              <w14:schemeClr w14:val="tx1"/>
            </w14:solidFill>
          </w14:textFill>
        </w:rPr>
        <w:t xml:space="preserve"> 人及以上，且营业收入 </w:t>
      </w:r>
      <w:r>
        <w:rPr>
          <w:color w:val="000000" w:themeColor="text1"/>
          <w:highlight w:val="none"/>
          <w14:textFill>
            <w14:solidFill>
              <w14:schemeClr w14:val="tx1"/>
            </w14:solidFill>
          </w14:textFill>
        </w:rPr>
        <w:t>3000</w:t>
      </w:r>
      <w:r>
        <w:rPr>
          <w:color w:val="000000" w:themeColor="text1"/>
          <w:spacing w:val="-10"/>
          <w:highlight w:val="none"/>
          <w14:textFill>
            <w14:solidFill>
              <w14:schemeClr w14:val="tx1"/>
            </w14:solidFill>
          </w14:textFill>
        </w:rPr>
        <w:t xml:space="preserve"> 万元及以上的</w:t>
      </w:r>
    </w:p>
    <w:p>
      <w:pPr>
        <w:pStyle w:val="10"/>
        <w:shd w:val="clear"/>
        <w:spacing w:before="87"/>
        <w:ind w:left="777"/>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 xml:space="preserve">为中型企业；从业人员 </w:t>
      </w:r>
      <w:r>
        <w:rPr>
          <w:color w:val="000000" w:themeColor="text1"/>
          <w:spacing w:val="-4"/>
          <w:highlight w:val="none"/>
          <w14:textFill>
            <w14:solidFill>
              <w14:schemeClr w14:val="tx1"/>
            </w14:solidFill>
          </w14:textFill>
        </w:rPr>
        <w:t>20</w:t>
      </w:r>
      <w:r>
        <w:rPr>
          <w:color w:val="000000" w:themeColor="text1"/>
          <w:spacing w:val="-14"/>
          <w:highlight w:val="none"/>
          <w14:textFill>
            <w14:solidFill>
              <w14:schemeClr w14:val="tx1"/>
            </w14:solidFill>
          </w14:textFill>
        </w:rPr>
        <w:t xml:space="preserve"> 人及以上，且营业收入 </w:t>
      </w:r>
      <w:r>
        <w:rPr>
          <w:color w:val="000000" w:themeColor="text1"/>
          <w:spacing w:val="-4"/>
          <w:highlight w:val="none"/>
          <w14:textFill>
            <w14:solidFill>
              <w14:schemeClr w14:val="tx1"/>
            </w14:solidFill>
          </w14:textFill>
        </w:rPr>
        <w:t>200</w:t>
      </w:r>
      <w:r>
        <w:rPr>
          <w:color w:val="000000" w:themeColor="text1"/>
          <w:spacing w:val="-11"/>
          <w:highlight w:val="none"/>
          <w14:textFill>
            <w14:solidFill>
              <w14:schemeClr w14:val="tx1"/>
            </w14:solidFill>
          </w14:textFill>
        </w:rPr>
        <w:t xml:space="preserve"> 万元及以上的为小型企业；</w:t>
      </w:r>
    </w:p>
    <w:p>
      <w:pPr>
        <w:pStyle w:val="10"/>
        <w:shd w:val="clear"/>
        <w:spacing w:before="88"/>
        <w:ind w:left="777"/>
        <w:rPr>
          <w:color w:val="000000" w:themeColor="text1"/>
          <w:highlight w:val="none"/>
          <w14:textFill>
            <w14:solidFill>
              <w14:schemeClr w14:val="tx1"/>
            </w14:solidFill>
          </w14:textFill>
        </w:rPr>
      </w:pPr>
      <w:r>
        <w:rPr>
          <w:color w:val="000000" w:themeColor="text1"/>
          <w:spacing w:val="-12"/>
          <w:highlight w:val="none"/>
          <w14:textFill>
            <w14:solidFill>
              <w14:schemeClr w14:val="tx1"/>
            </w14:solidFill>
          </w14:textFill>
        </w:rPr>
        <w:t xml:space="preserve">从业人员 </w:t>
      </w:r>
      <w:r>
        <w:rPr>
          <w:color w:val="000000" w:themeColor="text1"/>
          <w:highlight w:val="none"/>
          <w14:textFill>
            <w14:solidFill>
              <w14:schemeClr w14:val="tx1"/>
            </w14:solidFill>
          </w14:textFill>
        </w:rPr>
        <w:t>20</w:t>
      </w:r>
      <w:r>
        <w:rPr>
          <w:color w:val="000000" w:themeColor="text1"/>
          <w:spacing w:val="-14"/>
          <w:highlight w:val="none"/>
          <w14:textFill>
            <w14:solidFill>
              <w14:schemeClr w14:val="tx1"/>
            </w14:solidFill>
          </w14:textFill>
        </w:rPr>
        <w:t xml:space="preserve"> 人以下或营业收入 </w:t>
      </w:r>
      <w:r>
        <w:rPr>
          <w:color w:val="000000" w:themeColor="text1"/>
          <w:highlight w:val="none"/>
          <w14:textFill>
            <w14:solidFill>
              <w14:schemeClr w14:val="tx1"/>
            </w14:solidFill>
          </w14:textFill>
        </w:rPr>
        <w:t>200</w:t>
      </w:r>
      <w:r>
        <w:rPr>
          <w:color w:val="000000" w:themeColor="text1"/>
          <w:spacing w:val="-9"/>
          <w:highlight w:val="none"/>
          <w14:textFill>
            <w14:solidFill>
              <w14:schemeClr w14:val="tx1"/>
            </w14:solidFill>
          </w14:textFill>
        </w:rPr>
        <w:t xml:space="preserve"> 万元以下的为微型企业。</w:t>
      </w:r>
    </w:p>
    <w:p>
      <w:pPr>
        <w:pStyle w:val="10"/>
        <w:shd w:val="clear"/>
        <w:spacing w:before="89"/>
        <w:ind w:left="0" w:right="775"/>
        <w:jc w:val="right"/>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（七）</w:t>
      </w:r>
      <w:r>
        <w:rPr>
          <w:color w:val="000000" w:themeColor="text1"/>
          <w:spacing w:val="-9"/>
          <w:highlight w:val="none"/>
          <w14:textFill>
            <w14:solidFill>
              <w14:schemeClr w14:val="tx1"/>
            </w14:solidFill>
          </w14:textFill>
        </w:rPr>
        <w:t xml:space="preserve">仓储业。从业人员 </w:t>
      </w:r>
      <w:r>
        <w:rPr>
          <w:color w:val="000000" w:themeColor="text1"/>
          <w:spacing w:val="-2"/>
          <w:highlight w:val="none"/>
          <w14:textFill>
            <w14:solidFill>
              <w14:schemeClr w14:val="tx1"/>
            </w14:solidFill>
          </w14:textFill>
        </w:rPr>
        <w:t>200</w:t>
      </w:r>
      <w:r>
        <w:rPr>
          <w:color w:val="000000" w:themeColor="text1"/>
          <w:spacing w:val="-15"/>
          <w:highlight w:val="none"/>
          <w14:textFill>
            <w14:solidFill>
              <w14:schemeClr w14:val="tx1"/>
            </w14:solidFill>
          </w14:textFill>
        </w:rPr>
        <w:t xml:space="preserve"> 人以下或营业收入 </w:t>
      </w:r>
      <w:r>
        <w:rPr>
          <w:color w:val="000000" w:themeColor="text1"/>
          <w:spacing w:val="-2"/>
          <w:highlight w:val="none"/>
          <w14:textFill>
            <w14:solidFill>
              <w14:schemeClr w14:val="tx1"/>
            </w14:solidFill>
          </w14:textFill>
        </w:rPr>
        <w:t>30000</w:t>
      </w:r>
      <w:r>
        <w:rPr>
          <w:color w:val="000000" w:themeColor="text1"/>
          <w:spacing w:val="-10"/>
          <w:highlight w:val="none"/>
          <w14:textFill>
            <w14:solidFill>
              <w14:schemeClr w14:val="tx1"/>
            </w14:solidFill>
          </w14:textFill>
        </w:rPr>
        <w:t xml:space="preserve"> 万元以下的为中小微</w:t>
      </w:r>
    </w:p>
    <w:p>
      <w:pPr>
        <w:pStyle w:val="10"/>
        <w:shd w:val="clear"/>
        <w:spacing w:before="87"/>
        <w:ind w:left="0" w:right="806"/>
        <w:jc w:val="right"/>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 xml:space="preserve">型企业。其中，从业人员 </w:t>
      </w:r>
      <w:r>
        <w:rPr>
          <w:color w:val="000000" w:themeColor="text1"/>
          <w:highlight w:val="none"/>
          <w14:textFill>
            <w14:solidFill>
              <w14:schemeClr w14:val="tx1"/>
            </w14:solidFill>
          </w14:textFill>
        </w:rPr>
        <w:t>100</w:t>
      </w:r>
      <w:r>
        <w:rPr>
          <w:color w:val="000000" w:themeColor="text1"/>
          <w:spacing w:val="-13"/>
          <w:highlight w:val="none"/>
          <w14:textFill>
            <w14:solidFill>
              <w14:schemeClr w14:val="tx1"/>
            </w14:solidFill>
          </w14:textFill>
        </w:rPr>
        <w:t xml:space="preserve"> 人及以上，且营业收入 </w:t>
      </w:r>
      <w:r>
        <w:rPr>
          <w:color w:val="000000" w:themeColor="text1"/>
          <w:highlight w:val="none"/>
          <w14:textFill>
            <w14:solidFill>
              <w14:schemeClr w14:val="tx1"/>
            </w14:solidFill>
          </w14:textFill>
        </w:rPr>
        <w:t>1000</w:t>
      </w:r>
      <w:r>
        <w:rPr>
          <w:color w:val="000000" w:themeColor="text1"/>
          <w:spacing w:val="-9"/>
          <w:highlight w:val="none"/>
          <w14:textFill>
            <w14:solidFill>
              <w14:schemeClr w14:val="tx1"/>
            </w14:solidFill>
          </w14:textFill>
        </w:rPr>
        <w:t xml:space="preserve"> 万元及以上的为中型</w:t>
      </w:r>
    </w:p>
    <w:p>
      <w:pPr>
        <w:pStyle w:val="10"/>
        <w:shd w:val="clear"/>
        <w:spacing w:before="88"/>
        <w:ind w:left="0" w:right="806"/>
        <w:jc w:val="right"/>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 xml:space="preserve">企业；从业人员 </w:t>
      </w:r>
      <w:r>
        <w:rPr>
          <w:color w:val="000000" w:themeColor="text1"/>
          <w:highlight w:val="none"/>
          <w14:textFill>
            <w14:solidFill>
              <w14:schemeClr w14:val="tx1"/>
            </w14:solidFill>
          </w14:textFill>
        </w:rPr>
        <w:t>20</w:t>
      </w:r>
      <w:r>
        <w:rPr>
          <w:color w:val="000000" w:themeColor="text1"/>
          <w:spacing w:val="-13"/>
          <w:highlight w:val="none"/>
          <w14:textFill>
            <w14:solidFill>
              <w14:schemeClr w14:val="tx1"/>
            </w14:solidFill>
          </w14:textFill>
        </w:rPr>
        <w:t xml:space="preserve"> 人及以上，且营业收入 </w:t>
      </w:r>
      <w:r>
        <w:rPr>
          <w:color w:val="000000" w:themeColor="text1"/>
          <w:highlight w:val="none"/>
          <w14:textFill>
            <w14:solidFill>
              <w14:schemeClr w14:val="tx1"/>
            </w14:solidFill>
          </w14:textFill>
        </w:rPr>
        <w:t>100</w:t>
      </w:r>
      <w:r>
        <w:rPr>
          <w:color w:val="000000" w:themeColor="text1"/>
          <w:spacing w:val="-9"/>
          <w:highlight w:val="none"/>
          <w14:textFill>
            <w14:solidFill>
              <w14:schemeClr w14:val="tx1"/>
            </w14:solidFill>
          </w14:textFill>
        </w:rPr>
        <w:t xml:space="preserve"> 万元及以上的为小型企业；从业</w:t>
      </w:r>
    </w:p>
    <w:p>
      <w:pPr>
        <w:pStyle w:val="10"/>
        <w:shd w:val="clear"/>
        <w:spacing w:before="89"/>
        <w:ind w:left="777"/>
        <w:rPr>
          <w:color w:val="000000" w:themeColor="text1"/>
          <w:highlight w:val="none"/>
          <w14:textFill>
            <w14:solidFill>
              <w14:schemeClr w14:val="tx1"/>
            </w14:solidFill>
          </w14:textFill>
        </w:rPr>
      </w:pPr>
      <w:r>
        <w:rPr>
          <w:color w:val="000000" w:themeColor="text1"/>
          <w:spacing w:val="-20"/>
          <w:highlight w:val="none"/>
          <w14:textFill>
            <w14:solidFill>
              <w14:schemeClr w14:val="tx1"/>
            </w14:solidFill>
          </w14:textFill>
        </w:rPr>
        <w:t xml:space="preserve">人员 </w:t>
      </w:r>
      <w:r>
        <w:rPr>
          <w:color w:val="000000" w:themeColor="text1"/>
          <w:highlight w:val="none"/>
          <w14:textFill>
            <w14:solidFill>
              <w14:schemeClr w14:val="tx1"/>
            </w14:solidFill>
          </w14:textFill>
        </w:rPr>
        <w:t>20</w:t>
      </w:r>
      <w:r>
        <w:rPr>
          <w:color w:val="000000" w:themeColor="text1"/>
          <w:spacing w:val="-14"/>
          <w:highlight w:val="none"/>
          <w14:textFill>
            <w14:solidFill>
              <w14:schemeClr w14:val="tx1"/>
            </w14:solidFill>
          </w14:textFill>
        </w:rPr>
        <w:t xml:space="preserve"> 人以下或营业收入 </w:t>
      </w:r>
      <w:r>
        <w:rPr>
          <w:color w:val="000000" w:themeColor="text1"/>
          <w:highlight w:val="none"/>
          <w14:textFill>
            <w14:solidFill>
              <w14:schemeClr w14:val="tx1"/>
            </w14:solidFill>
          </w14:textFill>
        </w:rPr>
        <w:t>100</w:t>
      </w:r>
      <w:r>
        <w:rPr>
          <w:color w:val="000000" w:themeColor="text1"/>
          <w:spacing w:val="-9"/>
          <w:highlight w:val="none"/>
          <w14:textFill>
            <w14:solidFill>
              <w14:schemeClr w14:val="tx1"/>
            </w14:solidFill>
          </w14:textFill>
        </w:rPr>
        <w:t xml:space="preserve"> 万元以下的为微型企业。</w:t>
      </w:r>
    </w:p>
    <w:p>
      <w:pPr>
        <w:pStyle w:val="10"/>
        <w:shd w:val="clear"/>
        <w:spacing w:before="87"/>
        <w:ind w:left="0" w:right="806"/>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（八）</w:t>
      </w:r>
      <w:r>
        <w:rPr>
          <w:color w:val="000000" w:themeColor="text1"/>
          <w:spacing w:val="-7"/>
          <w:highlight w:val="none"/>
          <w14:textFill>
            <w14:solidFill>
              <w14:schemeClr w14:val="tx1"/>
            </w14:solidFill>
          </w14:textFill>
        </w:rPr>
        <w:t xml:space="preserve">邮政业。从业人员 </w:t>
      </w:r>
      <w:r>
        <w:rPr>
          <w:color w:val="000000" w:themeColor="text1"/>
          <w:highlight w:val="none"/>
          <w14:textFill>
            <w14:solidFill>
              <w14:schemeClr w14:val="tx1"/>
            </w14:solidFill>
          </w14:textFill>
        </w:rPr>
        <w:t>1000</w:t>
      </w:r>
      <w:r>
        <w:rPr>
          <w:color w:val="000000" w:themeColor="text1"/>
          <w:spacing w:val="-14"/>
          <w:highlight w:val="none"/>
          <w14:textFill>
            <w14:solidFill>
              <w14:schemeClr w14:val="tx1"/>
            </w14:solidFill>
          </w14:textFill>
        </w:rPr>
        <w:t xml:space="preserve"> 人以下或营业收入 </w:t>
      </w:r>
      <w:r>
        <w:rPr>
          <w:color w:val="000000" w:themeColor="text1"/>
          <w:highlight w:val="none"/>
          <w14:textFill>
            <w14:solidFill>
              <w14:schemeClr w14:val="tx1"/>
            </w14:solidFill>
          </w14:textFill>
        </w:rPr>
        <w:t>30000</w:t>
      </w:r>
      <w:r>
        <w:rPr>
          <w:color w:val="000000" w:themeColor="text1"/>
          <w:spacing w:val="-9"/>
          <w:highlight w:val="none"/>
          <w14:textFill>
            <w14:solidFill>
              <w14:schemeClr w14:val="tx1"/>
            </w14:solidFill>
          </w14:textFill>
        </w:rPr>
        <w:t xml:space="preserve"> 万元以下的为中小</w:t>
      </w:r>
    </w:p>
    <w:p>
      <w:pPr>
        <w:pStyle w:val="10"/>
        <w:shd w:val="clear"/>
        <w:spacing w:before="88"/>
        <w:ind w:left="0" w:right="806"/>
        <w:jc w:val="right"/>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 xml:space="preserve">微型企业。其中，从业人员 </w:t>
      </w:r>
      <w:r>
        <w:rPr>
          <w:color w:val="000000" w:themeColor="text1"/>
          <w:highlight w:val="none"/>
          <w14:textFill>
            <w14:solidFill>
              <w14:schemeClr w14:val="tx1"/>
            </w14:solidFill>
          </w14:textFill>
        </w:rPr>
        <w:t>300</w:t>
      </w:r>
      <w:r>
        <w:rPr>
          <w:color w:val="000000" w:themeColor="text1"/>
          <w:spacing w:val="-13"/>
          <w:highlight w:val="none"/>
          <w14:textFill>
            <w14:solidFill>
              <w14:schemeClr w14:val="tx1"/>
            </w14:solidFill>
          </w14:textFill>
        </w:rPr>
        <w:t xml:space="preserve"> 人及以上，且营业收入 </w:t>
      </w:r>
      <w:r>
        <w:rPr>
          <w:color w:val="000000" w:themeColor="text1"/>
          <w:highlight w:val="none"/>
          <w14:textFill>
            <w14:solidFill>
              <w14:schemeClr w14:val="tx1"/>
            </w14:solidFill>
          </w14:textFill>
        </w:rPr>
        <w:t>2000</w:t>
      </w:r>
      <w:r>
        <w:rPr>
          <w:color w:val="000000" w:themeColor="text1"/>
          <w:spacing w:val="-9"/>
          <w:highlight w:val="none"/>
          <w14:textFill>
            <w14:solidFill>
              <w14:schemeClr w14:val="tx1"/>
            </w14:solidFill>
          </w14:textFill>
        </w:rPr>
        <w:t xml:space="preserve"> 万元及以上的为中</w:t>
      </w:r>
    </w:p>
    <w:p>
      <w:pPr>
        <w:pStyle w:val="10"/>
        <w:shd w:val="clear"/>
        <w:spacing w:before="89"/>
        <w:ind w:left="0" w:right="806"/>
        <w:jc w:val="right"/>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 xml:space="preserve">型企业；从业人员 </w:t>
      </w:r>
      <w:r>
        <w:rPr>
          <w:color w:val="000000" w:themeColor="text1"/>
          <w:highlight w:val="none"/>
          <w14:textFill>
            <w14:solidFill>
              <w14:schemeClr w14:val="tx1"/>
            </w14:solidFill>
          </w14:textFill>
        </w:rPr>
        <w:t>20</w:t>
      </w:r>
      <w:r>
        <w:rPr>
          <w:color w:val="000000" w:themeColor="text1"/>
          <w:spacing w:val="-13"/>
          <w:highlight w:val="none"/>
          <w14:textFill>
            <w14:solidFill>
              <w14:schemeClr w14:val="tx1"/>
            </w14:solidFill>
          </w14:textFill>
        </w:rPr>
        <w:t xml:space="preserve"> 人及以上，且营业收入 </w:t>
      </w:r>
      <w:r>
        <w:rPr>
          <w:color w:val="000000" w:themeColor="text1"/>
          <w:highlight w:val="none"/>
          <w14:textFill>
            <w14:solidFill>
              <w14:schemeClr w14:val="tx1"/>
            </w14:solidFill>
          </w14:textFill>
        </w:rPr>
        <w:t>100</w:t>
      </w:r>
      <w:r>
        <w:rPr>
          <w:color w:val="000000" w:themeColor="text1"/>
          <w:spacing w:val="-9"/>
          <w:highlight w:val="none"/>
          <w14:textFill>
            <w14:solidFill>
              <w14:schemeClr w14:val="tx1"/>
            </w14:solidFill>
          </w14:textFill>
        </w:rPr>
        <w:t xml:space="preserve"> 万元及以上的为小型企业；从</w:t>
      </w:r>
    </w:p>
    <w:p>
      <w:pPr>
        <w:pStyle w:val="10"/>
        <w:shd w:val="clear"/>
        <w:spacing w:before="87"/>
        <w:ind w:left="777"/>
        <w:rPr>
          <w:color w:val="000000" w:themeColor="text1"/>
          <w:highlight w:val="none"/>
          <w14:textFill>
            <w14:solidFill>
              <w14:schemeClr w14:val="tx1"/>
            </w14:solidFill>
          </w14:textFill>
        </w:rPr>
      </w:pPr>
      <w:r>
        <w:rPr>
          <w:color w:val="000000" w:themeColor="text1"/>
          <w:spacing w:val="-15"/>
          <w:highlight w:val="none"/>
          <w14:textFill>
            <w14:solidFill>
              <w14:schemeClr w14:val="tx1"/>
            </w14:solidFill>
          </w14:textFill>
        </w:rPr>
        <w:t xml:space="preserve">业人员 </w:t>
      </w:r>
      <w:r>
        <w:rPr>
          <w:color w:val="000000" w:themeColor="text1"/>
          <w:highlight w:val="none"/>
          <w14:textFill>
            <w14:solidFill>
              <w14:schemeClr w14:val="tx1"/>
            </w14:solidFill>
          </w14:textFill>
        </w:rPr>
        <w:t>20</w:t>
      </w:r>
      <w:r>
        <w:rPr>
          <w:color w:val="000000" w:themeColor="text1"/>
          <w:spacing w:val="-14"/>
          <w:highlight w:val="none"/>
          <w14:textFill>
            <w14:solidFill>
              <w14:schemeClr w14:val="tx1"/>
            </w14:solidFill>
          </w14:textFill>
        </w:rPr>
        <w:t xml:space="preserve"> 人以下或营业收入 </w:t>
      </w:r>
      <w:r>
        <w:rPr>
          <w:color w:val="000000" w:themeColor="text1"/>
          <w:highlight w:val="none"/>
          <w14:textFill>
            <w14:solidFill>
              <w14:schemeClr w14:val="tx1"/>
            </w14:solidFill>
          </w14:textFill>
        </w:rPr>
        <w:t>100</w:t>
      </w:r>
      <w:r>
        <w:rPr>
          <w:color w:val="000000" w:themeColor="text1"/>
          <w:spacing w:val="-9"/>
          <w:highlight w:val="none"/>
          <w14:textFill>
            <w14:solidFill>
              <w14:schemeClr w14:val="tx1"/>
            </w14:solidFill>
          </w14:textFill>
        </w:rPr>
        <w:t xml:space="preserve"> 万元以下的为微型企业。</w:t>
      </w:r>
    </w:p>
    <w:p>
      <w:pPr>
        <w:pStyle w:val="10"/>
        <w:shd w:val="clear"/>
        <w:spacing w:before="88"/>
        <w:ind w:left="0" w:right="775"/>
        <w:jc w:val="right"/>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（九）</w:t>
      </w:r>
      <w:r>
        <w:rPr>
          <w:color w:val="000000" w:themeColor="text1"/>
          <w:spacing w:val="-9"/>
          <w:highlight w:val="none"/>
          <w14:textFill>
            <w14:solidFill>
              <w14:schemeClr w14:val="tx1"/>
            </w14:solidFill>
          </w14:textFill>
        </w:rPr>
        <w:t xml:space="preserve">住宿业。从业人员 </w:t>
      </w:r>
      <w:r>
        <w:rPr>
          <w:color w:val="000000" w:themeColor="text1"/>
          <w:spacing w:val="-2"/>
          <w:highlight w:val="none"/>
          <w14:textFill>
            <w14:solidFill>
              <w14:schemeClr w14:val="tx1"/>
            </w14:solidFill>
          </w14:textFill>
        </w:rPr>
        <w:t>300</w:t>
      </w:r>
      <w:r>
        <w:rPr>
          <w:color w:val="000000" w:themeColor="text1"/>
          <w:spacing w:val="-15"/>
          <w:highlight w:val="none"/>
          <w14:textFill>
            <w14:solidFill>
              <w14:schemeClr w14:val="tx1"/>
            </w14:solidFill>
          </w14:textFill>
        </w:rPr>
        <w:t xml:space="preserve"> 人以下或营业收入 </w:t>
      </w:r>
      <w:r>
        <w:rPr>
          <w:color w:val="000000" w:themeColor="text1"/>
          <w:spacing w:val="-2"/>
          <w:highlight w:val="none"/>
          <w14:textFill>
            <w14:solidFill>
              <w14:schemeClr w14:val="tx1"/>
            </w14:solidFill>
          </w14:textFill>
        </w:rPr>
        <w:t>10000</w:t>
      </w:r>
      <w:r>
        <w:rPr>
          <w:color w:val="000000" w:themeColor="text1"/>
          <w:spacing w:val="-10"/>
          <w:highlight w:val="none"/>
          <w14:textFill>
            <w14:solidFill>
              <w14:schemeClr w14:val="tx1"/>
            </w14:solidFill>
          </w14:textFill>
        </w:rPr>
        <w:t xml:space="preserve"> 万元以下的为中小微</w:t>
      </w:r>
    </w:p>
    <w:p>
      <w:pPr>
        <w:pStyle w:val="10"/>
        <w:shd w:val="clear"/>
        <w:spacing w:before="89"/>
        <w:ind w:left="0" w:right="806"/>
        <w:jc w:val="right"/>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 xml:space="preserve">型企业。其中，从业人员 </w:t>
      </w:r>
      <w:r>
        <w:rPr>
          <w:color w:val="000000" w:themeColor="text1"/>
          <w:highlight w:val="none"/>
          <w14:textFill>
            <w14:solidFill>
              <w14:schemeClr w14:val="tx1"/>
            </w14:solidFill>
          </w14:textFill>
        </w:rPr>
        <w:t>100</w:t>
      </w:r>
      <w:r>
        <w:rPr>
          <w:color w:val="000000" w:themeColor="text1"/>
          <w:spacing w:val="-13"/>
          <w:highlight w:val="none"/>
          <w14:textFill>
            <w14:solidFill>
              <w14:schemeClr w14:val="tx1"/>
            </w14:solidFill>
          </w14:textFill>
        </w:rPr>
        <w:t xml:space="preserve"> 人及以上，且营业收入 </w:t>
      </w:r>
      <w:r>
        <w:rPr>
          <w:color w:val="000000" w:themeColor="text1"/>
          <w:highlight w:val="none"/>
          <w14:textFill>
            <w14:solidFill>
              <w14:schemeClr w14:val="tx1"/>
            </w14:solidFill>
          </w14:textFill>
        </w:rPr>
        <w:t>2000</w:t>
      </w:r>
      <w:r>
        <w:rPr>
          <w:color w:val="000000" w:themeColor="text1"/>
          <w:spacing w:val="-9"/>
          <w:highlight w:val="none"/>
          <w14:textFill>
            <w14:solidFill>
              <w14:schemeClr w14:val="tx1"/>
            </w14:solidFill>
          </w14:textFill>
        </w:rPr>
        <w:t xml:space="preserve"> 万元及以上的为中型</w:t>
      </w:r>
    </w:p>
    <w:p>
      <w:pPr>
        <w:pStyle w:val="10"/>
        <w:shd w:val="clear"/>
        <w:spacing w:before="87"/>
        <w:ind w:left="0" w:right="806"/>
        <w:jc w:val="right"/>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 xml:space="preserve">企业；从业人员 </w:t>
      </w:r>
      <w:r>
        <w:rPr>
          <w:color w:val="000000" w:themeColor="text1"/>
          <w:highlight w:val="none"/>
          <w14:textFill>
            <w14:solidFill>
              <w14:schemeClr w14:val="tx1"/>
            </w14:solidFill>
          </w14:textFill>
        </w:rPr>
        <w:t>10</w:t>
      </w:r>
      <w:r>
        <w:rPr>
          <w:color w:val="000000" w:themeColor="text1"/>
          <w:spacing w:val="-13"/>
          <w:highlight w:val="none"/>
          <w14:textFill>
            <w14:solidFill>
              <w14:schemeClr w14:val="tx1"/>
            </w14:solidFill>
          </w14:textFill>
        </w:rPr>
        <w:t xml:space="preserve"> 人及以上，且营业收入 </w:t>
      </w:r>
      <w:r>
        <w:rPr>
          <w:color w:val="000000" w:themeColor="text1"/>
          <w:highlight w:val="none"/>
          <w14:textFill>
            <w14:solidFill>
              <w14:schemeClr w14:val="tx1"/>
            </w14:solidFill>
          </w14:textFill>
        </w:rPr>
        <w:t>100</w:t>
      </w:r>
      <w:r>
        <w:rPr>
          <w:color w:val="000000" w:themeColor="text1"/>
          <w:spacing w:val="-9"/>
          <w:highlight w:val="none"/>
          <w14:textFill>
            <w14:solidFill>
              <w14:schemeClr w14:val="tx1"/>
            </w14:solidFill>
          </w14:textFill>
        </w:rPr>
        <w:t xml:space="preserve"> 万元及以上的为小型企业；从业</w:t>
      </w:r>
    </w:p>
    <w:p>
      <w:pPr>
        <w:pStyle w:val="10"/>
        <w:shd w:val="clear"/>
        <w:spacing w:before="88"/>
        <w:ind w:left="777"/>
        <w:rPr>
          <w:color w:val="000000" w:themeColor="text1"/>
          <w:highlight w:val="none"/>
          <w14:textFill>
            <w14:solidFill>
              <w14:schemeClr w14:val="tx1"/>
            </w14:solidFill>
          </w14:textFill>
        </w:rPr>
      </w:pPr>
      <w:r>
        <w:rPr>
          <w:color w:val="000000" w:themeColor="text1"/>
          <w:spacing w:val="-20"/>
          <w:highlight w:val="none"/>
          <w14:textFill>
            <w14:solidFill>
              <w14:schemeClr w14:val="tx1"/>
            </w14:solidFill>
          </w14:textFill>
        </w:rPr>
        <w:t xml:space="preserve">人员 </w:t>
      </w:r>
      <w:r>
        <w:rPr>
          <w:color w:val="000000" w:themeColor="text1"/>
          <w:highlight w:val="none"/>
          <w14:textFill>
            <w14:solidFill>
              <w14:schemeClr w14:val="tx1"/>
            </w14:solidFill>
          </w14:textFill>
        </w:rPr>
        <w:t>10</w:t>
      </w:r>
      <w:r>
        <w:rPr>
          <w:color w:val="000000" w:themeColor="text1"/>
          <w:spacing w:val="-14"/>
          <w:highlight w:val="none"/>
          <w14:textFill>
            <w14:solidFill>
              <w14:schemeClr w14:val="tx1"/>
            </w14:solidFill>
          </w14:textFill>
        </w:rPr>
        <w:t xml:space="preserve"> 人以下或营业收入 </w:t>
      </w:r>
      <w:r>
        <w:rPr>
          <w:color w:val="000000" w:themeColor="text1"/>
          <w:highlight w:val="none"/>
          <w14:textFill>
            <w14:solidFill>
              <w14:schemeClr w14:val="tx1"/>
            </w14:solidFill>
          </w14:textFill>
        </w:rPr>
        <w:t>100</w:t>
      </w:r>
      <w:r>
        <w:rPr>
          <w:color w:val="000000" w:themeColor="text1"/>
          <w:spacing w:val="-9"/>
          <w:highlight w:val="none"/>
          <w14:textFill>
            <w14:solidFill>
              <w14:schemeClr w14:val="tx1"/>
            </w14:solidFill>
          </w14:textFill>
        </w:rPr>
        <w:t xml:space="preserve"> 万元以下的为微型企业。</w:t>
      </w:r>
    </w:p>
    <w:p>
      <w:pPr>
        <w:pStyle w:val="10"/>
        <w:shd w:val="clear"/>
        <w:spacing w:before="89"/>
        <w:ind w:left="0" w:right="775"/>
        <w:jc w:val="right"/>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（十）</w:t>
      </w:r>
      <w:r>
        <w:rPr>
          <w:color w:val="000000" w:themeColor="text1"/>
          <w:spacing w:val="-9"/>
          <w:highlight w:val="none"/>
          <w14:textFill>
            <w14:solidFill>
              <w14:schemeClr w14:val="tx1"/>
            </w14:solidFill>
          </w14:textFill>
        </w:rPr>
        <w:t xml:space="preserve">餐饮业。从业人员 </w:t>
      </w:r>
      <w:r>
        <w:rPr>
          <w:color w:val="000000" w:themeColor="text1"/>
          <w:spacing w:val="-2"/>
          <w:highlight w:val="none"/>
          <w14:textFill>
            <w14:solidFill>
              <w14:schemeClr w14:val="tx1"/>
            </w14:solidFill>
          </w14:textFill>
        </w:rPr>
        <w:t>300</w:t>
      </w:r>
      <w:r>
        <w:rPr>
          <w:color w:val="000000" w:themeColor="text1"/>
          <w:spacing w:val="-15"/>
          <w:highlight w:val="none"/>
          <w14:textFill>
            <w14:solidFill>
              <w14:schemeClr w14:val="tx1"/>
            </w14:solidFill>
          </w14:textFill>
        </w:rPr>
        <w:t xml:space="preserve"> 人以下或营业收入 </w:t>
      </w:r>
      <w:r>
        <w:rPr>
          <w:color w:val="000000" w:themeColor="text1"/>
          <w:spacing w:val="-2"/>
          <w:highlight w:val="none"/>
          <w14:textFill>
            <w14:solidFill>
              <w14:schemeClr w14:val="tx1"/>
            </w14:solidFill>
          </w14:textFill>
        </w:rPr>
        <w:t>10000</w:t>
      </w:r>
      <w:r>
        <w:rPr>
          <w:color w:val="000000" w:themeColor="text1"/>
          <w:spacing w:val="-10"/>
          <w:highlight w:val="none"/>
          <w14:textFill>
            <w14:solidFill>
              <w14:schemeClr w14:val="tx1"/>
            </w14:solidFill>
          </w14:textFill>
        </w:rPr>
        <w:t xml:space="preserve"> 万元以下的为中小微</w:t>
      </w:r>
    </w:p>
    <w:p>
      <w:pPr>
        <w:pStyle w:val="10"/>
        <w:shd w:val="clear"/>
        <w:spacing w:before="87"/>
        <w:ind w:left="0" w:right="806"/>
        <w:jc w:val="right"/>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 xml:space="preserve">型企业。其中，从业人员 </w:t>
      </w:r>
      <w:r>
        <w:rPr>
          <w:color w:val="000000" w:themeColor="text1"/>
          <w:highlight w:val="none"/>
          <w14:textFill>
            <w14:solidFill>
              <w14:schemeClr w14:val="tx1"/>
            </w14:solidFill>
          </w14:textFill>
        </w:rPr>
        <w:t>100</w:t>
      </w:r>
      <w:r>
        <w:rPr>
          <w:color w:val="000000" w:themeColor="text1"/>
          <w:spacing w:val="-13"/>
          <w:highlight w:val="none"/>
          <w14:textFill>
            <w14:solidFill>
              <w14:schemeClr w14:val="tx1"/>
            </w14:solidFill>
          </w14:textFill>
        </w:rPr>
        <w:t xml:space="preserve"> 人及以上，且营业收入 </w:t>
      </w:r>
      <w:r>
        <w:rPr>
          <w:color w:val="000000" w:themeColor="text1"/>
          <w:highlight w:val="none"/>
          <w14:textFill>
            <w14:solidFill>
              <w14:schemeClr w14:val="tx1"/>
            </w14:solidFill>
          </w14:textFill>
        </w:rPr>
        <w:t>2000</w:t>
      </w:r>
      <w:r>
        <w:rPr>
          <w:color w:val="000000" w:themeColor="text1"/>
          <w:spacing w:val="-9"/>
          <w:highlight w:val="none"/>
          <w14:textFill>
            <w14:solidFill>
              <w14:schemeClr w14:val="tx1"/>
            </w14:solidFill>
          </w14:textFill>
        </w:rPr>
        <w:t xml:space="preserve"> 万元及以上的为中型</w:t>
      </w:r>
    </w:p>
    <w:p>
      <w:pPr>
        <w:pStyle w:val="10"/>
        <w:shd w:val="clear"/>
        <w:spacing w:before="88"/>
        <w:ind w:left="0" w:right="806"/>
        <w:jc w:val="right"/>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 xml:space="preserve">企业；从业人员 </w:t>
      </w:r>
      <w:r>
        <w:rPr>
          <w:color w:val="000000" w:themeColor="text1"/>
          <w:highlight w:val="none"/>
          <w14:textFill>
            <w14:solidFill>
              <w14:schemeClr w14:val="tx1"/>
            </w14:solidFill>
          </w14:textFill>
        </w:rPr>
        <w:t>10</w:t>
      </w:r>
      <w:r>
        <w:rPr>
          <w:color w:val="000000" w:themeColor="text1"/>
          <w:spacing w:val="-13"/>
          <w:highlight w:val="none"/>
          <w14:textFill>
            <w14:solidFill>
              <w14:schemeClr w14:val="tx1"/>
            </w14:solidFill>
          </w14:textFill>
        </w:rPr>
        <w:t xml:space="preserve"> 人及以上，且营业收入 </w:t>
      </w:r>
      <w:r>
        <w:rPr>
          <w:color w:val="000000" w:themeColor="text1"/>
          <w:highlight w:val="none"/>
          <w14:textFill>
            <w14:solidFill>
              <w14:schemeClr w14:val="tx1"/>
            </w14:solidFill>
          </w14:textFill>
        </w:rPr>
        <w:t>100</w:t>
      </w:r>
      <w:r>
        <w:rPr>
          <w:color w:val="000000" w:themeColor="text1"/>
          <w:spacing w:val="-9"/>
          <w:highlight w:val="none"/>
          <w14:textFill>
            <w14:solidFill>
              <w14:schemeClr w14:val="tx1"/>
            </w14:solidFill>
          </w14:textFill>
        </w:rPr>
        <w:t xml:space="preserve"> 万元及以上的为小型企业；从业</w:t>
      </w:r>
    </w:p>
    <w:p>
      <w:pPr>
        <w:pStyle w:val="10"/>
        <w:shd w:val="clear"/>
        <w:spacing w:before="89"/>
        <w:ind w:left="777"/>
        <w:rPr>
          <w:color w:val="000000" w:themeColor="text1"/>
          <w:highlight w:val="none"/>
          <w14:textFill>
            <w14:solidFill>
              <w14:schemeClr w14:val="tx1"/>
            </w14:solidFill>
          </w14:textFill>
        </w:rPr>
      </w:pPr>
      <w:r>
        <w:rPr>
          <w:color w:val="000000" w:themeColor="text1"/>
          <w:spacing w:val="-20"/>
          <w:highlight w:val="none"/>
          <w14:textFill>
            <w14:solidFill>
              <w14:schemeClr w14:val="tx1"/>
            </w14:solidFill>
          </w14:textFill>
        </w:rPr>
        <w:t xml:space="preserve">人员 </w:t>
      </w:r>
      <w:r>
        <w:rPr>
          <w:color w:val="000000" w:themeColor="text1"/>
          <w:highlight w:val="none"/>
          <w14:textFill>
            <w14:solidFill>
              <w14:schemeClr w14:val="tx1"/>
            </w14:solidFill>
          </w14:textFill>
        </w:rPr>
        <w:t>10</w:t>
      </w:r>
      <w:r>
        <w:rPr>
          <w:color w:val="000000" w:themeColor="text1"/>
          <w:spacing w:val="-14"/>
          <w:highlight w:val="none"/>
          <w14:textFill>
            <w14:solidFill>
              <w14:schemeClr w14:val="tx1"/>
            </w14:solidFill>
          </w14:textFill>
        </w:rPr>
        <w:t xml:space="preserve"> 人以下或营业收入 </w:t>
      </w:r>
      <w:r>
        <w:rPr>
          <w:color w:val="000000" w:themeColor="text1"/>
          <w:highlight w:val="none"/>
          <w14:textFill>
            <w14:solidFill>
              <w14:schemeClr w14:val="tx1"/>
            </w14:solidFill>
          </w14:textFill>
        </w:rPr>
        <w:t>100</w:t>
      </w:r>
      <w:r>
        <w:rPr>
          <w:color w:val="000000" w:themeColor="text1"/>
          <w:spacing w:val="-9"/>
          <w:highlight w:val="none"/>
          <w14:textFill>
            <w14:solidFill>
              <w14:schemeClr w14:val="tx1"/>
            </w14:solidFill>
          </w14:textFill>
        </w:rPr>
        <w:t xml:space="preserve"> 万元以下的为微型企业。</w:t>
      </w:r>
    </w:p>
    <w:p>
      <w:pPr>
        <w:pStyle w:val="10"/>
        <w:shd w:val="clear"/>
        <w:spacing w:before="87"/>
        <w:ind w:left="0" w:right="775"/>
        <w:jc w:val="right"/>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（十一）</w:t>
      </w:r>
      <w:r>
        <w:rPr>
          <w:color w:val="000000" w:themeColor="text1"/>
          <w:spacing w:val="-8"/>
          <w:highlight w:val="none"/>
          <w14:textFill>
            <w14:solidFill>
              <w14:schemeClr w14:val="tx1"/>
            </w14:solidFill>
          </w14:textFill>
        </w:rPr>
        <w:t xml:space="preserve">信息传输业。从业人员 </w:t>
      </w:r>
      <w:r>
        <w:rPr>
          <w:color w:val="000000" w:themeColor="text1"/>
          <w:spacing w:val="-2"/>
          <w:highlight w:val="none"/>
          <w14:textFill>
            <w14:solidFill>
              <w14:schemeClr w14:val="tx1"/>
            </w14:solidFill>
          </w14:textFill>
        </w:rPr>
        <w:t>2000</w:t>
      </w:r>
      <w:r>
        <w:rPr>
          <w:color w:val="000000" w:themeColor="text1"/>
          <w:spacing w:val="-15"/>
          <w:highlight w:val="none"/>
          <w14:textFill>
            <w14:solidFill>
              <w14:schemeClr w14:val="tx1"/>
            </w14:solidFill>
          </w14:textFill>
        </w:rPr>
        <w:t xml:space="preserve"> 人以下或营业收入 </w:t>
      </w:r>
      <w:r>
        <w:rPr>
          <w:color w:val="000000" w:themeColor="text1"/>
          <w:spacing w:val="-2"/>
          <w:highlight w:val="none"/>
          <w14:textFill>
            <w14:solidFill>
              <w14:schemeClr w14:val="tx1"/>
            </w14:solidFill>
          </w14:textFill>
        </w:rPr>
        <w:t>100000</w:t>
      </w:r>
      <w:r>
        <w:rPr>
          <w:color w:val="000000" w:themeColor="text1"/>
          <w:spacing w:val="-14"/>
          <w:highlight w:val="none"/>
          <w14:textFill>
            <w14:solidFill>
              <w14:schemeClr w14:val="tx1"/>
            </w14:solidFill>
          </w14:textFill>
        </w:rPr>
        <w:t xml:space="preserve"> 万元以下的</w:t>
      </w:r>
    </w:p>
    <w:p>
      <w:pPr>
        <w:pStyle w:val="10"/>
        <w:shd w:val="clear"/>
        <w:spacing w:before="88"/>
        <w:ind w:left="0" w:right="806"/>
        <w:jc w:val="right"/>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 xml:space="preserve">为中小微型企业。其中，从业人员 </w:t>
      </w:r>
      <w:r>
        <w:rPr>
          <w:color w:val="000000" w:themeColor="text1"/>
          <w:highlight w:val="none"/>
          <w14:textFill>
            <w14:solidFill>
              <w14:schemeClr w14:val="tx1"/>
            </w14:solidFill>
          </w14:textFill>
        </w:rPr>
        <w:t>100</w:t>
      </w:r>
      <w:r>
        <w:rPr>
          <w:color w:val="000000" w:themeColor="text1"/>
          <w:spacing w:val="-13"/>
          <w:highlight w:val="none"/>
          <w14:textFill>
            <w14:solidFill>
              <w14:schemeClr w14:val="tx1"/>
            </w14:solidFill>
          </w14:textFill>
        </w:rPr>
        <w:t xml:space="preserve"> 人及以上，且营业收入 </w:t>
      </w:r>
      <w:r>
        <w:rPr>
          <w:color w:val="000000" w:themeColor="text1"/>
          <w:highlight w:val="none"/>
          <w14:textFill>
            <w14:solidFill>
              <w14:schemeClr w14:val="tx1"/>
            </w14:solidFill>
          </w14:textFill>
        </w:rPr>
        <w:t>1000</w:t>
      </w:r>
      <w:r>
        <w:rPr>
          <w:color w:val="000000" w:themeColor="text1"/>
          <w:spacing w:val="-12"/>
          <w:highlight w:val="none"/>
          <w14:textFill>
            <w14:solidFill>
              <w14:schemeClr w14:val="tx1"/>
            </w14:solidFill>
          </w14:textFill>
        </w:rPr>
        <w:t xml:space="preserve"> 万元及以上</w:t>
      </w:r>
    </w:p>
    <w:p>
      <w:pPr>
        <w:pStyle w:val="10"/>
        <w:shd w:val="clear"/>
        <w:spacing w:before="89"/>
        <w:ind w:left="0" w:right="806"/>
        <w:jc w:val="right"/>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 xml:space="preserve">的为中型企业；从业人员 </w:t>
      </w:r>
      <w:r>
        <w:rPr>
          <w:color w:val="000000" w:themeColor="text1"/>
          <w:highlight w:val="none"/>
          <w14:textFill>
            <w14:solidFill>
              <w14:schemeClr w14:val="tx1"/>
            </w14:solidFill>
          </w14:textFill>
        </w:rPr>
        <w:t>10</w:t>
      </w:r>
      <w:r>
        <w:rPr>
          <w:color w:val="000000" w:themeColor="text1"/>
          <w:spacing w:val="-13"/>
          <w:highlight w:val="none"/>
          <w14:textFill>
            <w14:solidFill>
              <w14:schemeClr w14:val="tx1"/>
            </w14:solidFill>
          </w14:textFill>
        </w:rPr>
        <w:t xml:space="preserve"> 人及以上，且营业收入 </w:t>
      </w:r>
      <w:r>
        <w:rPr>
          <w:color w:val="000000" w:themeColor="text1"/>
          <w:highlight w:val="none"/>
          <w14:textFill>
            <w14:solidFill>
              <w14:schemeClr w14:val="tx1"/>
            </w14:solidFill>
          </w14:textFill>
        </w:rPr>
        <w:t>100</w:t>
      </w:r>
      <w:r>
        <w:rPr>
          <w:color w:val="000000" w:themeColor="text1"/>
          <w:spacing w:val="-9"/>
          <w:highlight w:val="none"/>
          <w14:textFill>
            <w14:solidFill>
              <w14:schemeClr w14:val="tx1"/>
            </w14:solidFill>
          </w14:textFill>
        </w:rPr>
        <w:t xml:space="preserve"> 万元及以上的为小型企</w:t>
      </w:r>
    </w:p>
    <w:p>
      <w:pPr>
        <w:pStyle w:val="10"/>
        <w:shd w:val="clear"/>
        <w:spacing w:before="87"/>
        <w:ind w:left="777"/>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 xml:space="preserve">业；从业人员 </w:t>
      </w:r>
      <w:r>
        <w:rPr>
          <w:color w:val="000000" w:themeColor="text1"/>
          <w:highlight w:val="none"/>
          <w14:textFill>
            <w14:solidFill>
              <w14:schemeClr w14:val="tx1"/>
            </w14:solidFill>
          </w14:textFill>
        </w:rPr>
        <w:t>10</w:t>
      </w:r>
      <w:r>
        <w:rPr>
          <w:color w:val="000000" w:themeColor="text1"/>
          <w:spacing w:val="-14"/>
          <w:highlight w:val="none"/>
          <w14:textFill>
            <w14:solidFill>
              <w14:schemeClr w14:val="tx1"/>
            </w14:solidFill>
          </w14:textFill>
        </w:rPr>
        <w:t xml:space="preserve"> 人以下或营业收入 </w:t>
      </w:r>
      <w:r>
        <w:rPr>
          <w:color w:val="000000" w:themeColor="text1"/>
          <w:highlight w:val="none"/>
          <w14:textFill>
            <w14:solidFill>
              <w14:schemeClr w14:val="tx1"/>
            </w14:solidFill>
          </w14:textFill>
        </w:rPr>
        <w:t>100</w:t>
      </w:r>
      <w:r>
        <w:rPr>
          <w:color w:val="000000" w:themeColor="text1"/>
          <w:spacing w:val="-9"/>
          <w:highlight w:val="none"/>
          <w14:textFill>
            <w14:solidFill>
              <w14:schemeClr w14:val="tx1"/>
            </w14:solidFill>
          </w14:textFill>
        </w:rPr>
        <w:t xml:space="preserve"> 万元以下的为微型企业。</w:t>
      </w:r>
    </w:p>
    <w:p>
      <w:pPr>
        <w:shd w:val="clear"/>
        <w:rPr>
          <w:color w:val="000000" w:themeColor="text1"/>
          <w:highlight w:val="none"/>
          <w14:textFill>
            <w14:solidFill>
              <w14:schemeClr w14:val="tx1"/>
            </w14:solidFill>
          </w14:textFill>
        </w:rPr>
        <w:sectPr>
          <w:pgSz w:w="11910" w:h="16840"/>
          <w:pgMar w:top="1380" w:right="1019" w:bottom="1040" w:left="1020" w:header="878" w:footer="853" w:gutter="0"/>
          <w:cols w:space="720" w:num="1"/>
        </w:sectPr>
      </w:pPr>
    </w:p>
    <w:p>
      <w:pPr>
        <w:pStyle w:val="10"/>
        <w:shd w:val="clear"/>
        <w:spacing w:before="131"/>
        <w:ind w:left="0" w:right="775"/>
        <w:jc w:val="right"/>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（十二）</w:t>
      </w:r>
      <w:r>
        <w:rPr>
          <w:color w:val="000000" w:themeColor="text1"/>
          <w:spacing w:val="-6"/>
          <w:highlight w:val="none"/>
          <w14:textFill>
            <w14:solidFill>
              <w14:schemeClr w14:val="tx1"/>
            </w14:solidFill>
          </w14:textFill>
        </w:rPr>
        <w:t xml:space="preserve">软件和信息技术服务业。从业人员 </w:t>
      </w:r>
      <w:r>
        <w:rPr>
          <w:color w:val="000000" w:themeColor="text1"/>
          <w:spacing w:val="-2"/>
          <w:highlight w:val="none"/>
          <w14:textFill>
            <w14:solidFill>
              <w14:schemeClr w14:val="tx1"/>
            </w14:solidFill>
          </w14:textFill>
        </w:rPr>
        <w:t>300</w:t>
      </w:r>
      <w:r>
        <w:rPr>
          <w:color w:val="000000" w:themeColor="text1"/>
          <w:spacing w:val="-15"/>
          <w:highlight w:val="none"/>
          <w14:textFill>
            <w14:solidFill>
              <w14:schemeClr w14:val="tx1"/>
            </w14:solidFill>
          </w14:textFill>
        </w:rPr>
        <w:t xml:space="preserve"> 人以下或营业收入 </w:t>
      </w:r>
      <w:r>
        <w:rPr>
          <w:color w:val="000000" w:themeColor="text1"/>
          <w:spacing w:val="-2"/>
          <w:highlight w:val="none"/>
          <w14:textFill>
            <w14:solidFill>
              <w14:schemeClr w14:val="tx1"/>
            </w14:solidFill>
          </w14:textFill>
        </w:rPr>
        <w:t>10000</w:t>
      </w:r>
      <w:r>
        <w:rPr>
          <w:color w:val="000000" w:themeColor="text1"/>
          <w:spacing w:val="-34"/>
          <w:highlight w:val="none"/>
          <w14:textFill>
            <w14:solidFill>
              <w14:schemeClr w14:val="tx1"/>
            </w14:solidFill>
          </w14:textFill>
        </w:rPr>
        <w:t xml:space="preserve"> 万</w:t>
      </w:r>
    </w:p>
    <w:p>
      <w:pPr>
        <w:pStyle w:val="10"/>
        <w:shd w:val="clear"/>
        <w:spacing w:before="88"/>
        <w:ind w:left="0" w:right="806"/>
        <w:jc w:val="right"/>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 xml:space="preserve">元以下的为中小微型企业。其中，从业人员 </w:t>
      </w:r>
      <w:r>
        <w:rPr>
          <w:color w:val="000000" w:themeColor="text1"/>
          <w:highlight w:val="none"/>
          <w14:textFill>
            <w14:solidFill>
              <w14:schemeClr w14:val="tx1"/>
            </w14:solidFill>
          </w14:textFill>
        </w:rPr>
        <w:t>100</w:t>
      </w:r>
      <w:r>
        <w:rPr>
          <w:color w:val="000000" w:themeColor="text1"/>
          <w:spacing w:val="-13"/>
          <w:highlight w:val="none"/>
          <w14:textFill>
            <w14:solidFill>
              <w14:schemeClr w14:val="tx1"/>
            </w14:solidFill>
          </w14:textFill>
        </w:rPr>
        <w:t xml:space="preserve"> 人及以上，且营业收入 </w:t>
      </w:r>
      <w:r>
        <w:rPr>
          <w:color w:val="000000" w:themeColor="text1"/>
          <w:highlight w:val="none"/>
          <w14:textFill>
            <w14:solidFill>
              <w14:schemeClr w14:val="tx1"/>
            </w14:solidFill>
          </w14:textFill>
        </w:rPr>
        <w:t>1000</w:t>
      </w:r>
      <w:r>
        <w:rPr>
          <w:color w:val="000000" w:themeColor="text1"/>
          <w:spacing w:val="-35"/>
          <w:highlight w:val="none"/>
          <w14:textFill>
            <w14:solidFill>
              <w14:schemeClr w14:val="tx1"/>
            </w14:solidFill>
          </w14:textFill>
        </w:rPr>
        <w:t xml:space="preserve"> 万</w:t>
      </w:r>
    </w:p>
    <w:p>
      <w:pPr>
        <w:pStyle w:val="10"/>
        <w:shd w:val="clear"/>
        <w:spacing w:before="89"/>
        <w:ind w:left="0" w:right="775"/>
        <w:jc w:val="right"/>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 xml:space="preserve">元及以上的为中型企业；从业人员 </w:t>
      </w:r>
      <w:r>
        <w:rPr>
          <w:color w:val="000000" w:themeColor="text1"/>
          <w:spacing w:val="-4"/>
          <w:highlight w:val="none"/>
          <w14:textFill>
            <w14:solidFill>
              <w14:schemeClr w14:val="tx1"/>
            </w14:solidFill>
          </w14:textFill>
        </w:rPr>
        <w:t>10</w:t>
      </w:r>
      <w:r>
        <w:rPr>
          <w:color w:val="000000" w:themeColor="text1"/>
          <w:spacing w:val="-15"/>
          <w:highlight w:val="none"/>
          <w14:textFill>
            <w14:solidFill>
              <w14:schemeClr w14:val="tx1"/>
            </w14:solidFill>
          </w14:textFill>
        </w:rPr>
        <w:t xml:space="preserve"> 人及以上，且营业收入 </w:t>
      </w:r>
      <w:r>
        <w:rPr>
          <w:color w:val="000000" w:themeColor="text1"/>
          <w:spacing w:val="-4"/>
          <w:highlight w:val="none"/>
          <w14:textFill>
            <w14:solidFill>
              <w14:schemeClr w14:val="tx1"/>
            </w14:solidFill>
          </w14:textFill>
        </w:rPr>
        <w:t>50</w:t>
      </w:r>
      <w:r>
        <w:rPr>
          <w:color w:val="000000" w:themeColor="text1"/>
          <w:spacing w:val="-12"/>
          <w:highlight w:val="none"/>
          <w14:textFill>
            <w14:solidFill>
              <w14:schemeClr w14:val="tx1"/>
            </w14:solidFill>
          </w14:textFill>
        </w:rPr>
        <w:t xml:space="preserve"> 万元及以上的为</w:t>
      </w:r>
    </w:p>
    <w:p>
      <w:pPr>
        <w:pStyle w:val="10"/>
        <w:shd w:val="clear"/>
        <w:spacing w:before="87"/>
        <w:ind w:left="777"/>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 xml:space="preserve">小型企业；从业人员 </w:t>
      </w:r>
      <w:r>
        <w:rPr>
          <w:color w:val="000000" w:themeColor="text1"/>
          <w:highlight w:val="none"/>
          <w14:textFill>
            <w14:solidFill>
              <w14:schemeClr w14:val="tx1"/>
            </w14:solidFill>
          </w14:textFill>
        </w:rPr>
        <w:t>10</w:t>
      </w:r>
      <w:r>
        <w:rPr>
          <w:color w:val="000000" w:themeColor="text1"/>
          <w:spacing w:val="-14"/>
          <w:highlight w:val="none"/>
          <w14:textFill>
            <w14:solidFill>
              <w14:schemeClr w14:val="tx1"/>
            </w14:solidFill>
          </w14:textFill>
        </w:rPr>
        <w:t xml:space="preserve"> 人以下或营业收入 </w:t>
      </w:r>
      <w:r>
        <w:rPr>
          <w:color w:val="000000" w:themeColor="text1"/>
          <w:highlight w:val="none"/>
          <w14:textFill>
            <w14:solidFill>
              <w14:schemeClr w14:val="tx1"/>
            </w14:solidFill>
          </w14:textFill>
        </w:rPr>
        <w:t>50</w:t>
      </w:r>
      <w:r>
        <w:rPr>
          <w:color w:val="000000" w:themeColor="text1"/>
          <w:spacing w:val="-9"/>
          <w:highlight w:val="none"/>
          <w14:textFill>
            <w14:solidFill>
              <w14:schemeClr w14:val="tx1"/>
            </w14:solidFill>
          </w14:textFill>
        </w:rPr>
        <w:t xml:space="preserve"> 万元以下的为微型企业。</w:t>
      </w:r>
    </w:p>
    <w:p>
      <w:pPr>
        <w:pStyle w:val="10"/>
        <w:shd w:val="clear"/>
        <w:spacing w:before="88"/>
        <w:ind w:left="0" w:right="806"/>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（十三）</w:t>
      </w:r>
      <w:r>
        <w:rPr>
          <w:color w:val="000000" w:themeColor="text1"/>
          <w:spacing w:val="-5"/>
          <w:highlight w:val="none"/>
          <w14:textFill>
            <w14:solidFill>
              <w14:schemeClr w14:val="tx1"/>
            </w14:solidFill>
          </w14:textFill>
        </w:rPr>
        <w:t xml:space="preserve">房地产开发经营。营业收入 </w:t>
      </w:r>
      <w:r>
        <w:rPr>
          <w:color w:val="000000" w:themeColor="text1"/>
          <w:highlight w:val="none"/>
          <w14:textFill>
            <w14:solidFill>
              <w14:schemeClr w14:val="tx1"/>
            </w14:solidFill>
          </w14:textFill>
        </w:rPr>
        <w:t>200000</w:t>
      </w:r>
      <w:r>
        <w:rPr>
          <w:color w:val="000000" w:themeColor="text1"/>
          <w:spacing w:val="-13"/>
          <w:highlight w:val="none"/>
          <w14:textFill>
            <w14:solidFill>
              <w14:schemeClr w14:val="tx1"/>
            </w14:solidFill>
          </w14:textFill>
        </w:rPr>
        <w:t xml:space="preserve"> 万元以下或资产总额 </w:t>
      </w:r>
      <w:r>
        <w:rPr>
          <w:color w:val="000000" w:themeColor="text1"/>
          <w:highlight w:val="none"/>
          <w14:textFill>
            <w14:solidFill>
              <w14:schemeClr w14:val="tx1"/>
            </w14:solidFill>
          </w14:textFill>
        </w:rPr>
        <w:t>10000</w:t>
      </w:r>
      <w:r>
        <w:rPr>
          <w:color w:val="000000" w:themeColor="text1"/>
          <w:spacing w:val="-35"/>
          <w:highlight w:val="none"/>
          <w14:textFill>
            <w14:solidFill>
              <w14:schemeClr w14:val="tx1"/>
            </w14:solidFill>
          </w14:textFill>
        </w:rPr>
        <w:t xml:space="preserve"> 万</w:t>
      </w:r>
    </w:p>
    <w:p>
      <w:pPr>
        <w:pStyle w:val="10"/>
        <w:shd w:val="clear"/>
        <w:spacing w:before="89"/>
        <w:ind w:left="0" w:right="775"/>
        <w:jc w:val="right"/>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 xml:space="preserve">元以下的为中小微型企业。其中，营业收入 </w:t>
      </w:r>
      <w:r>
        <w:rPr>
          <w:color w:val="000000" w:themeColor="text1"/>
          <w:spacing w:val="-2"/>
          <w:highlight w:val="none"/>
          <w14:textFill>
            <w14:solidFill>
              <w14:schemeClr w14:val="tx1"/>
            </w14:solidFill>
          </w14:textFill>
        </w:rPr>
        <w:t>1000</w:t>
      </w:r>
      <w:r>
        <w:rPr>
          <w:color w:val="000000" w:themeColor="text1"/>
          <w:spacing w:val="-12"/>
          <w:highlight w:val="none"/>
          <w14:textFill>
            <w14:solidFill>
              <w14:schemeClr w14:val="tx1"/>
            </w14:solidFill>
          </w14:textFill>
        </w:rPr>
        <w:t xml:space="preserve"> 万元及以上，且资产总额 </w:t>
      </w:r>
      <w:r>
        <w:rPr>
          <w:color w:val="000000" w:themeColor="text1"/>
          <w:spacing w:val="-4"/>
          <w:highlight w:val="none"/>
          <w14:textFill>
            <w14:solidFill>
              <w14:schemeClr w14:val="tx1"/>
            </w14:solidFill>
          </w14:textFill>
        </w:rPr>
        <w:t>5000</w:t>
      </w:r>
    </w:p>
    <w:p>
      <w:pPr>
        <w:pStyle w:val="10"/>
        <w:shd w:val="clear"/>
        <w:spacing w:before="87"/>
        <w:ind w:left="0" w:right="806"/>
        <w:jc w:val="right"/>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 xml:space="preserve">万元及以上的为中型企业；营业收入 </w:t>
      </w:r>
      <w:r>
        <w:rPr>
          <w:color w:val="000000" w:themeColor="text1"/>
          <w:highlight w:val="none"/>
          <w14:textFill>
            <w14:solidFill>
              <w14:schemeClr w14:val="tx1"/>
            </w14:solidFill>
          </w14:textFill>
        </w:rPr>
        <w:t>100</w:t>
      </w:r>
      <w:r>
        <w:rPr>
          <w:color w:val="000000" w:themeColor="text1"/>
          <w:spacing w:val="-12"/>
          <w:highlight w:val="none"/>
          <w14:textFill>
            <w14:solidFill>
              <w14:schemeClr w14:val="tx1"/>
            </w14:solidFill>
          </w14:textFill>
        </w:rPr>
        <w:t xml:space="preserve"> 万元及以上，且资产总额 </w:t>
      </w:r>
      <w:r>
        <w:rPr>
          <w:color w:val="000000" w:themeColor="text1"/>
          <w:highlight w:val="none"/>
          <w14:textFill>
            <w14:solidFill>
              <w14:schemeClr w14:val="tx1"/>
            </w14:solidFill>
          </w14:textFill>
        </w:rPr>
        <w:t>2000</w:t>
      </w:r>
      <w:r>
        <w:rPr>
          <w:color w:val="000000" w:themeColor="text1"/>
          <w:spacing w:val="-18"/>
          <w:highlight w:val="none"/>
          <w14:textFill>
            <w14:solidFill>
              <w14:schemeClr w14:val="tx1"/>
            </w14:solidFill>
          </w14:textFill>
        </w:rPr>
        <w:t xml:space="preserve"> 万元及</w:t>
      </w:r>
    </w:p>
    <w:p>
      <w:pPr>
        <w:pStyle w:val="10"/>
        <w:shd w:val="clear"/>
        <w:spacing w:before="88" w:line="307" w:lineRule="auto"/>
        <w:ind w:left="777" w:right="806"/>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 xml:space="preserve">以上的为小型企业；营业收入 </w:t>
      </w:r>
      <w:r>
        <w:rPr>
          <w:color w:val="000000" w:themeColor="text1"/>
          <w:spacing w:val="-2"/>
          <w:highlight w:val="none"/>
          <w14:textFill>
            <w14:solidFill>
              <w14:schemeClr w14:val="tx1"/>
            </w14:solidFill>
          </w14:textFill>
        </w:rPr>
        <w:t>100</w:t>
      </w:r>
      <w:r>
        <w:rPr>
          <w:color w:val="000000" w:themeColor="text1"/>
          <w:spacing w:val="-13"/>
          <w:highlight w:val="none"/>
          <w14:textFill>
            <w14:solidFill>
              <w14:schemeClr w14:val="tx1"/>
            </w14:solidFill>
          </w14:textFill>
        </w:rPr>
        <w:t xml:space="preserve"> 万元以下或资产总额 </w:t>
      </w:r>
      <w:r>
        <w:rPr>
          <w:color w:val="000000" w:themeColor="text1"/>
          <w:spacing w:val="-2"/>
          <w:highlight w:val="none"/>
          <w14:textFill>
            <w14:solidFill>
              <w14:schemeClr w14:val="tx1"/>
            </w14:solidFill>
          </w14:textFill>
        </w:rPr>
        <w:t>2000</w:t>
      </w:r>
      <w:r>
        <w:rPr>
          <w:color w:val="000000" w:themeColor="text1"/>
          <w:spacing w:val="-9"/>
          <w:highlight w:val="none"/>
          <w14:textFill>
            <w14:solidFill>
              <w14:schemeClr w14:val="tx1"/>
            </w14:solidFill>
          </w14:textFill>
        </w:rPr>
        <w:t xml:space="preserve"> 万元以下的为微型</w:t>
      </w:r>
      <w:r>
        <w:rPr>
          <w:color w:val="000000" w:themeColor="text1"/>
          <w:spacing w:val="-4"/>
          <w:highlight w:val="none"/>
          <w14:textFill>
            <w14:solidFill>
              <w14:schemeClr w14:val="tx1"/>
            </w14:solidFill>
          </w14:textFill>
        </w:rPr>
        <w:t>企业。</w:t>
      </w:r>
    </w:p>
    <w:p>
      <w:pPr>
        <w:pStyle w:val="10"/>
        <w:shd w:val="clear"/>
        <w:spacing w:before="1"/>
        <w:ind w:left="0" w:right="775"/>
        <w:jc w:val="right"/>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（十四）</w:t>
      </w:r>
      <w:r>
        <w:rPr>
          <w:color w:val="000000" w:themeColor="text1"/>
          <w:spacing w:val="-8"/>
          <w:highlight w:val="none"/>
          <w14:textFill>
            <w14:solidFill>
              <w14:schemeClr w14:val="tx1"/>
            </w14:solidFill>
          </w14:textFill>
        </w:rPr>
        <w:t xml:space="preserve">物业管理。从业人员 </w:t>
      </w:r>
      <w:r>
        <w:rPr>
          <w:color w:val="000000" w:themeColor="text1"/>
          <w:spacing w:val="-2"/>
          <w:highlight w:val="none"/>
          <w14:textFill>
            <w14:solidFill>
              <w14:schemeClr w14:val="tx1"/>
            </w14:solidFill>
          </w14:textFill>
        </w:rPr>
        <w:t>1000</w:t>
      </w:r>
      <w:r>
        <w:rPr>
          <w:color w:val="000000" w:themeColor="text1"/>
          <w:spacing w:val="-15"/>
          <w:highlight w:val="none"/>
          <w14:textFill>
            <w14:solidFill>
              <w14:schemeClr w14:val="tx1"/>
            </w14:solidFill>
          </w14:textFill>
        </w:rPr>
        <w:t xml:space="preserve"> 人以下或营业收入 </w:t>
      </w:r>
      <w:r>
        <w:rPr>
          <w:color w:val="000000" w:themeColor="text1"/>
          <w:spacing w:val="-2"/>
          <w:highlight w:val="none"/>
          <w14:textFill>
            <w14:solidFill>
              <w14:schemeClr w14:val="tx1"/>
            </w14:solidFill>
          </w14:textFill>
        </w:rPr>
        <w:t>5000</w:t>
      </w:r>
      <w:r>
        <w:rPr>
          <w:color w:val="000000" w:themeColor="text1"/>
          <w:spacing w:val="-11"/>
          <w:highlight w:val="none"/>
          <w14:textFill>
            <w14:solidFill>
              <w14:schemeClr w14:val="tx1"/>
            </w14:solidFill>
          </w14:textFill>
        </w:rPr>
        <w:t xml:space="preserve"> 万元以下的为中</w:t>
      </w:r>
    </w:p>
    <w:p>
      <w:pPr>
        <w:pStyle w:val="10"/>
        <w:shd w:val="clear"/>
        <w:spacing w:before="89"/>
        <w:ind w:left="0" w:right="806"/>
        <w:jc w:val="right"/>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 xml:space="preserve">小微型企业。其中，从业人员 </w:t>
      </w:r>
      <w:r>
        <w:rPr>
          <w:color w:val="000000" w:themeColor="text1"/>
          <w:highlight w:val="none"/>
          <w14:textFill>
            <w14:solidFill>
              <w14:schemeClr w14:val="tx1"/>
            </w14:solidFill>
          </w14:textFill>
        </w:rPr>
        <w:t>300</w:t>
      </w:r>
      <w:r>
        <w:rPr>
          <w:color w:val="000000" w:themeColor="text1"/>
          <w:spacing w:val="-13"/>
          <w:highlight w:val="none"/>
          <w14:textFill>
            <w14:solidFill>
              <w14:schemeClr w14:val="tx1"/>
            </w14:solidFill>
          </w14:textFill>
        </w:rPr>
        <w:t xml:space="preserve"> 人及以上，且营业收入 </w:t>
      </w:r>
      <w:r>
        <w:rPr>
          <w:color w:val="000000" w:themeColor="text1"/>
          <w:highlight w:val="none"/>
          <w14:textFill>
            <w14:solidFill>
              <w14:schemeClr w14:val="tx1"/>
            </w14:solidFill>
          </w14:textFill>
        </w:rPr>
        <w:t>1000</w:t>
      </w:r>
      <w:r>
        <w:rPr>
          <w:color w:val="000000" w:themeColor="text1"/>
          <w:spacing w:val="-10"/>
          <w:highlight w:val="none"/>
          <w14:textFill>
            <w14:solidFill>
              <w14:schemeClr w14:val="tx1"/>
            </w14:solidFill>
          </w14:textFill>
        </w:rPr>
        <w:t xml:space="preserve"> 万元及以上的为</w:t>
      </w:r>
    </w:p>
    <w:p>
      <w:pPr>
        <w:pStyle w:val="10"/>
        <w:shd w:val="clear"/>
        <w:spacing w:before="89"/>
        <w:ind w:left="0" w:right="686"/>
        <w:jc w:val="right"/>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 xml:space="preserve">中型企业；从业人员 </w:t>
      </w:r>
      <w:r>
        <w:rPr>
          <w:color w:val="000000" w:themeColor="text1"/>
          <w:highlight w:val="none"/>
          <w14:textFill>
            <w14:solidFill>
              <w14:schemeClr w14:val="tx1"/>
            </w14:solidFill>
          </w14:textFill>
        </w:rPr>
        <w:t>100</w:t>
      </w:r>
      <w:r>
        <w:rPr>
          <w:color w:val="000000" w:themeColor="text1"/>
          <w:spacing w:val="-13"/>
          <w:highlight w:val="none"/>
          <w14:textFill>
            <w14:solidFill>
              <w14:schemeClr w14:val="tx1"/>
            </w14:solidFill>
          </w14:textFill>
        </w:rPr>
        <w:t xml:space="preserve"> 人及以上，且营业收入 </w:t>
      </w:r>
      <w:r>
        <w:rPr>
          <w:color w:val="000000" w:themeColor="text1"/>
          <w:highlight w:val="none"/>
          <w14:textFill>
            <w14:solidFill>
              <w14:schemeClr w14:val="tx1"/>
            </w14:solidFill>
          </w14:textFill>
        </w:rPr>
        <w:t>500</w:t>
      </w:r>
      <w:r>
        <w:rPr>
          <w:color w:val="000000" w:themeColor="text1"/>
          <w:spacing w:val="-9"/>
          <w:highlight w:val="none"/>
          <w14:textFill>
            <w14:solidFill>
              <w14:schemeClr w14:val="tx1"/>
            </w14:solidFill>
          </w14:textFill>
        </w:rPr>
        <w:t xml:space="preserve"> 万元及以上的为小型企业；</w:t>
      </w:r>
    </w:p>
    <w:p>
      <w:pPr>
        <w:pStyle w:val="10"/>
        <w:shd w:val="clear"/>
        <w:spacing w:before="86"/>
        <w:ind w:left="777"/>
        <w:rPr>
          <w:color w:val="000000" w:themeColor="text1"/>
          <w:highlight w:val="none"/>
          <w14:textFill>
            <w14:solidFill>
              <w14:schemeClr w14:val="tx1"/>
            </w14:solidFill>
          </w14:textFill>
        </w:rPr>
      </w:pPr>
      <w:r>
        <w:rPr>
          <w:color w:val="000000" w:themeColor="text1"/>
          <w:spacing w:val="-12"/>
          <w:highlight w:val="none"/>
          <w14:textFill>
            <w14:solidFill>
              <w14:schemeClr w14:val="tx1"/>
            </w14:solidFill>
          </w14:textFill>
        </w:rPr>
        <w:t xml:space="preserve">从业人员 </w:t>
      </w:r>
      <w:r>
        <w:rPr>
          <w:color w:val="000000" w:themeColor="text1"/>
          <w:highlight w:val="none"/>
          <w14:textFill>
            <w14:solidFill>
              <w14:schemeClr w14:val="tx1"/>
            </w14:solidFill>
          </w14:textFill>
        </w:rPr>
        <w:t>100</w:t>
      </w:r>
      <w:r>
        <w:rPr>
          <w:color w:val="000000" w:themeColor="text1"/>
          <w:spacing w:val="-14"/>
          <w:highlight w:val="none"/>
          <w14:textFill>
            <w14:solidFill>
              <w14:schemeClr w14:val="tx1"/>
            </w14:solidFill>
          </w14:textFill>
        </w:rPr>
        <w:t xml:space="preserve"> 人以下或营业收入 </w:t>
      </w:r>
      <w:r>
        <w:rPr>
          <w:color w:val="000000" w:themeColor="text1"/>
          <w:highlight w:val="none"/>
          <w14:textFill>
            <w14:solidFill>
              <w14:schemeClr w14:val="tx1"/>
            </w14:solidFill>
          </w14:textFill>
        </w:rPr>
        <w:t>500</w:t>
      </w:r>
      <w:r>
        <w:rPr>
          <w:color w:val="000000" w:themeColor="text1"/>
          <w:spacing w:val="-9"/>
          <w:highlight w:val="none"/>
          <w14:textFill>
            <w14:solidFill>
              <w14:schemeClr w14:val="tx1"/>
            </w14:solidFill>
          </w14:textFill>
        </w:rPr>
        <w:t xml:space="preserve"> 万元以下的为微型企业。</w:t>
      </w:r>
    </w:p>
    <w:p>
      <w:pPr>
        <w:pStyle w:val="10"/>
        <w:shd w:val="clear"/>
        <w:spacing w:before="89"/>
        <w:ind w:left="0" w:right="806"/>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（十五）</w:t>
      </w:r>
      <w:r>
        <w:rPr>
          <w:color w:val="000000" w:themeColor="text1"/>
          <w:spacing w:val="-5"/>
          <w:highlight w:val="none"/>
          <w14:textFill>
            <w14:solidFill>
              <w14:schemeClr w14:val="tx1"/>
            </w14:solidFill>
          </w14:textFill>
        </w:rPr>
        <w:t xml:space="preserve">租赁和商务服务业。从业人员 </w:t>
      </w:r>
      <w:r>
        <w:rPr>
          <w:color w:val="000000" w:themeColor="text1"/>
          <w:highlight w:val="none"/>
          <w14:textFill>
            <w14:solidFill>
              <w14:schemeClr w14:val="tx1"/>
            </w14:solidFill>
          </w14:textFill>
        </w:rPr>
        <w:t>300</w:t>
      </w:r>
      <w:r>
        <w:rPr>
          <w:color w:val="000000" w:themeColor="text1"/>
          <w:spacing w:val="-14"/>
          <w:highlight w:val="none"/>
          <w14:textFill>
            <w14:solidFill>
              <w14:schemeClr w14:val="tx1"/>
            </w14:solidFill>
          </w14:textFill>
        </w:rPr>
        <w:t xml:space="preserve"> 人以下或资产总额 </w:t>
      </w:r>
      <w:r>
        <w:rPr>
          <w:color w:val="000000" w:themeColor="text1"/>
          <w:highlight w:val="none"/>
          <w14:textFill>
            <w14:solidFill>
              <w14:schemeClr w14:val="tx1"/>
            </w14:solidFill>
          </w14:textFill>
        </w:rPr>
        <w:t>120000</w:t>
      </w:r>
      <w:r>
        <w:rPr>
          <w:color w:val="000000" w:themeColor="text1"/>
          <w:spacing w:val="-24"/>
          <w:highlight w:val="none"/>
          <w14:textFill>
            <w14:solidFill>
              <w14:schemeClr w14:val="tx1"/>
            </w14:solidFill>
          </w14:textFill>
        </w:rPr>
        <w:t xml:space="preserve"> 万元</w:t>
      </w:r>
    </w:p>
    <w:p>
      <w:pPr>
        <w:pStyle w:val="10"/>
        <w:shd w:val="clear"/>
        <w:spacing w:before="89"/>
        <w:ind w:left="0" w:right="806"/>
        <w:jc w:val="right"/>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 xml:space="preserve">以下的为中小微型企业。其中，从业人员 </w:t>
      </w:r>
      <w:r>
        <w:rPr>
          <w:color w:val="000000" w:themeColor="text1"/>
          <w:highlight w:val="none"/>
          <w14:textFill>
            <w14:solidFill>
              <w14:schemeClr w14:val="tx1"/>
            </w14:solidFill>
          </w14:textFill>
        </w:rPr>
        <w:t>100</w:t>
      </w:r>
      <w:r>
        <w:rPr>
          <w:color w:val="000000" w:themeColor="text1"/>
          <w:spacing w:val="-13"/>
          <w:highlight w:val="none"/>
          <w14:textFill>
            <w14:solidFill>
              <w14:schemeClr w14:val="tx1"/>
            </w14:solidFill>
          </w14:textFill>
        </w:rPr>
        <w:t xml:space="preserve"> 人及以上，且资产总额 </w:t>
      </w:r>
      <w:r>
        <w:rPr>
          <w:color w:val="000000" w:themeColor="text1"/>
          <w:highlight w:val="none"/>
          <w14:textFill>
            <w14:solidFill>
              <w14:schemeClr w14:val="tx1"/>
            </w14:solidFill>
          </w14:textFill>
        </w:rPr>
        <w:t>8000</w:t>
      </w:r>
      <w:r>
        <w:rPr>
          <w:color w:val="000000" w:themeColor="text1"/>
          <w:spacing w:val="-24"/>
          <w:highlight w:val="none"/>
          <w14:textFill>
            <w14:solidFill>
              <w14:schemeClr w14:val="tx1"/>
            </w14:solidFill>
          </w14:textFill>
        </w:rPr>
        <w:t xml:space="preserve"> 万元</w:t>
      </w:r>
    </w:p>
    <w:p>
      <w:pPr>
        <w:pStyle w:val="10"/>
        <w:shd w:val="clear"/>
        <w:spacing w:before="86"/>
        <w:ind w:left="0" w:right="806"/>
        <w:jc w:val="right"/>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 xml:space="preserve">及以上的为中型企业；从业人员 </w:t>
      </w:r>
      <w:r>
        <w:rPr>
          <w:color w:val="000000" w:themeColor="text1"/>
          <w:highlight w:val="none"/>
          <w14:textFill>
            <w14:solidFill>
              <w14:schemeClr w14:val="tx1"/>
            </w14:solidFill>
          </w14:textFill>
        </w:rPr>
        <w:t>10</w:t>
      </w:r>
      <w:r>
        <w:rPr>
          <w:color w:val="000000" w:themeColor="text1"/>
          <w:spacing w:val="-13"/>
          <w:highlight w:val="none"/>
          <w14:textFill>
            <w14:solidFill>
              <w14:schemeClr w14:val="tx1"/>
            </w14:solidFill>
          </w14:textFill>
        </w:rPr>
        <w:t xml:space="preserve"> 人及以上，且资产总额 </w:t>
      </w:r>
      <w:r>
        <w:rPr>
          <w:color w:val="000000" w:themeColor="text1"/>
          <w:highlight w:val="none"/>
          <w14:textFill>
            <w14:solidFill>
              <w14:schemeClr w14:val="tx1"/>
            </w14:solidFill>
          </w14:textFill>
        </w:rPr>
        <w:t>100</w:t>
      </w:r>
      <w:r>
        <w:rPr>
          <w:color w:val="000000" w:themeColor="text1"/>
          <w:spacing w:val="-10"/>
          <w:highlight w:val="none"/>
          <w14:textFill>
            <w14:solidFill>
              <w14:schemeClr w14:val="tx1"/>
            </w14:solidFill>
          </w14:textFill>
        </w:rPr>
        <w:t xml:space="preserve"> 万元及以上的为</w:t>
      </w:r>
    </w:p>
    <w:p>
      <w:pPr>
        <w:pStyle w:val="10"/>
        <w:shd w:val="clear"/>
        <w:spacing w:before="89"/>
        <w:ind w:left="777"/>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 xml:space="preserve">小型企业；从业人员 </w:t>
      </w:r>
      <w:r>
        <w:rPr>
          <w:color w:val="000000" w:themeColor="text1"/>
          <w:highlight w:val="none"/>
          <w14:textFill>
            <w14:solidFill>
              <w14:schemeClr w14:val="tx1"/>
            </w14:solidFill>
          </w14:textFill>
        </w:rPr>
        <w:t>10</w:t>
      </w:r>
      <w:r>
        <w:rPr>
          <w:color w:val="000000" w:themeColor="text1"/>
          <w:spacing w:val="-14"/>
          <w:highlight w:val="none"/>
          <w14:textFill>
            <w14:solidFill>
              <w14:schemeClr w14:val="tx1"/>
            </w14:solidFill>
          </w14:textFill>
        </w:rPr>
        <w:t xml:space="preserve"> 人以下或资产总额 </w:t>
      </w:r>
      <w:r>
        <w:rPr>
          <w:color w:val="000000" w:themeColor="text1"/>
          <w:highlight w:val="none"/>
          <w14:textFill>
            <w14:solidFill>
              <w14:schemeClr w14:val="tx1"/>
            </w14:solidFill>
          </w14:textFill>
        </w:rPr>
        <w:t>100</w:t>
      </w:r>
      <w:r>
        <w:rPr>
          <w:color w:val="000000" w:themeColor="text1"/>
          <w:spacing w:val="-9"/>
          <w:highlight w:val="none"/>
          <w14:textFill>
            <w14:solidFill>
              <w14:schemeClr w14:val="tx1"/>
            </w14:solidFill>
          </w14:textFill>
        </w:rPr>
        <w:t xml:space="preserve"> 万元以下的为微型企业。</w:t>
      </w:r>
    </w:p>
    <w:p>
      <w:pPr>
        <w:pStyle w:val="10"/>
        <w:shd w:val="clear"/>
        <w:spacing w:before="89"/>
        <w:ind w:left="777"/>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（十六）</w:t>
      </w:r>
      <w:r>
        <w:rPr>
          <w:color w:val="000000" w:themeColor="text1"/>
          <w:spacing w:val="-7"/>
          <w:highlight w:val="none"/>
          <w14:textFill>
            <w14:solidFill>
              <w14:schemeClr w14:val="tx1"/>
            </w14:solidFill>
          </w14:textFill>
        </w:rPr>
        <w:t xml:space="preserve">其他未列明行业。从业人员 </w:t>
      </w:r>
      <w:r>
        <w:rPr>
          <w:color w:val="000000" w:themeColor="text1"/>
          <w:spacing w:val="-4"/>
          <w:highlight w:val="none"/>
          <w14:textFill>
            <w14:solidFill>
              <w14:schemeClr w14:val="tx1"/>
            </w14:solidFill>
          </w14:textFill>
        </w:rPr>
        <w:t>300</w:t>
      </w:r>
      <w:r>
        <w:rPr>
          <w:color w:val="000000" w:themeColor="text1"/>
          <w:spacing w:val="-10"/>
          <w:highlight w:val="none"/>
          <w14:textFill>
            <w14:solidFill>
              <w14:schemeClr w14:val="tx1"/>
            </w14:solidFill>
          </w14:textFill>
        </w:rPr>
        <w:t xml:space="preserve"> 人以下的为中小微型企业。其中，从业</w:t>
      </w:r>
    </w:p>
    <w:p>
      <w:pPr>
        <w:pStyle w:val="10"/>
        <w:shd w:val="clear"/>
        <w:spacing w:before="86"/>
        <w:ind w:left="777"/>
        <w:rPr>
          <w:color w:val="000000" w:themeColor="text1"/>
          <w:highlight w:val="none"/>
          <w14:textFill>
            <w14:solidFill>
              <w14:schemeClr w14:val="tx1"/>
            </w14:solidFill>
          </w14:textFill>
        </w:rPr>
      </w:pPr>
      <w:r>
        <w:rPr>
          <w:color w:val="000000" w:themeColor="text1"/>
          <w:spacing w:val="-20"/>
          <w:highlight w:val="none"/>
          <w14:textFill>
            <w14:solidFill>
              <w14:schemeClr w14:val="tx1"/>
            </w14:solidFill>
          </w14:textFill>
        </w:rPr>
        <w:t xml:space="preserve">人员 </w:t>
      </w:r>
      <w:r>
        <w:rPr>
          <w:color w:val="000000" w:themeColor="text1"/>
          <w:highlight w:val="none"/>
          <w14:textFill>
            <w14:solidFill>
              <w14:schemeClr w14:val="tx1"/>
            </w14:solidFill>
          </w14:textFill>
        </w:rPr>
        <w:t>100</w:t>
      </w:r>
      <w:r>
        <w:rPr>
          <w:color w:val="000000" w:themeColor="text1"/>
          <w:spacing w:val="-12"/>
          <w:highlight w:val="none"/>
          <w14:textFill>
            <w14:solidFill>
              <w14:schemeClr w14:val="tx1"/>
            </w14:solidFill>
          </w14:textFill>
        </w:rPr>
        <w:t xml:space="preserve"> 人及以上的为中型企业；从业人员 </w:t>
      </w:r>
      <w:r>
        <w:rPr>
          <w:color w:val="000000" w:themeColor="text1"/>
          <w:highlight w:val="none"/>
          <w14:textFill>
            <w14:solidFill>
              <w14:schemeClr w14:val="tx1"/>
            </w14:solidFill>
          </w14:textFill>
        </w:rPr>
        <w:t>10</w:t>
      </w:r>
      <w:r>
        <w:rPr>
          <w:color w:val="000000" w:themeColor="text1"/>
          <w:spacing w:val="-9"/>
          <w:highlight w:val="none"/>
          <w14:textFill>
            <w14:solidFill>
              <w14:schemeClr w14:val="tx1"/>
            </w14:solidFill>
          </w14:textFill>
        </w:rPr>
        <w:t xml:space="preserve"> 人及以上的为小型企业；从业人</w:t>
      </w:r>
    </w:p>
    <w:p>
      <w:pPr>
        <w:pStyle w:val="10"/>
        <w:shd w:val="clear"/>
        <w:spacing w:before="89"/>
        <w:ind w:left="777"/>
        <w:rPr>
          <w:color w:val="000000" w:themeColor="text1"/>
          <w:highlight w:val="none"/>
          <w14:textFill>
            <w14:solidFill>
              <w14:schemeClr w14:val="tx1"/>
            </w14:solidFill>
          </w14:textFill>
        </w:rPr>
      </w:pPr>
      <w:r>
        <w:rPr>
          <w:color w:val="000000" w:themeColor="text1"/>
          <w:spacing w:val="-30"/>
          <w:highlight w:val="none"/>
          <w14:textFill>
            <w14:solidFill>
              <w14:schemeClr w14:val="tx1"/>
            </w14:solidFill>
          </w14:textFill>
        </w:rPr>
        <w:t xml:space="preserve">员 </w:t>
      </w:r>
      <w:r>
        <w:rPr>
          <w:color w:val="000000" w:themeColor="text1"/>
          <w:highlight w:val="none"/>
          <w14:textFill>
            <w14:solidFill>
              <w14:schemeClr w14:val="tx1"/>
            </w14:solidFill>
          </w14:textFill>
        </w:rPr>
        <w:t>10</w:t>
      </w:r>
      <w:r>
        <w:rPr>
          <w:color w:val="000000" w:themeColor="text1"/>
          <w:spacing w:val="-9"/>
          <w:highlight w:val="none"/>
          <w14:textFill>
            <w14:solidFill>
              <w14:schemeClr w14:val="tx1"/>
            </w14:solidFill>
          </w14:textFill>
        </w:rPr>
        <w:t xml:space="preserve"> 人以下的为微型企业。</w:t>
      </w:r>
    </w:p>
    <w:p>
      <w:pPr>
        <w:pStyle w:val="10"/>
        <w:shd w:val="clear"/>
        <w:spacing w:before="89"/>
        <w:ind w:left="777"/>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五、企业类型的划分以统计部门的统计数据为依据。</w:t>
      </w:r>
    </w:p>
    <w:p>
      <w:pPr>
        <w:pStyle w:val="10"/>
        <w:shd w:val="clear"/>
        <w:spacing w:before="86" w:line="307" w:lineRule="auto"/>
        <w:ind w:left="777" w:right="775" w:firstLine="480"/>
        <w:rPr>
          <w:color w:val="000000" w:themeColor="text1"/>
          <w:highlight w:val="none"/>
          <w14:textFill>
            <w14:solidFill>
              <w14:schemeClr w14:val="tx1"/>
            </w14:solidFill>
          </w14:textFill>
        </w:rPr>
      </w:pPr>
      <w:r>
        <w:rPr>
          <w:color w:val="000000" w:themeColor="text1"/>
          <w:spacing w:val="-12"/>
          <w:highlight w:val="none"/>
          <w14:textFill>
            <w14:solidFill>
              <w14:schemeClr w14:val="tx1"/>
            </w14:solidFill>
          </w14:textFill>
        </w:rPr>
        <w:t>六、本规定适用于在中华人民共和国境内依法设立的各类所有制和各种组织</w:t>
      </w:r>
      <w:r>
        <w:rPr>
          <w:color w:val="000000" w:themeColor="text1"/>
          <w:spacing w:val="-2"/>
          <w:highlight w:val="none"/>
          <w14:textFill>
            <w14:solidFill>
              <w14:schemeClr w14:val="tx1"/>
            </w14:solidFill>
          </w14:textFill>
        </w:rPr>
        <w:t>形式的企业。个体工商户和本规定以外的行业，参照本规定进行划型。</w:t>
      </w:r>
    </w:p>
    <w:p>
      <w:pPr>
        <w:pStyle w:val="10"/>
        <w:shd w:val="clear"/>
        <w:spacing w:before="3" w:line="307" w:lineRule="auto"/>
        <w:ind w:left="777" w:right="775" w:firstLine="480"/>
        <w:jc w:val="both"/>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七、本规定的中型企业标准上限即为大型企业标准的下限，国家统计部门据此制定大中小微型企业的统计分类。国务院有关部门据此进行相关数据分析，不</w:t>
      </w:r>
      <w:r>
        <w:rPr>
          <w:color w:val="000000" w:themeColor="text1"/>
          <w:spacing w:val="-2"/>
          <w:highlight w:val="none"/>
          <w14:textFill>
            <w14:solidFill>
              <w14:schemeClr w14:val="tx1"/>
            </w14:solidFill>
          </w14:textFill>
        </w:rPr>
        <w:t>得制定与本规定不一致的企业划型标准。</w:t>
      </w:r>
    </w:p>
    <w:p>
      <w:pPr>
        <w:pStyle w:val="10"/>
        <w:shd w:val="clear"/>
        <w:spacing w:before="2" w:line="307" w:lineRule="auto"/>
        <w:ind w:left="777" w:right="777" w:firstLine="480"/>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八、本规定由工业和信息化部、国家统计局会同有关部门根据《国民经济行</w:t>
      </w:r>
      <w:r>
        <w:rPr>
          <w:color w:val="000000" w:themeColor="text1"/>
          <w:spacing w:val="-2"/>
          <w:highlight w:val="none"/>
          <w14:textFill>
            <w14:solidFill>
              <w14:schemeClr w14:val="tx1"/>
            </w14:solidFill>
          </w14:textFill>
        </w:rPr>
        <w:t>业分类》修订情况和企业发展变化情况适时修订。</w:t>
      </w:r>
    </w:p>
    <w:p>
      <w:pPr>
        <w:pStyle w:val="10"/>
        <w:shd w:val="clear"/>
        <w:ind w:left="1257"/>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九、本规定由工业和信息化部、国家统计局会同有关部门负责解释。</w:t>
      </w:r>
    </w:p>
    <w:p>
      <w:pPr>
        <w:pStyle w:val="10"/>
        <w:shd w:val="clear"/>
        <w:spacing w:before="89" w:line="307" w:lineRule="auto"/>
        <w:ind w:left="777" w:right="775"/>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十、本规定自发布之日起执行，原国家经贸委、原国家计委、财政部和国家统计</w:t>
      </w:r>
      <w:r>
        <w:rPr>
          <w:color w:val="000000" w:themeColor="text1"/>
          <w:spacing w:val="-11"/>
          <w:highlight w:val="none"/>
          <w14:textFill>
            <w14:solidFill>
              <w14:schemeClr w14:val="tx1"/>
            </w14:solidFill>
          </w14:textFill>
        </w:rPr>
        <w:t xml:space="preserve">局 </w:t>
      </w:r>
      <w:r>
        <w:rPr>
          <w:color w:val="000000" w:themeColor="text1"/>
          <w:highlight w:val="none"/>
          <w14:textFill>
            <w14:solidFill>
              <w14:schemeClr w14:val="tx1"/>
            </w14:solidFill>
          </w14:textFill>
        </w:rPr>
        <w:t>2003</w:t>
      </w:r>
      <w:r>
        <w:rPr>
          <w:color w:val="000000" w:themeColor="text1"/>
          <w:spacing w:val="-5"/>
          <w:highlight w:val="none"/>
          <w14:textFill>
            <w14:solidFill>
              <w14:schemeClr w14:val="tx1"/>
            </w14:solidFill>
          </w14:textFill>
        </w:rPr>
        <w:t xml:space="preserve"> 年颁布的《中小企业标准暂行规定》同时废止。</w:t>
      </w:r>
    </w:p>
    <w:p>
      <w:pPr>
        <w:shd w:val="clear"/>
        <w:spacing w:line="307" w:lineRule="auto"/>
        <w:rPr>
          <w:color w:val="000000" w:themeColor="text1"/>
          <w:highlight w:val="none"/>
          <w14:textFill>
            <w14:solidFill>
              <w14:schemeClr w14:val="tx1"/>
            </w14:solidFill>
          </w14:textFill>
        </w:rPr>
        <w:sectPr>
          <w:pgSz w:w="11910" w:h="16840"/>
          <w:pgMar w:top="1380" w:right="1019" w:bottom="1040" w:left="1020" w:header="878" w:footer="853" w:gutter="0"/>
          <w:cols w:space="720" w:num="1"/>
        </w:sectPr>
      </w:pPr>
    </w:p>
    <w:p>
      <w:pPr>
        <w:pStyle w:val="10"/>
        <w:shd w:val="clear"/>
        <w:ind w:left="0"/>
        <w:rPr>
          <w:b/>
          <w:color w:val="000000" w:themeColor="text1"/>
          <w:highlight w:val="none"/>
          <w14:textFill>
            <w14:solidFill>
              <w14:schemeClr w14:val="tx1"/>
            </w14:solidFill>
          </w14:textFill>
        </w:rPr>
      </w:pPr>
      <w:r>
        <w:rPr>
          <w:rFonts w:hint="eastAsia"/>
          <w:b/>
          <w:color w:val="000000" w:themeColor="text1"/>
          <w:highlight w:val="none"/>
          <w:lang w:val="en-US" w:eastAsia="zh-CN"/>
          <w14:textFill>
            <w14:solidFill>
              <w14:schemeClr w14:val="tx1"/>
            </w14:solidFill>
          </w14:textFill>
        </w:rPr>
        <w:t xml:space="preserve"> </w:t>
      </w:r>
    </w:p>
    <w:p>
      <w:pPr>
        <w:shd w:val="clear"/>
        <w:ind w:left="777"/>
        <w:rPr>
          <w:color w:val="000000" w:themeColor="text1"/>
          <w:sz w:val="24"/>
          <w:highlight w:val="none"/>
          <w14:textFill>
            <w14:solidFill>
              <w14:schemeClr w14:val="tx1"/>
            </w14:solidFill>
          </w14:textFill>
        </w:rPr>
      </w:pPr>
      <w:bookmarkStart w:id="169" w:name="（三）监狱企业证明文件【如适用】"/>
      <w:bookmarkEnd w:id="169"/>
      <w:r>
        <w:rPr>
          <w:b/>
          <w:color w:val="000000" w:themeColor="text1"/>
          <w:spacing w:val="-2"/>
          <w:sz w:val="24"/>
          <w:highlight w:val="none"/>
          <w14:textFill>
            <w14:solidFill>
              <w14:schemeClr w14:val="tx1"/>
            </w14:solidFill>
          </w14:textFill>
        </w:rPr>
        <w:t>（</w:t>
      </w:r>
      <w:r>
        <w:rPr>
          <w:rFonts w:hint="eastAsia"/>
          <w:b/>
          <w:color w:val="000000" w:themeColor="text1"/>
          <w:spacing w:val="-2"/>
          <w:sz w:val="24"/>
          <w:highlight w:val="none"/>
          <w:lang w:eastAsia="zh-CN"/>
          <w14:textFill>
            <w14:solidFill>
              <w14:schemeClr w14:val="tx1"/>
            </w14:solidFill>
          </w14:textFill>
        </w:rPr>
        <w:t>二</w:t>
      </w:r>
      <w:r>
        <w:rPr>
          <w:b/>
          <w:color w:val="000000" w:themeColor="text1"/>
          <w:spacing w:val="-2"/>
          <w:sz w:val="24"/>
          <w:highlight w:val="none"/>
          <w14:textFill>
            <w14:solidFill>
              <w14:schemeClr w14:val="tx1"/>
            </w14:solidFill>
          </w14:textFill>
        </w:rPr>
        <w:t>）监狱企业证明文件</w:t>
      </w:r>
      <w:r>
        <w:rPr>
          <w:color w:val="000000" w:themeColor="text1"/>
          <w:spacing w:val="-4"/>
          <w:sz w:val="24"/>
          <w:highlight w:val="none"/>
          <w14:textFill>
            <w14:solidFill>
              <w14:schemeClr w14:val="tx1"/>
            </w14:solidFill>
          </w14:textFill>
        </w:rPr>
        <w:t>【如适用】</w:t>
      </w:r>
    </w:p>
    <w:p>
      <w:pPr>
        <w:pStyle w:val="10"/>
        <w:shd w:val="clear"/>
        <w:spacing w:before="235"/>
        <w:ind w:left="0"/>
        <w:rPr>
          <w:color w:val="000000" w:themeColor="text1"/>
          <w:highlight w:val="none"/>
          <w14:textFill>
            <w14:solidFill>
              <w14:schemeClr w14:val="tx1"/>
            </w14:solidFill>
          </w14:textFill>
        </w:rPr>
      </w:pPr>
    </w:p>
    <w:p>
      <w:pPr>
        <w:pStyle w:val="10"/>
        <w:shd w:val="clear"/>
        <w:spacing w:line="357" w:lineRule="auto"/>
        <w:ind w:left="777" w:right="775" w:firstLine="480"/>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【监狱企业应当提供由省级及以上监狱管理局、戒毒管理局（含新疆生产建</w:t>
      </w:r>
      <w:r>
        <w:rPr>
          <w:color w:val="000000" w:themeColor="text1"/>
          <w:spacing w:val="-2"/>
          <w:highlight w:val="none"/>
          <w14:textFill>
            <w14:solidFill>
              <w14:schemeClr w14:val="tx1"/>
            </w14:solidFill>
          </w14:textFill>
        </w:rPr>
        <w:t>设兵团）出具的监狱企业的证明文件，格式如下】。</w:t>
      </w:r>
    </w:p>
    <w:p>
      <w:pPr>
        <w:pStyle w:val="10"/>
        <w:shd w:val="clear"/>
        <w:ind w:left="0"/>
        <w:rPr>
          <w:color w:val="000000" w:themeColor="text1"/>
          <w:highlight w:val="none"/>
          <w14:textFill>
            <w14:solidFill>
              <w14:schemeClr w14:val="tx1"/>
            </w14:solidFill>
          </w14:textFill>
        </w:rPr>
      </w:pPr>
    </w:p>
    <w:p>
      <w:pPr>
        <w:pStyle w:val="10"/>
        <w:shd w:val="clear"/>
        <w:spacing w:before="2"/>
        <w:ind w:left="0"/>
        <w:rPr>
          <w:color w:val="000000" w:themeColor="text1"/>
          <w:highlight w:val="none"/>
          <w14:textFill>
            <w14:solidFill>
              <w14:schemeClr w14:val="tx1"/>
            </w14:solidFill>
          </w14:textFill>
        </w:rPr>
      </w:pPr>
    </w:p>
    <w:p>
      <w:pPr>
        <w:pStyle w:val="5"/>
        <w:shd w:val="clear"/>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监狱企业证明函</w:t>
      </w:r>
    </w:p>
    <w:p>
      <w:pPr>
        <w:pStyle w:val="10"/>
        <w:shd w:val="clear"/>
        <w:spacing w:before="413"/>
        <w:ind w:left="0"/>
        <w:rPr>
          <w:b/>
          <w:color w:val="000000" w:themeColor="text1"/>
          <w:sz w:val="32"/>
          <w:highlight w:val="none"/>
          <w14:textFill>
            <w14:solidFill>
              <w14:schemeClr w14:val="tx1"/>
            </w14:solidFill>
          </w14:textFill>
        </w:rPr>
      </w:pPr>
    </w:p>
    <w:p>
      <w:pPr>
        <w:pStyle w:val="10"/>
        <w:shd w:val="clear"/>
        <w:spacing w:line="372" w:lineRule="auto"/>
        <w:ind w:left="777" w:right="787" w:firstLine="504"/>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本公司郑重声明，根据财政部、司法部《关于政府采购支持监狱企业发</w:t>
      </w:r>
      <w:r>
        <w:rPr>
          <w:color w:val="000000" w:themeColor="text1"/>
          <w:spacing w:val="12"/>
          <w:highlight w:val="none"/>
          <w14:textFill>
            <w14:solidFill>
              <w14:schemeClr w14:val="tx1"/>
            </w14:solidFill>
          </w14:textFill>
        </w:rPr>
        <w:t>展有关问题的通知》（财库</w:t>
      </w:r>
      <w:r>
        <w:rPr>
          <w:rFonts w:ascii="微软雅黑" w:eastAsia="微软雅黑"/>
          <w:color w:val="000000" w:themeColor="text1"/>
          <w:spacing w:val="12"/>
          <w:highlight w:val="none"/>
          <w14:textFill>
            <w14:solidFill>
              <w14:schemeClr w14:val="tx1"/>
            </w14:solidFill>
          </w14:textFill>
        </w:rPr>
        <w:t>〔</w:t>
      </w:r>
      <w:r>
        <w:rPr>
          <w:color w:val="000000" w:themeColor="text1"/>
          <w:highlight w:val="none"/>
          <w14:textFill>
            <w14:solidFill>
              <w14:schemeClr w14:val="tx1"/>
            </w14:solidFill>
          </w14:textFill>
        </w:rPr>
        <w:t>2014</w:t>
      </w:r>
      <w:r>
        <w:rPr>
          <w:rFonts w:ascii="微软雅黑" w:eastAsia="微软雅黑"/>
          <w:color w:val="000000" w:themeColor="text1"/>
          <w:spacing w:val="12"/>
          <w:highlight w:val="none"/>
          <w14:textFill>
            <w14:solidFill>
              <w14:schemeClr w14:val="tx1"/>
            </w14:solidFill>
          </w14:textFill>
        </w:rPr>
        <w:t>〕</w:t>
      </w:r>
      <w:r>
        <w:rPr>
          <w:color w:val="000000" w:themeColor="text1"/>
          <w:highlight w:val="none"/>
          <w14:textFill>
            <w14:solidFill>
              <w14:schemeClr w14:val="tx1"/>
            </w14:solidFill>
          </w14:textFill>
        </w:rPr>
        <w:t>68</w:t>
      </w:r>
      <w:r>
        <w:rPr>
          <w:color w:val="000000" w:themeColor="text1"/>
          <w:spacing w:val="-3"/>
          <w:highlight w:val="none"/>
          <w14:textFill>
            <w14:solidFill>
              <w14:schemeClr w14:val="tx1"/>
            </w14:solidFill>
          </w14:textFill>
        </w:rPr>
        <w:t xml:space="preserve"> 号</w:t>
      </w:r>
      <w:r>
        <w:rPr>
          <w:color w:val="000000" w:themeColor="text1"/>
          <w:spacing w:val="12"/>
          <w:highlight w:val="none"/>
          <w14:textFill>
            <w14:solidFill>
              <w14:schemeClr w14:val="tx1"/>
            </w14:solidFill>
          </w14:textFill>
        </w:rPr>
        <w:t>）</w:t>
      </w:r>
      <w:r>
        <w:rPr>
          <w:color w:val="000000" w:themeColor="text1"/>
          <w:spacing w:val="11"/>
          <w:highlight w:val="none"/>
          <w14:textFill>
            <w14:solidFill>
              <w14:schemeClr w14:val="tx1"/>
            </w14:solidFill>
          </w14:textFill>
        </w:rPr>
        <w:t>的规定，本公司为监狱企业。</w:t>
      </w:r>
    </w:p>
    <w:p>
      <w:pPr>
        <w:pStyle w:val="10"/>
        <w:shd w:val="clear"/>
        <w:ind w:left="0"/>
        <w:rPr>
          <w:color w:val="000000" w:themeColor="text1"/>
          <w:highlight w:val="none"/>
          <w14:textFill>
            <w14:solidFill>
              <w14:schemeClr w14:val="tx1"/>
            </w14:solidFill>
          </w14:textFill>
        </w:rPr>
      </w:pPr>
    </w:p>
    <w:p>
      <w:pPr>
        <w:pStyle w:val="10"/>
        <w:shd w:val="clear"/>
        <w:ind w:left="0"/>
        <w:rPr>
          <w:color w:val="000000" w:themeColor="text1"/>
          <w:highlight w:val="none"/>
          <w14:textFill>
            <w14:solidFill>
              <w14:schemeClr w14:val="tx1"/>
            </w14:solidFill>
          </w14:textFill>
        </w:rPr>
      </w:pPr>
    </w:p>
    <w:p>
      <w:pPr>
        <w:pStyle w:val="10"/>
        <w:shd w:val="clear"/>
        <w:ind w:left="0"/>
        <w:rPr>
          <w:color w:val="000000" w:themeColor="text1"/>
          <w:highlight w:val="none"/>
          <w14:textFill>
            <w14:solidFill>
              <w14:schemeClr w14:val="tx1"/>
            </w14:solidFill>
          </w14:textFill>
        </w:rPr>
      </w:pPr>
    </w:p>
    <w:p>
      <w:pPr>
        <w:pStyle w:val="10"/>
        <w:shd w:val="clear"/>
        <w:spacing w:before="114"/>
        <w:ind w:left="0"/>
        <w:rPr>
          <w:color w:val="000000" w:themeColor="text1"/>
          <w:highlight w:val="none"/>
          <w14:textFill>
            <w14:solidFill>
              <w14:schemeClr w14:val="tx1"/>
            </w14:solidFill>
          </w14:textFill>
        </w:rPr>
      </w:pPr>
    </w:p>
    <w:p>
      <w:pPr>
        <w:pStyle w:val="10"/>
        <w:shd w:val="clear"/>
        <w:tabs>
          <w:tab w:val="left" w:pos="6213"/>
        </w:tabs>
        <w:spacing w:before="1" w:line="360" w:lineRule="auto"/>
        <w:ind w:left="5061" w:right="2378"/>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投标人名称</w:t>
      </w:r>
      <w:r>
        <w:rPr>
          <w:color w:val="000000" w:themeColor="text1"/>
          <w:highlight w:val="none"/>
          <w14:textFill>
            <w14:solidFill>
              <w14:schemeClr w14:val="tx1"/>
            </w14:solidFill>
          </w14:textFill>
        </w:rPr>
        <w:t>（公章)：</w:t>
      </w:r>
      <w:r>
        <w:rPr>
          <w:color w:val="000000" w:themeColor="text1"/>
          <w:spacing w:val="12"/>
          <w:highlight w:val="none"/>
          <w14:textFill>
            <w14:solidFill>
              <w14:schemeClr w14:val="tx1"/>
            </w14:solidFill>
          </w14:textFill>
        </w:rPr>
        <w:t>日期</w:t>
      </w:r>
      <w:r>
        <w:rPr>
          <w:color w:val="000000" w:themeColor="text1"/>
          <w:spacing w:val="-10"/>
          <w:highlight w:val="none"/>
          <w14:textFill>
            <w14:solidFill>
              <w14:schemeClr w14:val="tx1"/>
            </w14:solidFill>
          </w14:textFill>
        </w:rPr>
        <w:t>：</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年</w:t>
      </w:r>
      <w:r>
        <w:rPr>
          <w:color w:val="000000" w:themeColor="text1"/>
          <w:spacing w:val="18"/>
          <w:highlight w:val="none"/>
          <w14:textFill>
            <w14:solidFill>
              <w14:schemeClr w14:val="tx1"/>
            </w14:solidFill>
          </w14:textFill>
        </w:rPr>
        <w:t xml:space="preserve">  </w:t>
      </w:r>
      <w:r>
        <w:rPr>
          <w:color w:val="000000" w:themeColor="text1"/>
          <w:highlight w:val="none"/>
          <w14:textFill>
            <w14:solidFill>
              <w14:schemeClr w14:val="tx1"/>
            </w14:solidFill>
          </w14:textFill>
        </w:rPr>
        <w:t>月</w:t>
      </w:r>
      <w:r>
        <w:rPr>
          <w:color w:val="000000" w:themeColor="text1"/>
          <w:spacing w:val="18"/>
          <w:highlight w:val="none"/>
          <w14:textFill>
            <w14:solidFill>
              <w14:schemeClr w14:val="tx1"/>
            </w14:solidFill>
          </w14:textFill>
        </w:rPr>
        <w:t xml:space="preserve">  </w:t>
      </w:r>
      <w:r>
        <w:rPr>
          <w:color w:val="000000" w:themeColor="text1"/>
          <w:spacing w:val="-10"/>
          <w:highlight w:val="none"/>
          <w14:textFill>
            <w14:solidFill>
              <w14:schemeClr w14:val="tx1"/>
            </w14:solidFill>
          </w14:textFill>
        </w:rPr>
        <w:t>日</w:t>
      </w:r>
    </w:p>
    <w:p>
      <w:pPr>
        <w:pStyle w:val="10"/>
        <w:shd w:val="clear"/>
        <w:ind w:left="0"/>
        <w:rPr>
          <w:color w:val="000000" w:themeColor="text1"/>
          <w:highlight w:val="none"/>
          <w14:textFill>
            <w14:solidFill>
              <w14:schemeClr w14:val="tx1"/>
            </w14:solidFill>
          </w14:textFill>
        </w:rPr>
      </w:pPr>
    </w:p>
    <w:p>
      <w:pPr>
        <w:pStyle w:val="10"/>
        <w:shd w:val="clear"/>
        <w:spacing w:before="307"/>
        <w:ind w:left="0"/>
        <w:rPr>
          <w:color w:val="000000" w:themeColor="text1"/>
          <w:highlight w:val="none"/>
          <w14:textFill>
            <w14:solidFill>
              <w14:schemeClr w14:val="tx1"/>
            </w14:solidFill>
          </w14:textFill>
        </w:rPr>
      </w:pPr>
    </w:p>
    <w:p>
      <w:pPr>
        <w:pStyle w:val="10"/>
        <w:shd w:val="clear"/>
        <w:ind w:left="4137"/>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省级以上监狱管理局、戒毒管理局</w:t>
      </w:r>
    </w:p>
    <w:p>
      <w:pPr>
        <w:pStyle w:val="10"/>
        <w:shd w:val="clear"/>
        <w:tabs>
          <w:tab w:val="left" w:pos="6213"/>
        </w:tabs>
        <w:spacing w:before="156" w:line="357" w:lineRule="auto"/>
        <w:ind w:left="5097" w:right="1886" w:hanging="960"/>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（含新疆生产建设兵团）（盖章）：</w:t>
      </w:r>
      <w:r>
        <w:rPr>
          <w:color w:val="000000" w:themeColor="text1"/>
          <w:spacing w:val="-4"/>
          <w:highlight w:val="none"/>
          <w14:textFill>
            <w14:solidFill>
              <w14:schemeClr w14:val="tx1"/>
            </w14:solidFill>
          </w14:textFill>
        </w:rPr>
        <w:t>日期：</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年</w:t>
      </w:r>
      <w:r>
        <w:rPr>
          <w:color w:val="000000" w:themeColor="text1"/>
          <w:spacing w:val="80"/>
          <w:highlight w:val="none"/>
          <w14:textFill>
            <w14:solidFill>
              <w14:schemeClr w14:val="tx1"/>
            </w14:solidFill>
          </w14:textFill>
        </w:rPr>
        <w:t xml:space="preserve"> </w:t>
      </w:r>
      <w:r>
        <w:rPr>
          <w:color w:val="000000" w:themeColor="text1"/>
          <w:highlight w:val="none"/>
          <w14:textFill>
            <w14:solidFill>
              <w14:schemeClr w14:val="tx1"/>
            </w14:solidFill>
          </w14:textFill>
        </w:rPr>
        <w:t>月</w:t>
      </w:r>
      <w:r>
        <w:rPr>
          <w:color w:val="000000" w:themeColor="text1"/>
          <w:spacing w:val="80"/>
          <w:highlight w:val="none"/>
          <w14:textFill>
            <w14:solidFill>
              <w14:schemeClr w14:val="tx1"/>
            </w14:solidFill>
          </w14:textFill>
        </w:rPr>
        <w:t xml:space="preserve"> </w:t>
      </w:r>
      <w:r>
        <w:rPr>
          <w:color w:val="000000" w:themeColor="text1"/>
          <w:highlight w:val="none"/>
          <w14:textFill>
            <w14:solidFill>
              <w14:schemeClr w14:val="tx1"/>
            </w14:solidFill>
          </w14:textFill>
        </w:rPr>
        <w:t>日</w:t>
      </w:r>
    </w:p>
    <w:p>
      <w:pPr>
        <w:shd w:val="clear"/>
        <w:spacing w:line="357" w:lineRule="auto"/>
        <w:rPr>
          <w:color w:val="000000" w:themeColor="text1"/>
          <w:highlight w:val="none"/>
          <w14:textFill>
            <w14:solidFill>
              <w14:schemeClr w14:val="tx1"/>
            </w14:solidFill>
          </w14:textFill>
        </w:rPr>
        <w:sectPr>
          <w:pgSz w:w="11910" w:h="16840"/>
          <w:pgMar w:top="1380" w:right="1019" w:bottom="1040" w:left="1020" w:header="878" w:footer="853" w:gutter="0"/>
          <w:cols w:space="720" w:num="1"/>
        </w:sectPr>
      </w:pPr>
    </w:p>
    <w:p>
      <w:pPr>
        <w:pStyle w:val="10"/>
        <w:shd w:val="clear"/>
        <w:spacing w:before="130"/>
        <w:ind w:left="0"/>
        <w:rPr>
          <w:color w:val="000000" w:themeColor="text1"/>
          <w:highlight w:val="none"/>
          <w14:textFill>
            <w14:solidFill>
              <w14:schemeClr w14:val="tx1"/>
            </w14:solidFill>
          </w14:textFill>
        </w:rPr>
      </w:pPr>
    </w:p>
    <w:p>
      <w:pPr>
        <w:shd w:val="clear"/>
        <w:spacing w:before="1"/>
        <w:ind w:left="777"/>
        <w:rPr>
          <w:color w:val="000000" w:themeColor="text1"/>
          <w:sz w:val="24"/>
          <w:highlight w:val="none"/>
          <w14:textFill>
            <w14:solidFill>
              <w14:schemeClr w14:val="tx1"/>
            </w14:solidFill>
          </w14:textFill>
        </w:rPr>
      </w:pPr>
      <w:bookmarkStart w:id="170" w:name="（四）残疾人福利性单位声明函【如适用】"/>
      <w:bookmarkEnd w:id="170"/>
      <w:r>
        <w:rPr>
          <w:b/>
          <w:color w:val="000000" w:themeColor="text1"/>
          <w:spacing w:val="-2"/>
          <w:sz w:val="24"/>
          <w:highlight w:val="none"/>
          <w14:textFill>
            <w14:solidFill>
              <w14:schemeClr w14:val="tx1"/>
            </w14:solidFill>
          </w14:textFill>
        </w:rPr>
        <w:t>（</w:t>
      </w:r>
      <w:r>
        <w:rPr>
          <w:rFonts w:hint="eastAsia"/>
          <w:b/>
          <w:color w:val="000000" w:themeColor="text1"/>
          <w:spacing w:val="-2"/>
          <w:sz w:val="24"/>
          <w:highlight w:val="none"/>
          <w:lang w:eastAsia="zh-CN"/>
          <w14:textFill>
            <w14:solidFill>
              <w14:schemeClr w14:val="tx1"/>
            </w14:solidFill>
          </w14:textFill>
        </w:rPr>
        <w:t>三</w:t>
      </w:r>
      <w:r>
        <w:rPr>
          <w:b/>
          <w:color w:val="000000" w:themeColor="text1"/>
          <w:spacing w:val="-2"/>
          <w:sz w:val="24"/>
          <w:highlight w:val="none"/>
          <w14:textFill>
            <w14:solidFill>
              <w14:schemeClr w14:val="tx1"/>
            </w14:solidFill>
          </w14:textFill>
        </w:rPr>
        <w:t>）残疾人福利性单位声明函</w:t>
      </w:r>
      <w:r>
        <w:rPr>
          <w:color w:val="000000" w:themeColor="text1"/>
          <w:spacing w:val="-4"/>
          <w:sz w:val="24"/>
          <w:highlight w:val="none"/>
          <w14:textFill>
            <w14:solidFill>
              <w14:schemeClr w14:val="tx1"/>
            </w14:solidFill>
          </w14:textFill>
        </w:rPr>
        <w:t>【如适用】</w:t>
      </w:r>
    </w:p>
    <w:p>
      <w:pPr>
        <w:pStyle w:val="10"/>
        <w:shd w:val="clear"/>
        <w:ind w:left="0"/>
        <w:rPr>
          <w:color w:val="000000" w:themeColor="text1"/>
          <w:highlight w:val="none"/>
          <w14:textFill>
            <w14:solidFill>
              <w14:schemeClr w14:val="tx1"/>
            </w14:solidFill>
          </w14:textFill>
        </w:rPr>
      </w:pPr>
    </w:p>
    <w:p>
      <w:pPr>
        <w:pStyle w:val="10"/>
        <w:shd w:val="clear"/>
        <w:spacing w:before="79"/>
        <w:ind w:left="0"/>
        <w:rPr>
          <w:color w:val="000000" w:themeColor="text1"/>
          <w:highlight w:val="none"/>
          <w14:textFill>
            <w14:solidFill>
              <w14:schemeClr w14:val="tx1"/>
            </w14:solidFill>
          </w14:textFill>
        </w:rPr>
      </w:pPr>
    </w:p>
    <w:p>
      <w:pPr>
        <w:pStyle w:val="5"/>
        <w:shd w:val="clear"/>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残疾人福利性单位声明函</w:t>
      </w:r>
    </w:p>
    <w:p>
      <w:pPr>
        <w:pStyle w:val="10"/>
        <w:shd w:val="clear"/>
        <w:spacing w:before="257"/>
        <w:ind w:left="0"/>
        <w:rPr>
          <w:b/>
          <w:color w:val="000000" w:themeColor="text1"/>
          <w:sz w:val="32"/>
          <w:highlight w:val="none"/>
          <w14:textFill>
            <w14:solidFill>
              <w14:schemeClr w14:val="tx1"/>
            </w14:solidFill>
          </w14:textFill>
        </w:rPr>
      </w:pPr>
    </w:p>
    <w:p>
      <w:pPr>
        <w:pStyle w:val="10"/>
        <w:shd w:val="clear"/>
        <w:spacing w:line="357" w:lineRule="auto"/>
        <w:ind w:left="777" w:right="775" w:firstLine="480"/>
        <w:jc w:val="both"/>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本公司（联合体）</w:t>
      </w:r>
      <w:r>
        <w:rPr>
          <w:color w:val="000000" w:themeColor="text1"/>
          <w:spacing w:val="-7"/>
          <w:highlight w:val="none"/>
          <w14:textFill>
            <w14:solidFill>
              <w14:schemeClr w14:val="tx1"/>
            </w14:solidFill>
          </w14:textFill>
        </w:rPr>
        <w:t>郑重声明，根据《财政部 民政部 中国残疾人联合会关于</w:t>
      </w:r>
      <w:r>
        <w:rPr>
          <w:color w:val="000000" w:themeColor="text1"/>
          <w:spacing w:val="-2"/>
          <w:highlight w:val="none"/>
          <w14:textFill>
            <w14:solidFill>
              <w14:schemeClr w14:val="tx1"/>
            </w14:solidFill>
          </w14:textFill>
        </w:rPr>
        <w:t>促进残疾人就业政府采购政策的通知》（财库〔2017〕141</w:t>
      </w:r>
      <w:r>
        <w:rPr>
          <w:color w:val="000000" w:themeColor="text1"/>
          <w:spacing w:val="-10"/>
          <w:highlight w:val="none"/>
          <w14:textFill>
            <w14:solidFill>
              <w14:schemeClr w14:val="tx1"/>
            </w14:solidFill>
          </w14:textFill>
        </w:rPr>
        <w:t xml:space="preserve"> 号</w:t>
      </w:r>
      <w:r>
        <w:rPr>
          <w:color w:val="000000" w:themeColor="text1"/>
          <w:spacing w:val="-2"/>
          <w:highlight w:val="none"/>
          <w14:textFill>
            <w14:solidFill>
              <w14:schemeClr w14:val="tx1"/>
            </w14:solidFill>
          </w14:textFill>
        </w:rPr>
        <w:t>）</w:t>
      </w:r>
      <w:r>
        <w:rPr>
          <w:color w:val="000000" w:themeColor="text1"/>
          <w:spacing w:val="-4"/>
          <w:highlight w:val="none"/>
          <w14:textFill>
            <w14:solidFill>
              <w14:schemeClr w14:val="tx1"/>
            </w14:solidFill>
          </w14:textFill>
        </w:rPr>
        <w:t>的规定，本公司</w:t>
      </w:r>
    </w:p>
    <w:p>
      <w:pPr>
        <w:pStyle w:val="10"/>
        <w:shd w:val="clear"/>
        <w:spacing w:before="4" w:line="357" w:lineRule="auto"/>
        <w:ind w:left="777" w:right="655"/>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（联合体）参加</w:t>
      </w:r>
      <w:r>
        <w:rPr>
          <w:rFonts w:ascii="Times New Roman" w:eastAsia="Times New Roman"/>
          <w:color w:val="000000" w:themeColor="text1"/>
          <w:spacing w:val="40"/>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（单位名称）</w:t>
      </w:r>
      <w:r>
        <w:rPr>
          <w:color w:val="000000" w:themeColor="text1"/>
          <w:spacing w:val="-1"/>
          <w:highlight w:val="none"/>
          <w14:textFill>
            <w14:solidFill>
              <w14:schemeClr w14:val="tx1"/>
            </w14:solidFill>
          </w14:textFill>
        </w:rPr>
        <w:t xml:space="preserve"> 的</w:t>
      </w:r>
      <w:r>
        <w:rPr>
          <w:rFonts w:ascii="Times New Roman" w:eastAsia="Times New Roman"/>
          <w:color w:val="000000" w:themeColor="text1"/>
          <w:spacing w:val="40"/>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（项目名称）</w:t>
      </w:r>
      <w:r>
        <w:rPr>
          <w:color w:val="000000" w:themeColor="text1"/>
          <w:spacing w:val="-2"/>
          <w:highlight w:val="none"/>
          <w14:textFill>
            <w14:solidFill>
              <w14:schemeClr w14:val="tx1"/>
            </w14:solidFill>
          </w14:textFill>
        </w:rPr>
        <w:t xml:space="preserve"> 采购活动，提供的服务及货物</w:t>
      </w:r>
      <w:r>
        <w:rPr>
          <w:b/>
          <w:color w:val="000000" w:themeColor="text1"/>
          <w:spacing w:val="-2"/>
          <w:highlight w:val="none"/>
          <w14:textFill>
            <w14:solidFill>
              <w14:schemeClr w14:val="tx1"/>
            </w14:solidFill>
          </w14:textFill>
        </w:rPr>
        <w:t>全部由</w:t>
      </w:r>
      <w:r>
        <w:rPr>
          <w:color w:val="000000" w:themeColor="text1"/>
          <w:spacing w:val="-2"/>
          <w:highlight w:val="none"/>
          <w14:textFill>
            <w14:solidFill>
              <w14:schemeClr w14:val="tx1"/>
            </w14:solidFill>
          </w14:textFill>
        </w:rPr>
        <w:t>符合政策要求的</w:t>
      </w:r>
      <w:r>
        <w:rPr>
          <w:b/>
          <w:color w:val="000000" w:themeColor="text1"/>
          <w:spacing w:val="-2"/>
          <w:highlight w:val="none"/>
          <w14:textFill>
            <w14:solidFill>
              <w14:schemeClr w14:val="tx1"/>
            </w14:solidFill>
          </w14:textFill>
        </w:rPr>
        <w:t>残疾人福利性单位提供和制造</w:t>
      </w:r>
      <w:r>
        <w:rPr>
          <w:color w:val="000000" w:themeColor="text1"/>
          <w:spacing w:val="-23"/>
          <w:highlight w:val="none"/>
          <w14:textFill>
            <w14:solidFill>
              <w14:schemeClr w14:val="tx1"/>
            </w14:solidFill>
          </w14:textFill>
        </w:rPr>
        <w:t>。相关企业</w:t>
      </w:r>
      <w:r>
        <w:rPr>
          <w:color w:val="000000" w:themeColor="text1"/>
          <w:spacing w:val="-2"/>
          <w:highlight w:val="none"/>
          <w14:textFill>
            <w14:solidFill>
              <w14:schemeClr w14:val="tx1"/>
            </w14:solidFill>
          </w14:textFill>
        </w:rPr>
        <w:t>（含联合体中的</w:t>
      </w:r>
      <w:r>
        <w:rPr>
          <w:color w:val="000000" w:themeColor="text1"/>
          <w:spacing w:val="-10"/>
          <w:highlight w:val="none"/>
          <w14:textFill>
            <w14:solidFill>
              <w14:schemeClr w14:val="tx1"/>
            </w14:solidFill>
          </w14:textFill>
        </w:rPr>
        <w:t>残疾人福利性单位、签订分包意向协议书的残疾人福利性单位</w:t>
      </w:r>
      <w:r>
        <w:rPr>
          <w:color w:val="000000" w:themeColor="text1"/>
          <w:spacing w:val="-104"/>
          <w:highlight w:val="none"/>
          <w14:textFill>
            <w14:solidFill>
              <w14:schemeClr w14:val="tx1"/>
            </w14:solidFill>
          </w14:textFill>
        </w:rPr>
        <w:t>）</w:t>
      </w:r>
      <w:r>
        <w:rPr>
          <w:color w:val="000000" w:themeColor="text1"/>
          <w:spacing w:val="-2"/>
          <w:highlight w:val="none"/>
          <w14:textFill>
            <w14:solidFill>
              <w14:schemeClr w14:val="tx1"/>
            </w14:solidFill>
          </w14:textFill>
        </w:rPr>
        <w:t>的具体情况如下：</w:t>
      </w:r>
    </w:p>
    <w:p>
      <w:pPr>
        <w:pStyle w:val="19"/>
        <w:numPr>
          <w:ilvl w:val="0"/>
          <w:numId w:val="57"/>
        </w:numPr>
        <w:shd w:val="clear"/>
        <w:tabs>
          <w:tab w:val="left" w:pos="1496"/>
        </w:tabs>
        <w:spacing w:before="5"/>
        <w:ind w:left="1496" w:hanging="239"/>
        <w:jc w:val="both"/>
        <w:rPr>
          <w:color w:val="000000" w:themeColor="text1"/>
          <w:sz w:val="24"/>
          <w:highlight w:val="none"/>
          <w14:textFill>
            <w14:solidFill>
              <w14:schemeClr w14:val="tx1"/>
            </w14:solidFill>
          </w14:textFill>
        </w:rPr>
      </w:pPr>
      <w:r>
        <w:rPr>
          <w:rFonts w:ascii="Times New Roman" w:eastAsia="Times New Roman"/>
          <w:color w:val="000000" w:themeColor="text1"/>
          <w:spacing w:val="-4"/>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（标的名称）</w:t>
      </w:r>
      <w:r>
        <w:rPr>
          <w:color w:val="000000" w:themeColor="text1"/>
          <w:spacing w:val="-8"/>
          <w:sz w:val="24"/>
          <w:highlight w:val="none"/>
          <w14:textFill>
            <w14:solidFill>
              <w14:schemeClr w14:val="tx1"/>
            </w14:solidFill>
          </w14:textFill>
        </w:rPr>
        <w:t xml:space="preserve"> ，承接单位为 </w:t>
      </w:r>
      <w:r>
        <w:rPr>
          <w:rFonts w:ascii="Times New Roman" w:eastAsia="Times New Roman"/>
          <w:color w:val="000000" w:themeColor="text1"/>
          <w:spacing w:val="30"/>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（企业名称）</w:t>
      </w:r>
      <w:r>
        <w:rPr>
          <w:color w:val="000000" w:themeColor="text1"/>
          <w:spacing w:val="-7"/>
          <w:sz w:val="24"/>
          <w:highlight w:val="none"/>
          <w14:textFill>
            <w14:solidFill>
              <w14:schemeClr w14:val="tx1"/>
            </w14:solidFill>
          </w14:textFill>
        </w:rPr>
        <w:t xml:space="preserve"> ，属于残疾人福利性单位；</w:t>
      </w:r>
    </w:p>
    <w:p>
      <w:pPr>
        <w:pStyle w:val="19"/>
        <w:numPr>
          <w:ilvl w:val="0"/>
          <w:numId w:val="57"/>
        </w:numPr>
        <w:shd w:val="clear"/>
        <w:tabs>
          <w:tab w:val="left" w:pos="1583"/>
        </w:tabs>
        <w:spacing w:before="156"/>
        <w:ind w:left="1583" w:hanging="326"/>
        <w:rPr>
          <w:color w:val="000000" w:themeColor="text1"/>
          <w:sz w:val="24"/>
          <w:highlight w:val="none"/>
          <w14:textFill>
            <w14:solidFill>
              <w14:schemeClr w14:val="tx1"/>
            </w14:solidFill>
          </w14:textFill>
        </w:rPr>
      </w:pPr>
      <w:r>
        <w:rPr>
          <w:color w:val="000000" w:themeColor="text1"/>
          <w:sz w:val="24"/>
          <w:highlight w:val="none"/>
          <w:u w:val="single"/>
          <w14:textFill>
            <w14:solidFill>
              <w14:schemeClr w14:val="tx1"/>
            </w14:solidFill>
          </w14:textFill>
        </w:rPr>
        <w:t>（标的名称）</w:t>
      </w:r>
      <w:r>
        <w:rPr>
          <w:color w:val="000000" w:themeColor="text1"/>
          <w:spacing w:val="-9"/>
          <w:sz w:val="24"/>
          <w:highlight w:val="none"/>
          <w14:textFill>
            <w14:solidFill>
              <w14:schemeClr w14:val="tx1"/>
            </w14:solidFill>
          </w14:textFill>
        </w:rPr>
        <w:t xml:space="preserve"> ，承接单位为 </w:t>
      </w:r>
      <w:r>
        <w:rPr>
          <w:rFonts w:ascii="Times New Roman" w:eastAsia="Times New Roman"/>
          <w:color w:val="000000" w:themeColor="text1"/>
          <w:spacing w:val="70"/>
          <w:w w:val="150"/>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（企业名称）</w:t>
      </w:r>
      <w:r>
        <w:rPr>
          <w:color w:val="000000" w:themeColor="text1"/>
          <w:spacing w:val="-7"/>
          <w:sz w:val="24"/>
          <w:highlight w:val="none"/>
          <w14:textFill>
            <w14:solidFill>
              <w14:schemeClr w14:val="tx1"/>
            </w14:solidFill>
          </w14:textFill>
        </w:rPr>
        <w:t xml:space="preserve"> ，属于残疾人福利性单位；</w:t>
      </w:r>
    </w:p>
    <w:p>
      <w:pPr>
        <w:shd w:val="clear"/>
        <w:spacing w:before="153"/>
        <w:ind w:left="1257"/>
        <w:rPr>
          <w:color w:val="000000" w:themeColor="text1"/>
          <w:sz w:val="24"/>
          <w:highlight w:val="none"/>
          <w14:textFill>
            <w14:solidFill>
              <w14:schemeClr w14:val="tx1"/>
            </w14:solidFill>
          </w14:textFill>
        </w:rPr>
      </w:pPr>
      <w:r>
        <w:rPr>
          <w:color w:val="000000" w:themeColor="text1"/>
          <w:spacing w:val="-5"/>
          <w:sz w:val="24"/>
          <w:highlight w:val="none"/>
          <w14:textFill>
            <w14:solidFill>
              <w14:schemeClr w14:val="tx1"/>
            </w14:solidFill>
          </w14:textFill>
        </w:rPr>
        <w:t>……</w:t>
      </w:r>
    </w:p>
    <w:p>
      <w:pPr>
        <w:pStyle w:val="10"/>
        <w:shd w:val="clear"/>
        <w:spacing w:before="156" w:line="357" w:lineRule="auto"/>
        <w:ind w:left="777" w:right="777" w:firstLine="480"/>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以上企业，不属于大企业的分支机构，不存在控股股东为大企业的情形，也</w:t>
      </w:r>
      <w:r>
        <w:rPr>
          <w:color w:val="000000" w:themeColor="text1"/>
          <w:spacing w:val="-2"/>
          <w:highlight w:val="none"/>
          <w14:textFill>
            <w14:solidFill>
              <w14:schemeClr w14:val="tx1"/>
            </w14:solidFill>
          </w14:textFill>
        </w:rPr>
        <w:t>不存在与大企业的负责人为同一人的情形。</w:t>
      </w:r>
    </w:p>
    <w:p>
      <w:pPr>
        <w:pStyle w:val="10"/>
        <w:shd w:val="clear"/>
        <w:spacing w:before="4"/>
        <w:ind w:left="1257"/>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本企业对上述声明内容的真实性负责。如有虚假，将依法承担相应责任。</w:t>
      </w:r>
    </w:p>
    <w:p>
      <w:pPr>
        <w:pStyle w:val="10"/>
        <w:shd w:val="clear"/>
        <w:spacing w:before="310"/>
        <w:ind w:left="0"/>
        <w:rPr>
          <w:color w:val="000000" w:themeColor="text1"/>
          <w:highlight w:val="none"/>
          <w14:textFill>
            <w14:solidFill>
              <w14:schemeClr w14:val="tx1"/>
            </w14:solidFill>
          </w14:textFill>
        </w:rPr>
      </w:pPr>
    </w:p>
    <w:p>
      <w:pPr>
        <w:pStyle w:val="10"/>
        <w:shd w:val="clear"/>
        <w:spacing w:line="357" w:lineRule="auto"/>
        <w:ind w:left="1864" w:right="535" w:hanging="1088"/>
        <w:rPr>
          <w:color w:val="000000" w:themeColor="text1"/>
          <w:highlight w:val="none"/>
          <w14:textFill>
            <w14:solidFill>
              <w14:schemeClr w14:val="tx1"/>
            </w14:solidFill>
          </w14:textFill>
        </w:rPr>
      </w:pPr>
      <w:r>
        <w:rPr>
          <w:b/>
          <w:color w:val="000000" w:themeColor="text1"/>
          <w:spacing w:val="-2"/>
          <w:highlight w:val="none"/>
          <w14:textFill>
            <w14:solidFill>
              <w14:schemeClr w14:val="tx1"/>
            </w14:solidFill>
          </w14:textFill>
        </w:rPr>
        <w:t>说明：</w:t>
      </w:r>
      <w:r>
        <w:rPr>
          <w:color w:val="000000" w:themeColor="text1"/>
          <w:spacing w:val="-2"/>
          <w:highlight w:val="none"/>
          <w14:textFill>
            <w14:solidFill>
              <w14:schemeClr w14:val="tx1"/>
            </w14:solidFill>
          </w14:textFill>
        </w:rPr>
        <w:t>1、服务及货物应当全部由符合政策要求的残疾人福利性单位提供及生产</w:t>
      </w:r>
      <w:r>
        <w:rPr>
          <w:color w:val="000000" w:themeColor="text1"/>
          <w:spacing w:val="40"/>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且使用该残疾人福利性单位商号或注册商标</w:t>
      </w:r>
      <w:r>
        <w:rPr>
          <w:color w:val="000000" w:themeColor="text1"/>
          <w:spacing w:val="-2"/>
          <w:highlight w:val="none"/>
          <w14:textFill>
            <w14:solidFill>
              <w14:schemeClr w14:val="tx1"/>
            </w14:solidFill>
          </w14:textFill>
        </w:rPr>
        <w:t>（与代理商或投标人无关</w:t>
      </w:r>
      <w:r>
        <w:rPr>
          <w:color w:val="000000" w:themeColor="text1"/>
          <w:spacing w:val="-120"/>
          <w:highlight w:val="none"/>
          <w14:textFill>
            <w14:solidFill>
              <w14:schemeClr w14:val="tx1"/>
            </w14:solidFill>
          </w14:textFill>
        </w:rPr>
        <w:t>）</w:t>
      </w:r>
      <w:r>
        <w:rPr>
          <w:color w:val="000000" w:themeColor="text1"/>
          <w:highlight w:val="none"/>
          <w14:textFill>
            <w14:solidFill>
              <w14:schemeClr w14:val="tx1"/>
            </w14:solidFill>
          </w14:textFill>
        </w:rPr>
        <w:t>；</w:t>
      </w:r>
      <w:r>
        <w:rPr>
          <w:color w:val="000000" w:themeColor="text1"/>
          <w:spacing w:val="-2"/>
          <w:highlight w:val="none"/>
          <w14:textFill>
            <w14:solidFill>
              <w14:schemeClr w14:val="tx1"/>
            </w14:solidFill>
          </w14:textFill>
        </w:rPr>
        <w:t>应当严格按上述格式及内容进行填写（应当明确每个标的的生产企业类型及相关数据），否则导致的后果由投标人自行承担；</w:t>
      </w:r>
    </w:p>
    <w:p>
      <w:pPr>
        <w:pStyle w:val="10"/>
        <w:shd w:val="clear"/>
        <w:spacing w:before="8"/>
        <w:ind w:left="149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color w:val="000000" w:themeColor="text1"/>
          <w:spacing w:val="-1"/>
          <w:highlight w:val="none"/>
          <w14:textFill>
            <w14:solidFill>
              <w14:schemeClr w14:val="tx1"/>
            </w14:solidFill>
          </w14:textFill>
        </w:rPr>
        <w:t>、以联合体形式参加的，应当由联合体各方盖章。</w:t>
      </w:r>
    </w:p>
    <w:p>
      <w:pPr>
        <w:pStyle w:val="10"/>
        <w:shd w:val="clear"/>
        <w:spacing w:before="122"/>
        <w:ind w:left="0"/>
        <w:rPr>
          <w:color w:val="000000" w:themeColor="text1"/>
          <w:highlight w:val="none"/>
          <w14:textFill>
            <w14:solidFill>
              <w14:schemeClr w14:val="tx1"/>
            </w14:solidFill>
          </w14:textFill>
        </w:rPr>
      </w:pPr>
    </w:p>
    <w:p>
      <w:pPr>
        <w:pStyle w:val="10"/>
        <w:shd w:val="clear"/>
        <w:tabs>
          <w:tab w:val="left" w:pos="8113"/>
        </w:tabs>
        <w:ind w:left="4094"/>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投标人名称（公章</w:t>
      </w:r>
      <w:r>
        <w:rPr>
          <w:color w:val="000000" w:themeColor="text1"/>
          <w:spacing w:val="-5"/>
          <w:highlight w:val="none"/>
          <w14:textFill>
            <w14:solidFill>
              <w14:schemeClr w14:val="tx1"/>
            </w14:solidFill>
          </w14:textFill>
        </w:rPr>
        <w:t>)：</w:t>
      </w:r>
      <w:r>
        <w:rPr>
          <w:rFonts w:ascii="Times New Roman" w:eastAsia="Times New Roman"/>
          <w:color w:val="000000" w:themeColor="text1"/>
          <w:highlight w:val="none"/>
          <w:u w:val="single"/>
          <w14:textFill>
            <w14:solidFill>
              <w14:schemeClr w14:val="tx1"/>
            </w14:solidFill>
          </w14:textFill>
        </w:rPr>
        <w:tab/>
      </w:r>
    </w:p>
    <w:p>
      <w:pPr>
        <w:pStyle w:val="10"/>
        <w:shd w:val="clear"/>
        <w:spacing w:before="161"/>
        <w:ind w:left="0"/>
        <w:rPr>
          <w:rFonts w:ascii="Times New Roman"/>
          <w:color w:val="000000" w:themeColor="text1"/>
          <w:highlight w:val="none"/>
          <w14:textFill>
            <w14:solidFill>
              <w14:schemeClr w14:val="tx1"/>
            </w14:solidFill>
          </w14:textFill>
        </w:rPr>
      </w:pPr>
    </w:p>
    <w:p>
      <w:pPr>
        <w:pStyle w:val="10"/>
        <w:shd w:val="clear"/>
        <w:tabs>
          <w:tab w:val="left" w:pos="4574"/>
          <w:tab w:val="left" w:pos="8113"/>
        </w:tabs>
        <w:ind w:left="4094"/>
        <w:rPr>
          <w:rFonts w:ascii="Times New Roman" w:eastAsia="Times New Roman"/>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期</w:t>
      </w:r>
      <w:r>
        <w:rPr>
          <w:color w:val="000000" w:themeColor="text1"/>
          <w:spacing w:val="-10"/>
          <w:highlight w:val="none"/>
          <w14:textFill>
            <w14:solidFill>
              <w14:schemeClr w14:val="tx1"/>
            </w14:solidFill>
          </w14:textFill>
        </w:rPr>
        <w:t>：</w:t>
      </w:r>
      <w:r>
        <w:rPr>
          <w:rFonts w:ascii="Times New Roman" w:eastAsia="Times New Roman"/>
          <w:color w:val="000000" w:themeColor="text1"/>
          <w:highlight w:val="none"/>
          <w:u w:val="single"/>
          <w14:textFill>
            <w14:solidFill>
              <w14:schemeClr w14:val="tx1"/>
            </w14:solidFill>
          </w14:textFill>
        </w:rPr>
        <w:tab/>
      </w:r>
    </w:p>
    <w:p>
      <w:pPr>
        <w:shd w:val="clear"/>
        <w:rPr>
          <w:rFonts w:ascii="Times New Roman" w:eastAsia="Times New Roman"/>
          <w:color w:val="000000" w:themeColor="text1"/>
          <w:highlight w:val="none"/>
          <w14:textFill>
            <w14:solidFill>
              <w14:schemeClr w14:val="tx1"/>
            </w14:solidFill>
          </w14:textFill>
        </w:rPr>
        <w:sectPr>
          <w:pgSz w:w="11910" w:h="16840"/>
          <w:pgMar w:top="1380" w:right="1019" w:bottom="1040" w:left="1020" w:header="878" w:footer="853" w:gutter="0"/>
          <w:cols w:space="720" w:num="1"/>
        </w:sectPr>
      </w:pPr>
    </w:p>
    <w:p>
      <w:pPr>
        <w:pStyle w:val="10"/>
        <w:shd w:val="clear"/>
        <w:ind w:left="0"/>
        <w:rPr>
          <w:rFonts w:ascii="Times New Roman"/>
          <w:color w:val="000000" w:themeColor="text1"/>
          <w:sz w:val="28"/>
          <w:highlight w:val="none"/>
          <w14:textFill>
            <w14:solidFill>
              <w14:schemeClr w14:val="tx1"/>
            </w14:solidFill>
          </w14:textFill>
        </w:rPr>
      </w:pPr>
    </w:p>
    <w:p>
      <w:pPr>
        <w:pStyle w:val="10"/>
        <w:shd w:val="clear"/>
        <w:spacing w:before="72"/>
        <w:ind w:left="0"/>
        <w:rPr>
          <w:rFonts w:ascii="Times New Roman"/>
          <w:color w:val="000000" w:themeColor="text1"/>
          <w:sz w:val="28"/>
          <w:highlight w:val="none"/>
          <w14:textFill>
            <w14:solidFill>
              <w14:schemeClr w14:val="tx1"/>
            </w14:solidFill>
          </w14:textFill>
        </w:rPr>
      </w:pPr>
    </w:p>
    <w:p>
      <w:pPr>
        <w:shd w:val="clear"/>
        <w:ind w:left="777"/>
        <w:outlineLvl w:val="0"/>
        <w:rPr>
          <w:b/>
          <w:color w:val="000000" w:themeColor="text1"/>
          <w:sz w:val="28"/>
          <w:highlight w:val="none"/>
          <w14:textFill>
            <w14:solidFill>
              <w14:schemeClr w14:val="tx1"/>
            </w14:solidFill>
          </w14:textFill>
        </w:rPr>
      </w:pPr>
      <w:bookmarkStart w:id="171" w:name="_bookmark38"/>
      <w:bookmarkEnd w:id="171"/>
      <w:bookmarkStart w:id="172" w:name="五、不参与围标串标承诺书"/>
      <w:bookmarkEnd w:id="172"/>
      <w:bookmarkStart w:id="173" w:name="_Toc29878"/>
      <w:r>
        <w:rPr>
          <w:rFonts w:hint="eastAsia"/>
          <w:b/>
          <w:color w:val="000000" w:themeColor="text1"/>
          <w:spacing w:val="-5"/>
          <w:sz w:val="28"/>
          <w:highlight w:val="none"/>
          <w14:textFill>
            <w14:solidFill>
              <w14:schemeClr w14:val="tx1"/>
            </w14:solidFill>
          </w14:textFill>
        </w:rPr>
        <w:t>三</w:t>
      </w:r>
      <w:r>
        <w:rPr>
          <w:b/>
          <w:color w:val="000000" w:themeColor="text1"/>
          <w:spacing w:val="-5"/>
          <w:sz w:val="28"/>
          <w:highlight w:val="none"/>
          <w14:textFill>
            <w14:solidFill>
              <w14:schemeClr w14:val="tx1"/>
            </w14:solidFill>
          </w14:textFill>
        </w:rPr>
        <w:t>、不参与围标串标承诺书</w:t>
      </w:r>
      <w:bookmarkEnd w:id="173"/>
    </w:p>
    <w:p>
      <w:pPr>
        <w:pStyle w:val="10"/>
        <w:shd w:val="clear"/>
        <w:ind w:left="0"/>
        <w:rPr>
          <w:b/>
          <w:color w:val="000000" w:themeColor="text1"/>
          <w:sz w:val="28"/>
          <w:highlight w:val="none"/>
          <w14:textFill>
            <w14:solidFill>
              <w14:schemeClr w14:val="tx1"/>
            </w14:solidFill>
          </w14:textFill>
        </w:rPr>
      </w:pPr>
    </w:p>
    <w:p>
      <w:pPr>
        <w:pStyle w:val="10"/>
        <w:shd w:val="clear"/>
        <w:spacing w:before="219"/>
        <w:ind w:left="0"/>
        <w:rPr>
          <w:b/>
          <w:color w:val="000000" w:themeColor="text1"/>
          <w:sz w:val="28"/>
          <w:highlight w:val="none"/>
          <w14:textFill>
            <w14:solidFill>
              <w14:schemeClr w14:val="tx1"/>
            </w14:solidFill>
          </w14:textFill>
        </w:rPr>
      </w:pPr>
    </w:p>
    <w:p>
      <w:pPr>
        <w:pStyle w:val="5"/>
        <w:shd w:val="clear"/>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不参与围标串标承诺书</w:t>
      </w:r>
    </w:p>
    <w:p>
      <w:pPr>
        <w:pStyle w:val="10"/>
        <w:shd w:val="clear"/>
        <w:spacing w:before="204"/>
        <w:ind w:left="0"/>
        <w:rPr>
          <w:b/>
          <w:color w:val="000000" w:themeColor="text1"/>
          <w:sz w:val="32"/>
          <w:highlight w:val="none"/>
          <w14:textFill>
            <w14:solidFill>
              <w14:schemeClr w14:val="tx1"/>
            </w14:solidFill>
          </w14:textFill>
        </w:rPr>
      </w:pPr>
    </w:p>
    <w:p>
      <w:pPr>
        <w:pStyle w:val="10"/>
        <w:shd w:val="clear"/>
        <w:spacing w:before="1" w:line="357" w:lineRule="auto"/>
        <w:ind w:left="777" w:right="926" w:firstLine="480"/>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本人作为经授权的投标人代表,清楚知晓我单位本项目投标活动,对以下事项作出承诺：</w:t>
      </w:r>
    </w:p>
    <w:p>
      <w:pPr>
        <w:pStyle w:val="10"/>
        <w:shd w:val="clear"/>
        <w:spacing w:before="157"/>
        <w:ind w:left="0"/>
        <w:rPr>
          <w:color w:val="000000" w:themeColor="text1"/>
          <w:highlight w:val="none"/>
          <w14:textFill>
            <w14:solidFill>
              <w14:schemeClr w14:val="tx1"/>
            </w14:solidFill>
          </w14:textFill>
        </w:rPr>
      </w:pPr>
    </w:p>
    <w:p>
      <w:pPr>
        <w:pStyle w:val="10"/>
        <w:shd w:val="clear"/>
        <w:spacing w:line="360" w:lineRule="auto"/>
        <w:ind w:left="777" w:right="806" w:firstLine="480"/>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一、我单位和我本人遵循公开透明、公平竞争、公正和诚实信用的原则,依法依规参与本项目竞标。</w:t>
      </w:r>
    </w:p>
    <w:p>
      <w:pPr>
        <w:pStyle w:val="10"/>
        <w:shd w:val="clear"/>
        <w:spacing w:line="310" w:lineRule="exact"/>
        <w:ind w:left="1257"/>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二、我单位和我本人在本项目政府采购投标活动中,未参与围标串标。</w:t>
      </w:r>
    </w:p>
    <w:p>
      <w:pPr>
        <w:pStyle w:val="10"/>
        <w:shd w:val="clear"/>
        <w:spacing w:before="156" w:line="360" w:lineRule="auto"/>
        <w:ind w:left="777" w:right="775" w:firstLine="480"/>
        <w:jc w:val="both"/>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三、我单位如被查实在本项目政府采购投标活动中存在围标串标的，递交投</w:t>
      </w:r>
      <w:r>
        <w:rPr>
          <w:color w:val="000000" w:themeColor="text1"/>
          <w:spacing w:val="-2"/>
          <w:highlight w:val="none"/>
          <w14:textFill>
            <w14:solidFill>
              <w14:schemeClr w14:val="tx1"/>
            </w14:solidFill>
          </w14:textFill>
        </w:rPr>
        <w:t>标文件行为作为实施串通投标违法行为的关键环节,由我单位及法定代表人承担相应的法律责任，接受相应行政处罚和失信惩戒。</w:t>
      </w:r>
    </w:p>
    <w:p>
      <w:pPr>
        <w:pStyle w:val="10"/>
        <w:shd w:val="clear"/>
        <w:ind w:left="0"/>
        <w:rPr>
          <w:color w:val="000000" w:themeColor="text1"/>
          <w:highlight w:val="none"/>
          <w14:textFill>
            <w14:solidFill>
              <w14:schemeClr w14:val="tx1"/>
            </w14:solidFill>
          </w14:textFill>
        </w:rPr>
      </w:pPr>
    </w:p>
    <w:p>
      <w:pPr>
        <w:pStyle w:val="10"/>
        <w:shd w:val="clear"/>
        <w:ind w:left="0"/>
        <w:rPr>
          <w:color w:val="000000" w:themeColor="text1"/>
          <w:highlight w:val="none"/>
          <w14:textFill>
            <w14:solidFill>
              <w14:schemeClr w14:val="tx1"/>
            </w14:solidFill>
          </w14:textFill>
        </w:rPr>
      </w:pPr>
    </w:p>
    <w:p>
      <w:pPr>
        <w:pStyle w:val="10"/>
        <w:shd w:val="clear"/>
        <w:spacing w:before="221"/>
        <w:ind w:left="0"/>
        <w:rPr>
          <w:color w:val="000000" w:themeColor="text1"/>
          <w:highlight w:val="none"/>
          <w14:textFill>
            <w14:solidFill>
              <w14:schemeClr w14:val="tx1"/>
            </w14:solidFill>
          </w14:textFill>
        </w:rPr>
      </w:pPr>
    </w:p>
    <w:p>
      <w:pPr>
        <w:pStyle w:val="10"/>
        <w:shd w:val="clear"/>
        <w:ind w:left="77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投标人名称（</w:t>
      </w:r>
      <w:r>
        <w:rPr>
          <w:color w:val="000000" w:themeColor="text1"/>
          <w:spacing w:val="-3"/>
          <w:highlight w:val="none"/>
          <w14:textFill>
            <w14:solidFill>
              <w14:schemeClr w14:val="tx1"/>
            </w14:solidFill>
          </w14:textFill>
        </w:rPr>
        <w:t>公章)：</w:t>
      </w:r>
    </w:p>
    <w:p>
      <w:pPr>
        <w:pStyle w:val="10"/>
        <w:shd w:val="clear"/>
        <w:spacing w:before="247" w:line="429" w:lineRule="auto"/>
        <w:ind w:left="777" w:right="2846"/>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法定代表人、负责人、本人、或授权代表（签字或盖章）：</w:t>
      </w:r>
      <w:r>
        <w:rPr>
          <w:color w:val="000000" w:themeColor="text1"/>
          <w:highlight w:val="none"/>
          <w14:textFill>
            <w14:solidFill>
              <w14:schemeClr w14:val="tx1"/>
            </w14:solidFill>
          </w14:textFill>
        </w:rPr>
        <w:t>日期： 年 月 日</w:t>
      </w:r>
    </w:p>
    <w:p>
      <w:pPr>
        <w:shd w:val="clear"/>
        <w:spacing w:line="429" w:lineRule="auto"/>
        <w:rPr>
          <w:color w:val="000000" w:themeColor="text1"/>
          <w:highlight w:val="none"/>
          <w14:textFill>
            <w14:solidFill>
              <w14:schemeClr w14:val="tx1"/>
            </w14:solidFill>
          </w14:textFill>
        </w:rPr>
        <w:sectPr>
          <w:pgSz w:w="11910" w:h="16840"/>
          <w:pgMar w:top="1380" w:right="1019" w:bottom="1040" w:left="1020" w:header="878" w:footer="853" w:gutter="0"/>
          <w:cols w:space="720" w:num="1"/>
        </w:sectPr>
      </w:pPr>
    </w:p>
    <w:p>
      <w:pPr>
        <w:pStyle w:val="10"/>
        <w:shd w:val="clear"/>
        <w:spacing w:before="81"/>
        <w:ind w:left="0"/>
        <w:rPr>
          <w:color w:val="000000" w:themeColor="text1"/>
          <w:sz w:val="28"/>
          <w:highlight w:val="none"/>
          <w14:textFill>
            <w14:solidFill>
              <w14:schemeClr w14:val="tx1"/>
            </w14:solidFill>
          </w14:textFill>
        </w:rPr>
      </w:pPr>
    </w:p>
    <w:p>
      <w:pPr>
        <w:pStyle w:val="6"/>
        <w:shd w:val="clear"/>
        <w:ind w:left="777"/>
        <w:rPr>
          <w:color w:val="000000" w:themeColor="text1"/>
          <w:highlight w:val="none"/>
          <w14:textFill>
            <w14:solidFill>
              <w14:schemeClr w14:val="tx1"/>
            </w14:solidFill>
          </w14:textFill>
        </w:rPr>
      </w:pPr>
      <w:bookmarkStart w:id="174" w:name="_bookmark39"/>
      <w:bookmarkEnd w:id="174"/>
      <w:bookmarkStart w:id="175" w:name="六、其他资格证明文件"/>
      <w:bookmarkEnd w:id="175"/>
      <w:r>
        <w:rPr>
          <w:rFonts w:hint="eastAsia"/>
          <w:color w:val="000000" w:themeColor="text1"/>
          <w:spacing w:val="-5"/>
          <w:highlight w:val="none"/>
          <w14:textFill>
            <w14:solidFill>
              <w14:schemeClr w14:val="tx1"/>
            </w14:solidFill>
          </w14:textFill>
        </w:rPr>
        <w:t>四</w:t>
      </w:r>
      <w:r>
        <w:rPr>
          <w:color w:val="000000" w:themeColor="text1"/>
          <w:spacing w:val="-5"/>
          <w:highlight w:val="none"/>
          <w14:textFill>
            <w14:solidFill>
              <w14:schemeClr w14:val="tx1"/>
            </w14:solidFill>
          </w14:textFill>
        </w:rPr>
        <w:t>、其他资格证明文件</w:t>
      </w:r>
    </w:p>
    <w:p>
      <w:pPr>
        <w:pStyle w:val="10"/>
        <w:shd w:val="clear"/>
        <w:spacing w:before="279"/>
        <w:ind w:left="1257"/>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投标人认为需提供的其它相关资格证明材料</w:t>
      </w:r>
    </w:p>
    <w:p>
      <w:pPr>
        <w:shd w:val="clear"/>
        <w:rPr>
          <w:color w:val="000000" w:themeColor="text1"/>
          <w:highlight w:val="none"/>
          <w14:textFill>
            <w14:solidFill>
              <w14:schemeClr w14:val="tx1"/>
            </w14:solidFill>
          </w14:textFill>
        </w:rPr>
        <w:sectPr>
          <w:pgSz w:w="11910" w:h="16840"/>
          <w:pgMar w:top="1380" w:right="1019" w:bottom="1040" w:left="1020" w:header="878" w:footer="853" w:gutter="0"/>
          <w:cols w:space="720" w:num="1"/>
        </w:sectPr>
      </w:pPr>
    </w:p>
    <w:p>
      <w:pPr>
        <w:pStyle w:val="10"/>
        <w:shd w:val="clear"/>
        <w:spacing w:before="99"/>
        <w:ind w:left="0"/>
        <w:rPr>
          <w:color w:val="000000" w:themeColor="text1"/>
          <w:highlight w:val="none"/>
          <w14:textFill>
            <w14:solidFill>
              <w14:schemeClr w14:val="tx1"/>
            </w14:solidFill>
          </w14:textFill>
        </w:rPr>
      </w:pPr>
    </w:p>
    <w:p>
      <w:pPr>
        <w:pStyle w:val="10"/>
        <w:shd w:val="clear"/>
        <w:ind w:left="1257"/>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封面：</w:t>
      </w:r>
    </w:p>
    <w:p>
      <w:pPr>
        <w:pStyle w:val="10"/>
        <w:shd w:val="clear"/>
        <w:spacing w:before="543"/>
        <w:ind w:left="0"/>
        <w:rPr>
          <w:color w:val="000000" w:themeColor="text1"/>
          <w:sz w:val="84"/>
          <w:highlight w:val="none"/>
          <w14:textFill>
            <w14:solidFill>
              <w14:schemeClr w14:val="tx1"/>
            </w14:solidFill>
          </w14:textFill>
        </w:rPr>
      </w:pPr>
    </w:p>
    <w:p>
      <w:pPr>
        <w:pStyle w:val="2"/>
        <w:shd w:val="clear"/>
        <w:spacing w:before="1"/>
        <w:rPr>
          <w:color w:val="000000" w:themeColor="text1"/>
          <w:highlight w:val="none"/>
          <w14:textFill>
            <w14:solidFill>
              <w14:schemeClr w14:val="tx1"/>
            </w14:solidFill>
          </w14:textFill>
        </w:rPr>
      </w:pPr>
      <w:bookmarkStart w:id="176" w:name="投_标_文_件"/>
      <w:bookmarkEnd w:id="176"/>
      <w:bookmarkStart w:id="177" w:name="_bookmark40"/>
      <w:bookmarkEnd w:id="177"/>
      <w:bookmarkStart w:id="178" w:name="_Toc6714"/>
      <w:r>
        <w:rPr>
          <w:color w:val="000000" w:themeColor="text1"/>
          <w:spacing w:val="-7"/>
          <w:highlight w:val="none"/>
          <w14:textFill>
            <w14:solidFill>
              <w14:schemeClr w14:val="tx1"/>
            </w14:solidFill>
          </w14:textFill>
        </w:rPr>
        <w:t>投 标 文 件</w:t>
      </w:r>
      <w:bookmarkEnd w:id="178"/>
    </w:p>
    <w:p>
      <w:pPr>
        <w:shd w:val="clear"/>
        <w:spacing w:line="467" w:lineRule="exact"/>
        <w:ind w:right="1"/>
        <w:jc w:val="center"/>
        <w:rPr>
          <w:color w:val="000000" w:themeColor="text1"/>
          <w:sz w:val="36"/>
          <w:highlight w:val="none"/>
          <w14:textFill>
            <w14:solidFill>
              <w14:schemeClr w14:val="tx1"/>
            </w14:solidFill>
          </w14:textFill>
        </w:rPr>
      </w:pPr>
      <w:bookmarkStart w:id="179" w:name="_bookmark41"/>
      <w:bookmarkEnd w:id="179"/>
      <w:bookmarkStart w:id="180" w:name="报价文件"/>
      <w:bookmarkEnd w:id="180"/>
    </w:p>
    <w:p>
      <w:pPr>
        <w:shd w:val="clear"/>
        <w:spacing w:line="467" w:lineRule="exact"/>
        <w:ind w:right="1"/>
        <w:jc w:val="center"/>
        <w:rPr>
          <w:color w:val="000000" w:themeColor="text1"/>
          <w:sz w:val="36"/>
          <w:highlight w:val="none"/>
          <w14:textFill>
            <w14:solidFill>
              <w14:schemeClr w14:val="tx1"/>
            </w14:solidFill>
          </w14:textFill>
        </w:rPr>
      </w:pPr>
      <w:r>
        <w:rPr>
          <w:color w:val="000000" w:themeColor="text1"/>
          <w:sz w:val="36"/>
          <w:highlight w:val="none"/>
          <w14:textFill>
            <w14:solidFill>
              <w14:schemeClr w14:val="tx1"/>
            </w14:solidFill>
          </w14:textFill>
        </w:rPr>
        <w:t>（第XX</w:t>
      </w:r>
      <w:r>
        <w:rPr>
          <w:rFonts w:hint="eastAsia"/>
          <w:color w:val="000000" w:themeColor="text1"/>
          <w:sz w:val="36"/>
          <w:highlight w:val="none"/>
          <w14:textFill>
            <w14:solidFill>
              <w14:schemeClr w14:val="tx1"/>
            </w14:solidFill>
          </w14:textFill>
        </w:rPr>
        <w:t>标段</w:t>
      </w:r>
      <w:r>
        <w:rPr>
          <w:color w:val="000000" w:themeColor="text1"/>
          <w:sz w:val="36"/>
          <w:highlight w:val="none"/>
          <w14:textFill>
            <w14:solidFill>
              <w14:schemeClr w14:val="tx1"/>
            </w14:solidFill>
          </w14:textFill>
        </w:rPr>
        <w:t>）</w:t>
      </w:r>
    </w:p>
    <w:p>
      <w:pPr>
        <w:pStyle w:val="10"/>
        <w:shd w:val="clear"/>
        <w:ind w:left="0"/>
        <w:rPr>
          <w:color w:val="000000" w:themeColor="text1"/>
          <w:sz w:val="36"/>
          <w:highlight w:val="none"/>
          <w14:textFill>
            <w14:solidFill>
              <w14:schemeClr w14:val="tx1"/>
            </w14:solidFill>
          </w14:textFill>
        </w:rPr>
      </w:pPr>
    </w:p>
    <w:p>
      <w:pPr>
        <w:pStyle w:val="10"/>
        <w:shd w:val="clear"/>
        <w:ind w:left="0"/>
        <w:rPr>
          <w:color w:val="000000" w:themeColor="text1"/>
          <w:sz w:val="36"/>
          <w:highlight w:val="none"/>
          <w14:textFill>
            <w14:solidFill>
              <w14:schemeClr w14:val="tx1"/>
            </w14:solidFill>
          </w14:textFill>
        </w:rPr>
      </w:pPr>
    </w:p>
    <w:p>
      <w:pPr>
        <w:pStyle w:val="10"/>
        <w:shd w:val="clear"/>
        <w:ind w:left="0"/>
        <w:rPr>
          <w:color w:val="000000" w:themeColor="text1"/>
          <w:sz w:val="36"/>
          <w:highlight w:val="none"/>
          <w14:textFill>
            <w14:solidFill>
              <w14:schemeClr w14:val="tx1"/>
            </w14:solidFill>
          </w14:textFill>
        </w:rPr>
      </w:pPr>
    </w:p>
    <w:p>
      <w:pPr>
        <w:pStyle w:val="10"/>
        <w:shd w:val="clear"/>
        <w:ind w:left="0"/>
        <w:rPr>
          <w:color w:val="000000" w:themeColor="text1"/>
          <w:sz w:val="36"/>
          <w:highlight w:val="none"/>
          <w14:textFill>
            <w14:solidFill>
              <w14:schemeClr w14:val="tx1"/>
            </w14:solidFill>
          </w14:textFill>
        </w:rPr>
      </w:pPr>
    </w:p>
    <w:p>
      <w:pPr>
        <w:pStyle w:val="10"/>
        <w:shd w:val="clear"/>
        <w:ind w:left="0"/>
        <w:rPr>
          <w:color w:val="000000" w:themeColor="text1"/>
          <w:sz w:val="36"/>
          <w:highlight w:val="none"/>
          <w14:textFill>
            <w14:solidFill>
              <w14:schemeClr w14:val="tx1"/>
            </w14:solidFill>
          </w14:textFill>
        </w:rPr>
      </w:pPr>
    </w:p>
    <w:p>
      <w:pPr>
        <w:pStyle w:val="10"/>
        <w:shd w:val="clear"/>
        <w:spacing w:before="280"/>
        <w:ind w:left="0"/>
        <w:rPr>
          <w:color w:val="000000" w:themeColor="text1"/>
          <w:sz w:val="36"/>
          <w:highlight w:val="none"/>
          <w14:textFill>
            <w14:solidFill>
              <w14:schemeClr w14:val="tx1"/>
            </w14:solidFill>
          </w14:textFill>
        </w:rPr>
      </w:pPr>
    </w:p>
    <w:p>
      <w:pPr>
        <w:shd w:val="clear"/>
        <w:tabs>
          <w:tab w:val="left" w:pos="9026"/>
        </w:tabs>
        <w:spacing w:line="357" w:lineRule="auto"/>
        <w:ind w:left="1197" w:right="837"/>
        <w:jc w:val="both"/>
        <w:rPr>
          <w:rFonts w:ascii="Times New Roman" w:eastAsia="Times New Roman"/>
          <w:color w:val="000000" w:themeColor="text1"/>
          <w:sz w:val="36"/>
          <w:highlight w:val="none"/>
          <w14:textFill>
            <w14:solidFill>
              <w14:schemeClr w14:val="tx1"/>
            </w14:solidFill>
          </w14:textFill>
        </w:rPr>
      </w:pPr>
      <w:r>
        <w:rPr>
          <w:color w:val="000000" w:themeColor="text1"/>
          <w:spacing w:val="-2"/>
          <w:sz w:val="36"/>
          <w:highlight w:val="none"/>
          <w14:textFill>
            <w14:solidFill>
              <w14:schemeClr w14:val="tx1"/>
            </w14:solidFill>
          </w14:textFill>
        </w:rPr>
        <w:t>项目编号/包号：</w:t>
      </w:r>
      <w:r>
        <w:rPr>
          <w:rFonts w:ascii="Times New Roman" w:eastAsia="Times New Roman"/>
          <w:color w:val="000000" w:themeColor="text1"/>
          <w:sz w:val="36"/>
          <w:highlight w:val="none"/>
          <w:u w:val="single"/>
          <w14:textFill>
            <w14:solidFill>
              <w14:schemeClr w14:val="tx1"/>
            </w14:solidFill>
          </w14:textFill>
        </w:rPr>
        <w:tab/>
      </w:r>
      <w:r>
        <w:rPr>
          <w:rFonts w:ascii="Times New Roman" w:eastAsia="Times New Roman"/>
          <w:color w:val="000000" w:themeColor="text1"/>
          <w:sz w:val="36"/>
          <w:highlight w:val="none"/>
          <w14:textFill>
            <w14:solidFill>
              <w14:schemeClr w14:val="tx1"/>
            </w14:solidFill>
          </w14:textFill>
        </w:rPr>
        <w:t xml:space="preserve"> </w:t>
      </w:r>
      <w:r>
        <w:rPr>
          <w:color w:val="000000" w:themeColor="text1"/>
          <w:spacing w:val="-2"/>
          <w:sz w:val="36"/>
          <w:highlight w:val="none"/>
          <w14:textFill>
            <w14:solidFill>
              <w14:schemeClr w14:val="tx1"/>
            </w14:solidFill>
          </w14:textFill>
        </w:rPr>
        <w:t>项目名称：</w:t>
      </w:r>
      <w:r>
        <w:rPr>
          <w:rFonts w:ascii="Times New Roman" w:eastAsia="Times New Roman"/>
          <w:color w:val="000000" w:themeColor="text1"/>
          <w:sz w:val="36"/>
          <w:highlight w:val="none"/>
          <w:u w:val="single"/>
          <w14:textFill>
            <w14:solidFill>
              <w14:schemeClr w14:val="tx1"/>
            </w14:solidFill>
          </w14:textFill>
        </w:rPr>
        <w:tab/>
      </w:r>
      <w:r>
        <w:rPr>
          <w:rFonts w:ascii="Times New Roman" w:eastAsia="Times New Roman"/>
          <w:color w:val="000000" w:themeColor="text1"/>
          <w:sz w:val="36"/>
          <w:highlight w:val="none"/>
          <w14:textFill>
            <w14:solidFill>
              <w14:schemeClr w14:val="tx1"/>
            </w14:solidFill>
          </w14:textFill>
        </w:rPr>
        <w:t xml:space="preserve"> </w:t>
      </w:r>
      <w:r>
        <w:rPr>
          <w:color w:val="000000" w:themeColor="text1"/>
          <w:sz w:val="36"/>
          <w:highlight w:val="none"/>
          <w14:textFill>
            <w14:solidFill>
              <w14:schemeClr w14:val="tx1"/>
            </w14:solidFill>
          </w14:textFill>
        </w:rPr>
        <w:t>投 标 人</w:t>
      </w:r>
      <w:r>
        <w:rPr>
          <w:color w:val="000000" w:themeColor="text1"/>
          <w:spacing w:val="-10"/>
          <w:sz w:val="36"/>
          <w:highlight w:val="none"/>
          <w14:textFill>
            <w14:solidFill>
              <w14:schemeClr w14:val="tx1"/>
            </w14:solidFill>
          </w14:textFill>
        </w:rPr>
        <w:t>：</w:t>
      </w:r>
      <w:r>
        <w:rPr>
          <w:rFonts w:ascii="Times New Roman" w:eastAsia="Times New Roman"/>
          <w:color w:val="000000" w:themeColor="text1"/>
          <w:sz w:val="36"/>
          <w:highlight w:val="none"/>
          <w:u w:val="single"/>
          <w14:textFill>
            <w14:solidFill>
              <w14:schemeClr w14:val="tx1"/>
            </w14:solidFill>
          </w14:textFill>
        </w:rPr>
        <w:tab/>
      </w:r>
    </w:p>
    <w:p>
      <w:pPr>
        <w:pStyle w:val="10"/>
        <w:shd w:val="clear"/>
        <w:ind w:left="0"/>
        <w:rPr>
          <w:rFonts w:ascii="Times New Roman"/>
          <w:color w:val="000000" w:themeColor="text1"/>
          <w:sz w:val="32"/>
          <w:highlight w:val="none"/>
          <w14:textFill>
            <w14:solidFill>
              <w14:schemeClr w14:val="tx1"/>
            </w14:solidFill>
          </w14:textFill>
        </w:rPr>
      </w:pPr>
    </w:p>
    <w:p>
      <w:pPr>
        <w:pStyle w:val="10"/>
        <w:shd w:val="clear"/>
        <w:spacing w:before="364"/>
        <w:ind w:left="0"/>
        <w:rPr>
          <w:rFonts w:ascii="Times New Roman"/>
          <w:color w:val="000000" w:themeColor="text1"/>
          <w:sz w:val="32"/>
          <w:highlight w:val="none"/>
          <w14:textFill>
            <w14:solidFill>
              <w14:schemeClr w14:val="tx1"/>
            </w14:solidFill>
          </w14:textFill>
        </w:rPr>
      </w:pPr>
    </w:p>
    <w:p>
      <w:pPr>
        <w:shd w:val="clear"/>
        <w:tabs>
          <w:tab w:val="left" w:pos="799"/>
          <w:tab w:val="left" w:pos="1759"/>
        </w:tabs>
        <w:jc w:val="center"/>
        <w:rPr>
          <w:color w:val="000000" w:themeColor="text1"/>
          <w:sz w:val="32"/>
          <w:highlight w:val="none"/>
          <w14:textFill>
            <w14:solidFill>
              <w14:schemeClr w14:val="tx1"/>
            </w14:solidFill>
          </w14:textFill>
        </w:rPr>
      </w:pPr>
      <w:r>
        <w:rPr>
          <w:color w:val="000000" w:themeColor="text1"/>
          <w:spacing w:val="-10"/>
          <w:sz w:val="32"/>
          <w:highlight w:val="none"/>
          <w14:textFill>
            <w14:solidFill>
              <w14:schemeClr w14:val="tx1"/>
            </w14:solidFill>
          </w14:textFill>
        </w:rPr>
        <w:t>年</w:t>
      </w:r>
      <w:r>
        <w:rPr>
          <w:color w:val="000000" w:themeColor="text1"/>
          <w:sz w:val="32"/>
          <w:highlight w:val="none"/>
          <w14:textFill>
            <w14:solidFill>
              <w14:schemeClr w14:val="tx1"/>
            </w14:solidFill>
          </w14:textFill>
        </w:rPr>
        <w:tab/>
      </w:r>
      <w:r>
        <w:rPr>
          <w:color w:val="000000" w:themeColor="text1"/>
          <w:spacing w:val="-10"/>
          <w:sz w:val="32"/>
          <w:highlight w:val="none"/>
          <w14:textFill>
            <w14:solidFill>
              <w14:schemeClr w14:val="tx1"/>
            </w14:solidFill>
          </w14:textFill>
        </w:rPr>
        <w:t>月</w:t>
      </w:r>
      <w:r>
        <w:rPr>
          <w:color w:val="000000" w:themeColor="text1"/>
          <w:sz w:val="32"/>
          <w:highlight w:val="none"/>
          <w14:textFill>
            <w14:solidFill>
              <w14:schemeClr w14:val="tx1"/>
            </w14:solidFill>
          </w14:textFill>
        </w:rPr>
        <w:tab/>
      </w:r>
      <w:r>
        <w:rPr>
          <w:color w:val="000000" w:themeColor="text1"/>
          <w:spacing w:val="-10"/>
          <w:sz w:val="32"/>
          <w:highlight w:val="none"/>
          <w14:textFill>
            <w14:solidFill>
              <w14:schemeClr w14:val="tx1"/>
            </w14:solidFill>
          </w14:textFill>
        </w:rPr>
        <w:t>日</w:t>
      </w:r>
    </w:p>
    <w:p>
      <w:pPr>
        <w:shd w:val="clear"/>
        <w:jc w:val="center"/>
        <w:rPr>
          <w:color w:val="000000" w:themeColor="text1"/>
          <w:sz w:val="32"/>
          <w:highlight w:val="none"/>
          <w14:textFill>
            <w14:solidFill>
              <w14:schemeClr w14:val="tx1"/>
            </w14:solidFill>
          </w14:textFill>
        </w:rPr>
        <w:sectPr>
          <w:pgSz w:w="11910" w:h="16840"/>
          <w:pgMar w:top="1380" w:right="1019" w:bottom="1040" w:left="1020" w:header="878" w:footer="853" w:gutter="0"/>
          <w:cols w:space="720" w:num="1"/>
        </w:sectPr>
      </w:pPr>
    </w:p>
    <w:p>
      <w:pPr>
        <w:pStyle w:val="10"/>
        <w:shd w:val="clear"/>
        <w:ind w:left="0"/>
        <w:rPr>
          <w:color w:val="000000" w:themeColor="text1"/>
          <w:sz w:val="32"/>
          <w:highlight w:val="none"/>
          <w14:textFill>
            <w14:solidFill>
              <w14:schemeClr w14:val="tx1"/>
            </w14:solidFill>
          </w14:textFill>
        </w:rPr>
      </w:pPr>
    </w:p>
    <w:p>
      <w:pPr>
        <w:pStyle w:val="10"/>
        <w:shd w:val="clear"/>
        <w:spacing w:before="167"/>
        <w:ind w:left="0"/>
        <w:rPr>
          <w:color w:val="000000" w:themeColor="text1"/>
          <w:sz w:val="32"/>
          <w:highlight w:val="none"/>
          <w14:textFill>
            <w14:solidFill>
              <w14:schemeClr w14:val="tx1"/>
            </w14:solidFill>
          </w14:textFill>
        </w:rPr>
      </w:pPr>
    </w:p>
    <w:p>
      <w:pPr>
        <w:pStyle w:val="5"/>
        <w:shd w:val="clear"/>
        <w:spacing w:before="1"/>
        <w:outlineLvl w:val="0"/>
        <w:rPr>
          <w:color w:val="000000" w:themeColor="text1"/>
          <w:highlight w:val="none"/>
          <w14:textFill>
            <w14:solidFill>
              <w14:schemeClr w14:val="tx1"/>
            </w14:solidFill>
          </w14:textFill>
        </w:rPr>
      </w:pPr>
      <w:bookmarkStart w:id="181" w:name="一、开标一览表"/>
      <w:bookmarkEnd w:id="181"/>
      <w:bookmarkStart w:id="182" w:name="_bookmark42"/>
      <w:bookmarkEnd w:id="182"/>
      <w:bookmarkStart w:id="183" w:name="_Toc18203"/>
      <w:r>
        <w:rPr>
          <w:color w:val="000000" w:themeColor="text1"/>
          <w:spacing w:val="-4"/>
          <w:highlight w:val="none"/>
          <w14:textFill>
            <w14:solidFill>
              <w14:schemeClr w14:val="tx1"/>
            </w14:solidFill>
          </w14:textFill>
        </w:rPr>
        <w:t>一、开标一览表</w:t>
      </w:r>
      <w:bookmarkEnd w:id="183"/>
    </w:p>
    <w:p>
      <w:pPr>
        <w:pStyle w:val="10"/>
        <w:shd w:val="clear"/>
        <w:spacing w:before="278"/>
        <w:ind w:left="0"/>
        <w:rPr>
          <w:b/>
          <w:color w:val="000000" w:themeColor="text1"/>
          <w:sz w:val="32"/>
          <w:highlight w:val="none"/>
          <w14:textFill>
            <w14:solidFill>
              <w14:schemeClr w14:val="tx1"/>
            </w14:solidFill>
          </w14:textFill>
        </w:rPr>
      </w:pPr>
    </w:p>
    <w:p>
      <w:pPr>
        <w:pStyle w:val="10"/>
        <w:shd w:val="clear"/>
        <w:tabs>
          <w:tab w:val="left" w:pos="4556"/>
        </w:tabs>
        <w:spacing w:before="1" w:after="7" w:line="357" w:lineRule="auto"/>
        <w:ind w:left="777" w:right="5307"/>
        <w:rPr>
          <w:rFonts w:ascii="Times New Roman" w:eastAsia="Times New Roman"/>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项目名称：</w:t>
      </w:r>
      <w:r>
        <w:rPr>
          <w:rFonts w:ascii="Times New Roman" w:eastAsia="Times New Roman"/>
          <w:color w:val="000000" w:themeColor="text1"/>
          <w:highlight w:val="none"/>
          <w:u w:val="single"/>
          <w14:textFill>
            <w14:solidFill>
              <w14:schemeClr w14:val="tx1"/>
            </w14:solidFill>
          </w14:textFill>
        </w:rPr>
        <w:tab/>
      </w:r>
      <w:r>
        <w:rPr>
          <w:rFonts w:ascii="Times New Roman" w:eastAsia="Times New Roman"/>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项目编号/包号</w:t>
      </w:r>
      <w:r>
        <w:rPr>
          <w:color w:val="000000" w:themeColor="text1"/>
          <w:spacing w:val="-10"/>
          <w:highlight w:val="none"/>
          <w14:textFill>
            <w14:solidFill>
              <w14:schemeClr w14:val="tx1"/>
            </w14:solidFill>
          </w14:textFill>
        </w:rPr>
        <w:t>：</w:t>
      </w:r>
      <w:r>
        <w:rPr>
          <w:rFonts w:ascii="Times New Roman" w:eastAsia="Times New Roman"/>
          <w:color w:val="000000" w:themeColor="text1"/>
          <w:highlight w:val="none"/>
          <w:u w:val="single"/>
          <w14:textFill>
            <w14:solidFill>
              <w14:schemeClr w14:val="tx1"/>
            </w14:solidFill>
          </w14:textFill>
        </w:rPr>
        <w:tab/>
      </w:r>
    </w:p>
    <w:tbl>
      <w:tblPr>
        <w:tblStyle w:val="14"/>
        <w:tblW w:w="0" w:type="auto"/>
        <w:tblInd w:w="6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3"/>
        <w:gridCol w:w="2769"/>
        <w:gridCol w:w="2124"/>
        <w:gridCol w:w="22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1403" w:type="dxa"/>
          </w:tcPr>
          <w:p>
            <w:pPr>
              <w:pStyle w:val="20"/>
              <w:keepNext w:val="0"/>
              <w:keepLines w:val="0"/>
              <w:suppressLineNumbers w:val="0"/>
              <w:shd w:val="clear"/>
              <w:spacing w:before="176" w:beforeAutospacing="0" w:after="0" w:afterAutospacing="0"/>
              <w:ind w:left="461" w:right="0"/>
              <w:rPr>
                <w:rFonts w:hint="default"/>
                <w:color w:val="000000" w:themeColor="text1"/>
                <w:sz w:val="24"/>
                <w:highlight w:val="none"/>
                <w14:textFill>
                  <w14:solidFill>
                    <w14:schemeClr w14:val="tx1"/>
                  </w14:solidFill>
                </w14:textFill>
              </w:rPr>
            </w:pPr>
            <w:r>
              <w:rPr>
                <w:rFonts w:hint="default"/>
                <w:color w:val="000000" w:themeColor="text1"/>
                <w:spacing w:val="-5"/>
                <w:sz w:val="24"/>
                <w:highlight w:val="none"/>
                <w14:textFill>
                  <w14:solidFill>
                    <w14:schemeClr w14:val="tx1"/>
                  </w14:solidFill>
                </w14:textFill>
              </w:rPr>
              <w:t>序号</w:t>
            </w:r>
          </w:p>
        </w:tc>
        <w:tc>
          <w:tcPr>
            <w:tcW w:w="2769" w:type="dxa"/>
          </w:tcPr>
          <w:p>
            <w:pPr>
              <w:pStyle w:val="20"/>
              <w:keepNext w:val="0"/>
              <w:keepLines w:val="0"/>
              <w:suppressLineNumbers w:val="0"/>
              <w:shd w:val="clear"/>
              <w:spacing w:before="176" w:beforeAutospacing="0" w:after="0" w:afterAutospacing="0"/>
              <w:ind w:left="0" w:right="0"/>
              <w:rPr>
                <w:rFonts w:hint="default"/>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餐饮服务费支付比例：</w:t>
            </w:r>
          </w:p>
          <w:p>
            <w:pPr>
              <w:pStyle w:val="20"/>
              <w:keepNext w:val="0"/>
              <w:keepLines w:val="0"/>
              <w:suppressLineNumbers w:val="0"/>
              <w:shd w:val="clear"/>
              <w:spacing w:before="176" w:beforeAutospacing="0" w:after="0" w:afterAutospacing="0"/>
              <w:ind w:left="694" w:right="0"/>
              <w:rPr>
                <w:rFonts w:hint="default"/>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2124" w:type="dxa"/>
          </w:tcPr>
          <w:p>
            <w:pPr>
              <w:pStyle w:val="20"/>
              <w:keepNext w:val="0"/>
              <w:keepLines w:val="0"/>
              <w:suppressLineNumbers w:val="0"/>
              <w:shd w:val="clear"/>
              <w:spacing w:before="176" w:beforeAutospacing="0" w:after="0" w:afterAutospacing="0"/>
              <w:ind w:left="598" w:right="0"/>
              <w:rPr>
                <w:rFonts w:hint="default"/>
                <w:color w:val="000000" w:themeColor="text1"/>
                <w:sz w:val="24"/>
                <w:highlight w:val="none"/>
                <w14:textFill>
                  <w14:solidFill>
                    <w14:schemeClr w14:val="tx1"/>
                  </w14:solidFill>
                </w14:textFill>
              </w:rPr>
            </w:pPr>
            <w:r>
              <w:rPr>
                <w:rFonts w:hint="default"/>
                <w:color w:val="000000" w:themeColor="text1"/>
                <w:spacing w:val="-3"/>
                <w:sz w:val="24"/>
                <w:highlight w:val="none"/>
                <w14:textFill>
                  <w14:solidFill>
                    <w14:schemeClr w14:val="tx1"/>
                  </w14:solidFill>
                </w14:textFill>
              </w:rPr>
              <w:t>服务期限</w:t>
            </w:r>
          </w:p>
        </w:tc>
        <w:tc>
          <w:tcPr>
            <w:tcW w:w="2231" w:type="dxa"/>
          </w:tcPr>
          <w:p>
            <w:pPr>
              <w:pStyle w:val="20"/>
              <w:keepNext w:val="0"/>
              <w:keepLines w:val="0"/>
              <w:suppressLineNumbers w:val="0"/>
              <w:shd w:val="clear"/>
              <w:spacing w:before="176" w:beforeAutospacing="0" w:after="0" w:afterAutospacing="0"/>
              <w:ind w:left="583" w:right="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备注（如有</w:t>
            </w:r>
            <w:r>
              <w:rPr>
                <w:rFonts w:hint="default"/>
                <w:color w:val="000000" w:themeColor="text1"/>
                <w:spacing w:val="-10"/>
                <w:sz w:val="24"/>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trPr>
        <w:tc>
          <w:tcPr>
            <w:tcW w:w="1403"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2769" w:type="dxa"/>
          </w:tcPr>
          <w:p>
            <w:pPr>
              <w:pStyle w:val="20"/>
              <w:keepNext w:val="0"/>
              <w:keepLines w:val="0"/>
              <w:suppressLineNumbers w:val="0"/>
              <w:shd w:val="clear"/>
              <w:spacing w:before="170" w:beforeAutospacing="0" w:after="0" w:afterAutospacing="0"/>
              <w:ind w:left="106" w:right="1513"/>
              <w:rPr>
                <w:rFonts w:hint="default"/>
                <w:color w:val="000000" w:themeColor="text1"/>
                <w:spacing w:val="-4"/>
                <w:sz w:val="24"/>
                <w:highlight w:val="none"/>
                <w14:textFill>
                  <w14:solidFill>
                    <w14:schemeClr w14:val="tx1"/>
                  </w14:solidFill>
                </w14:textFill>
              </w:rPr>
            </w:pPr>
            <w:r>
              <w:rPr>
                <w:rFonts w:hint="default"/>
                <w:color w:val="000000" w:themeColor="text1"/>
                <w:spacing w:val="-4"/>
                <w:sz w:val="24"/>
                <w:highlight w:val="none"/>
                <w14:textFill>
                  <w14:solidFill>
                    <w14:schemeClr w14:val="tx1"/>
                  </w14:solidFill>
                </w14:textFill>
              </w:rPr>
              <w:t>小写：</w:t>
            </w:r>
          </w:p>
          <w:p>
            <w:pPr>
              <w:pStyle w:val="20"/>
              <w:keepNext w:val="0"/>
              <w:keepLines w:val="0"/>
              <w:suppressLineNumbers w:val="0"/>
              <w:shd w:val="clear"/>
              <w:spacing w:before="170" w:beforeAutospacing="0" w:after="0" w:afterAutospacing="0"/>
              <w:ind w:left="106" w:right="1513"/>
              <w:rPr>
                <w:rFonts w:hint="default"/>
                <w:color w:val="000000" w:themeColor="text1"/>
                <w:sz w:val="24"/>
                <w:highlight w:val="none"/>
                <w14:textFill>
                  <w14:solidFill>
                    <w14:schemeClr w14:val="tx1"/>
                  </w14:solidFill>
                </w14:textFill>
              </w:rPr>
            </w:pPr>
            <w:r>
              <w:rPr>
                <w:rFonts w:hint="default"/>
                <w:color w:val="000000" w:themeColor="text1"/>
                <w:spacing w:val="-4"/>
                <w:sz w:val="24"/>
                <w:highlight w:val="none"/>
                <w14:textFill>
                  <w14:solidFill>
                    <w14:schemeClr w14:val="tx1"/>
                  </w14:solidFill>
                </w14:textFill>
              </w:rPr>
              <w:t>大写：</w:t>
            </w:r>
          </w:p>
        </w:tc>
        <w:tc>
          <w:tcPr>
            <w:tcW w:w="2124"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2231"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r>
    </w:tbl>
    <w:p>
      <w:pPr>
        <w:pStyle w:val="10"/>
        <w:shd w:val="clear"/>
        <w:spacing w:before="64"/>
        <w:ind w:left="0"/>
        <w:rPr>
          <w:rFonts w:ascii="Times New Roman"/>
          <w:color w:val="000000" w:themeColor="text1"/>
          <w:highlight w:val="none"/>
          <w14:textFill>
            <w14:solidFill>
              <w14:schemeClr w14:val="tx1"/>
            </w14:solidFill>
          </w14:textFill>
        </w:rPr>
      </w:pPr>
    </w:p>
    <w:p>
      <w:pPr>
        <w:pStyle w:val="10"/>
        <w:shd w:val="clear"/>
        <w:spacing w:line="300" w:lineRule="auto"/>
        <w:ind w:left="777" w:right="6806"/>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投标人名称（公章)：</w:t>
      </w:r>
      <w:r>
        <w:rPr>
          <w:color w:val="000000" w:themeColor="text1"/>
          <w:spacing w:val="-4"/>
          <w:highlight w:val="none"/>
          <w14:textFill>
            <w14:solidFill>
              <w14:schemeClr w14:val="tx1"/>
            </w14:solidFill>
          </w14:textFill>
        </w:rPr>
        <w:t>日期：</w:t>
      </w:r>
    </w:p>
    <w:p>
      <w:pPr>
        <w:pStyle w:val="10"/>
        <w:shd w:val="clear"/>
        <w:ind w:left="0"/>
        <w:rPr>
          <w:color w:val="000000" w:themeColor="text1"/>
          <w:sz w:val="21"/>
          <w:highlight w:val="none"/>
          <w14:textFill>
            <w14:solidFill>
              <w14:schemeClr w14:val="tx1"/>
            </w14:solidFill>
          </w14:textFill>
        </w:rPr>
      </w:pPr>
    </w:p>
    <w:p>
      <w:pPr>
        <w:pStyle w:val="10"/>
        <w:shd w:val="clear"/>
        <w:ind w:left="0"/>
        <w:rPr>
          <w:color w:val="000000" w:themeColor="text1"/>
          <w:sz w:val="21"/>
          <w:highlight w:val="none"/>
          <w14:textFill>
            <w14:solidFill>
              <w14:schemeClr w14:val="tx1"/>
            </w14:solidFill>
          </w14:textFill>
        </w:rPr>
      </w:pPr>
    </w:p>
    <w:p>
      <w:pPr>
        <w:pStyle w:val="10"/>
        <w:shd w:val="clear"/>
        <w:ind w:left="0"/>
        <w:rPr>
          <w:color w:val="000000" w:themeColor="text1"/>
          <w:sz w:val="21"/>
          <w:highlight w:val="none"/>
          <w14:textFill>
            <w14:solidFill>
              <w14:schemeClr w14:val="tx1"/>
            </w14:solidFill>
          </w14:textFill>
        </w:rPr>
      </w:pPr>
    </w:p>
    <w:p>
      <w:pPr>
        <w:pStyle w:val="10"/>
        <w:shd w:val="clear"/>
        <w:ind w:left="0"/>
        <w:rPr>
          <w:color w:val="000000" w:themeColor="text1"/>
          <w:sz w:val="21"/>
          <w:highlight w:val="none"/>
          <w14:textFill>
            <w14:solidFill>
              <w14:schemeClr w14:val="tx1"/>
            </w14:solidFill>
          </w14:textFill>
        </w:rPr>
      </w:pPr>
    </w:p>
    <w:p>
      <w:pPr>
        <w:pStyle w:val="10"/>
        <w:shd w:val="clear"/>
        <w:ind w:left="0"/>
        <w:rPr>
          <w:color w:val="000000" w:themeColor="text1"/>
          <w:sz w:val="21"/>
          <w:highlight w:val="none"/>
          <w14:textFill>
            <w14:solidFill>
              <w14:schemeClr w14:val="tx1"/>
            </w14:solidFill>
          </w14:textFill>
        </w:rPr>
      </w:pPr>
    </w:p>
    <w:p>
      <w:pPr>
        <w:pStyle w:val="10"/>
        <w:shd w:val="clear"/>
        <w:ind w:left="0"/>
        <w:rPr>
          <w:color w:val="000000" w:themeColor="text1"/>
          <w:sz w:val="21"/>
          <w:highlight w:val="none"/>
          <w14:textFill>
            <w14:solidFill>
              <w14:schemeClr w14:val="tx1"/>
            </w14:solidFill>
          </w14:textFill>
        </w:rPr>
      </w:pPr>
    </w:p>
    <w:p>
      <w:pPr>
        <w:pStyle w:val="10"/>
        <w:shd w:val="clear"/>
        <w:spacing w:before="124"/>
        <w:ind w:left="0"/>
        <w:rPr>
          <w:color w:val="000000" w:themeColor="text1"/>
          <w:sz w:val="21"/>
          <w:highlight w:val="none"/>
          <w14:textFill>
            <w14:solidFill>
              <w14:schemeClr w14:val="tx1"/>
            </w14:solidFill>
          </w14:textFill>
        </w:rPr>
      </w:pPr>
    </w:p>
    <w:p>
      <w:pPr>
        <w:shd w:val="clear"/>
        <w:ind w:left="777"/>
        <w:rPr>
          <w:b/>
          <w:color w:val="000000" w:themeColor="text1"/>
          <w:sz w:val="21"/>
          <w:highlight w:val="none"/>
          <w14:textFill>
            <w14:solidFill>
              <w14:schemeClr w14:val="tx1"/>
            </w14:solidFill>
          </w14:textFill>
        </w:rPr>
      </w:pPr>
      <w:r>
        <w:rPr>
          <w:b/>
          <w:color w:val="000000" w:themeColor="text1"/>
          <w:spacing w:val="-6"/>
          <w:sz w:val="21"/>
          <w:highlight w:val="none"/>
          <w14:textFill>
            <w14:solidFill>
              <w14:schemeClr w14:val="tx1"/>
            </w14:solidFill>
          </w14:textFill>
        </w:rPr>
        <w:t>注：</w:t>
      </w:r>
    </w:p>
    <w:p>
      <w:pPr>
        <w:pStyle w:val="19"/>
        <w:numPr>
          <w:ilvl w:val="0"/>
          <w:numId w:val="58"/>
        </w:numPr>
        <w:shd w:val="clear"/>
        <w:tabs>
          <w:tab w:val="left" w:pos="1419"/>
        </w:tabs>
        <w:spacing w:before="135"/>
        <w:ind w:left="1419" w:hanging="208"/>
        <w:rPr>
          <w:color w:val="000000" w:themeColor="text1"/>
          <w:sz w:val="21"/>
          <w:highlight w:val="none"/>
          <w14:textFill>
            <w14:solidFill>
              <w14:schemeClr w14:val="tx1"/>
            </w14:solidFill>
          </w14:textFill>
        </w:rPr>
      </w:pPr>
      <w:r>
        <w:rPr>
          <w:color w:val="000000" w:themeColor="text1"/>
          <w:spacing w:val="-3"/>
          <w:sz w:val="21"/>
          <w:highlight w:val="none"/>
          <w14:textFill>
            <w14:solidFill>
              <w14:schemeClr w14:val="tx1"/>
            </w14:solidFill>
          </w14:textFill>
        </w:rPr>
        <w:t>此表用于开标唱标之用。</w:t>
      </w:r>
    </w:p>
    <w:p>
      <w:pPr>
        <w:pStyle w:val="19"/>
        <w:numPr>
          <w:ilvl w:val="0"/>
          <w:numId w:val="58"/>
        </w:numPr>
        <w:shd w:val="clear"/>
        <w:tabs>
          <w:tab w:val="left" w:pos="1419"/>
        </w:tabs>
        <w:spacing w:before="135"/>
        <w:ind w:left="1419" w:hanging="208"/>
        <w:rPr>
          <w:color w:val="000000" w:themeColor="text1"/>
          <w:sz w:val="21"/>
          <w:highlight w:val="none"/>
          <w14:textFill>
            <w14:solidFill>
              <w14:schemeClr w14:val="tx1"/>
            </w14:solidFill>
          </w14:textFill>
        </w:rPr>
      </w:pPr>
      <w:r>
        <w:rPr>
          <w:color w:val="000000" w:themeColor="text1"/>
          <w:spacing w:val="-9"/>
          <w:sz w:val="21"/>
          <w:highlight w:val="none"/>
          <w14:textFill>
            <w14:solidFill>
              <w14:schemeClr w14:val="tx1"/>
            </w14:solidFill>
          </w14:textFill>
        </w:rPr>
        <w:t>表中投标报价即为优惠后报价，并作为评审及定标依据。任何有选择或有条件的投标</w:t>
      </w:r>
    </w:p>
    <w:p>
      <w:pPr>
        <w:shd w:val="clear"/>
        <w:spacing w:before="137" w:line="357" w:lineRule="auto"/>
        <w:ind w:left="1197" w:right="4048" w:hanging="420"/>
        <w:rPr>
          <w:color w:val="000000" w:themeColor="text1"/>
          <w:sz w:val="21"/>
          <w:highlight w:val="none"/>
          <w14:textFill>
            <w14:solidFill>
              <w14:schemeClr w14:val="tx1"/>
            </w14:solidFill>
          </w14:textFill>
        </w:rPr>
      </w:pPr>
      <w:r>
        <w:rPr>
          <w:color w:val="000000" w:themeColor="text1"/>
          <w:spacing w:val="-2"/>
          <w:sz w:val="21"/>
          <w:highlight w:val="none"/>
          <w14:textFill>
            <w14:solidFill>
              <w14:schemeClr w14:val="tx1"/>
            </w14:solidFill>
          </w14:textFill>
        </w:rPr>
        <w:t>报价，或者表中某一包填写多个报价，均为无效报价。 3.表中大写与小写不一致的，以大写为准。</w:t>
      </w:r>
    </w:p>
    <w:p>
      <w:pPr>
        <w:shd w:val="clear"/>
        <w:spacing w:line="357" w:lineRule="auto"/>
        <w:rPr>
          <w:color w:val="000000" w:themeColor="text1"/>
          <w:sz w:val="21"/>
          <w:highlight w:val="none"/>
          <w14:textFill>
            <w14:solidFill>
              <w14:schemeClr w14:val="tx1"/>
            </w14:solidFill>
          </w14:textFill>
        </w:rPr>
        <w:sectPr>
          <w:pgSz w:w="11910" w:h="16840"/>
          <w:pgMar w:top="1380" w:right="1019" w:bottom="1040" w:left="1020" w:header="878" w:footer="853" w:gutter="0"/>
          <w:cols w:space="720" w:num="1"/>
        </w:sectPr>
      </w:pPr>
    </w:p>
    <w:p>
      <w:pPr>
        <w:pStyle w:val="5"/>
        <w:shd w:val="clear"/>
        <w:spacing w:before="159"/>
        <w:rPr>
          <w:color w:val="000000" w:themeColor="text1"/>
          <w:highlight w:val="none"/>
          <w14:textFill>
            <w14:solidFill>
              <w14:schemeClr w14:val="tx1"/>
            </w14:solidFill>
          </w14:textFill>
        </w:rPr>
      </w:pPr>
      <w:bookmarkStart w:id="184" w:name="_bookmark46"/>
      <w:bookmarkEnd w:id="184"/>
      <w:bookmarkStart w:id="185" w:name="_bookmark43"/>
      <w:bookmarkEnd w:id="185"/>
      <w:bookmarkStart w:id="186" w:name="一、投标函"/>
      <w:bookmarkEnd w:id="186"/>
      <w:bookmarkStart w:id="187" w:name="二、分项报价表"/>
      <w:bookmarkEnd w:id="187"/>
      <w:r>
        <w:rPr>
          <w:color w:val="000000" w:themeColor="text1"/>
          <w:spacing w:val="-4"/>
          <w:highlight w:val="none"/>
          <w14:textFill>
            <w14:solidFill>
              <w14:schemeClr w14:val="tx1"/>
            </w14:solidFill>
          </w14:textFill>
        </w:rPr>
        <w:t>一、投标函</w:t>
      </w:r>
    </w:p>
    <w:p>
      <w:pPr>
        <w:pStyle w:val="10"/>
        <w:shd w:val="clear"/>
        <w:spacing w:before="28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致：（采购人</w:t>
      </w:r>
      <w:r>
        <w:rPr>
          <w:color w:val="000000" w:themeColor="text1"/>
          <w:spacing w:val="-10"/>
          <w:highlight w:val="none"/>
          <w14:textFill>
            <w14:solidFill>
              <w14:schemeClr w14:val="tx1"/>
            </w14:solidFill>
          </w14:textFill>
        </w:rPr>
        <w:t>）</w:t>
      </w:r>
    </w:p>
    <w:p>
      <w:pPr>
        <w:pStyle w:val="10"/>
        <w:shd w:val="clear"/>
        <w:spacing w:before="156" w:line="360" w:lineRule="auto"/>
        <w:ind w:right="805" w:firstLine="480"/>
        <w:rPr>
          <w:b/>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根据贵方</w:t>
      </w:r>
      <w:r>
        <w:rPr>
          <w:color w:val="000000" w:themeColor="text1"/>
          <w:spacing w:val="-2"/>
          <w:highlight w:val="none"/>
          <w:u w:val="single"/>
          <w14:textFill>
            <w14:solidFill>
              <w14:schemeClr w14:val="tx1"/>
            </w14:solidFill>
          </w14:textFill>
        </w:rPr>
        <w:t>（项目名称）（项目编号/包号）</w:t>
      </w:r>
      <w:r>
        <w:rPr>
          <w:color w:val="000000" w:themeColor="text1"/>
          <w:spacing w:val="-2"/>
          <w:highlight w:val="none"/>
          <w14:textFill>
            <w14:solidFill>
              <w14:schemeClr w14:val="tx1"/>
            </w14:solidFill>
          </w14:textFill>
        </w:rPr>
        <w:t>项目的招标公告，签字代表</w:t>
      </w:r>
      <w:r>
        <w:rPr>
          <w:color w:val="000000" w:themeColor="text1"/>
          <w:spacing w:val="-2"/>
          <w:highlight w:val="none"/>
          <w:u w:val="single"/>
          <w14:textFill>
            <w14:solidFill>
              <w14:schemeClr w14:val="tx1"/>
            </w14:solidFill>
          </w14:textFill>
        </w:rPr>
        <w:t>（姓</w:t>
      </w:r>
      <w:r>
        <w:rPr>
          <w:color w:val="000000" w:themeColor="text1"/>
          <w:spacing w:val="80"/>
          <w:w w:val="150"/>
          <w:highlight w:val="none"/>
          <w:u w:val="single"/>
          <w14:textFill>
            <w14:solidFill>
              <w14:schemeClr w14:val="tx1"/>
            </w14:solidFill>
          </w14:textFill>
        </w:rPr>
        <w:t xml:space="preserve">                     </w:t>
      </w:r>
      <w:r>
        <w:rPr>
          <w:color w:val="000000" w:themeColor="text1"/>
          <w:spacing w:val="-2"/>
          <w:highlight w:val="none"/>
          <w:u w:val="single"/>
          <w14:textFill>
            <w14:solidFill>
              <w14:schemeClr w14:val="tx1"/>
            </w14:solidFill>
          </w14:textFill>
        </w:rPr>
        <w:t>名、职务）</w:t>
      </w:r>
      <w:r>
        <w:rPr>
          <w:color w:val="000000" w:themeColor="text1"/>
          <w:spacing w:val="-2"/>
          <w:highlight w:val="none"/>
          <w14:textFill>
            <w14:solidFill>
              <w14:schemeClr w14:val="tx1"/>
            </w14:solidFill>
          </w14:textFill>
        </w:rPr>
        <w:t>经正式授权并代表投标人</w:t>
      </w:r>
      <w:r>
        <w:rPr>
          <w:color w:val="000000" w:themeColor="text1"/>
          <w:spacing w:val="-2"/>
          <w:highlight w:val="none"/>
          <w:u w:val="single"/>
          <w14:textFill>
            <w14:solidFill>
              <w14:schemeClr w14:val="tx1"/>
            </w14:solidFill>
          </w14:textFill>
        </w:rPr>
        <w:t>（投标人名称、地址）</w:t>
      </w:r>
      <w:r>
        <w:rPr>
          <w:color w:val="000000" w:themeColor="text1"/>
          <w:spacing w:val="-2"/>
          <w:highlight w:val="none"/>
          <w14:textFill>
            <w14:solidFill>
              <w14:schemeClr w14:val="tx1"/>
            </w14:solidFill>
          </w14:textFill>
        </w:rPr>
        <w:t>提交下述文件</w:t>
      </w:r>
      <w:r>
        <w:rPr>
          <w:b/>
          <w:color w:val="000000" w:themeColor="text1"/>
          <w:spacing w:val="-2"/>
          <w:highlight w:val="none"/>
          <w14:textFill>
            <w14:solidFill>
              <w14:schemeClr w14:val="tx1"/>
            </w14:solidFill>
          </w14:textFill>
        </w:rPr>
        <w:t>：</w:t>
      </w:r>
    </w:p>
    <w:p>
      <w:pPr>
        <w:pStyle w:val="19"/>
        <w:numPr>
          <w:ilvl w:val="0"/>
          <w:numId w:val="59"/>
        </w:numPr>
        <w:shd w:val="clear"/>
        <w:tabs>
          <w:tab w:val="left" w:pos="1500"/>
        </w:tabs>
        <w:spacing w:line="288" w:lineRule="exact"/>
        <w:ind w:left="1500" w:hanging="24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资格证明文件；</w:t>
      </w:r>
    </w:p>
    <w:p>
      <w:pPr>
        <w:pStyle w:val="19"/>
        <w:numPr>
          <w:ilvl w:val="0"/>
          <w:numId w:val="59"/>
        </w:numPr>
        <w:shd w:val="clear"/>
        <w:tabs>
          <w:tab w:val="left" w:pos="1500"/>
        </w:tabs>
        <w:spacing w:before="108"/>
        <w:ind w:left="1500" w:hanging="24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投标报价文件；</w:t>
      </w:r>
    </w:p>
    <w:p>
      <w:pPr>
        <w:pStyle w:val="19"/>
        <w:numPr>
          <w:ilvl w:val="0"/>
          <w:numId w:val="59"/>
        </w:numPr>
        <w:shd w:val="clear"/>
        <w:tabs>
          <w:tab w:val="left" w:pos="1500"/>
        </w:tabs>
        <w:spacing w:before="111"/>
        <w:ind w:left="1500" w:hanging="24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商务技术文件。</w:t>
      </w:r>
    </w:p>
    <w:p>
      <w:pPr>
        <w:pStyle w:val="10"/>
        <w:shd w:val="clear"/>
        <w:spacing w:before="108"/>
        <w:ind w:left="1260"/>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根据此函，签字代表宣布同意如下：</w:t>
      </w:r>
    </w:p>
    <w:p>
      <w:pPr>
        <w:pStyle w:val="19"/>
        <w:numPr>
          <w:ilvl w:val="0"/>
          <w:numId w:val="60"/>
        </w:numPr>
        <w:shd w:val="clear"/>
        <w:tabs>
          <w:tab w:val="left" w:pos="1500"/>
          <w:tab w:val="left" w:pos="3779"/>
        </w:tabs>
        <w:spacing w:before="110" w:line="324" w:lineRule="auto"/>
        <w:ind w:right="777" w:firstLine="480"/>
        <w:rPr>
          <w:color w:val="000000" w:themeColor="text1"/>
          <w:sz w:val="24"/>
          <w:highlight w:val="none"/>
          <w14:textFill>
            <w14:solidFill>
              <w14:schemeClr w14:val="tx1"/>
            </w14:solidFill>
          </w14:textFill>
        </w:rPr>
      </w:pPr>
      <w:r>
        <w:rPr>
          <w:color w:val="000000" w:themeColor="text1"/>
          <w:spacing w:val="-4"/>
          <w:sz w:val="24"/>
          <w:highlight w:val="none"/>
          <w14:textFill>
            <w14:solidFill>
              <w14:schemeClr w14:val="tx1"/>
            </w14:solidFill>
          </w14:textFill>
        </w:rPr>
        <w:t>所附投标价格表中规定的应提交和交付的服务</w:t>
      </w:r>
      <w:r>
        <w:rPr>
          <w:rFonts w:hint="eastAsia"/>
          <w:color w:val="000000" w:themeColor="text1"/>
          <w:spacing w:val="-4"/>
          <w:sz w:val="24"/>
          <w:highlight w:val="none"/>
          <w14:textFill>
            <w14:solidFill>
              <w14:schemeClr w14:val="tx1"/>
            </w14:solidFill>
          </w14:textFill>
        </w:rPr>
        <w:t>费支付比例</w:t>
      </w:r>
      <w:r>
        <w:rPr>
          <w:rFonts w:hint="eastAsia"/>
          <w:color w:val="000000" w:themeColor="text1"/>
          <w:spacing w:val="-4"/>
          <w:sz w:val="24"/>
          <w:highlight w:val="none"/>
          <w:u w:val="single"/>
          <w14:textFill>
            <w14:solidFill>
              <w14:schemeClr w14:val="tx1"/>
            </w14:solidFill>
          </w14:textFill>
        </w:rPr>
        <w:t xml:space="preserve">：     </w:t>
      </w:r>
      <w:r>
        <w:rPr>
          <w:rFonts w:hint="eastAsia"/>
          <w:color w:val="000000" w:themeColor="text1"/>
          <w:spacing w:val="-4"/>
          <w:sz w:val="24"/>
          <w:highlight w:val="none"/>
          <w14:textFill>
            <w14:solidFill>
              <w14:schemeClr w14:val="tx1"/>
            </w14:solidFill>
          </w14:textFill>
        </w:rPr>
        <w:t xml:space="preserve"> %，来承担本项目采购范围内的服务工作。</w:t>
      </w:r>
    </w:p>
    <w:p>
      <w:pPr>
        <w:pStyle w:val="19"/>
        <w:numPr>
          <w:ilvl w:val="0"/>
          <w:numId w:val="60"/>
        </w:numPr>
        <w:shd w:val="clear"/>
        <w:tabs>
          <w:tab w:val="left" w:pos="1500"/>
          <w:tab w:val="left" w:pos="3779"/>
        </w:tabs>
        <w:spacing w:before="110" w:line="324" w:lineRule="auto"/>
        <w:ind w:right="777" w:firstLine="480"/>
        <w:rPr>
          <w:color w:val="000000" w:themeColor="text1"/>
          <w:spacing w:val="-4"/>
          <w:sz w:val="24"/>
          <w:highlight w:val="none"/>
          <w14:textFill>
            <w14:solidFill>
              <w14:schemeClr w14:val="tx1"/>
            </w14:solidFill>
          </w14:textFill>
        </w:rPr>
      </w:pPr>
      <w:r>
        <w:rPr>
          <w:color w:val="000000" w:themeColor="text1"/>
          <w:spacing w:val="-4"/>
          <w:sz w:val="24"/>
          <w:highlight w:val="none"/>
          <w14:textFill>
            <w14:solidFill>
              <w14:schemeClr w14:val="tx1"/>
            </w14:solidFill>
          </w14:textFill>
        </w:rPr>
        <w:t>我方将按招标文件的规定履行合同责任和义务。</w:t>
      </w:r>
      <w:r>
        <w:rPr>
          <w:rFonts w:hint="eastAsia"/>
          <w:color w:val="000000" w:themeColor="text1"/>
          <w:spacing w:val="-4"/>
          <w:sz w:val="24"/>
          <w:highlight w:val="none"/>
          <w:lang w:val="en-US" w:eastAsia="zh-CN"/>
          <w14:textFill>
            <w14:solidFill>
              <w14:schemeClr w14:val="tx1"/>
            </w14:solidFill>
          </w14:textFill>
        </w:rPr>
        <w:t>收到贵方发出成交通知书后开展工作，非采购人原因，我方保证在</w:t>
      </w:r>
      <w:r>
        <w:rPr>
          <w:rFonts w:hint="eastAsia"/>
          <w:color w:val="000000" w:themeColor="text1"/>
          <w:spacing w:val="-4"/>
          <w:sz w:val="24"/>
          <w:highlight w:val="none"/>
          <w:u w:val="single"/>
          <w:lang w:val="en-US" w:eastAsia="zh-CN"/>
          <w14:textFill>
            <w14:solidFill>
              <w14:schemeClr w14:val="tx1"/>
            </w14:solidFill>
          </w14:textFill>
        </w:rPr>
        <w:t xml:space="preserve">          </w:t>
      </w:r>
      <w:r>
        <w:rPr>
          <w:rFonts w:hint="eastAsia"/>
          <w:color w:val="000000" w:themeColor="text1"/>
          <w:spacing w:val="-4"/>
          <w:sz w:val="24"/>
          <w:highlight w:val="none"/>
          <w:lang w:val="en-US" w:eastAsia="zh-CN"/>
          <w14:textFill>
            <w14:solidFill>
              <w14:schemeClr w14:val="tx1"/>
            </w14:solidFill>
          </w14:textFill>
        </w:rPr>
        <w:t>天（日历日）内完成服务质量升级方案，并办理完所有经营手续，达到可开业服务的要求，否则按违约承担责任。</w:t>
      </w:r>
    </w:p>
    <w:p>
      <w:pPr>
        <w:pStyle w:val="19"/>
        <w:numPr>
          <w:ilvl w:val="0"/>
          <w:numId w:val="60"/>
        </w:numPr>
        <w:shd w:val="clear"/>
        <w:tabs>
          <w:tab w:val="left" w:pos="1500"/>
        </w:tabs>
        <w:spacing w:before="108" w:line="324" w:lineRule="auto"/>
        <w:ind w:right="657" w:firstLine="480"/>
        <w:rPr>
          <w:color w:val="000000" w:themeColor="text1"/>
          <w:sz w:val="24"/>
          <w:highlight w:val="none"/>
          <w14:textFill>
            <w14:solidFill>
              <w14:schemeClr w14:val="tx1"/>
            </w14:solidFill>
          </w14:textFill>
        </w:rPr>
      </w:pPr>
      <w:r>
        <w:rPr>
          <w:color w:val="000000" w:themeColor="text1"/>
          <w:spacing w:val="-4"/>
          <w:sz w:val="24"/>
          <w:highlight w:val="none"/>
          <w14:textFill>
            <w14:solidFill>
              <w14:schemeClr w14:val="tx1"/>
            </w14:solidFill>
          </w14:textFill>
        </w:rPr>
        <w:t>我方已详细审查全部招标文件，包括第</w:t>
      </w:r>
      <w:r>
        <w:rPr>
          <w:color w:val="000000" w:themeColor="text1"/>
          <w:spacing w:val="-4"/>
          <w:sz w:val="24"/>
          <w:highlight w:val="none"/>
          <w:u w:val="single"/>
          <w14:textFill>
            <w14:solidFill>
              <w14:schemeClr w14:val="tx1"/>
            </w14:solidFill>
          </w14:textFill>
        </w:rPr>
        <w:t>（编号、补遗书）（如果有的话</w:t>
      </w:r>
      <w:r>
        <w:rPr>
          <w:color w:val="000000" w:themeColor="text1"/>
          <w:spacing w:val="-99"/>
          <w:sz w:val="24"/>
          <w:highlight w:val="none"/>
          <w:u w:val="single"/>
          <w14:textFill>
            <w14:solidFill>
              <w14:schemeClr w14:val="tx1"/>
            </w14:solidFill>
          </w14:textFill>
        </w:rPr>
        <w:t>）</w:t>
      </w:r>
      <w:r>
        <w:rPr>
          <w:color w:val="000000" w:themeColor="text1"/>
          <w:spacing w:val="-4"/>
          <w:sz w:val="24"/>
          <w:highlight w:val="none"/>
          <w14:textFill>
            <w14:solidFill>
              <w14:schemeClr w14:val="tx1"/>
            </w14:solidFill>
          </w14:textFill>
        </w:rPr>
        <w:t>。</w:t>
      </w:r>
      <w:r>
        <w:rPr>
          <w:color w:val="000000" w:themeColor="text1"/>
          <w:spacing w:val="-2"/>
          <w:sz w:val="24"/>
          <w:highlight w:val="none"/>
          <w14:textFill>
            <w14:solidFill>
              <w14:schemeClr w14:val="tx1"/>
            </w14:solidFill>
          </w14:textFill>
        </w:rPr>
        <w:t>我方完全理解并同意放弃对这方面有不明及误解的权力。</w:t>
      </w:r>
    </w:p>
    <w:p>
      <w:pPr>
        <w:pStyle w:val="19"/>
        <w:numPr>
          <w:ilvl w:val="0"/>
          <w:numId w:val="60"/>
        </w:numPr>
        <w:shd w:val="clear"/>
        <w:tabs>
          <w:tab w:val="left" w:pos="1500"/>
        </w:tabs>
        <w:ind w:left="1500" w:hanging="24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投标有效期为自提交投标文件的截止之日起</w:t>
      </w:r>
      <w:r>
        <w:rPr>
          <w:rFonts w:ascii="Times New Roman" w:eastAsia="Times New Roman"/>
          <w:color w:val="000000" w:themeColor="text1"/>
          <w:spacing w:val="27"/>
          <w:sz w:val="24"/>
          <w:highlight w:val="none"/>
          <w:u w:val="single"/>
          <w14:textFill>
            <w14:solidFill>
              <w14:schemeClr w14:val="tx1"/>
            </w14:solidFill>
          </w14:textFill>
        </w:rPr>
        <w:t xml:space="preserve"> </w:t>
      </w:r>
      <w:r>
        <w:rPr>
          <w:color w:val="000000" w:themeColor="text1"/>
          <w:spacing w:val="-2"/>
          <w:sz w:val="24"/>
          <w:highlight w:val="none"/>
          <w:u w:val="single"/>
          <w14:textFill>
            <w14:solidFill>
              <w14:schemeClr w14:val="tx1"/>
            </w14:solidFill>
          </w14:textFill>
        </w:rPr>
        <w:t>（由投标人填写）</w:t>
      </w:r>
      <w:r>
        <w:rPr>
          <w:color w:val="000000" w:themeColor="text1"/>
          <w:spacing w:val="-4"/>
          <w:sz w:val="24"/>
          <w:highlight w:val="none"/>
          <w14:textFill>
            <w14:solidFill>
              <w14:schemeClr w14:val="tx1"/>
            </w14:solidFill>
          </w14:textFill>
        </w:rPr>
        <w:t>个日历天。</w:t>
      </w:r>
    </w:p>
    <w:p>
      <w:pPr>
        <w:pStyle w:val="19"/>
        <w:numPr>
          <w:ilvl w:val="0"/>
          <w:numId w:val="60"/>
        </w:numPr>
        <w:shd w:val="clear"/>
        <w:tabs>
          <w:tab w:val="left" w:pos="1500"/>
        </w:tabs>
        <w:spacing w:before="111" w:line="324" w:lineRule="auto"/>
        <w:ind w:right="777" w:firstLine="480"/>
        <w:rPr>
          <w:color w:val="000000" w:themeColor="text1"/>
          <w:sz w:val="24"/>
          <w:highlight w:val="none"/>
          <w14:textFill>
            <w14:solidFill>
              <w14:schemeClr w14:val="tx1"/>
            </w14:solidFill>
          </w14:textFill>
        </w:rPr>
      </w:pPr>
      <w:r>
        <w:rPr>
          <w:color w:val="000000" w:themeColor="text1"/>
          <w:spacing w:val="-5"/>
          <w:sz w:val="24"/>
          <w:highlight w:val="none"/>
          <w14:textFill>
            <w14:solidFill>
              <w14:schemeClr w14:val="tx1"/>
            </w14:solidFill>
          </w14:textFill>
        </w:rPr>
        <w:t>我方同意提供按照贵方招标文件要求的与投标有关的一切数据或资料，采</w:t>
      </w:r>
      <w:r>
        <w:rPr>
          <w:color w:val="000000" w:themeColor="text1"/>
          <w:spacing w:val="-2"/>
          <w:sz w:val="24"/>
          <w:highlight w:val="none"/>
          <w14:textFill>
            <w14:solidFill>
              <w14:schemeClr w14:val="tx1"/>
            </w14:solidFill>
          </w14:textFill>
        </w:rPr>
        <w:t>用综合评分法时，我方完全理解贵方不一定接受最低价的投标。</w:t>
      </w:r>
    </w:p>
    <w:p>
      <w:pPr>
        <w:pStyle w:val="19"/>
        <w:numPr>
          <w:ilvl w:val="0"/>
          <w:numId w:val="60"/>
        </w:numPr>
        <w:shd w:val="clear"/>
        <w:tabs>
          <w:tab w:val="left" w:pos="1500"/>
        </w:tabs>
        <w:spacing w:line="324" w:lineRule="auto"/>
        <w:ind w:right="777" w:firstLine="480"/>
        <w:rPr>
          <w:color w:val="000000" w:themeColor="text1"/>
          <w:sz w:val="24"/>
          <w:highlight w:val="none"/>
          <w14:textFill>
            <w14:solidFill>
              <w14:schemeClr w14:val="tx1"/>
            </w14:solidFill>
          </w14:textFill>
        </w:rPr>
      </w:pPr>
      <w:r>
        <w:rPr>
          <w:color w:val="000000" w:themeColor="text1"/>
          <w:spacing w:val="-8"/>
          <w:sz w:val="24"/>
          <w:highlight w:val="none"/>
          <w14:textFill>
            <w14:solidFill>
              <w14:schemeClr w14:val="tx1"/>
            </w14:solidFill>
          </w14:textFill>
        </w:rPr>
        <w:t>本项目如由中标人支付采购代理服务费，我方同意按投标人须知前附表中</w:t>
      </w:r>
      <w:r>
        <w:rPr>
          <w:color w:val="000000" w:themeColor="text1"/>
          <w:spacing w:val="-2"/>
          <w:sz w:val="24"/>
          <w:highlight w:val="none"/>
          <w14:textFill>
            <w14:solidFill>
              <w14:schemeClr w14:val="tx1"/>
            </w14:solidFill>
          </w14:textFill>
        </w:rPr>
        <w:t>规定向采购代理机构支付采购代理服务费。</w:t>
      </w:r>
    </w:p>
    <w:p>
      <w:pPr>
        <w:pStyle w:val="19"/>
        <w:numPr>
          <w:ilvl w:val="0"/>
          <w:numId w:val="60"/>
        </w:numPr>
        <w:shd w:val="clear"/>
        <w:tabs>
          <w:tab w:val="left" w:pos="1500"/>
        </w:tabs>
        <w:spacing w:line="257" w:lineRule="exact"/>
        <w:ind w:left="1500" w:hanging="24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重要声明：</w:t>
      </w:r>
    </w:p>
    <w:p>
      <w:pPr>
        <w:pStyle w:val="19"/>
        <w:numPr>
          <w:ilvl w:val="0"/>
          <w:numId w:val="61"/>
        </w:numPr>
        <w:shd w:val="clear"/>
        <w:tabs>
          <w:tab w:val="left" w:pos="1620"/>
        </w:tabs>
        <w:spacing w:before="108"/>
        <w:ind w:left="1620" w:hanging="360"/>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与我方单位负责人为同一人的其他单位名称：</w:t>
      </w:r>
    </w:p>
    <w:p>
      <w:pPr>
        <w:pStyle w:val="10"/>
        <w:shd w:val="clear"/>
        <w:spacing w:before="108" w:line="324" w:lineRule="auto"/>
        <w:ind w:left="1260" w:right="2272" w:firstLine="331"/>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□无；□有，具体单位名称为：</w:t>
      </w:r>
      <w:r>
        <w:rPr>
          <w:color w:val="000000" w:themeColor="text1"/>
          <w:spacing w:val="-2"/>
          <w:highlight w:val="none"/>
          <w:u w:val="single"/>
          <w14:textFill>
            <w14:solidFill>
              <w14:schemeClr w14:val="tx1"/>
            </w14:solidFill>
          </w14:textFill>
        </w:rPr>
        <w:t>（由投标人如实填写）</w:t>
      </w:r>
      <w:r>
        <w:rPr>
          <w:color w:val="000000" w:themeColor="text1"/>
          <w:spacing w:val="-2"/>
          <w:highlight w:val="none"/>
          <w14:textFill>
            <w14:solidFill>
              <w14:schemeClr w14:val="tx1"/>
            </w14:solidFill>
          </w14:textFill>
        </w:rPr>
        <w:t>。 2）与我方存在控股、管理关系的其他单位的名称：</w:t>
      </w:r>
    </w:p>
    <w:p>
      <w:pPr>
        <w:pStyle w:val="10"/>
        <w:shd w:val="clear"/>
        <w:spacing w:line="310" w:lineRule="exact"/>
        <w:ind w:left="159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□无；□有，具体单位名称为： </w:t>
      </w:r>
      <w:r>
        <w:rPr>
          <w:color w:val="000000" w:themeColor="text1"/>
          <w:highlight w:val="none"/>
          <w:u w:val="single"/>
          <w14:textFill>
            <w14:solidFill>
              <w14:schemeClr w14:val="tx1"/>
            </w14:solidFill>
          </w14:textFill>
        </w:rPr>
        <w:t>（由投标人如实填写）</w:t>
      </w:r>
      <w:r>
        <w:rPr>
          <w:color w:val="000000" w:themeColor="text1"/>
          <w:spacing w:val="-10"/>
          <w:highlight w:val="none"/>
          <w14:textFill>
            <w14:solidFill>
              <w14:schemeClr w14:val="tx1"/>
            </w14:solidFill>
          </w14:textFill>
        </w:rPr>
        <w:t>。</w:t>
      </w:r>
    </w:p>
    <w:p>
      <w:pPr>
        <w:pStyle w:val="19"/>
        <w:numPr>
          <w:ilvl w:val="0"/>
          <w:numId w:val="62"/>
        </w:numPr>
        <w:shd w:val="clear"/>
        <w:tabs>
          <w:tab w:val="left" w:pos="1620"/>
        </w:tabs>
        <w:spacing w:before="108" w:line="324" w:lineRule="auto"/>
        <w:ind w:right="805" w:firstLine="48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参与本项目采购活动前，是否为本项目前期准备提供过整体设计、规范编制或者项目管理、监理、检测等服务：</w:t>
      </w:r>
    </w:p>
    <w:p>
      <w:pPr>
        <w:pStyle w:val="10"/>
        <w:shd w:val="clear"/>
        <w:ind w:left="159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□无；□有，已提供的具体服务内容为： </w:t>
      </w:r>
      <w:r>
        <w:rPr>
          <w:color w:val="000000" w:themeColor="text1"/>
          <w:highlight w:val="none"/>
          <w:u w:val="single"/>
          <w14:textFill>
            <w14:solidFill>
              <w14:schemeClr w14:val="tx1"/>
            </w14:solidFill>
          </w14:textFill>
        </w:rPr>
        <w:t>（由投标人如实填写）</w:t>
      </w:r>
      <w:r>
        <w:rPr>
          <w:color w:val="000000" w:themeColor="text1"/>
          <w:spacing w:val="-10"/>
          <w:highlight w:val="none"/>
          <w14:textFill>
            <w14:solidFill>
              <w14:schemeClr w14:val="tx1"/>
            </w14:solidFill>
          </w14:textFill>
        </w:rPr>
        <w:t>。</w:t>
      </w:r>
    </w:p>
    <w:p>
      <w:pPr>
        <w:pStyle w:val="10"/>
        <w:shd w:val="clear"/>
        <w:spacing w:before="146" w:line="324" w:lineRule="auto"/>
        <w:ind w:right="777" w:firstLine="480"/>
        <w:jc w:val="both"/>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w:t>
      </w:r>
      <w:r>
        <w:rPr>
          <w:color w:val="000000" w:themeColor="text1"/>
          <w:spacing w:val="-8"/>
          <w:highlight w:val="none"/>
          <w14:textFill>
            <w14:solidFill>
              <w14:schemeClr w14:val="tx1"/>
            </w14:solidFill>
          </w14:textFill>
        </w:rPr>
        <w:t xml:space="preserve">备注：以上 </w:t>
      </w:r>
      <w:r>
        <w:rPr>
          <w:color w:val="000000" w:themeColor="text1"/>
          <w:spacing w:val="-4"/>
          <w:highlight w:val="none"/>
          <w14:textFill>
            <w14:solidFill>
              <w14:schemeClr w14:val="tx1"/>
            </w14:solidFill>
          </w14:textFill>
        </w:rPr>
        <w:t>3</w:t>
      </w:r>
      <w:r>
        <w:rPr>
          <w:color w:val="000000" w:themeColor="text1"/>
          <w:spacing w:val="-9"/>
          <w:highlight w:val="none"/>
          <w14:textFill>
            <w14:solidFill>
              <w14:schemeClr w14:val="tx1"/>
            </w14:solidFill>
          </w14:textFill>
        </w:rPr>
        <w:t xml:space="preserve"> 项声明，必须如实选择，选中项用</w:t>
      </w:r>
      <w:r>
        <w:rPr>
          <w:rFonts w:ascii="Segoe UI Symbol" w:hAnsi="Segoe UI Symbol" w:eastAsia="Segoe UI Symbol"/>
          <w:color w:val="000000" w:themeColor="text1"/>
          <w:spacing w:val="-4"/>
          <w:highlight w:val="none"/>
          <w14:textFill>
            <w14:solidFill>
              <w14:schemeClr w14:val="tx1"/>
            </w14:solidFill>
          </w14:textFill>
        </w:rPr>
        <w:t>☑</w:t>
      </w:r>
      <w:r>
        <w:rPr>
          <w:color w:val="000000" w:themeColor="text1"/>
          <w:spacing w:val="-4"/>
          <w:highlight w:val="none"/>
          <w14:textFill>
            <w14:solidFill>
              <w14:schemeClr w14:val="tx1"/>
            </w14:solidFill>
          </w14:textFill>
        </w:rPr>
        <w:t>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w:t>
      </w:r>
      <w:r>
        <w:rPr>
          <w:color w:val="000000" w:themeColor="text1"/>
          <w:spacing w:val="-2"/>
          <w:highlight w:val="none"/>
          <w14:textFill>
            <w14:solidFill>
              <w14:schemeClr w14:val="tx1"/>
            </w14:solidFill>
          </w14:textFill>
        </w:rPr>
        <w:t>材料谋取中标，应承担相应法律责任。）</w:t>
      </w:r>
    </w:p>
    <w:p>
      <w:pPr>
        <w:pStyle w:val="19"/>
        <w:numPr>
          <w:ilvl w:val="0"/>
          <w:numId w:val="62"/>
        </w:numPr>
        <w:shd w:val="clear"/>
        <w:tabs>
          <w:tab w:val="left" w:pos="1620"/>
        </w:tabs>
        <w:spacing w:line="255" w:lineRule="exact"/>
        <w:ind w:left="1620" w:hanging="360"/>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我方在本投标文件中所提供的全部资料均真实有效，我方承诺对其真实</w:t>
      </w:r>
    </w:p>
    <w:p>
      <w:pPr>
        <w:pStyle w:val="10"/>
        <w:shd w:val="clear"/>
        <w:spacing w:before="53"/>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性负责并承担相应后果。</w:t>
      </w:r>
    </w:p>
    <w:p>
      <w:pPr>
        <w:pStyle w:val="19"/>
        <w:numPr>
          <w:ilvl w:val="0"/>
          <w:numId w:val="62"/>
        </w:numPr>
        <w:shd w:val="clear"/>
        <w:tabs>
          <w:tab w:val="left" w:pos="1620"/>
        </w:tabs>
        <w:spacing w:before="108" w:line="324" w:lineRule="auto"/>
        <w:ind w:right="805" w:firstLine="480"/>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我方承诺本《投标函》的签章对本投标文件全部内容具有约束力并承担法律责任。</w:t>
      </w:r>
    </w:p>
    <w:p>
      <w:pPr>
        <w:pStyle w:val="10"/>
        <w:shd w:val="clear"/>
        <w:ind w:left="0"/>
        <w:rPr>
          <w:color w:val="000000" w:themeColor="text1"/>
          <w:sz w:val="20"/>
          <w:highlight w:val="none"/>
          <w14:textFill>
            <w14:solidFill>
              <w14:schemeClr w14:val="tx1"/>
            </w14:solidFill>
          </w14:textFill>
        </w:rPr>
      </w:pPr>
    </w:p>
    <w:p>
      <w:pPr>
        <w:pStyle w:val="10"/>
        <w:shd w:val="clear"/>
        <w:ind w:left="0"/>
        <w:rPr>
          <w:color w:val="000000" w:themeColor="text1"/>
          <w:sz w:val="20"/>
          <w:highlight w:val="none"/>
          <w14:textFill>
            <w14:solidFill>
              <w14:schemeClr w14:val="tx1"/>
            </w14:solidFill>
          </w14:textFill>
        </w:rPr>
      </w:pPr>
    </w:p>
    <w:p>
      <w:pPr>
        <w:pStyle w:val="10"/>
        <w:shd w:val="clear"/>
        <w:ind w:left="0"/>
        <w:rPr>
          <w:color w:val="000000" w:themeColor="text1"/>
          <w:sz w:val="20"/>
          <w:highlight w:val="none"/>
          <w14:textFill>
            <w14:solidFill>
              <w14:schemeClr w14:val="tx1"/>
            </w14:solidFill>
          </w14:textFill>
        </w:rPr>
      </w:pPr>
    </w:p>
    <w:p>
      <w:pPr>
        <w:pStyle w:val="10"/>
        <w:shd w:val="clear"/>
        <w:spacing w:before="167"/>
        <w:ind w:left="0"/>
        <w:rPr>
          <w:color w:val="000000" w:themeColor="text1"/>
          <w:sz w:val="20"/>
          <w:highlight w:val="none"/>
          <w14:textFill>
            <w14:solidFill>
              <w14:schemeClr w14:val="tx1"/>
            </w14:solidFill>
          </w14:textFill>
        </w:rPr>
      </w:pPr>
    </w:p>
    <w:tbl>
      <w:tblPr>
        <w:tblStyle w:val="14"/>
        <w:tblW w:w="0" w:type="auto"/>
        <w:tblInd w:w="1217" w:type="dxa"/>
        <w:tblLayout w:type="fixed"/>
        <w:tblCellMar>
          <w:top w:w="0" w:type="dxa"/>
          <w:left w:w="0" w:type="dxa"/>
          <w:bottom w:w="0" w:type="dxa"/>
          <w:right w:w="0" w:type="dxa"/>
        </w:tblCellMar>
      </w:tblPr>
      <w:tblGrid>
        <w:gridCol w:w="410"/>
        <w:gridCol w:w="600"/>
        <w:gridCol w:w="360"/>
        <w:gridCol w:w="1490"/>
      </w:tblGrid>
      <w:tr>
        <w:tblPrEx>
          <w:tblCellMar>
            <w:top w:w="0" w:type="dxa"/>
            <w:left w:w="0" w:type="dxa"/>
            <w:bottom w:w="0" w:type="dxa"/>
            <w:right w:w="0" w:type="dxa"/>
          </w:tblCellMar>
        </w:tblPrEx>
        <w:trPr>
          <w:trHeight w:val="352" w:hRule="atLeast"/>
        </w:trPr>
        <w:tc>
          <w:tcPr>
            <w:tcW w:w="410" w:type="dxa"/>
          </w:tcPr>
          <w:p>
            <w:pPr>
              <w:pStyle w:val="20"/>
              <w:keepNext w:val="0"/>
              <w:keepLines w:val="0"/>
              <w:suppressLineNumbers w:val="0"/>
              <w:shd w:val="clear"/>
              <w:spacing w:before="0" w:beforeAutospacing="0" w:after="0" w:afterAutospacing="0" w:line="274" w:lineRule="exact"/>
              <w:ind w:left="0" w:right="69"/>
              <w:jc w:val="center"/>
              <w:rPr>
                <w:rFonts w:hint="default"/>
                <w:color w:val="000000" w:themeColor="text1"/>
                <w:sz w:val="24"/>
                <w:highlight w:val="none"/>
                <w14:textFill>
                  <w14:solidFill>
                    <w14:schemeClr w14:val="tx1"/>
                  </w14:solidFill>
                </w14:textFill>
              </w:rPr>
            </w:pPr>
            <w:r>
              <w:rPr>
                <w:rFonts w:hint="default"/>
                <w:color w:val="000000" w:themeColor="text1"/>
                <w:spacing w:val="-10"/>
                <w:sz w:val="24"/>
                <w:highlight w:val="none"/>
                <w14:textFill>
                  <w14:solidFill>
                    <w14:schemeClr w14:val="tx1"/>
                  </w14:solidFill>
                </w14:textFill>
              </w:rPr>
              <w:t>投</w:t>
            </w:r>
          </w:p>
        </w:tc>
        <w:tc>
          <w:tcPr>
            <w:tcW w:w="600" w:type="dxa"/>
          </w:tcPr>
          <w:p>
            <w:pPr>
              <w:pStyle w:val="20"/>
              <w:keepNext w:val="0"/>
              <w:keepLines w:val="0"/>
              <w:suppressLineNumbers w:val="0"/>
              <w:shd w:val="clear"/>
              <w:spacing w:before="0" w:beforeAutospacing="0" w:after="0" w:afterAutospacing="0" w:line="274" w:lineRule="exact"/>
              <w:ind w:left="360" w:right="-15"/>
              <w:rPr>
                <w:rFonts w:hint="default"/>
                <w:color w:val="000000" w:themeColor="text1"/>
                <w:sz w:val="24"/>
                <w:highlight w:val="none"/>
                <w14:textFill>
                  <w14:solidFill>
                    <w14:schemeClr w14:val="tx1"/>
                  </w14:solidFill>
                </w14:textFill>
              </w:rPr>
            </w:pPr>
            <w:r>
              <w:rPr>
                <w:rFonts w:hint="default"/>
                <w:color w:val="000000" w:themeColor="text1"/>
                <w:spacing w:val="-10"/>
                <w:sz w:val="24"/>
                <w:highlight w:val="none"/>
                <w14:textFill>
                  <w14:solidFill>
                    <w14:schemeClr w14:val="tx1"/>
                  </w14:solidFill>
                </w14:textFill>
              </w:rPr>
              <w:t>标</w:t>
            </w:r>
          </w:p>
        </w:tc>
        <w:tc>
          <w:tcPr>
            <w:tcW w:w="360"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highlight w:val="none"/>
                <w14:textFill>
                  <w14:solidFill>
                    <w14:schemeClr w14:val="tx1"/>
                  </w14:solidFill>
                </w14:textFill>
              </w:rPr>
            </w:pPr>
          </w:p>
        </w:tc>
        <w:tc>
          <w:tcPr>
            <w:tcW w:w="1490" w:type="dxa"/>
          </w:tcPr>
          <w:p>
            <w:pPr>
              <w:pStyle w:val="20"/>
              <w:keepNext w:val="0"/>
              <w:keepLines w:val="0"/>
              <w:suppressLineNumbers w:val="0"/>
              <w:shd w:val="clear"/>
              <w:spacing w:before="0" w:beforeAutospacing="0" w:after="0" w:afterAutospacing="0" w:line="274" w:lineRule="exact"/>
              <w:ind w:left="120" w:right="0"/>
              <w:rPr>
                <w:rFonts w:hint="default"/>
                <w:color w:val="000000" w:themeColor="text1"/>
                <w:sz w:val="24"/>
                <w:highlight w:val="none"/>
                <w14:textFill>
                  <w14:solidFill>
                    <w14:schemeClr w14:val="tx1"/>
                  </w14:solidFill>
                </w14:textFill>
              </w:rPr>
            </w:pPr>
            <w:r>
              <w:rPr>
                <w:rFonts w:hint="default"/>
                <w:color w:val="000000" w:themeColor="text1"/>
                <w:sz w:val="24"/>
                <w:highlight w:val="none"/>
                <w14:textFill>
                  <w14:solidFill>
                    <w14:schemeClr w14:val="tx1"/>
                  </w14:solidFill>
                </w14:textFill>
              </w:rPr>
              <w:t>人（</w:t>
            </w:r>
            <w:r>
              <w:rPr>
                <w:rFonts w:hint="default"/>
                <w:color w:val="000000" w:themeColor="text1"/>
                <w:spacing w:val="-3"/>
                <w:sz w:val="24"/>
                <w:highlight w:val="none"/>
                <w14:textFill>
                  <w14:solidFill>
                    <w14:schemeClr w14:val="tx1"/>
                  </w14:solidFill>
                </w14:textFill>
              </w:rPr>
              <w:t>公章)：</w:t>
            </w:r>
          </w:p>
        </w:tc>
      </w:tr>
      <w:tr>
        <w:tblPrEx>
          <w:tblCellMar>
            <w:top w:w="0" w:type="dxa"/>
            <w:left w:w="0" w:type="dxa"/>
            <w:bottom w:w="0" w:type="dxa"/>
            <w:right w:w="0" w:type="dxa"/>
          </w:tblCellMar>
        </w:tblPrEx>
        <w:trPr>
          <w:trHeight w:val="466" w:hRule="atLeast"/>
        </w:trPr>
        <w:tc>
          <w:tcPr>
            <w:tcW w:w="410" w:type="dxa"/>
          </w:tcPr>
          <w:p>
            <w:pPr>
              <w:pStyle w:val="20"/>
              <w:keepNext w:val="0"/>
              <w:keepLines w:val="0"/>
              <w:suppressLineNumbers w:val="0"/>
              <w:shd w:val="clear"/>
              <w:spacing w:before="74" w:beforeAutospacing="0" w:after="0" w:afterAutospacing="0"/>
              <w:ind w:left="0" w:right="69"/>
              <w:jc w:val="center"/>
              <w:rPr>
                <w:rFonts w:hint="default"/>
                <w:color w:val="000000" w:themeColor="text1"/>
                <w:sz w:val="24"/>
                <w:highlight w:val="none"/>
                <w14:textFill>
                  <w14:solidFill>
                    <w14:schemeClr w14:val="tx1"/>
                  </w14:solidFill>
                </w14:textFill>
              </w:rPr>
            </w:pPr>
            <w:r>
              <w:rPr>
                <w:rFonts w:hint="default"/>
                <w:color w:val="000000" w:themeColor="text1"/>
                <w:spacing w:val="-10"/>
                <w:sz w:val="24"/>
                <w:highlight w:val="none"/>
                <w14:textFill>
                  <w14:solidFill>
                    <w14:schemeClr w14:val="tx1"/>
                  </w14:solidFill>
                </w14:textFill>
              </w:rPr>
              <w:t>通</w:t>
            </w:r>
          </w:p>
        </w:tc>
        <w:tc>
          <w:tcPr>
            <w:tcW w:w="600" w:type="dxa"/>
          </w:tcPr>
          <w:p>
            <w:pPr>
              <w:pStyle w:val="20"/>
              <w:keepNext w:val="0"/>
              <w:keepLines w:val="0"/>
              <w:suppressLineNumbers w:val="0"/>
              <w:shd w:val="clear"/>
              <w:spacing w:before="74" w:beforeAutospacing="0" w:after="0" w:afterAutospacing="0"/>
              <w:ind w:left="120" w:right="0"/>
              <w:rPr>
                <w:rFonts w:hint="default"/>
                <w:color w:val="000000" w:themeColor="text1"/>
                <w:sz w:val="24"/>
                <w:highlight w:val="none"/>
                <w14:textFill>
                  <w14:solidFill>
                    <w14:schemeClr w14:val="tx1"/>
                  </w14:solidFill>
                </w14:textFill>
              </w:rPr>
            </w:pPr>
            <w:r>
              <w:rPr>
                <w:rFonts w:hint="default"/>
                <w:color w:val="000000" w:themeColor="text1"/>
                <w:spacing w:val="-10"/>
                <w:sz w:val="24"/>
                <w:highlight w:val="none"/>
                <w14:textFill>
                  <w14:solidFill>
                    <w14:schemeClr w14:val="tx1"/>
                  </w14:solidFill>
                </w14:textFill>
              </w:rPr>
              <w:t>讯</w:t>
            </w:r>
          </w:p>
        </w:tc>
        <w:tc>
          <w:tcPr>
            <w:tcW w:w="360" w:type="dxa"/>
          </w:tcPr>
          <w:p>
            <w:pPr>
              <w:pStyle w:val="20"/>
              <w:keepNext w:val="0"/>
              <w:keepLines w:val="0"/>
              <w:suppressLineNumbers w:val="0"/>
              <w:shd w:val="clear"/>
              <w:spacing w:before="74" w:beforeAutospacing="0" w:after="0" w:afterAutospacing="0"/>
              <w:ind w:left="0" w:right="119"/>
              <w:jc w:val="center"/>
              <w:rPr>
                <w:rFonts w:hint="default"/>
                <w:color w:val="000000" w:themeColor="text1"/>
                <w:sz w:val="24"/>
                <w:highlight w:val="none"/>
                <w14:textFill>
                  <w14:solidFill>
                    <w14:schemeClr w14:val="tx1"/>
                  </w14:solidFill>
                </w14:textFill>
              </w:rPr>
            </w:pPr>
            <w:r>
              <w:rPr>
                <w:rFonts w:hint="default"/>
                <w:color w:val="000000" w:themeColor="text1"/>
                <w:spacing w:val="-10"/>
                <w:sz w:val="24"/>
                <w:highlight w:val="none"/>
                <w14:textFill>
                  <w14:solidFill>
                    <w14:schemeClr w14:val="tx1"/>
                  </w14:solidFill>
                </w14:textFill>
              </w:rPr>
              <w:t>地</w:t>
            </w:r>
          </w:p>
        </w:tc>
        <w:tc>
          <w:tcPr>
            <w:tcW w:w="1490" w:type="dxa"/>
          </w:tcPr>
          <w:p>
            <w:pPr>
              <w:pStyle w:val="20"/>
              <w:keepNext w:val="0"/>
              <w:keepLines w:val="0"/>
              <w:suppressLineNumbers w:val="0"/>
              <w:shd w:val="clear"/>
              <w:spacing w:before="74" w:beforeAutospacing="0" w:after="0" w:afterAutospacing="0"/>
              <w:ind w:left="120" w:right="0"/>
              <w:rPr>
                <w:rFonts w:hint="default"/>
                <w:color w:val="000000" w:themeColor="text1"/>
                <w:sz w:val="24"/>
                <w:highlight w:val="none"/>
                <w14:textFill>
                  <w14:solidFill>
                    <w14:schemeClr w14:val="tx1"/>
                  </w14:solidFill>
                </w14:textFill>
              </w:rPr>
            </w:pPr>
            <w:r>
              <w:rPr>
                <w:rFonts w:hint="default"/>
                <w:color w:val="000000" w:themeColor="text1"/>
                <w:spacing w:val="-5"/>
                <w:sz w:val="24"/>
                <w:highlight w:val="none"/>
                <w14:textFill>
                  <w14:solidFill>
                    <w14:schemeClr w14:val="tx1"/>
                  </w14:solidFill>
                </w14:textFill>
              </w:rPr>
              <w:t>址：</w:t>
            </w:r>
          </w:p>
        </w:tc>
      </w:tr>
      <w:tr>
        <w:tblPrEx>
          <w:tblCellMar>
            <w:top w:w="0" w:type="dxa"/>
            <w:left w:w="0" w:type="dxa"/>
            <w:bottom w:w="0" w:type="dxa"/>
            <w:right w:w="0" w:type="dxa"/>
          </w:tblCellMar>
        </w:tblPrEx>
        <w:trPr>
          <w:trHeight w:val="467" w:hRule="atLeast"/>
        </w:trPr>
        <w:tc>
          <w:tcPr>
            <w:tcW w:w="410" w:type="dxa"/>
          </w:tcPr>
          <w:p>
            <w:pPr>
              <w:pStyle w:val="20"/>
              <w:keepNext w:val="0"/>
              <w:keepLines w:val="0"/>
              <w:suppressLineNumbers w:val="0"/>
              <w:shd w:val="clear"/>
              <w:spacing w:before="75" w:beforeAutospacing="0" w:after="0" w:afterAutospacing="0"/>
              <w:ind w:left="0" w:right="69"/>
              <w:jc w:val="center"/>
              <w:rPr>
                <w:rFonts w:hint="default"/>
                <w:color w:val="000000" w:themeColor="text1"/>
                <w:sz w:val="24"/>
                <w:highlight w:val="none"/>
                <w14:textFill>
                  <w14:solidFill>
                    <w14:schemeClr w14:val="tx1"/>
                  </w14:solidFill>
                </w14:textFill>
              </w:rPr>
            </w:pPr>
            <w:r>
              <w:rPr>
                <w:rFonts w:hint="default"/>
                <w:color w:val="000000" w:themeColor="text1"/>
                <w:spacing w:val="-10"/>
                <w:sz w:val="24"/>
                <w:highlight w:val="none"/>
                <w14:textFill>
                  <w14:solidFill>
                    <w14:schemeClr w14:val="tx1"/>
                  </w14:solidFill>
                </w14:textFill>
              </w:rPr>
              <w:t>传</w:t>
            </w:r>
          </w:p>
        </w:tc>
        <w:tc>
          <w:tcPr>
            <w:tcW w:w="600"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highlight w:val="none"/>
                <w14:textFill>
                  <w14:solidFill>
                    <w14:schemeClr w14:val="tx1"/>
                  </w14:solidFill>
                </w14:textFill>
              </w:rPr>
            </w:pPr>
          </w:p>
        </w:tc>
        <w:tc>
          <w:tcPr>
            <w:tcW w:w="360"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highlight w:val="none"/>
                <w14:textFill>
                  <w14:solidFill>
                    <w14:schemeClr w14:val="tx1"/>
                  </w14:solidFill>
                </w14:textFill>
              </w:rPr>
            </w:pPr>
          </w:p>
        </w:tc>
        <w:tc>
          <w:tcPr>
            <w:tcW w:w="1490" w:type="dxa"/>
          </w:tcPr>
          <w:p>
            <w:pPr>
              <w:pStyle w:val="20"/>
              <w:keepNext w:val="0"/>
              <w:keepLines w:val="0"/>
              <w:suppressLineNumbers w:val="0"/>
              <w:shd w:val="clear"/>
              <w:spacing w:before="75" w:beforeAutospacing="0" w:after="0" w:afterAutospacing="0"/>
              <w:ind w:left="120" w:right="0"/>
              <w:rPr>
                <w:rFonts w:hint="default"/>
                <w:color w:val="000000" w:themeColor="text1"/>
                <w:sz w:val="24"/>
                <w:highlight w:val="none"/>
                <w14:textFill>
                  <w14:solidFill>
                    <w14:schemeClr w14:val="tx1"/>
                  </w14:solidFill>
                </w14:textFill>
              </w:rPr>
            </w:pPr>
            <w:r>
              <w:rPr>
                <w:rFonts w:hint="default"/>
                <w:color w:val="000000" w:themeColor="text1"/>
                <w:spacing w:val="-5"/>
                <w:sz w:val="24"/>
                <w:highlight w:val="none"/>
                <w14:textFill>
                  <w14:solidFill>
                    <w14:schemeClr w14:val="tx1"/>
                  </w14:solidFill>
                </w14:textFill>
              </w:rPr>
              <w:t>真：</w:t>
            </w:r>
          </w:p>
        </w:tc>
      </w:tr>
      <w:tr>
        <w:tblPrEx>
          <w:tblCellMar>
            <w:top w:w="0" w:type="dxa"/>
            <w:left w:w="0" w:type="dxa"/>
            <w:bottom w:w="0" w:type="dxa"/>
            <w:right w:w="0" w:type="dxa"/>
          </w:tblCellMar>
        </w:tblPrEx>
        <w:trPr>
          <w:trHeight w:val="466" w:hRule="atLeast"/>
        </w:trPr>
        <w:tc>
          <w:tcPr>
            <w:tcW w:w="410" w:type="dxa"/>
          </w:tcPr>
          <w:p>
            <w:pPr>
              <w:pStyle w:val="20"/>
              <w:keepNext w:val="0"/>
              <w:keepLines w:val="0"/>
              <w:suppressLineNumbers w:val="0"/>
              <w:shd w:val="clear"/>
              <w:spacing w:before="75" w:beforeAutospacing="0" w:after="0" w:afterAutospacing="0"/>
              <w:ind w:left="0" w:right="69"/>
              <w:jc w:val="center"/>
              <w:rPr>
                <w:rFonts w:hint="default"/>
                <w:color w:val="000000" w:themeColor="text1"/>
                <w:sz w:val="24"/>
                <w:highlight w:val="none"/>
                <w14:textFill>
                  <w14:solidFill>
                    <w14:schemeClr w14:val="tx1"/>
                  </w14:solidFill>
                </w14:textFill>
              </w:rPr>
            </w:pPr>
            <w:r>
              <w:rPr>
                <w:rFonts w:hint="default"/>
                <w:color w:val="000000" w:themeColor="text1"/>
                <w:spacing w:val="-10"/>
                <w:sz w:val="24"/>
                <w:highlight w:val="none"/>
                <w14:textFill>
                  <w14:solidFill>
                    <w14:schemeClr w14:val="tx1"/>
                  </w14:solidFill>
                </w14:textFill>
              </w:rPr>
              <w:t>电</w:t>
            </w:r>
          </w:p>
        </w:tc>
        <w:tc>
          <w:tcPr>
            <w:tcW w:w="600"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highlight w:val="none"/>
                <w14:textFill>
                  <w14:solidFill>
                    <w14:schemeClr w14:val="tx1"/>
                  </w14:solidFill>
                </w14:textFill>
              </w:rPr>
            </w:pPr>
          </w:p>
        </w:tc>
        <w:tc>
          <w:tcPr>
            <w:tcW w:w="360"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highlight w:val="none"/>
                <w14:textFill>
                  <w14:solidFill>
                    <w14:schemeClr w14:val="tx1"/>
                  </w14:solidFill>
                </w14:textFill>
              </w:rPr>
            </w:pPr>
          </w:p>
        </w:tc>
        <w:tc>
          <w:tcPr>
            <w:tcW w:w="1490" w:type="dxa"/>
          </w:tcPr>
          <w:p>
            <w:pPr>
              <w:pStyle w:val="20"/>
              <w:keepNext w:val="0"/>
              <w:keepLines w:val="0"/>
              <w:suppressLineNumbers w:val="0"/>
              <w:shd w:val="clear"/>
              <w:spacing w:before="75" w:beforeAutospacing="0" w:after="0" w:afterAutospacing="0"/>
              <w:ind w:left="120" w:right="0"/>
              <w:rPr>
                <w:rFonts w:hint="default"/>
                <w:color w:val="000000" w:themeColor="text1"/>
                <w:sz w:val="24"/>
                <w:highlight w:val="none"/>
                <w14:textFill>
                  <w14:solidFill>
                    <w14:schemeClr w14:val="tx1"/>
                  </w14:solidFill>
                </w14:textFill>
              </w:rPr>
            </w:pPr>
            <w:r>
              <w:rPr>
                <w:rFonts w:hint="default"/>
                <w:color w:val="000000" w:themeColor="text1"/>
                <w:spacing w:val="-5"/>
                <w:sz w:val="24"/>
                <w:highlight w:val="none"/>
                <w14:textFill>
                  <w14:solidFill>
                    <w14:schemeClr w14:val="tx1"/>
                  </w14:solidFill>
                </w14:textFill>
              </w:rPr>
              <w:t>话：</w:t>
            </w:r>
          </w:p>
        </w:tc>
      </w:tr>
      <w:tr>
        <w:tblPrEx>
          <w:tblCellMar>
            <w:top w:w="0" w:type="dxa"/>
            <w:left w:w="0" w:type="dxa"/>
            <w:bottom w:w="0" w:type="dxa"/>
            <w:right w:w="0" w:type="dxa"/>
          </w:tblCellMar>
        </w:tblPrEx>
        <w:trPr>
          <w:trHeight w:val="897" w:hRule="atLeast"/>
        </w:trPr>
        <w:tc>
          <w:tcPr>
            <w:tcW w:w="410" w:type="dxa"/>
          </w:tcPr>
          <w:p>
            <w:pPr>
              <w:pStyle w:val="20"/>
              <w:keepNext w:val="0"/>
              <w:keepLines w:val="0"/>
              <w:suppressLineNumbers w:val="0"/>
              <w:shd w:val="clear"/>
              <w:spacing w:before="74" w:beforeAutospacing="0" w:after="0" w:afterAutospacing="0"/>
              <w:ind w:left="50" w:right="0"/>
              <w:rPr>
                <w:rFonts w:hint="default"/>
                <w:color w:val="000000" w:themeColor="text1"/>
                <w:sz w:val="24"/>
                <w:highlight w:val="none"/>
                <w14:textFill>
                  <w14:solidFill>
                    <w14:schemeClr w14:val="tx1"/>
                  </w14:solidFill>
                </w14:textFill>
              </w:rPr>
            </w:pPr>
            <w:r>
              <w:rPr>
                <w:rFonts w:hint="default"/>
                <w:color w:val="000000" w:themeColor="text1"/>
                <w:spacing w:val="-10"/>
                <w:sz w:val="24"/>
                <w:highlight w:val="none"/>
                <w14:textFill>
                  <w14:solidFill>
                    <w14:schemeClr w14:val="tx1"/>
                  </w14:solidFill>
                </w14:textFill>
              </w:rPr>
              <w:t>授</w:t>
            </w:r>
          </w:p>
          <w:p>
            <w:pPr>
              <w:pStyle w:val="20"/>
              <w:keepNext w:val="0"/>
              <w:keepLines w:val="0"/>
              <w:suppressLineNumbers w:val="0"/>
              <w:shd w:val="clear"/>
              <w:spacing w:before="233" w:beforeAutospacing="0" w:after="0" w:afterAutospacing="0" w:line="258" w:lineRule="exact"/>
              <w:ind w:left="50" w:right="0"/>
              <w:rPr>
                <w:rFonts w:hint="default"/>
                <w:color w:val="000000" w:themeColor="text1"/>
                <w:sz w:val="24"/>
                <w:highlight w:val="none"/>
                <w14:textFill>
                  <w14:solidFill>
                    <w14:schemeClr w14:val="tx1"/>
                  </w14:solidFill>
                </w14:textFill>
              </w:rPr>
            </w:pPr>
            <w:r>
              <w:rPr>
                <w:rFonts w:hint="default"/>
                <w:color w:val="000000" w:themeColor="text1"/>
                <w:spacing w:val="-10"/>
                <w:sz w:val="24"/>
                <w:highlight w:val="none"/>
                <w14:textFill>
                  <w14:solidFill>
                    <w14:schemeClr w14:val="tx1"/>
                  </w14:solidFill>
                </w14:textFill>
              </w:rPr>
              <w:t>日</w:t>
            </w:r>
          </w:p>
        </w:tc>
        <w:tc>
          <w:tcPr>
            <w:tcW w:w="600" w:type="dxa"/>
          </w:tcPr>
          <w:p>
            <w:pPr>
              <w:pStyle w:val="20"/>
              <w:keepNext w:val="0"/>
              <w:keepLines w:val="0"/>
              <w:suppressLineNumbers w:val="0"/>
              <w:shd w:val="clear"/>
              <w:spacing w:before="74" w:beforeAutospacing="0" w:after="0" w:afterAutospacing="0"/>
              <w:ind w:left="120" w:right="0"/>
              <w:rPr>
                <w:rFonts w:hint="default"/>
                <w:color w:val="000000" w:themeColor="text1"/>
                <w:sz w:val="24"/>
                <w:highlight w:val="none"/>
                <w14:textFill>
                  <w14:solidFill>
                    <w14:schemeClr w14:val="tx1"/>
                  </w14:solidFill>
                </w14:textFill>
              </w:rPr>
            </w:pPr>
            <w:r>
              <w:rPr>
                <w:rFonts w:hint="default"/>
                <w:color w:val="000000" w:themeColor="text1"/>
                <w:spacing w:val="-10"/>
                <w:sz w:val="24"/>
                <w:highlight w:val="none"/>
                <w14:textFill>
                  <w14:solidFill>
                    <w14:schemeClr w14:val="tx1"/>
                  </w14:solidFill>
                </w14:textFill>
              </w:rPr>
              <w:t>权</w:t>
            </w:r>
          </w:p>
        </w:tc>
        <w:tc>
          <w:tcPr>
            <w:tcW w:w="360" w:type="dxa"/>
          </w:tcPr>
          <w:p>
            <w:pPr>
              <w:pStyle w:val="20"/>
              <w:keepNext w:val="0"/>
              <w:keepLines w:val="0"/>
              <w:suppressLineNumbers w:val="0"/>
              <w:shd w:val="clear"/>
              <w:spacing w:before="74" w:beforeAutospacing="0" w:after="0" w:afterAutospacing="0"/>
              <w:ind w:left="0" w:right="119"/>
              <w:jc w:val="center"/>
              <w:rPr>
                <w:rFonts w:hint="default"/>
                <w:color w:val="000000" w:themeColor="text1"/>
                <w:sz w:val="24"/>
                <w:highlight w:val="none"/>
                <w14:textFill>
                  <w14:solidFill>
                    <w14:schemeClr w14:val="tx1"/>
                  </w14:solidFill>
                </w14:textFill>
              </w:rPr>
            </w:pPr>
            <w:r>
              <w:rPr>
                <w:rFonts w:hint="default"/>
                <w:color w:val="000000" w:themeColor="text1"/>
                <w:spacing w:val="-10"/>
                <w:sz w:val="24"/>
                <w:highlight w:val="none"/>
                <w14:textFill>
                  <w14:solidFill>
                    <w14:schemeClr w14:val="tx1"/>
                  </w14:solidFill>
                </w14:textFill>
              </w:rPr>
              <w:t>代</w:t>
            </w:r>
          </w:p>
        </w:tc>
        <w:tc>
          <w:tcPr>
            <w:tcW w:w="1490" w:type="dxa"/>
          </w:tcPr>
          <w:p>
            <w:pPr>
              <w:pStyle w:val="20"/>
              <w:keepNext w:val="0"/>
              <w:keepLines w:val="0"/>
              <w:suppressLineNumbers w:val="0"/>
              <w:shd w:val="clear"/>
              <w:spacing w:before="74" w:beforeAutospacing="0" w:after="0" w:afterAutospacing="0"/>
              <w:ind w:left="120" w:right="0"/>
              <w:rPr>
                <w:rFonts w:hint="default"/>
                <w:color w:val="000000" w:themeColor="text1"/>
                <w:sz w:val="24"/>
                <w:highlight w:val="none"/>
                <w14:textFill>
                  <w14:solidFill>
                    <w14:schemeClr w14:val="tx1"/>
                  </w14:solidFill>
                </w14:textFill>
              </w:rPr>
            </w:pPr>
            <w:r>
              <w:rPr>
                <w:rFonts w:hint="default"/>
                <w:color w:val="000000" w:themeColor="text1"/>
                <w:spacing w:val="-5"/>
                <w:sz w:val="24"/>
                <w:highlight w:val="none"/>
                <w14:textFill>
                  <w14:solidFill>
                    <w14:schemeClr w14:val="tx1"/>
                  </w14:solidFill>
                </w14:textFill>
              </w:rPr>
              <w:t>表：</w:t>
            </w:r>
          </w:p>
          <w:p>
            <w:pPr>
              <w:pStyle w:val="20"/>
              <w:keepNext w:val="0"/>
              <w:keepLines w:val="0"/>
              <w:suppressLineNumbers w:val="0"/>
              <w:shd w:val="clear"/>
              <w:spacing w:before="233" w:beforeAutospacing="0" w:after="0" w:afterAutospacing="0" w:line="258" w:lineRule="exact"/>
              <w:ind w:left="240" w:right="0"/>
              <w:rPr>
                <w:rFonts w:hint="default"/>
                <w:color w:val="000000" w:themeColor="text1"/>
                <w:sz w:val="24"/>
                <w:highlight w:val="none"/>
                <w14:textFill>
                  <w14:solidFill>
                    <w14:schemeClr w14:val="tx1"/>
                  </w14:solidFill>
                </w14:textFill>
              </w:rPr>
            </w:pPr>
            <w:r>
              <w:rPr>
                <w:rFonts w:hint="default"/>
                <w:color w:val="000000" w:themeColor="text1"/>
                <w:spacing w:val="-5"/>
                <w:sz w:val="24"/>
                <w:highlight w:val="none"/>
                <w14:textFill>
                  <w14:solidFill>
                    <w14:schemeClr w14:val="tx1"/>
                  </w14:solidFill>
                </w14:textFill>
              </w:rPr>
              <w:t>期：</w:t>
            </w:r>
          </w:p>
        </w:tc>
      </w:tr>
    </w:tbl>
    <w:p>
      <w:pPr>
        <w:shd w:val="clear"/>
        <w:spacing w:line="258" w:lineRule="exact"/>
        <w:rPr>
          <w:color w:val="000000" w:themeColor="text1"/>
          <w:sz w:val="24"/>
          <w:highlight w:val="none"/>
          <w14:textFill>
            <w14:solidFill>
              <w14:schemeClr w14:val="tx1"/>
            </w14:solidFill>
          </w14:textFill>
        </w:rPr>
        <w:sectPr>
          <w:headerReference r:id="rId8" w:type="default"/>
          <w:footerReference r:id="rId9" w:type="default"/>
          <w:pgSz w:w="11910" w:h="16840"/>
          <w:pgMar w:top="1380" w:right="1020" w:bottom="1420" w:left="1020" w:header="878" w:footer="1224" w:gutter="0"/>
          <w:cols w:space="720" w:num="1"/>
        </w:sectPr>
      </w:pPr>
    </w:p>
    <w:p>
      <w:pPr>
        <w:pStyle w:val="5"/>
        <w:shd w:val="clear"/>
        <w:spacing w:before="159"/>
        <w:ind w:right="2"/>
        <w:rPr>
          <w:color w:val="000000" w:themeColor="text1"/>
          <w:highlight w:val="none"/>
          <w14:textFill>
            <w14:solidFill>
              <w14:schemeClr w14:val="tx1"/>
            </w14:solidFill>
          </w14:textFill>
        </w:rPr>
      </w:pPr>
      <w:bookmarkStart w:id="188" w:name="二、法定代表人（单位负责人）身份证明"/>
      <w:bookmarkEnd w:id="188"/>
      <w:bookmarkStart w:id="189" w:name="_bookmark47"/>
      <w:bookmarkEnd w:id="189"/>
      <w:r>
        <w:rPr>
          <w:color w:val="000000" w:themeColor="text1"/>
          <w:spacing w:val="-2"/>
          <w:highlight w:val="none"/>
          <w14:textFill>
            <w14:solidFill>
              <w14:schemeClr w14:val="tx1"/>
            </w14:solidFill>
          </w14:textFill>
        </w:rPr>
        <w:t>二、法定代表人（单位负责人）</w:t>
      </w:r>
      <w:r>
        <w:rPr>
          <w:color w:val="000000" w:themeColor="text1"/>
          <w:spacing w:val="-4"/>
          <w:highlight w:val="none"/>
          <w14:textFill>
            <w14:solidFill>
              <w14:schemeClr w14:val="tx1"/>
            </w14:solidFill>
          </w14:textFill>
        </w:rPr>
        <w:t>身份证明</w:t>
      </w:r>
    </w:p>
    <w:p>
      <w:pPr>
        <w:pStyle w:val="10"/>
        <w:shd w:val="clear"/>
        <w:spacing w:before="359" w:line="480" w:lineRule="auto"/>
        <w:ind w:left="1740" w:right="5245" w:hanging="480"/>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致：（采购人或采购代理机构）</w:t>
      </w:r>
      <w:r>
        <w:rPr>
          <w:color w:val="000000" w:themeColor="text1"/>
          <w:spacing w:val="-4"/>
          <w:highlight w:val="none"/>
          <w14:textFill>
            <w14:solidFill>
              <w14:schemeClr w14:val="tx1"/>
            </w14:solidFill>
          </w14:textFill>
        </w:rPr>
        <w:t>兹证明，</w:t>
      </w:r>
    </w:p>
    <w:p>
      <w:pPr>
        <w:pStyle w:val="10"/>
        <w:shd w:val="clear"/>
        <w:tabs>
          <w:tab w:val="left" w:pos="2459"/>
          <w:tab w:val="left" w:pos="3659"/>
          <w:tab w:val="left" w:pos="4859"/>
          <w:tab w:val="left" w:pos="6119"/>
        </w:tabs>
        <w:ind w:left="1260"/>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姓名</w:t>
      </w:r>
      <w:r>
        <w:rPr>
          <w:color w:val="000000" w:themeColor="text1"/>
          <w:spacing w:val="-10"/>
          <w:highlight w:val="none"/>
          <w14:textFill>
            <w14:solidFill>
              <w14:schemeClr w14:val="tx1"/>
            </w14:solidFill>
          </w14:textFill>
        </w:rPr>
        <w:t>：</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性别</w:t>
      </w:r>
      <w:r>
        <w:rPr>
          <w:color w:val="000000" w:themeColor="text1"/>
          <w:spacing w:val="-10"/>
          <w:highlight w:val="none"/>
          <w14:textFill>
            <w14:solidFill>
              <w14:schemeClr w14:val="tx1"/>
            </w14:solidFill>
          </w14:textFill>
        </w:rPr>
        <w:t>：</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年龄</w:t>
      </w:r>
      <w:r>
        <w:rPr>
          <w:color w:val="000000" w:themeColor="text1"/>
          <w:spacing w:val="-10"/>
          <w:highlight w:val="none"/>
          <w14:textFill>
            <w14:solidFill>
              <w14:schemeClr w14:val="tx1"/>
            </w14:solidFill>
          </w14:textFill>
        </w:rPr>
        <w:t>：</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职务</w:t>
      </w:r>
      <w:r>
        <w:rPr>
          <w:color w:val="000000" w:themeColor="text1"/>
          <w:spacing w:val="-10"/>
          <w:highlight w:val="none"/>
          <w14:textFill>
            <w14:solidFill>
              <w14:schemeClr w14:val="tx1"/>
            </w14:solidFill>
          </w14:textFill>
        </w:rPr>
        <w:t>：</w:t>
      </w:r>
      <w:r>
        <w:rPr>
          <w:rFonts w:ascii="Times New Roman" w:eastAsia="Times New Roman"/>
          <w:color w:val="000000" w:themeColor="text1"/>
          <w:highlight w:val="none"/>
          <w:u w:val="single"/>
          <w14:textFill>
            <w14:solidFill>
              <w14:schemeClr w14:val="tx1"/>
            </w14:solidFill>
          </w14:textFill>
        </w:rPr>
        <w:tab/>
      </w:r>
    </w:p>
    <w:p>
      <w:pPr>
        <w:pStyle w:val="10"/>
        <w:shd w:val="clear"/>
        <w:spacing w:before="36"/>
        <w:ind w:left="0"/>
        <w:rPr>
          <w:rFonts w:ascii="Times New Roman"/>
          <w:color w:val="000000" w:themeColor="text1"/>
          <w:highlight w:val="none"/>
          <w14:textFill>
            <w14:solidFill>
              <w14:schemeClr w14:val="tx1"/>
            </w14:solidFill>
          </w14:textFill>
        </w:rPr>
      </w:pPr>
    </w:p>
    <w:p>
      <w:pPr>
        <w:pStyle w:val="10"/>
        <w:shd w:val="clear"/>
        <w:tabs>
          <w:tab w:val="left" w:pos="3059"/>
        </w:tabs>
        <w:ind w:left="126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系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（投标人名称）的法定代表人（单位负责人）</w:t>
      </w:r>
      <w:r>
        <w:rPr>
          <w:color w:val="000000" w:themeColor="text1"/>
          <w:spacing w:val="-10"/>
          <w:highlight w:val="none"/>
          <w14:textFill>
            <w14:solidFill>
              <w14:schemeClr w14:val="tx1"/>
            </w14:solidFill>
          </w14:textFill>
        </w:rPr>
        <w:t>。</w:t>
      </w:r>
    </w:p>
    <w:p>
      <w:pPr>
        <w:pStyle w:val="10"/>
        <w:shd w:val="clear"/>
        <w:ind w:left="0"/>
        <w:rPr>
          <w:color w:val="000000" w:themeColor="text1"/>
          <w:highlight w:val="none"/>
          <w14:textFill>
            <w14:solidFill>
              <w14:schemeClr w14:val="tx1"/>
            </w14:solidFill>
          </w14:textFill>
        </w:rPr>
      </w:pPr>
    </w:p>
    <w:p>
      <w:pPr>
        <w:pStyle w:val="10"/>
        <w:shd w:val="clear"/>
        <w:ind w:left="126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附：法定代表人（单位负责人）</w:t>
      </w:r>
      <w:r>
        <w:rPr>
          <w:color w:val="000000" w:themeColor="text1"/>
          <w:spacing w:val="-1"/>
          <w:highlight w:val="none"/>
          <w14:textFill>
            <w14:solidFill>
              <w14:schemeClr w14:val="tx1"/>
            </w14:solidFill>
          </w14:textFill>
        </w:rPr>
        <w:t>身份证、护照等身份证明文件电子件：</w:t>
      </w:r>
    </w:p>
    <w:p>
      <w:pPr>
        <w:pStyle w:val="10"/>
        <w:shd w:val="clear"/>
        <w:ind w:left="0"/>
        <w:rPr>
          <w:color w:val="000000" w:themeColor="text1"/>
          <w:sz w:val="20"/>
          <w:highlight w:val="none"/>
          <w14:textFill>
            <w14:solidFill>
              <w14:schemeClr w14:val="tx1"/>
            </w14:solidFill>
          </w14:textFill>
        </w:rPr>
      </w:pPr>
    </w:p>
    <w:p>
      <w:pPr>
        <w:pStyle w:val="10"/>
        <w:shd w:val="clear"/>
        <w:ind w:left="0"/>
        <w:rPr>
          <w:color w:val="000000" w:themeColor="text1"/>
          <w:sz w:val="20"/>
          <w:highlight w:val="none"/>
          <w14:textFill>
            <w14:solidFill>
              <w14:schemeClr w14:val="tx1"/>
            </w14:solidFill>
          </w14:textFill>
        </w:rPr>
      </w:pPr>
    </w:p>
    <w:p>
      <w:pPr>
        <w:pStyle w:val="10"/>
        <w:shd w:val="clear"/>
        <w:ind w:left="0"/>
        <w:rPr>
          <w:color w:val="000000" w:themeColor="text1"/>
          <w:sz w:val="20"/>
          <w:highlight w:val="none"/>
          <w14:textFill>
            <w14:solidFill>
              <w14:schemeClr w14:val="tx1"/>
            </w14:solidFill>
          </w14:textFill>
        </w:rPr>
      </w:pPr>
    </w:p>
    <w:p>
      <w:pPr>
        <w:pStyle w:val="10"/>
        <w:shd w:val="clear"/>
        <w:spacing w:before="182"/>
        <w:ind w:left="0"/>
        <w:rPr>
          <w:color w:val="000000" w:themeColor="text1"/>
          <w:sz w:val="20"/>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0" distR="0" simplePos="0" relativeHeight="251666432" behindDoc="1" locked="0" layoutInCell="1" allowOverlap="1">
                <wp:simplePos x="0" y="0"/>
                <wp:positionH relativeFrom="page">
                  <wp:posOffset>1071245</wp:posOffset>
                </wp:positionH>
                <wp:positionV relativeFrom="paragraph">
                  <wp:posOffset>299085</wp:posOffset>
                </wp:positionV>
                <wp:extent cx="5420995" cy="2505710"/>
                <wp:effectExtent l="0" t="0" r="0" b="0"/>
                <wp:wrapTopAndBottom/>
                <wp:docPr id="29" name="Graphic 29"/>
                <wp:cNvGraphicFramePr/>
                <a:graphic xmlns:a="http://schemas.openxmlformats.org/drawingml/2006/main">
                  <a:graphicData uri="http://schemas.microsoft.com/office/word/2010/wordprocessingShape">
                    <wps:wsp>
                      <wps:cNvSpPr/>
                      <wps:spPr>
                        <a:xfrm>
                          <a:off x="0" y="0"/>
                          <a:ext cx="5420995" cy="2505710"/>
                        </a:xfrm>
                        <a:custGeom>
                          <a:avLst/>
                          <a:gdLst/>
                          <a:ahLst/>
                          <a:cxnLst/>
                          <a:rect l="l" t="t" r="r" b="b"/>
                          <a:pathLst>
                            <a:path w="5420995" h="2505710">
                              <a:moveTo>
                                <a:pt x="0" y="3047"/>
                              </a:moveTo>
                              <a:lnTo>
                                <a:pt x="5420741" y="3047"/>
                              </a:lnTo>
                            </a:path>
                            <a:path w="5420995" h="2505710">
                              <a:moveTo>
                                <a:pt x="0" y="2505582"/>
                              </a:moveTo>
                              <a:lnTo>
                                <a:pt x="5420741" y="2505582"/>
                              </a:lnTo>
                            </a:path>
                            <a:path w="5420995" h="2505710">
                              <a:moveTo>
                                <a:pt x="3047" y="0"/>
                              </a:moveTo>
                              <a:lnTo>
                                <a:pt x="3047" y="2502534"/>
                              </a:lnTo>
                            </a:path>
                            <a:path w="5420995" h="2505710">
                              <a:moveTo>
                                <a:pt x="5417693" y="0"/>
                              </a:moveTo>
                              <a:lnTo>
                                <a:pt x="5417693" y="2502534"/>
                              </a:lnTo>
                            </a:path>
                          </a:pathLst>
                        </a:custGeom>
                        <a:ln w="6096">
                          <a:solidFill>
                            <a:srgbClr val="000000"/>
                          </a:solidFill>
                          <a:prstDash val="solid"/>
                        </a:ln>
                      </wps:spPr>
                      <wps:bodyPr wrap="square" lIns="0" tIns="0" rIns="0" bIns="0" rtlCol="0">
                        <a:noAutofit/>
                      </wps:bodyPr>
                    </wps:wsp>
                  </a:graphicData>
                </a:graphic>
              </wp:anchor>
            </w:drawing>
          </mc:Choice>
          <mc:Fallback>
            <w:pict>
              <v:shape id="Graphic 29" o:spid="_x0000_s1026" o:spt="100" style="position:absolute;left:0pt;margin-left:84.35pt;margin-top:23.55pt;height:197.3pt;width:426.85pt;mso-position-horizontal-relative:page;mso-wrap-distance-bottom:0pt;mso-wrap-distance-top:0pt;z-index:-251650048;mso-width-relative:page;mso-height-relative:page;" filled="f" stroked="t" coordsize="5420995,2505710" o:gfxdata="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KXCGMbb&#10;AAAACwEAAA8AAAAAAAAAAQAgAAAAIgAAAGRycy9kb3ducmV2LnhtbFBLAQIUABQAAAAIAIdO4kCj&#10;5aYyVgIAACAGAAAOAAAAAAAAAAEAIAAAACoBAABkcnMvZTJvRG9jLnhtbFBLBQYAAAAABgAGAFkB&#10;AADyBQAAAAA=&#10;" path="m0,3047l5420741,3047em0,2505582l5420741,2505582em3047,0l3047,2502534em5417693,0l5417693,2502534e">
                <v:fill on="f" focussize="0,0"/>
                <v:stroke weight="0.48pt" color="#000000" joinstyle="round"/>
                <v:imagedata o:title=""/>
                <o:lock v:ext="edit" aspectratio="f"/>
                <v:textbox inset="0mm,0mm,0mm,0mm"/>
                <w10:wrap type="topAndBottom"/>
              </v:shape>
            </w:pict>
          </mc:Fallback>
        </mc:AlternateContent>
      </w:r>
    </w:p>
    <w:p>
      <w:pPr>
        <w:pStyle w:val="10"/>
        <w:shd w:val="clear"/>
        <w:ind w:left="0"/>
        <w:rPr>
          <w:color w:val="000000" w:themeColor="text1"/>
          <w:highlight w:val="none"/>
          <w14:textFill>
            <w14:solidFill>
              <w14:schemeClr w14:val="tx1"/>
            </w14:solidFill>
          </w14:textFill>
        </w:rPr>
      </w:pPr>
    </w:p>
    <w:p>
      <w:pPr>
        <w:pStyle w:val="10"/>
        <w:shd w:val="clear"/>
        <w:spacing w:before="4"/>
        <w:ind w:left="0"/>
        <w:rPr>
          <w:color w:val="000000" w:themeColor="text1"/>
          <w:highlight w:val="none"/>
          <w14:textFill>
            <w14:solidFill>
              <w14:schemeClr w14:val="tx1"/>
            </w14:solidFill>
          </w14:textFill>
        </w:rPr>
      </w:pPr>
    </w:p>
    <w:p>
      <w:pPr>
        <w:pStyle w:val="10"/>
        <w:shd w:val="clear"/>
        <w:tabs>
          <w:tab w:val="left" w:pos="4722"/>
        </w:tabs>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投标人名称（公章</w:t>
      </w:r>
      <w:r>
        <w:rPr>
          <w:color w:val="000000" w:themeColor="text1"/>
          <w:spacing w:val="-5"/>
          <w:highlight w:val="none"/>
          <w14:textFill>
            <w14:solidFill>
              <w14:schemeClr w14:val="tx1"/>
            </w14:solidFill>
          </w14:textFill>
        </w:rPr>
        <w:t>)：</w:t>
      </w:r>
      <w:r>
        <w:rPr>
          <w:rFonts w:ascii="Times New Roman" w:eastAsia="Times New Roman"/>
          <w:color w:val="000000" w:themeColor="text1"/>
          <w:highlight w:val="none"/>
          <w:u w:val="single"/>
          <w14:textFill>
            <w14:solidFill>
              <w14:schemeClr w14:val="tx1"/>
            </w14:solidFill>
          </w14:textFill>
        </w:rPr>
        <w:tab/>
      </w:r>
    </w:p>
    <w:p>
      <w:pPr>
        <w:pStyle w:val="10"/>
        <w:shd w:val="clear"/>
        <w:spacing w:before="36"/>
        <w:ind w:left="0"/>
        <w:rPr>
          <w:rFonts w:ascii="Times New Roman"/>
          <w:color w:val="000000" w:themeColor="text1"/>
          <w:highlight w:val="none"/>
          <w14:textFill>
            <w14:solidFill>
              <w14:schemeClr w14:val="tx1"/>
            </w14:solidFill>
          </w14:textFill>
        </w:rPr>
      </w:pPr>
    </w:p>
    <w:p>
      <w:pPr>
        <w:pStyle w:val="10"/>
        <w:shd w:val="clear"/>
        <w:tabs>
          <w:tab w:val="left" w:pos="6342"/>
        </w:tabs>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法定代表人（单位负责人）（签字或盖章</w:t>
      </w:r>
      <w:r>
        <w:rPr>
          <w:color w:val="000000" w:themeColor="text1"/>
          <w:spacing w:val="-5"/>
          <w:highlight w:val="none"/>
          <w14:textFill>
            <w14:solidFill>
              <w14:schemeClr w14:val="tx1"/>
            </w14:solidFill>
          </w14:textFill>
        </w:rPr>
        <w:t>）：</w:t>
      </w:r>
      <w:r>
        <w:rPr>
          <w:rFonts w:ascii="Times New Roman" w:eastAsia="Times New Roman"/>
          <w:color w:val="000000" w:themeColor="text1"/>
          <w:highlight w:val="none"/>
          <w:u w:val="single"/>
          <w14:textFill>
            <w14:solidFill>
              <w14:schemeClr w14:val="tx1"/>
            </w14:solidFill>
          </w14:textFill>
        </w:rPr>
        <w:tab/>
      </w:r>
    </w:p>
    <w:p>
      <w:pPr>
        <w:pStyle w:val="10"/>
        <w:shd w:val="clear"/>
        <w:ind w:left="0"/>
        <w:rPr>
          <w:rFonts w:ascii="Times New Roman"/>
          <w:color w:val="000000" w:themeColor="text1"/>
          <w:highlight w:val="none"/>
          <w14:textFill>
            <w14:solidFill>
              <w14:schemeClr w14:val="tx1"/>
            </w14:solidFill>
          </w14:textFill>
        </w:rPr>
      </w:pPr>
    </w:p>
    <w:p>
      <w:pPr>
        <w:pStyle w:val="10"/>
        <w:shd w:val="clear"/>
        <w:spacing w:before="228"/>
        <w:ind w:left="0"/>
        <w:rPr>
          <w:rFonts w:ascii="Times New Roman"/>
          <w:color w:val="000000" w:themeColor="text1"/>
          <w:highlight w:val="none"/>
          <w14:textFill>
            <w14:solidFill>
              <w14:schemeClr w14:val="tx1"/>
            </w14:solidFill>
          </w14:textFill>
        </w:rPr>
      </w:pPr>
    </w:p>
    <w:p>
      <w:pPr>
        <w:pStyle w:val="10"/>
        <w:shd w:val="clear"/>
        <w:tabs>
          <w:tab w:val="left" w:pos="1999"/>
          <w:tab w:val="left" w:pos="2839"/>
          <w:tab w:val="left" w:pos="3681"/>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日期</w:t>
      </w:r>
      <w:r>
        <w:rPr>
          <w:color w:val="000000" w:themeColor="text1"/>
          <w:spacing w:val="-10"/>
          <w:highlight w:val="none"/>
          <w14:textFill>
            <w14:solidFill>
              <w14:schemeClr w14:val="tx1"/>
            </w14:solidFill>
          </w14:textFill>
        </w:rPr>
        <w:t>：</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10"/>
          <w:highlight w:val="none"/>
          <w14:textFill>
            <w14:solidFill>
              <w14:schemeClr w14:val="tx1"/>
            </w14:solidFill>
          </w14:textFill>
        </w:rPr>
        <w:t>年</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10"/>
          <w:highlight w:val="none"/>
          <w14:textFill>
            <w14:solidFill>
              <w14:schemeClr w14:val="tx1"/>
            </w14:solidFill>
          </w14:textFill>
        </w:rPr>
        <w:t>月</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10"/>
          <w:highlight w:val="none"/>
          <w14:textFill>
            <w14:solidFill>
              <w14:schemeClr w14:val="tx1"/>
            </w14:solidFill>
          </w14:textFill>
        </w:rPr>
        <w:t>日</w:t>
      </w:r>
    </w:p>
    <w:p>
      <w:pPr>
        <w:shd w:val="clear"/>
        <w:rPr>
          <w:color w:val="000000" w:themeColor="text1"/>
          <w:highlight w:val="none"/>
          <w14:textFill>
            <w14:solidFill>
              <w14:schemeClr w14:val="tx1"/>
            </w14:solidFill>
          </w14:textFill>
        </w:rPr>
        <w:sectPr>
          <w:pgSz w:w="11910" w:h="16840"/>
          <w:pgMar w:top="1380" w:right="1020" w:bottom="1420" w:left="1020" w:header="878" w:footer="1224" w:gutter="0"/>
          <w:cols w:space="720" w:num="1"/>
        </w:sectPr>
      </w:pPr>
    </w:p>
    <w:p>
      <w:pPr>
        <w:pStyle w:val="5"/>
        <w:shd w:val="clear"/>
        <w:spacing w:before="159"/>
        <w:ind w:right="2"/>
        <w:rPr>
          <w:color w:val="000000" w:themeColor="text1"/>
          <w:highlight w:val="none"/>
          <w14:textFill>
            <w14:solidFill>
              <w14:schemeClr w14:val="tx1"/>
            </w14:solidFill>
          </w14:textFill>
        </w:rPr>
      </w:pPr>
      <w:bookmarkStart w:id="190" w:name="_bookmark48"/>
      <w:bookmarkEnd w:id="190"/>
      <w:bookmarkStart w:id="191" w:name="三、授权委托书"/>
      <w:bookmarkEnd w:id="191"/>
      <w:r>
        <w:rPr>
          <w:color w:val="000000" w:themeColor="text1"/>
          <w:spacing w:val="-4"/>
          <w:highlight w:val="none"/>
          <w14:textFill>
            <w14:solidFill>
              <w14:schemeClr w14:val="tx1"/>
            </w14:solidFill>
          </w14:textFill>
        </w:rPr>
        <w:t>三、授权委托书</w:t>
      </w:r>
    </w:p>
    <w:p>
      <w:pPr>
        <w:pStyle w:val="10"/>
        <w:shd w:val="clear"/>
        <w:tabs>
          <w:tab w:val="left" w:pos="2339"/>
          <w:tab w:val="left" w:pos="2771"/>
          <w:tab w:val="left" w:pos="4739"/>
          <w:tab w:val="left" w:pos="6578"/>
        </w:tabs>
        <w:spacing w:before="282" w:line="360" w:lineRule="auto"/>
        <w:ind w:right="657" w:firstLine="480"/>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本人</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4"/>
          <w:highlight w:val="none"/>
          <w14:textFill>
            <w14:solidFill>
              <w14:schemeClr w14:val="tx1"/>
            </w14:solidFill>
          </w14:textFill>
        </w:rPr>
        <w:t>（姓名）系</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2"/>
          <w:highlight w:val="none"/>
          <w14:textFill>
            <w14:solidFill>
              <w14:schemeClr w14:val="tx1"/>
            </w14:solidFill>
          </w14:textFill>
        </w:rPr>
        <w:t>（投标人名称）的法定代表人（单位负责人），现委托</w:t>
      </w:r>
      <w:r>
        <w:rPr>
          <w:rFonts w:ascii="Times New Roman" w:eastAsia="Times New Roman"/>
          <w:color w:val="000000" w:themeColor="text1"/>
          <w:highlight w:val="none"/>
          <w:u w:val="single"/>
          <w14:textFill>
            <w14:solidFill>
              <w14:schemeClr w14:val="tx1"/>
            </w14:solidFill>
          </w14:textFill>
        </w:rPr>
        <w:tab/>
      </w:r>
      <w:r>
        <w:rPr>
          <w:rFonts w:ascii="Times New Roman" w:eastAsia="Times New Roman"/>
          <w:color w:val="000000" w:themeColor="text1"/>
          <w:highlight w:val="none"/>
          <w:u w:val="single"/>
          <w14:textFill>
            <w14:solidFill>
              <w14:schemeClr w14:val="tx1"/>
            </w14:solidFill>
          </w14:textFill>
        </w:rPr>
        <w:tab/>
      </w:r>
      <w:r>
        <w:rPr>
          <w:color w:val="000000" w:themeColor="text1"/>
          <w:spacing w:val="-2"/>
          <w:highlight w:val="none"/>
          <w14:textFill>
            <w14:solidFill>
              <w14:schemeClr w14:val="tx1"/>
            </w14:solidFill>
          </w14:textFill>
        </w:rPr>
        <w:t>（姓名）为我方代理人。代理人根据授权，以我方名义签署、澄清确认、说明、补正、递交、撤回、修改</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2"/>
          <w:highlight w:val="none"/>
          <w14:textFill>
            <w14:solidFill>
              <w14:schemeClr w14:val="tx1"/>
            </w14:solidFill>
          </w14:textFill>
        </w:rPr>
        <w:t>（项目名称）投标文件、签订合同和处理有关事宜，其法律后果由我方承担。</w:t>
      </w:r>
    </w:p>
    <w:p>
      <w:pPr>
        <w:pStyle w:val="10"/>
        <w:shd w:val="clear"/>
        <w:spacing w:line="360" w:lineRule="auto"/>
        <w:ind w:left="1260" w:right="1645"/>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委托期限：自本授权委托书签署之日起至投标有效期届满之日止。代理人无转委托权。</w:t>
      </w:r>
    </w:p>
    <w:p>
      <w:pPr>
        <w:pStyle w:val="10"/>
        <w:shd w:val="clear"/>
        <w:spacing w:before="12"/>
        <w:ind w:left="0"/>
        <w:rPr>
          <w:color w:val="000000" w:themeColor="text1"/>
          <w:highlight w:val="none"/>
          <w14:textFill>
            <w14:solidFill>
              <w14:schemeClr w14:val="tx1"/>
            </w14:solidFill>
          </w14:textFill>
        </w:rPr>
      </w:pPr>
    </w:p>
    <w:p>
      <w:pPr>
        <w:pStyle w:val="10"/>
        <w:shd w:val="clear"/>
        <w:tabs>
          <w:tab w:val="left" w:pos="4722"/>
        </w:tabs>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投标人名称（公章</w:t>
      </w:r>
      <w:r>
        <w:rPr>
          <w:color w:val="000000" w:themeColor="text1"/>
          <w:spacing w:val="-5"/>
          <w:highlight w:val="none"/>
          <w14:textFill>
            <w14:solidFill>
              <w14:schemeClr w14:val="tx1"/>
            </w14:solidFill>
          </w14:textFill>
        </w:rPr>
        <w:t>)：</w:t>
      </w:r>
      <w:r>
        <w:rPr>
          <w:rFonts w:ascii="Times New Roman" w:eastAsia="Times New Roman"/>
          <w:color w:val="000000" w:themeColor="text1"/>
          <w:highlight w:val="none"/>
          <w:u w:val="single"/>
          <w14:textFill>
            <w14:solidFill>
              <w14:schemeClr w14:val="tx1"/>
            </w14:solidFill>
          </w14:textFill>
        </w:rPr>
        <w:tab/>
      </w:r>
    </w:p>
    <w:p>
      <w:pPr>
        <w:pStyle w:val="10"/>
        <w:shd w:val="clear"/>
        <w:spacing w:before="36"/>
        <w:ind w:left="0"/>
        <w:rPr>
          <w:rFonts w:ascii="Times New Roman"/>
          <w:color w:val="000000" w:themeColor="text1"/>
          <w:highlight w:val="none"/>
          <w14:textFill>
            <w14:solidFill>
              <w14:schemeClr w14:val="tx1"/>
            </w14:solidFill>
          </w14:textFill>
        </w:rPr>
      </w:pPr>
    </w:p>
    <w:p>
      <w:pPr>
        <w:pStyle w:val="10"/>
        <w:shd w:val="clear"/>
        <w:tabs>
          <w:tab w:val="left" w:pos="7242"/>
        </w:tabs>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法定代表人（单位负责人）（签字或盖章</w:t>
      </w:r>
      <w:r>
        <w:rPr>
          <w:color w:val="000000" w:themeColor="text1"/>
          <w:spacing w:val="-5"/>
          <w:highlight w:val="none"/>
          <w14:textFill>
            <w14:solidFill>
              <w14:schemeClr w14:val="tx1"/>
            </w14:solidFill>
          </w14:textFill>
        </w:rPr>
        <w:t>）：</w:t>
      </w:r>
      <w:r>
        <w:rPr>
          <w:rFonts w:ascii="Times New Roman" w:eastAsia="Times New Roman"/>
          <w:color w:val="000000" w:themeColor="text1"/>
          <w:highlight w:val="none"/>
          <w:u w:val="single"/>
          <w14:textFill>
            <w14:solidFill>
              <w14:schemeClr w14:val="tx1"/>
            </w14:solidFill>
          </w14:textFill>
        </w:rPr>
        <w:tab/>
      </w:r>
    </w:p>
    <w:p>
      <w:pPr>
        <w:pStyle w:val="10"/>
        <w:shd w:val="clear"/>
        <w:spacing w:before="36"/>
        <w:ind w:left="0"/>
        <w:rPr>
          <w:rFonts w:ascii="Times New Roman"/>
          <w:color w:val="000000" w:themeColor="text1"/>
          <w:highlight w:val="none"/>
          <w14:textFill>
            <w14:solidFill>
              <w14:schemeClr w14:val="tx1"/>
            </w14:solidFill>
          </w14:textFill>
        </w:rPr>
      </w:pPr>
    </w:p>
    <w:p>
      <w:pPr>
        <w:pStyle w:val="10"/>
        <w:shd w:val="clear"/>
        <w:tabs>
          <w:tab w:val="left" w:pos="5562"/>
          <w:tab w:val="left" w:pos="5980"/>
          <w:tab w:val="left" w:pos="9039"/>
        </w:tabs>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委托代理人（签字或盖章</w:t>
      </w:r>
      <w:r>
        <w:rPr>
          <w:color w:val="000000" w:themeColor="text1"/>
          <w:spacing w:val="-5"/>
          <w:highlight w:val="none"/>
          <w14:textFill>
            <w14:solidFill>
              <w14:schemeClr w14:val="tx1"/>
            </w14:solidFill>
          </w14:textFill>
        </w:rPr>
        <w:t>）：</w:t>
      </w:r>
      <w:r>
        <w:rPr>
          <w:rFonts w:ascii="Times New Roman" w:eastAsia="Times New Roman"/>
          <w:color w:val="000000" w:themeColor="text1"/>
          <w:highlight w:val="none"/>
          <w:u w:val="single"/>
          <w14:textFill>
            <w14:solidFill>
              <w14:schemeClr w14:val="tx1"/>
            </w14:solidFill>
          </w14:textFill>
        </w:rPr>
        <w:tab/>
      </w:r>
      <w:r>
        <w:rPr>
          <w:rFonts w:ascii="Times New Roman" w:eastAsia="Times New Roman"/>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联系电话</w:t>
      </w:r>
      <w:r>
        <w:rPr>
          <w:color w:val="000000" w:themeColor="text1"/>
          <w:spacing w:val="-10"/>
          <w:highlight w:val="none"/>
          <w14:textFill>
            <w14:solidFill>
              <w14:schemeClr w14:val="tx1"/>
            </w14:solidFill>
          </w14:textFill>
        </w:rPr>
        <w:t>：</w:t>
      </w:r>
      <w:r>
        <w:rPr>
          <w:rFonts w:ascii="Times New Roman" w:eastAsia="Times New Roman"/>
          <w:color w:val="000000" w:themeColor="text1"/>
          <w:highlight w:val="none"/>
          <w:u w:val="single"/>
          <w14:textFill>
            <w14:solidFill>
              <w14:schemeClr w14:val="tx1"/>
            </w14:solidFill>
          </w14:textFill>
        </w:rPr>
        <w:tab/>
      </w:r>
    </w:p>
    <w:p>
      <w:pPr>
        <w:pStyle w:val="10"/>
        <w:shd w:val="clear"/>
        <w:spacing w:before="36"/>
        <w:ind w:left="0"/>
        <w:rPr>
          <w:rFonts w:ascii="Times New Roman"/>
          <w:color w:val="000000" w:themeColor="text1"/>
          <w:highlight w:val="none"/>
          <w14:textFill>
            <w14:solidFill>
              <w14:schemeClr w14:val="tx1"/>
            </w14:solidFill>
          </w14:textFill>
        </w:rPr>
      </w:pPr>
    </w:p>
    <w:p>
      <w:pPr>
        <w:pStyle w:val="10"/>
        <w:shd w:val="clear"/>
        <w:tabs>
          <w:tab w:val="left" w:pos="1999"/>
          <w:tab w:val="left" w:pos="2839"/>
          <w:tab w:val="left" w:pos="3681"/>
        </w:tabs>
        <w:spacing w:before="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日期</w:t>
      </w:r>
      <w:r>
        <w:rPr>
          <w:color w:val="000000" w:themeColor="text1"/>
          <w:spacing w:val="-10"/>
          <w:highlight w:val="none"/>
          <w14:textFill>
            <w14:solidFill>
              <w14:schemeClr w14:val="tx1"/>
            </w14:solidFill>
          </w14:textFill>
        </w:rPr>
        <w:t>：</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10"/>
          <w:highlight w:val="none"/>
          <w14:textFill>
            <w14:solidFill>
              <w14:schemeClr w14:val="tx1"/>
            </w14:solidFill>
          </w14:textFill>
        </w:rPr>
        <w:t>年</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10"/>
          <w:highlight w:val="none"/>
          <w14:textFill>
            <w14:solidFill>
              <w14:schemeClr w14:val="tx1"/>
            </w14:solidFill>
          </w14:textFill>
        </w:rPr>
        <w:t>月</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10"/>
          <w:highlight w:val="none"/>
          <w14:textFill>
            <w14:solidFill>
              <w14:schemeClr w14:val="tx1"/>
            </w14:solidFill>
          </w14:textFill>
        </w:rPr>
        <w:t>日</w:t>
      </w:r>
    </w:p>
    <w:p>
      <w:pPr>
        <w:pStyle w:val="10"/>
        <w:shd w:val="clear"/>
        <w:spacing w:before="155"/>
        <w:ind w:left="0"/>
        <w:rPr>
          <w:color w:val="000000" w:themeColor="text1"/>
          <w:highlight w:val="none"/>
          <w14:textFill>
            <w14:solidFill>
              <w14:schemeClr w14:val="tx1"/>
            </w14:solidFill>
          </w14:textFill>
        </w:rPr>
      </w:pPr>
    </w:p>
    <w:p>
      <w:pPr>
        <w:pStyle w:val="10"/>
        <w:shd w:val="clear"/>
        <w:spacing w:before="1"/>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附：法定代表人及委托代理人身份证明文件电子件：</w:t>
      </w:r>
    </w:p>
    <w:p>
      <w:pPr>
        <w:pStyle w:val="10"/>
        <w:shd w:val="clear"/>
        <w:spacing w:before="11"/>
        <w:ind w:left="0"/>
        <w:rPr>
          <w:color w:val="000000" w:themeColor="text1"/>
          <w:sz w:val="3"/>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0" distR="0" simplePos="0" relativeHeight="251667456" behindDoc="1" locked="0" layoutInCell="1" allowOverlap="1">
                <wp:simplePos x="0" y="0"/>
                <wp:positionH relativeFrom="page">
                  <wp:posOffset>1071245</wp:posOffset>
                </wp:positionH>
                <wp:positionV relativeFrom="paragraph">
                  <wp:posOffset>50165</wp:posOffset>
                </wp:positionV>
                <wp:extent cx="5420995" cy="1292860"/>
                <wp:effectExtent l="0" t="0" r="0" b="0"/>
                <wp:wrapTopAndBottom/>
                <wp:docPr id="30" name="Graphic 30"/>
                <wp:cNvGraphicFramePr/>
                <a:graphic xmlns:a="http://schemas.openxmlformats.org/drawingml/2006/main">
                  <a:graphicData uri="http://schemas.microsoft.com/office/word/2010/wordprocessingShape">
                    <wps:wsp>
                      <wps:cNvSpPr/>
                      <wps:spPr>
                        <a:xfrm>
                          <a:off x="0" y="0"/>
                          <a:ext cx="5420995" cy="1292860"/>
                        </a:xfrm>
                        <a:custGeom>
                          <a:avLst/>
                          <a:gdLst/>
                          <a:ahLst/>
                          <a:cxnLst/>
                          <a:rect l="l" t="t" r="r" b="b"/>
                          <a:pathLst>
                            <a:path w="5420995" h="1292860">
                              <a:moveTo>
                                <a:pt x="0" y="3048"/>
                              </a:moveTo>
                              <a:lnTo>
                                <a:pt x="5420741" y="3048"/>
                              </a:lnTo>
                            </a:path>
                            <a:path w="5420995" h="1292860">
                              <a:moveTo>
                                <a:pt x="0" y="1292733"/>
                              </a:moveTo>
                              <a:lnTo>
                                <a:pt x="5420741" y="1292733"/>
                              </a:lnTo>
                            </a:path>
                            <a:path w="5420995" h="1292860">
                              <a:moveTo>
                                <a:pt x="3047" y="0"/>
                              </a:moveTo>
                              <a:lnTo>
                                <a:pt x="3047" y="1289685"/>
                              </a:lnTo>
                            </a:path>
                            <a:path w="5420995" h="1292860">
                              <a:moveTo>
                                <a:pt x="5417693" y="0"/>
                              </a:moveTo>
                              <a:lnTo>
                                <a:pt x="5417693" y="1289685"/>
                              </a:lnTo>
                            </a:path>
                          </a:pathLst>
                        </a:custGeom>
                        <a:ln w="6096">
                          <a:solidFill>
                            <a:srgbClr val="000000"/>
                          </a:solidFill>
                          <a:prstDash val="solid"/>
                        </a:ln>
                      </wps:spPr>
                      <wps:bodyPr wrap="square" lIns="0" tIns="0" rIns="0" bIns="0" rtlCol="0">
                        <a:noAutofit/>
                      </wps:bodyPr>
                    </wps:wsp>
                  </a:graphicData>
                </a:graphic>
              </wp:anchor>
            </w:drawing>
          </mc:Choice>
          <mc:Fallback>
            <w:pict>
              <v:shape id="Graphic 30" o:spid="_x0000_s1026" o:spt="100" style="position:absolute;left:0pt;margin-left:84.35pt;margin-top:3.95pt;height:101.8pt;width:426.85pt;mso-position-horizontal-relative:page;mso-wrap-distance-bottom:0pt;mso-wrap-distance-top:0pt;z-index:-251649024;mso-width-relative:page;mso-height-relative:page;" filled="f" stroked="t" coordsize="5420995,1292860" o:gfxdata="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4fSDLdgAAAAK&#10;AQAADwAAAAAAAAABACAAAAAiAAAAZHJzL2Rvd25yZXYueG1sUEsBAhQAFAAAAAgAh07iQLWDD3pV&#10;AgAAIAYAAA4AAAAAAAAAAQAgAAAAJwEAAGRycy9lMm9Eb2MueG1sUEsFBgAAAAAGAAYAWQEAAO4F&#10;AAAAAA==&#10;" path="m0,3048l5420741,3048em0,1292733l5420741,1292733em3047,0l3047,1289685em5417693,0l5417693,1289685e">
                <v:fill on="f" focussize="0,0"/>
                <v:stroke weight="0.48pt" color="#000000" joinstyle="round"/>
                <v:imagedata o:title=""/>
                <o:lock v:ext="edit" aspectratio="f"/>
                <v:textbox inset="0mm,0mm,0mm,0mm"/>
                <w10:wrap type="topAndBottom"/>
              </v:shape>
            </w:pict>
          </mc:Fallback>
        </mc:AlternateContent>
      </w:r>
    </w:p>
    <w:p>
      <w:pPr>
        <w:pStyle w:val="10"/>
        <w:shd w:val="clear"/>
        <w:spacing w:before="76"/>
        <w:ind w:left="1260"/>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说明：</w:t>
      </w:r>
    </w:p>
    <w:p>
      <w:pPr>
        <w:pStyle w:val="19"/>
        <w:numPr>
          <w:ilvl w:val="0"/>
          <w:numId w:val="63"/>
        </w:numPr>
        <w:shd w:val="clear"/>
        <w:tabs>
          <w:tab w:val="left" w:pos="1500"/>
        </w:tabs>
        <w:spacing w:before="156" w:line="360" w:lineRule="auto"/>
        <w:ind w:right="657" w:firstLine="480"/>
        <w:rPr>
          <w:color w:val="000000" w:themeColor="text1"/>
          <w:sz w:val="24"/>
          <w:highlight w:val="none"/>
          <w14:textFill>
            <w14:solidFill>
              <w14:schemeClr w14:val="tx1"/>
            </w14:solidFill>
          </w14:textFill>
        </w:rPr>
      </w:pPr>
      <w:r>
        <w:rPr>
          <w:color w:val="000000" w:themeColor="text1"/>
          <w:spacing w:val="-12"/>
          <w:sz w:val="24"/>
          <w:highlight w:val="none"/>
          <w14:textFill>
            <w14:solidFill>
              <w14:schemeClr w14:val="tx1"/>
            </w14:solidFill>
          </w14:textFill>
        </w:rPr>
        <w:t>若投标人为事业单位或其他组织或分支机构，则法定代表人</w:t>
      </w:r>
      <w:r>
        <w:rPr>
          <w:color w:val="000000" w:themeColor="text1"/>
          <w:spacing w:val="-2"/>
          <w:sz w:val="24"/>
          <w:highlight w:val="none"/>
          <w14:textFill>
            <w14:solidFill>
              <w14:schemeClr w14:val="tx1"/>
            </w14:solidFill>
          </w14:textFill>
        </w:rPr>
        <w:t>（单位负责人）处的签署人可为单位负责人。</w:t>
      </w:r>
    </w:p>
    <w:p>
      <w:pPr>
        <w:pStyle w:val="19"/>
        <w:numPr>
          <w:ilvl w:val="0"/>
          <w:numId w:val="63"/>
        </w:numPr>
        <w:shd w:val="clear"/>
        <w:tabs>
          <w:tab w:val="left" w:pos="1500"/>
        </w:tabs>
        <w:spacing w:line="360" w:lineRule="auto"/>
        <w:ind w:right="777" w:firstLine="480"/>
        <w:rPr>
          <w:color w:val="000000" w:themeColor="text1"/>
          <w:sz w:val="24"/>
          <w:highlight w:val="none"/>
          <w14:textFill>
            <w14:solidFill>
              <w14:schemeClr w14:val="tx1"/>
            </w14:solidFill>
          </w14:textFill>
        </w:rPr>
      </w:pPr>
      <w:r>
        <w:rPr>
          <w:color w:val="000000" w:themeColor="text1"/>
          <w:spacing w:val="-4"/>
          <w:sz w:val="24"/>
          <w:highlight w:val="none"/>
          <w14:textFill>
            <w14:solidFill>
              <w14:schemeClr w14:val="tx1"/>
            </w14:solidFill>
          </w14:textFill>
        </w:rPr>
        <w:t>若投标文件中签字之处均为法定代表人（单位负责人）本人签署，则可不</w:t>
      </w:r>
      <w:r>
        <w:rPr>
          <w:color w:val="000000" w:themeColor="text1"/>
          <w:spacing w:val="-2"/>
          <w:sz w:val="24"/>
          <w:highlight w:val="none"/>
          <w14:textFill>
            <w14:solidFill>
              <w14:schemeClr w14:val="tx1"/>
            </w14:solidFill>
          </w14:textFill>
        </w:rPr>
        <w:t>提供本《授权委托书》，但须提供《法定代表人（单位负责人）身份证明》。</w:t>
      </w:r>
    </w:p>
    <w:p>
      <w:pPr>
        <w:pStyle w:val="19"/>
        <w:numPr>
          <w:ilvl w:val="0"/>
          <w:numId w:val="63"/>
        </w:numPr>
        <w:shd w:val="clear"/>
        <w:tabs>
          <w:tab w:val="left" w:pos="1500"/>
        </w:tabs>
        <w:ind w:left="1500" w:hanging="240"/>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投标人为自然人的情形，可不提供本《授权委托书》。</w:t>
      </w:r>
    </w:p>
    <w:p>
      <w:pPr>
        <w:pStyle w:val="19"/>
        <w:numPr>
          <w:ilvl w:val="0"/>
          <w:numId w:val="63"/>
        </w:numPr>
        <w:shd w:val="clear"/>
        <w:tabs>
          <w:tab w:val="left" w:pos="1500"/>
        </w:tabs>
        <w:spacing w:before="156" w:line="360" w:lineRule="auto"/>
        <w:ind w:right="777" w:firstLine="480"/>
        <w:jc w:val="both"/>
        <w:rPr>
          <w:color w:val="000000" w:themeColor="text1"/>
          <w:sz w:val="24"/>
          <w:highlight w:val="none"/>
          <w14:textFill>
            <w14:solidFill>
              <w14:schemeClr w14:val="tx1"/>
            </w14:solidFill>
          </w14:textFill>
        </w:rPr>
      </w:pPr>
      <w:r>
        <w:rPr>
          <w:color w:val="000000" w:themeColor="text1"/>
          <w:spacing w:val="-4"/>
          <w:sz w:val="24"/>
          <w:highlight w:val="none"/>
          <w14:textFill>
            <w14:solidFill>
              <w14:schemeClr w14:val="tx1"/>
            </w14:solidFill>
          </w14:textFill>
        </w:rPr>
        <w:t>投标人应随本《授权委托书》同时提供法定代表人（单位负责人）及委托代理人的有效的身份证、护照等身份证明文件电子件。提供身份证的，应同时提</w:t>
      </w:r>
      <w:r>
        <w:rPr>
          <w:color w:val="000000" w:themeColor="text1"/>
          <w:spacing w:val="-2"/>
          <w:sz w:val="24"/>
          <w:highlight w:val="none"/>
          <w14:textFill>
            <w14:solidFill>
              <w14:schemeClr w14:val="tx1"/>
            </w14:solidFill>
          </w14:textFill>
        </w:rPr>
        <w:t>供身份证</w:t>
      </w:r>
      <w:r>
        <w:rPr>
          <w:b/>
          <w:color w:val="000000" w:themeColor="text1"/>
          <w:spacing w:val="-2"/>
          <w:sz w:val="24"/>
          <w:highlight w:val="none"/>
          <w14:textFill>
            <w14:solidFill>
              <w14:schemeClr w14:val="tx1"/>
            </w14:solidFill>
          </w14:textFill>
        </w:rPr>
        <w:t>双面</w:t>
      </w:r>
      <w:r>
        <w:rPr>
          <w:color w:val="000000" w:themeColor="text1"/>
          <w:spacing w:val="-2"/>
          <w:sz w:val="24"/>
          <w:highlight w:val="none"/>
          <w14:textFill>
            <w14:solidFill>
              <w14:schemeClr w14:val="tx1"/>
            </w14:solidFill>
          </w14:textFill>
        </w:rPr>
        <w:t>电子件。</w:t>
      </w:r>
    </w:p>
    <w:p>
      <w:pPr>
        <w:shd w:val="clear"/>
        <w:spacing w:line="360" w:lineRule="auto"/>
        <w:jc w:val="both"/>
        <w:rPr>
          <w:color w:val="000000" w:themeColor="text1"/>
          <w:sz w:val="24"/>
          <w:highlight w:val="none"/>
          <w14:textFill>
            <w14:solidFill>
              <w14:schemeClr w14:val="tx1"/>
            </w14:solidFill>
          </w14:textFill>
        </w:rPr>
        <w:sectPr>
          <w:pgSz w:w="11910" w:h="16840"/>
          <w:pgMar w:top="1380" w:right="1020" w:bottom="1420" w:left="1020" w:header="878" w:footer="1224" w:gutter="0"/>
          <w:cols w:space="720" w:num="1"/>
        </w:sectPr>
      </w:pPr>
    </w:p>
    <w:p>
      <w:pPr>
        <w:pStyle w:val="5"/>
        <w:shd w:val="clear"/>
        <w:spacing w:before="159"/>
        <w:rPr>
          <w:color w:val="000000" w:themeColor="text1"/>
          <w:highlight w:val="none"/>
          <w14:textFill>
            <w14:solidFill>
              <w14:schemeClr w14:val="tx1"/>
            </w14:solidFill>
          </w14:textFill>
        </w:rPr>
      </w:pPr>
      <w:bookmarkStart w:id="192" w:name="_bookmark49"/>
      <w:bookmarkEnd w:id="192"/>
      <w:bookmarkStart w:id="193" w:name="四、政府采购投标人廉洁自律承诺书"/>
      <w:bookmarkEnd w:id="193"/>
      <w:r>
        <w:rPr>
          <w:color w:val="000000" w:themeColor="text1"/>
          <w:spacing w:val="-3"/>
          <w:highlight w:val="none"/>
          <w14:textFill>
            <w14:solidFill>
              <w14:schemeClr w14:val="tx1"/>
            </w14:solidFill>
          </w14:textFill>
        </w:rPr>
        <w:t>四、政府采购投标人廉洁自律承诺书</w:t>
      </w:r>
    </w:p>
    <w:p>
      <w:pPr>
        <w:pStyle w:val="10"/>
        <w:shd w:val="clear"/>
        <w:spacing w:before="219"/>
        <w:ind w:left="0"/>
        <w:rPr>
          <w:b/>
          <w:color w:val="000000" w:themeColor="text1"/>
          <w:sz w:val="32"/>
          <w:highlight w:val="none"/>
          <w14:textFill>
            <w14:solidFill>
              <w14:schemeClr w14:val="tx1"/>
            </w14:solidFill>
          </w14:textFill>
        </w:rPr>
      </w:pPr>
    </w:p>
    <w:p>
      <w:pPr>
        <w:pStyle w:val="10"/>
        <w:shd w:val="clea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（采购人）、（采购代理机构</w:t>
      </w:r>
      <w:r>
        <w:rPr>
          <w:color w:val="000000" w:themeColor="text1"/>
          <w:spacing w:val="-5"/>
          <w:highlight w:val="none"/>
          <w14:textFill>
            <w14:solidFill>
              <w14:schemeClr w14:val="tx1"/>
            </w14:solidFill>
          </w14:textFill>
        </w:rPr>
        <w:t>）：</w:t>
      </w:r>
    </w:p>
    <w:p>
      <w:pPr>
        <w:pStyle w:val="10"/>
        <w:shd w:val="clear"/>
        <w:spacing w:before="233" w:line="360" w:lineRule="auto"/>
        <w:ind w:left="782" w:right="777" w:firstLine="480"/>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我单位响应你单位项目招标要求参加投标。在这次投标过程中和中标后，我</w:t>
      </w:r>
      <w:r>
        <w:rPr>
          <w:color w:val="000000" w:themeColor="text1"/>
          <w:spacing w:val="-2"/>
          <w:highlight w:val="none"/>
          <w14:textFill>
            <w14:solidFill>
              <w14:schemeClr w14:val="tx1"/>
            </w14:solidFill>
          </w14:textFill>
        </w:rPr>
        <w:t>们将严格遵守国家法律法规要求，并郑重承诺：</w:t>
      </w:r>
    </w:p>
    <w:p>
      <w:pPr>
        <w:pStyle w:val="10"/>
        <w:shd w:val="clear"/>
        <w:spacing w:line="360" w:lineRule="auto"/>
        <w:ind w:left="782" w:right="681" w:firstLine="480"/>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一、不向项目有关人员及部门赠送礼金礼物、有价证券、回扣以及中介费、介绍费、咨询费等好处费；</w:t>
      </w:r>
    </w:p>
    <w:p>
      <w:pPr>
        <w:pStyle w:val="10"/>
        <w:shd w:val="clear"/>
        <w:ind w:left="1262"/>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二、不为项目有关人员及部门报销应由你方单位或个人支付的费用；</w:t>
      </w:r>
    </w:p>
    <w:p>
      <w:pPr>
        <w:pStyle w:val="10"/>
        <w:shd w:val="clear"/>
        <w:spacing w:before="156" w:line="360" w:lineRule="auto"/>
        <w:ind w:left="1262" w:right="537"/>
        <w:rPr>
          <w:color w:val="000000" w:themeColor="text1"/>
          <w:highlight w:val="none"/>
          <w14:textFill>
            <w14:solidFill>
              <w14:schemeClr w14:val="tx1"/>
            </w14:solidFill>
          </w14:textFill>
        </w:rPr>
      </w:pPr>
      <w:r>
        <w:rPr>
          <w:color w:val="000000" w:themeColor="text1"/>
          <w:spacing w:val="-13"/>
          <w:highlight w:val="none"/>
          <w14:textFill>
            <w14:solidFill>
              <w14:schemeClr w14:val="tx1"/>
            </w14:solidFill>
          </w14:textFill>
        </w:rPr>
        <w:t>三、不向项目有关人员及部门提供有可能影响公正的宴请和健身娱乐等活动；</w:t>
      </w:r>
      <w:r>
        <w:rPr>
          <w:color w:val="000000" w:themeColor="text1"/>
          <w:spacing w:val="-2"/>
          <w:highlight w:val="none"/>
          <w14:textFill>
            <w14:solidFill>
              <w14:schemeClr w14:val="tx1"/>
            </w14:solidFill>
          </w14:textFill>
        </w:rPr>
        <w:t>四、不为项目有关人员及部门出国（境）、旅游等提供方便；</w:t>
      </w:r>
    </w:p>
    <w:p>
      <w:pPr>
        <w:pStyle w:val="10"/>
        <w:shd w:val="clear"/>
        <w:spacing w:line="360" w:lineRule="auto"/>
        <w:ind w:left="782" w:right="777" w:firstLine="480"/>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五、不为项目有关人员个人装修住房、婚丧嫁娶、配偶子女工作安排等提供好处；</w:t>
      </w:r>
    </w:p>
    <w:p>
      <w:pPr>
        <w:pStyle w:val="10"/>
        <w:shd w:val="clear"/>
        <w:spacing w:line="360" w:lineRule="auto"/>
        <w:ind w:left="782" w:right="777" w:firstLine="480"/>
        <w:jc w:val="both"/>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六、严格遵守《中华人民共和国政府采购法》《中华人民共和国政府采购法实施条例》《中华人民共和国民法典》等法律法规，诚实守信，合法经营，坚决</w:t>
      </w:r>
      <w:r>
        <w:rPr>
          <w:color w:val="000000" w:themeColor="text1"/>
          <w:spacing w:val="-2"/>
          <w:highlight w:val="none"/>
          <w14:textFill>
            <w14:solidFill>
              <w14:schemeClr w14:val="tx1"/>
            </w14:solidFill>
          </w14:textFill>
        </w:rPr>
        <w:t>抵制各种违法违纪行为。</w:t>
      </w:r>
    </w:p>
    <w:p>
      <w:pPr>
        <w:pStyle w:val="10"/>
        <w:shd w:val="clear"/>
        <w:spacing w:line="360" w:lineRule="auto"/>
        <w:ind w:left="782" w:right="681" w:firstLine="480"/>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如违反上述承诺，你单位有权立即取消我单位投标、中标或在建项目的建设资格，有权拒绝我单位在一定时期内进入你单位进行项目建设或其他经营活动，并通报财政</w:t>
      </w:r>
      <w:r>
        <w:rPr>
          <w:rFonts w:hint="eastAsia"/>
          <w:color w:val="000000" w:themeColor="text1"/>
          <w:spacing w:val="-2"/>
          <w:highlight w:val="none"/>
          <w14:textFill>
            <w14:solidFill>
              <w14:schemeClr w14:val="tx1"/>
            </w14:solidFill>
          </w14:textFill>
        </w:rPr>
        <w:t>主管部门</w:t>
      </w:r>
      <w:r>
        <w:rPr>
          <w:color w:val="000000" w:themeColor="text1"/>
          <w:spacing w:val="-2"/>
          <w:highlight w:val="none"/>
          <w14:textFill>
            <w14:solidFill>
              <w14:schemeClr w14:val="tx1"/>
            </w14:solidFill>
          </w14:textFill>
        </w:rPr>
        <w:t>。由此引起的相应损失均由我单位承担。</w:t>
      </w:r>
    </w:p>
    <w:p>
      <w:pPr>
        <w:pStyle w:val="10"/>
        <w:shd w:val="clear"/>
        <w:ind w:left="0"/>
        <w:rPr>
          <w:color w:val="000000" w:themeColor="text1"/>
          <w:highlight w:val="none"/>
          <w14:textFill>
            <w14:solidFill>
              <w14:schemeClr w14:val="tx1"/>
            </w14:solidFill>
          </w14:textFill>
        </w:rPr>
      </w:pPr>
    </w:p>
    <w:p>
      <w:pPr>
        <w:pStyle w:val="10"/>
        <w:shd w:val="clear"/>
        <w:ind w:left="0"/>
        <w:rPr>
          <w:color w:val="000000" w:themeColor="text1"/>
          <w:highlight w:val="none"/>
          <w14:textFill>
            <w14:solidFill>
              <w14:schemeClr w14:val="tx1"/>
            </w14:solidFill>
          </w14:textFill>
        </w:rPr>
      </w:pPr>
    </w:p>
    <w:p>
      <w:pPr>
        <w:pStyle w:val="10"/>
        <w:shd w:val="clear"/>
        <w:ind w:left="0"/>
        <w:rPr>
          <w:color w:val="000000" w:themeColor="text1"/>
          <w:highlight w:val="none"/>
          <w14:textFill>
            <w14:solidFill>
              <w14:schemeClr w14:val="tx1"/>
            </w14:solidFill>
          </w14:textFill>
        </w:rPr>
      </w:pPr>
    </w:p>
    <w:p>
      <w:pPr>
        <w:pStyle w:val="10"/>
        <w:shd w:val="clear"/>
        <w:spacing w:before="156"/>
        <w:ind w:left="0"/>
        <w:rPr>
          <w:color w:val="000000" w:themeColor="text1"/>
          <w:highlight w:val="none"/>
          <w14:textFill>
            <w14:solidFill>
              <w14:schemeClr w14:val="tx1"/>
            </w14:solidFill>
          </w14:textFill>
        </w:rPr>
      </w:pPr>
    </w:p>
    <w:p>
      <w:pPr>
        <w:pStyle w:val="10"/>
        <w:shd w:val="clear"/>
        <w:tabs>
          <w:tab w:val="left" w:pos="6419"/>
          <w:tab w:val="left" w:pos="7019"/>
          <w:tab w:val="left" w:pos="7619"/>
        </w:tabs>
        <w:spacing w:line="360" w:lineRule="auto"/>
        <w:ind w:left="5340" w:right="2005" w:firstLine="2"/>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 xml:space="preserve">投标人名称（公章)： </w:t>
      </w:r>
      <w:r>
        <w:rPr>
          <w:color w:val="000000" w:themeColor="text1"/>
          <w:spacing w:val="-4"/>
          <w:highlight w:val="none"/>
          <w14:textFill>
            <w14:solidFill>
              <w14:schemeClr w14:val="tx1"/>
            </w14:solidFill>
          </w14:textFill>
        </w:rPr>
        <w:t>日期：</w:t>
      </w:r>
      <w:r>
        <w:rPr>
          <w:color w:val="000000" w:themeColor="text1"/>
          <w:highlight w:val="none"/>
          <w14:textFill>
            <w14:solidFill>
              <w14:schemeClr w14:val="tx1"/>
            </w14:solidFill>
          </w14:textFill>
        </w:rPr>
        <w:tab/>
      </w:r>
      <w:r>
        <w:rPr>
          <w:color w:val="000000" w:themeColor="text1"/>
          <w:spacing w:val="-10"/>
          <w:highlight w:val="none"/>
          <w14:textFill>
            <w14:solidFill>
              <w14:schemeClr w14:val="tx1"/>
            </w14:solidFill>
          </w14:textFill>
        </w:rPr>
        <w:t>年</w:t>
      </w:r>
      <w:r>
        <w:rPr>
          <w:color w:val="000000" w:themeColor="text1"/>
          <w:highlight w:val="none"/>
          <w14:textFill>
            <w14:solidFill>
              <w14:schemeClr w14:val="tx1"/>
            </w14:solidFill>
          </w14:textFill>
        </w:rPr>
        <w:tab/>
      </w:r>
      <w:r>
        <w:rPr>
          <w:color w:val="000000" w:themeColor="text1"/>
          <w:spacing w:val="-10"/>
          <w:highlight w:val="none"/>
          <w14:textFill>
            <w14:solidFill>
              <w14:schemeClr w14:val="tx1"/>
            </w14:solidFill>
          </w14:textFill>
        </w:rPr>
        <w:t>月</w:t>
      </w:r>
      <w:r>
        <w:rPr>
          <w:color w:val="000000" w:themeColor="text1"/>
          <w:highlight w:val="none"/>
          <w14:textFill>
            <w14:solidFill>
              <w14:schemeClr w14:val="tx1"/>
            </w14:solidFill>
          </w14:textFill>
        </w:rPr>
        <w:tab/>
      </w:r>
      <w:r>
        <w:rPr>
          <w:color w:val="000000" w:themeColor="text1"/>
          <w:spacing w:val="-10"/>
          <w:highlight w:val="none"/>
          <w14:textFill>
            <w14:solidFill>
              <w14:schemeClr w14:val="tx1"/>
            </w14:solidFill>
          </w14:textFill>
        </w:rPr>
        <w:t>日</w:t>
      </w:r>
    </w:p>
    <w:p>
      <w:pPr>
        <w:shd w:val="clear"/>
        <w:spacing w:line="360" w:lineRule="auto"/>
        <w:rPr>
          <w:color w:val="000000" w:themeColor="text1"/>
          <w:highlight w:val="none"/>
          <w14:textFill>
            <w14:solidFill>
              <w14:schemeClr w14:val="tx1"/>
            </w14:solidFill>
          </w14:textFill>
        </w:rPr>
        <w:sectPr>
          <w:pgSz w:w="11910" w:h="16840"/>
          <w:pgMar w:top="1380" w:right="1020" w:bottom="1420" w:left="1020" w:header="878" w:footer="1224" w:gutter="0"/>
          <w:cols w:space="720" w:num="1"/>
        </w:sectPr>
      </w:pPr>
    </w:p>
    <w:p>
      <w:pPr>
        <w:pStyle w:val="5"/>
        <w:shd w:val="clear"/>
        <w:spacing w:before="159"/>
        <w:rPr>
          <w:color w:val="000000" w:themeColor="text1"/>
          <w:highlight w:val="none"/>
          <w14:textFill>
            <w14:solidFill>
              <w14:schemeClr w14:val="tx1"/>
            </w14:solidFill>
          </w14:textFill>
        </w:rPr>
      </w:pPr>
      <w:bookmarkStart w:id="194" w:name="五、实质性响应一览表【本表须与第五章的一致】"/>
      <w:bookmarkEnd w:id="194"/>
      <w:bookmarkStart w:id="195" w:name="_bookmark50"/>
      <w:bookmarkEnd w:id="195"/>
      <w:r>
        <w:rPr>
          <w:color w:val="000000" w:themeColor="text1"/>
          <w:spacing w:val="-3"/>
          <w:highlight w:val="none"/>
          <w14:textFill>
            <w14:solidFill>
              <w14:schemeClr w14:val="tx1"/>
            </w14:solidFill>
          </w14:textFill>
        </w:rPr>
        <w:t>五、实质性响应一览表【本表须与第五章的一致】</w:t>
      </w:r>
    </w:p>
    <w:p>
      <w:pPr>
        <w:pStyle w:val="10"/>
        <w:shd w:val="clear"/>
        <w:spacing w:before="410"/>
        <w:ind w:left="0"/>
        <w:jc w:val="center"/>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（投标人须对本附表所有内容逐条响应且无负偏离，否则其</w:t>
      </w:r>
      <w:r>
        <w:rPr>
          <w:b/>
          <w:color w:val="000000" w:themeColor="text1"/>
          <w:spacing w:val="-2"/>
          <w:highlight w:val="none"/>
          <w14:textFill>
            <w14:solidFill>
              <w14:schemeClr w14:val="tx1"/>
            </w14:solidFill>
          </w14:textFill>
        </w:rPr>
        <w:t>投标无效</w:t>
      </w:r>
      <w:r>
        <w:rPr>
          <w:color w:val="000000" w:themeColor="text1"/>
          <w:spacing w:val="-10"/>
          <w:highlight w:val="none"/>
          <w14:textFill>
            <w14:solidFill>
              <w14:schemeClr w14:val="tx1"/>
            </w14:solidFill>
          </w14:textFill>
        </w:rPr>
        <w:t>）</w:t>
      </w:r>
    </w:p>
    <w:p>
      <w:pPr>
        <w:pStyle w:val="10"/>
        <w:shd w:val="clear"/>
        <w:spacing w:before="212"/>
        <w:ind w:left="0"/>
        <w:rPr>
          <w:color w:val="000000" w:themeColor="text1"/>
          <w:sz w:val="20"/>
          <w:highlight w:val="none"/>
          <w14:textFill>
            <w14:solidFill>
              <w14:schemeClr w14:val="tx1"/>
            </w14:solidFill>
          </w14:textFill>
        </w:rPr>
      </w:pPr>
    </w:p>
    <w:tbl>
      <w:tblPr>
        <w:tblStyle w:val="14"/>
        <w:tblW w:w="0" w:type="auto"/>
        <w:tblInd w:w="4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5"/>
        <w:gridCol w:w="1978"/>
        <w:gridCol w:w="4229"/>
        <w:gridCol w:w="1860"/>
        <w:gridCol w:w="7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05" w:type="dxa"/>
            <w:vMerge w:val="restart"/>
          </w:tcPr>
          <w:p>
            <w:pPr>
              <w:pStyle w:val="20"/>
              <w:keepNext w:val="0"/>
              <w:keepLines w:val="0"/>
              <w:suppressLineNumbers w:val="0"/>
              <w:shd w:val="clear"/>
              <w:spacing w:before="38" w:beforeAutospacing="0" w:after="0" w:afterAutospacing="0" w:line="360" w:lineRule="atLeast"/>
              <w:ind w:left="106" w:right="46"/>
              <w:rPr>
                <w:rFonts w:hint="default"/>
                <w:color w:val="000000" w:themeColor="text1"/>
                <w:sz w:val="24"/>
                <w:highlight w:val="none"/>
                <w14:textFill>
                  <w14:solidFill>
                    <w14:schemeClr w14:val="tx1"/>
                  </w14:solidFill>
                </w14:textFill>
              </w:rPr>
            </w:pPr>
            <w:r>
              <w:rPr>
                <w:rFonts w:hint="default"/>
                <w:color w:val="000000" w:themeColor="text1"/>
                <w:spacing w:val="-10"/>
                <w:sz w:val="24"/>
                <w:highlight w:val="none"/>
                <w14:textFill>
                  <w14:solidFill>
                    <w14:schemeClr w14:val="tx1"/>
                  </w14:solidFill>
                </w14:textFill>
              </w:rPr>
              <w:t>序号</w:t>
            </w:r>
          </w:p>
        </w:tc>
        <w:tc>
          <w:tcPr>
            <w:tcW w:w="6207" w:type="dxa"/>
            <w:gridSpan w:val="2"/>
          </w:tcPr>
          <w:p>
            <w:pPr>
              <w:pStyle w:val="20"/>
              <w:keepNext w:val="0"/>
              <w:keepLines w:val="0"/>
              <w:suppressLineNumbers w:val="0"/>
              <w:shd w:val="clear"/>
              <w:spacing w:before="62" w:beforeAutospacing="0" w:after="0" w:afterAutospacing="0"/>
              <w:ind w:left="1422" w:right="0"/>
              <w:rPr>
                <w:rFonts w:hint="default"/>
                <w:color w:val="000000" w:themeColor="text1"/>
                <w:sz w:val="24"/>
                <w:highlight w:val="none"/>
                <w14:textFill>
                  <w14:solidFill>
                    <w14:schemeClr w14:val="tx1"/>
                  </w14:solidFill>
                </w14:textFill>
              </w:rPr>
            </w:pPr>
            <w:r>
              <w:rPr>
                <w:rFonts w:hint="default"/>
                <w:color w:val="000000" w:themeColor="text1"/>
                <w:spacing w:val="-1"/>
                <w:sz w:val="24"/>
                <w:highlight w:val="none"/>
                <w14:textFill>
                  <w14:solidFill>
                    <w14:schemeClr w14:val="tx1"/>
                  </w14:solidFill>
                </w14:textFill>
              </w:rPr>
              <w:t>招标文件要求的实质性响应内容</w:t>
            </w:r>
          </w:p>
        </w:tc>
        <w:tc>
          <w:tcPr>
            <w:tcW w:w="1860" w:type="dxa"/>
            <w:vMerge w:val="restart"/>
          </w:tcPr>
          <w:p>
            <w:pPr>
              <w:pStyle w:val="20"/>
              <w:keepNext w:val="0"/>
              <w:keepLines w:val="0"/>
              <w:suppressLineNumbers w:val="0"/>
              <w:shd w:val="clear"/>
              <w:spacing w:before="38" w:beforeAutospacing="0" w:after="0" w:afterAutospacing="0" w:line="360" w:lineRule="atLeast"/>
              <w:ind w:left="330" w:right="197" w:hanging="120"/>
              <w:rPr>
                <w:rFonts w:hint="default"/>
                <w:color w:val="000000" w:themeColor="text1"/>
                <w:sz w:val="24"/>
                <w:highlight w:val="none"/>
                <w14:textFill>
                  <w14:solidFill>
                    <w14:schemeClr w14:val="tx1"/>
                  </w14:solidFill>
                </w14:textFill>
              </w:rPr>
            </w:pPr>
            <w:r>
              <w:rPr>
                <w:rFonts w:hint="default"/>
                <w:color w:val="000000" w:themeColor="text1"/>
                <w:spacing w:val="-2"/>
                <w:sz w:val="24"/>
                <w:highlight w:val="none"/>
                <w14:textFill>
                  <w14:solidFill>
                    <w14:schemeClr w14:val="tx1"/>
                  </w14:solidFill>
                </w14:textFill>
              </w:rPr>
              <w:t>投标文件响应的具体内容</w:t>
            </w:r>
          </w:p>
        </w:tc>
        <w:tc>
          <w:tcPr>
            <w:tcW w:w="726" w:type="dxa"/>
            <w:vMerge w:val="restart"/>
          </w:tcPr>
          <w:p>
            <w:pPr>
              <w:pStyle w:val="20"/>
              <w:keepNext w:val="0"/>
              <w:keepLines w:val="0"/>
              <w:suppressLineNumbers w:val="0"/>
              <w:shd w:val="clear"/>
              <w:spacing w:before="266" w:beforeAutospacing="0" w:after="0" w:afterAutospacing="0"/>
              <w:ind w:left="123" w:right="0"/>
              <w:rPr>
                <w:rFonts w:hint="default"/>
                <w:color w:val="000000" w:themeColor="text1"/>
                <w:sz w:val="24"/>
                <w:highlight w:val="none"/>
                <w14:textFill>
                  <w14:solidFill>
                    <w14:schemeClr w14:val="tx1"/>
                  </w14:solidFill>
                </w14:textFill>
              </w:rPr>
            </w:pPr>
            <w:r>
              <w:rPr>
                <w:rFonts w:hint="default"/>
                <w:color w:val="000000" w:themeColor="text1"/>
                <w:spacing w:val="-5"/>
                <w:sz w:val="24"/>
                <w:highlight w:val="none"/>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05" w:type="dxa"/>
            <w:vMerge w:val="continue"/>
            <w:tcBorders>
              <w:top w:val="nil"/>
            </w:tcBorders>
          </w:tcPr>
          <w:p>
            <w:pPr>
              <w:keepNext w:val="0"/>
              <w:keepLines w:val="0"/>
              <w:suppressLineNumbers w:val="0"/>
              <w:shd w:val="clear"/>
              <w:spacing w:before="0" w:beforeAutospacing="0" w:after="0" w:afterAutospacing="0"/>
              <w:ind w:left="0" w:right="0"/>
              <w:rPr>
                <w:rFonts w:hint="default"/>
                <w:color w:val="000000" w:themeColor="text1"/>
                <w:sz w:val="2"/>
                <w:szCs w:val="2"/>
                <w:highlight w:val="none"/>
                <w14:textFill>
                  <w14:solidFill>
                    <w14:schemeClr w14:val="tx1"/>
                  </w14:solidFill>
                </w14:textFill>
              </w:rPr>
            </w:pPr>
          </w:p>
        </w:tc>
        <w:tc>
          <w:tcPr>
            <w:tcW w:w="1978" w:type="dxa"/>
          </w:tcPr>
          <w:p>
            <w:pPr>
              <w:pStyle w:val="20"/>
              <w:keepNext w:val="0"/>
              <w:keepLines w:val="0"/>
              <w:suppressLineNumbers w:val="0"/>
              <w:shd w:val="clear"/>
              <w:spacing w:before="62" w:beforeAutospacing="0" w:after="0" w:afterAutospacing="0"/>
              <w:ind w:left="388" w:right="0"/>
              <w:rPr>
                <w:rFonts w:hint="default"/>
                <w:color w:val="000000" w:themeColor="text1"/>
                <w:sz w:val="24"/>
                <w:highlight w:val="none"/>
                <w14:textFill>
                  <w14:solidFill>
                    <w14:schemeClr w14:val="tx1"/>
                  </w14:solidFill>
                </w14:textFill>
              </w:rPr>
            </w:pPr>
            <w:r>
              <w:rPr>
                <w:rFonts w:hint="default"/>
                <w:color w:val="000000" w:themeColor="text1"/>
                <w:spacing w:val="-2"/>
                <w:sz w:val="24"/>
                <w:highlight w:val="none"/>
                <w14:textFill>
                  <w14:solidFill>
                    <w14:schemeClr w14:val="tx1"/>
                  </w14:solidFill>
                </w14:textFill>
              </w:rPr>
              <w:t>实质性要求</w:t>
            </w:r>
          </w:p>
        </w:tc>
        <w:tc>
          <w:tcPr>
            <w:tcW w:w="4229" w:type="dxa"/>
          </w:tcPr>
          <w:p>
            <w:pPr>
              <w:pStyle w:val="20"/>
              <w:keepNext w:val="0"/>
              <w:keepLines w:val="0"/>
              <w:suppressLineNumbers w:val="0"/>
              <w:shd w:val="clear"/>
              <w:spacing w:before="62" w:beforeAutospacing="0" w:after="0" w:afterAutospacing="0"/>
              <w:ind w:left="1153" w:right="0"/>
              <w:rPr>
                <w:rFonts w:hint="default"/>
                <w:color w:val="000000" w:themeColor="text1"/>
                <w:sz w:val="24"/>
                <w:highlight w:val="none"/>
                <w14:textFill>
                  <w14:solidFill>
                    <w14:schemeClr w14:val="tx1"/>
                  </w14:solidFill>
                </w14:textFill>
              </w:rPr>
            </w:pPr>
            <w:r>
              <w:rPr>
                <w:rFonts w:hint="default"/>
                <w:color w:val="000000" w:themeColor="text1"/>
                <w:spacing w:val="-2"/>
                <w:sz w:val="24"/>
                <w:highlight w:val="none"/>
                <w14:textFill>
                  <w14:solidFill>
                    <w14:schemeClr w14:val="tx1"/>
                  </w14:solidFill>
                </w14:textFill>
              </w:rPr>
              <w:t>招标文件中的规定</w:t>
            </w:r>
          </w:p>
        </w:tc>
        <w:tc>
          <w:tcPr>
            <w:tcW w:w="1860" w:type="dxa"/>
            <w:vMerge w:val="continue"/>
            <w:tcBorders>
              <w:top w:val="nil"/>
            </w:tcBorders>
          </w:tcPr>
          <w:p>
            <w:pPr>
              <w:keepNext w:val="0"/>
              <w:keepLines w:val="0"/>
              <w:suppressLineNumbers w:val="0"/>
              <w:shd w:val="clear"/>
              <w:spacing w:before="0" w:beforeAutospacing="0" w:after="0" w:afterAutospacing="0"/>
              <w:ind w:left="0" w:right="0"/>
              <w:rPr>
                <w:rFonts w:hint="default"/>
                <w:color w:val="000000" w:themeColor="text1"/>
                <w:sz w:val="2"/>
                <w:szCs w:val="2"/>
                <w:highlight w:val="none"/>
                <w14:textFill>
                  <w14:solidFill>
                    <w14:schemeClr w14:val="tx1"/>
                  </w14:solidFill>
                </w14:textFill>
              </w:rPr>
            </w:pPr>
          </w:p>
        </w:tc>
        <w:tc>
          <w:tcPr>
            <w:tcW w:w="726" w:type="dxa"/>
            <w:vMerge w:val="continue"/>
            <w:tcBorders>
              <w:top w:val="nil"/>
            </w:tcBorders>
          </w:tcPr>
          <w:p>
            <w:pPr>
              <w:keepNext w:val="0"/>
              <w:keepLines w:val="0"/>
              <w:suppressLineNumbers w:val="0"/>
              <w:shd w:val="clear"/>
              <w:spacing w:before="0" w:beforeAutospacing="0" w:after="0" w:afterAutospacing="0"/>
              <w:ind w:left="0" w:right="0"/>
              <w:rPr>
                <w:rFonts w:hint="default"/>
                <w:color w:val="000000" w:themeColor="text1"/>
                <w:sz w:val="2"/>
                <w:szCs w:val="2"/>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2" w:hRule="atLeast"/>
        </w:trPr>
        <w:tc>
          <w:tcPr>
            <w:tcW w:w="405" w:type="dxa"/>
          </w:tcPr>
          <w:p>
            <w:pPr>
              <w:pStyle w:val="20"/>
              <w:keepNext w:val="0"/>
              <w:keepLines w:val="0"/>
              <w:suppressLineNumbers w:val="0"/>
              <w:shd w:val="clear"/>
              <w:spacing w:before="124" w:beforeAutospacing="0" w:after="0" w:afterAutospacing="0"/>
              <w:ind w:left="0" w:right="0"/>
              <w:rPr>
                <w:rFonts w:hint="default"/>
                <w:color w:val="000000" w:themeColor="text1"/>
                <w:sz w:val="24"/>
                <w:highlight w:val="none"/>
                <w14:textFill>
                  <w14:solidFill>
                    <w14:schemeClr w14:val="tx1"/>
                  </w14:solidFill>
                </w14:textFill>
              </w:rPr>
            </w:pPr>
          </w:p>
          <w:p>
            <w:pPr>
              <w:pStyle w:val="20"/>
              <w:keepNext w:val="0"/>
              <w:keepLines w:val="0"/>
              <w:suppressLineNumbers w:val="0"/>
              <w:shd w:val="clear"/>
              <w:spacing w:before="0" w:beforeAutospacing="0" w:after="0" w:afterAutospacing="0"/>
              <w:ind w:left="6" w:right="0"/>
              <w:jc w:val="center"/>
              <w:rPr>
                <w:rFonts w:hint="default"/>
                <w:color w:val="000000" w:themeColor="text1"/>
                <w:sz w:val="24"/>
                <w:highlight w:val="none"/>
                <w14:textFill>
                  <w14:solidFill>
                    <w14:schemeClr w14:val="tx1"/>
                  </w14:solidFill>
                </w14:textFill>
              </w:rPr>
            </w:pPr>
            <w:r>
              <w:rPr>
                <w:rFonts w:hint="default"/>
                <w:color w:val="000000" w:themeColor="text1"/>
                <w:spacing w:val="-10"/>
                <w:sz w:val="24"/>
                <w:highlight w:val="none"/>
                <w14:textFill>
                  <w14:solidFill>
                    <w14:schemeClr w14:val="tx1"/>
                  </w14:solidFill>
                </w14:textFill>
              </w:rPr>
              <w:t>1</w:t>
            </w:r>
          </w:p>
        </w:tc>
        <w:tc>
          <w:tcPr>
            <w:tcW w:w="1978"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4"/>
                <w:highlight w:val="none"/>
                <w14:textFill>
                  <w14:solidFill>
                    <w14:schemeClr w14:val="tx1"/>
                  </w14:solidFill>
                </w14:textFill>
              </w:rPr>
            </w:pPr>
          </w:p>
        </w:tc>
        <w:tc>
          <w:tcPr>
            <w:tcW w:w="4229"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4"/>
                <w:highlight w:val="none"/>
                <w14:textFill>
                  <w14:solidFill>
                    <w14:schemeClr w14:val="tx1"/>
                  </w14:solidFill>
                </w14:textFill>
              </w:rPr>
            </w:pPr>
          </w:p>
        </w:tc>
        <w:tc>
          <w:tcPr>
            <w:tcW w:w="1860"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4"/>
                <w:highlight w:val="none"/>
                <w14:textFill>
                  <w14:solidFill>
                    <w14:schemeClr w14:val="tx1"/>
                  </w14:solidFill>
                </w14:textFill>
              </w:rPr>
            </w:pPr>
          </w:p>
        </w:tc>
        <w:tc>
          <w:tcPr>
            <w:tcW w:w="726"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1" w:hRule="atLeast"/>
        </w:trPr>
        <w:tc>
          <w:tcPr>
            <w:tcW w:w="405" w:type="dxa"/>
          </w:tcPr>
          <w:p>
            <w:pPr>
              <w:pStyle w:val="20"/>
              <w:keepNext w:val="0"/>
              <w:keepLines w:val="0"/>
              <w:suppressLineNumbers w:val="0"/>
              <w:shd w:val="clear"/>
              <w:spacing w:before="114" w:beforeAutospacing="0" w:after="0" w:afterAutospacing="0"/>
              <w:ind w:left="0" w:right="0"/>
              <w:rPr>
                <w:rFonts w:hint="default"/>
                <w:color w:val="000000" w:themeColor="text1"/>
                <w:sz w:val="24"/>
                <w:highlight w:val="none"/>
                <w14:textFill>
                  <w14:solidFill>
                    <w14:schemeClr w14:val="tx1"/>
                  </w14:solidFill>
                </w14:textFill>
              </w:rPr>
            </w:pPr>
          </w:p>
          <w:p>
            <w:pPr>
              <w:pStyle w:val="20"/>
              <w:keepNext w:val="0"/>
              <w:keepLines w:val="0"/>
              <w:suppressLineNumbers w:val="0"/>
              <w:shd w:val="clear"/>
              <w:spacing w:before="0" w:beforeAutospacing="0" w:after="0" w:afterAutospacing="0"/>
              <w:ind w:left="6" w:right="0"/>
              <w:jc w:val="center"/>
              <w:rPr>
                <w:rFonts w:hint="default"/>
                <w:color w:val="000000" w:themeColor="text1"/>
                <w:sz w:val="24"/>
                <w:highlight w:val="none"/>
                <w14:textFill>
                  <w14:solidFill>
                    <w14:schemeClr w14:val="tx1"/>
                  </w14:solidFill>
                </w14:textFill>
              </w:rPr>
            </w:pPr>
            <w:r>
              <w:rPr>
                <w:rFonts w:hint="default"/>
                <w:color w:val="000000" w:themeColor="text1"/>
                <w:spacing w:val="-10"/>
                <w:sz w:val="24"/>
                <w:highlight w:val="none"/>
                <w14:textFill>
                  <w14:solidFill>
                    <w14:schemeClr w14:val="tx1"/>
                  </w14:solidFill>
                </w14:textFill>
              </w:rPr>
              <w:t>2</w:t>
            </w:r>
          </w:p>
        </w:tc>
        <w:tc>
          <w:tcPr>
            <w:tcW w:w="1978"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4"/>
                <w:highlight w:val="none"/>
                <w14:textFill>
                  <w14:solidFill>
                    <w14:schemeClr w14:val="tx1"/>
                  </w14:solidFill>
                </w14:textFill>
              </w:rPr>
            </w:pPr>
          </w:p>
        </w:tc>
        <w:tc>
          <w:tcPr>
            <w:tcW w:w="4229"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4"/>
                <w:highlight w:val="none"/>
                <w14:textFill>
                  <w14:solidFill>
                    <w14:schemeClr w14:val="tx1"/>
                  </w14:solidFill>
                </w14:textFill>
              </w:rPr>
            </w:pPr>
          </w:p>
        </w:tc>
        <w:tc>
          <w:tcPr>
            <w:tcW w:w="1860"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4"/>
                <w:highlight w:val="none"/>
                <w14:textFill>
                  <w14:solidFill>
                    <w14:schemeClr w14:val="tx1"/>
                  </w14:solidFill>
                </w14:textFill>
              </w:rPr>
            </w:pPr>
          </w:p>
        </w:tc>
        <w:tc>
          <w:tcPr>
            <w:tcW w:w="726"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2" w:hRule="atLeast"/>
        </w:trPr>
        <w:tc>
          <w:tcPr>
            <w:tcW w:w="405" w:type="dxa"/>
          </w:tcPr>
          <w:p>
            <w:pPr>
              <w:pStyle w:val="20"/>
              <w:keepNext w:val="0"/>
              <w:keepLines w:val="0"/>
              <w:suppressLineNumbers w:val="0"/>
              <w:shd w:val="clear"/>
              <w:spacing w:before="122" w:beforeAutospacing="0" w:after="0" w:afterAutospacing="0"/>
              <w:ind w:left="0" w:right="0"/>
              <w:rPr>
                <w:rFonts w:hint="default"/>
                <w:color w:val="000000" w:themeColor="text1"/>
                <w:sz w:val="24"/>
                <w:highlight w:val="none"/>
                <w14:textFill>
                  <w14:solidFill>
                    <w14:schemeClr w14:val="tx1"/>
                  </w14:solidFill>
                </w14:textFill>
              </w:rPr>
            </w:pPr>
          </w:p>
          <w:p>
            <w:pPr>
              <w:pStyle w:val="20"/>
              <w:keepNext w:val="0"/>
              <w:keepLines w:val="0"/>
              <w:suppressLineNumbers w:val="0"/>
              <w:shd w:val="clear"/>
              <w:spacing w:before="0" w:beforeAutospacing="0" w:after="0" w:afterAutospacing="0"/>
              <w:ind w:left="6" w:right="0"/>
              <w:jc w:val="center"/>
              <w:rPr>
                <w:rFonts w:hint="default"/>
                <w:color w:val="000000" w:themeColor="text1"/>
                <w:sz w:val="24"/>
                <w:highlight w:val="none"/>
                <w14:textFill>
                  <w14:solidFill>
                    <w14:schemeClr w14:val="tx1"/>
                  </w14:solidFill>
                </w14:textFill>
              </w:rPr>
            </w:pPr>
            <w:r>
              <w:rPr>
                <w:rFonts w:hint="default"/>
                <w:color w:val="000000" w:themeColor="text1"/>
                <w:spacing w:val="-10"/>
                <w:sz w:val="24"/>
                <w:highlight w:val="none"/>
                <w14:textFill>
                  <w14:solidFill>
                    <w14:schemeClr w14:val="tx1"/>
                  </w14:solidFill>
                </w14:textFill>
              </w:rPr>
              <w:t>3</w:t>
            </w:r>
          </w:p>
        </w:tc>
        <w:tc>
          <w:tcPr>
            <w:tcW w:w="1978"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4"/>
                <w:highlight w:val="none"/>
                <w14:textFill>
                  <w14:solidFill>
                    <w14:schemeClr w14:val="tx1"/>
                  </w14:solidFill>
                </w14:textFill>
              </w:rPr>
            </w:pPr>
          </w:p>
        </w:tc>
        <w:tc>
          <w:tcPr>
            <w:tcW w:w="4229"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4"/>
                <w:highlight w:val="none"/>
                <w14:textFill>
                  <w14:solidFill>
                    <w14:schemeClr w14:val="tx1"/>
                  </w14:solidFill>
                </w14:textFill>
              </w:rPr>
            </w:pPr>
          </w:p>
        </w:tc>
        <w:tc>
          <w:tcPr>
            <w:tcW w:w="1860"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4"/>
                <w:highlight w:val="none"/>
                <w14:textFill>
                  <w14:solidFill>
                    <w14:schemeClr w14:val="tx1"/>
                  </w14:solidFill>
                </w14:textFill>
              </w:rPr>
            </w:pPr>
          </w:p>
        </w:tc>
        <w:tc>
          <w:tcPr>
            <w:tcW w:w="726"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6" w:hRule="atLeast"/>
        </w:trPr>
        <w:tc>
          <w:tcPr>
            <w:tcW w:w="405" w:type="dxa"/>
          </w:tcPr>
          <w:p>
            <w:pPr>
              <w:pStyle w:val="20"/>
              <w:keepNext w:val="0"/>
              <w:keepLines w:val="0"/>
              <w:suppressLineNumbers w:val="0"/>
              <w:shd w:val="clear"/>
              <w:spacing w:before="60" w:beforeAutospacing="0" w:after="0" w:afterAutospacing="0"/>
              <w:ind w:left="0" w:right="0"/>
              <w:rPr>
                <w:rFonts w:hint="default"/>
                <w:color w:val="000000" w:themeColor="text1"/>
                <w:sz w:val="24"/>
                <w:highlight w:val="none"/>
                <w14:textFill>
                  <w14:solidFill>
                    <w14:schemeClr w14:val="tx1"/>
                  </w14:solidFill>
                </w14:textFill>
              </w:rPr>
            </w:pPr>
          </w:p>
          <w:p>
            <w:pPr>
              <w:pStyle w:val="20"/>
              <w:keepNext w:val="0"/>
              <w:keepLines w:val="0"/>
              <w:suppressLineNumbers w:val="0"/>
              <w:shd w:val="clear"/>
              <w:spacing w:before="0" w:beforeAutospacing="0" w:after="0" w:afterAutospacing="0"/>
              <w:ind w:left="6" w:right="0"/>
              <w:jc w:val="center"/>
              <w:rPr>
                <w:rFonts w:hint="default"/>
                <w:color w:val="000000" w:themeColor="text1"/>
                <w:sz w:val="24"/>
                <w:highlight w:val="none"/>
                <w14:textFill>
                  <w14:solidFill>
                    <w14:schemeClr w14:val="tx1"/>
                  </w14:solidFill>
                </w14:textFill>
              </w:rPr>
            </w:pPr>
            <w:r>
              <w:rPr>
                <w:rFonts w:hint="default"/>
                <w:color w:val="000000" w:themeColor="text1"/>
                <w:spacing w:val="-10"/>
                <w:sz w:val="24"/>
                <w:highlight w:val="none"/>
                <w14:textFill>
                  <w14:solidFill>
                    <w14:schemeClr w14:val="tx1"/>
                  </w14:solidFill>
                </w14:textFill>
              </w:rPr>
              <w:t>4</w:t>
            </w:r>
          </w:p>
        </w:tc>
        <w:tc>
          <w:tcPr>
            <w:tcW w:w="1978"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4"/>
                <w:highlight w:val="none"/>
                <w14:textFill>
                  <w14:solidFill>
                    <w14:schemeClr w14:val="tx1"/>
                  </w14:solidFill>
                </w14:textFill>
              </w:rPr>
            </w:pPr>
          </w:p>
        </w:tc>
        <w:tc>
          <w:tcPr>
            <w:tcW w:w="4229"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4"/>
                <w:highlight w:val="none"/>
                <w14:textFill>
                  <w14:solidFill>
                    <w14:schemeClr w14:val="tx1"/>
                  </w14:solidFill>
                </w14:textFill>
              </w:rPr>
            </w:pPr>
          </w:p>
        </w:tc>
        <w:tc>
          <w:tcPr>
            <w:tcW w:w="1860"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4"/>
                <w:highlight w:val="none"/>
                <w14:textFill>
                  <w14:solidFill>
                    <w14:schemeClr w14:val="tx1"/>
                  </w14:solidFill>
                </w14:textFill>
              </w:rPr>
            </w:pPr>
          </w:p>
        </w:tc>
        <w:tc>
          <w:tcPr>
            <w:tcW w:w="726"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405" w:type="dxa"/>
          </w:tcPr>
          <w:p>
            <w:pPr>
              <w:pStyle w:val="20"/>
              <w:keepNext w:val="0"/>
              <w:keepLines w:val="0"/>
              <w:suppressLineNumbers w:val="0"/>
              <w:shd w:val="clear"/>
              <w:spacing w:before="235" w:beforeAutospacing="0" w:after="0" w:afterAutospacing="0"/>
              <w:ind w:left="6" w:right="0"/>
              <w:jc w:val="center"/>
              <w:rPr>
                <w:rFonts w:hint="default"/>
                <w:color w:val="000000" w:themeColor="text1"/>
                <w:sz w:val="24"/>
                <w:highlight w:val="none"/>
                <w14:textFill>
                  <w14:solidFill>
                    <w14:schemeClr w14:val="tx1"/>
                  </w14:solidFill>
                </w14:textFill>
              </w:rPr>
            </w:pPr>
            <w:r>
              <w:rPr>
                <w:rFonts w:hint="default"/>
                <w:color w:val="000000" w:themeColor="text1"/>
                <w:spacing w:val="-10"/>
                <w:sz w:val="24"/>
                <w:highlight w:val="none"/>
                <w14:textFill>
                  <w14:solidFill>
                    <w14:schemeClr w14:val="tx1"/>
                  </w14:solidFill>
                </w14:textFill>
              </w:rPr>
              <w:t>5</w:t>
            </w:r>
          </w:p>
        </w:tc>
        <w:tc>
          <w:tcPr>
            <w:tcW w:w="1978" w:type="dxa"/>
          </w:tcPr>
          <w:p>
            <w:pPr>
              <w:pStyle w:val="20"/>
              <w:keepNext w:val="0"/>
              <w:keepLines w:val="0"/>
              <w:suppressLineNumbers w:val="0"/>
              <w:shd w:val="clear"/>
              <w:spacing w:before="235" w:beforeAutospacing="0" w:after="0" w:afterAutospacing="0"/>
              <w:ind w:left="107" w:right="0"/>
              <w:rPr>
                <w:rFonts w:hint="default"/>
                <w:color w:val="000000" w:themeColor="text1"/>
                <w:sz w:val="24"/>
                <w:highlight w:val="none"/>
                <w14:textFill>
                  <w14:solidFill>
                    <w14:schemeClr w14:val="tx1"/>
                  </w14:solidFill>
                </w14:textFill>
              </w:rPr>
            </w:pPr>
            <w:r>
              <w:rPr>
                <w:rFonts w:hint="default"/>
                <w:color w:val="000000" w:themeColor="text1"/>
                <w:spacing w:val="-5"/>
                <w:sz w:val="24"/>
                <w:highlight w:val="none"/>
                <w14:textFill>
                  <w14:solidFill>
                    <w14:schemeClr w14:val="tx1"/>
                  </w14:solidFill>
                </w14:textFill>
              </w:rPr>
              <w:t>……</w:t>
            </w:r>
          </w:p>
        </w:tc>
        <w:tc>
          <w:tcPr>
            <w:tcW w:w="4229"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4"/>
                <w:highlight w:val="none"/>
                <w14:textFill>
                  <w14:solidFill>
                    <w14:schemeClr w14:val="tx1"/>
                  </w14:solidFill>
                </w14:textFill>
              </w:rPr>
            </w:pPr>
          </w:p>
        </w:tc>
        <w:tc>
          <w:tcPr>
            <w:tcW w:w="1860"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4"/>
                <w:highlight w:val="none"/>
                <w14:textFill>
                  <w14:solidFill>
                    <w14:schemeClr w14:val="tx1"/>
                  </w14:solidFill>
                </w14:textFill>
              </w:rPr>
            </w:pPr>
          </w:p>
        </w:tc>
        <w:tc>
          <w:tcPr>
            <w:tcW w:w="726"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7" w:hRule="atLeast"/>
        </w:trPr>
        <w:tc>
          <w:tcPr>
            <w:tcW w:w="405" w:type="dxa"/>
          </w:tcPr>
          <w:p>
            <w:pPr>
              <w:pStyle w:val="20"/>
              <w:keepNext w:val="0"/>
              <w:keepLines w:val="0"/>
              <w:suppressLineNumbers w:val="0"/>
              <w:shd w:val="clear"/>
              <w:spacing w:before="60" w:beforeAutospacing="0" w:after="0" w:afterAutospacing="0"/>
              <w:ind w:left="0" w:right="0"/>
              <w:rPr>
                <w:rFonts w:hint="default"/>
                <w:color w:val="000000" w:themeColor="text1"/>
                <w:sz w:val="24"/>
                <w:highlight w:val="none"/>
                <w14:textFill>
                  <w14:solidFill>
                    <w14:schemeClr w14:val="tx1"/>
                  </w14:solidFill>
                </w14:textFill>
              </w:rPr>
            </w:pPr>
          </w:p>
          <w:p>
            <w:pPr>
              <w:pStyle w:val="20"/>
              <w:keepNext w:val="0"/>
              <w:keepLines w:val="0"/>
              <w:suppressLineNumbers w:val="0"/>
              <w:shd w:val="clear"/>
              <w:spacing w:before="0" w:beforeAutospacing="0" w:after="0" w:afterAutospacing="0"/>
              <w:ind w:left="6" w:right="0"/>
              <w:jc w:val="center"/>
              <w:rPr>
                <w:rFonts w:hint="default"/>
                <w:color w:val="000000" w:themeColor="text1"/>
                <w:sz w:val="24"/>
                <w:highlight w:val="none"/>
                <w14:textFill>
                  <w14:solidFill>
                    <w14:schemeClr w14:val="tx1"/>
                  </w14:solidFill>
                </w14:textFill>
              </w:rPr>
            </w:pPr>
            <w:r>
              <w:rPr>
                <w:rFonts w:hint="default"/>
                <w:color w:val="000000" w:themeColor="text1"/>
                <w:spacing w:val="-10"/>
                <w:sz w:val="24"/>
                <w:highlight w:val="none"/>
                <w14:textFill>
                  <w14:solidFill>
                    <w14:schemeClr w14:val="tx1"/>
                  </w14:solidFill>
                </w14:textFill>
              </w:rPr>
              <w:t>6</w:t>
            </w:r>
          </w:p>
        </w:tc>
        <w:tc>
          <w:tcPr>
            <w:tcW w:w="1978" w:type="dxa"/>
          </w:tcPr>
          <w:p>
            <w:pPr>
              <w:pStyle w:val="20"/>
              <w:keepNext w:val="0"/>
              <w:keepLines w:val="0"/>
              <w:suppressLineNumbers w:val="0"/>
              <w:shd w:val="clear"/>
              <w:spacing w:before="60" w:beforeAutospacing="0" w:after="0" w:afterAutospacing="0"/>
              <w:ind w:left="0" w:right="0"/>
              <w:rPr>
                <w:rFonts w:hint="default"/>
                <w:color w:val="000000" w:themeColor="text1"/>
                <w:sz w:val="24"/>
                <w:highlight w:val="none"/>
                <w14:textFill>
                  <w14:solidFill>
                    <w14:schemeClr w14:val="tx1"/>
                  </w14:solidFill>
                </w14:textFill>
              </w:rPr>
            </w:pPr>
          </w:p>
          <w:p>
            <w:pPr>
              <w:pStyle w:val="20"/>
              <w:keepNext w:val="0"/>
              <w:keepLines w:val="0"/>
              <w:suppressLineNumbers w:val="0"/>
              <w:shd w:val="clear"/>
              <w:spacing w:before="0" w:beforeAutospacing="0" w:after="0" w:afterAutospacing="0"/>
              <w:ind w:left="107" w:right="0"/>
              <w:rPr>
                <w:rFonts w:hint="default"/>
                <w:color w:val="000000" w:themeColor="text1"/>
                <w:sz w:val="24"/>
                <w:highlight w:val="none"/>
                <w14:textFill>
                  <w14:solidFill>
                    <w14:schemeClr w14:val="tx1"/>
                  </w14:solidFill>
                </w14:textFill>
              </w:rPr>
            </w:pPr>
            <w:r>
              <w:rPr>
                <w:rFonts w:hint="default"/>
                <w:color w:val="000000" w:themeColor="text1"/>
                <w:spacing w:val="-5"/>
                <w:sz w:val="24"/>
                <w:highlight w:val="none"/>
                <w14:textFill>
                  <w14:solidFill>
                    <w14:schemeClr w14:val="tx1"/>
                  </w14:solidFill>
                </w14:textFill>
              </w:rPr>
              <w:t>……</w:t>
            </w:r>
          </w:p>
        </w:tc>
        <w:tc>
          <w:tcPr>
            <w:tcW w:w="4229"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4"/>
                <w:highlight w:val="none"/>
                <w14:textFill>
                  <w14:solidFill>
                    <w14:schemeClr w14:val="tx1"/>
                  </w14:solidFill>
                </w14:textFill>
              </w:rPr>
            </w:pPr>
          </w:p>
        </w:tc>
        <w:tc>
          <w:tcPr>
            <w:tcW w:w="1860"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4"/>
                <w:highlight w:val="none"/>
                <w14:textFill>
                  <w14:solidFill>
                    <w14:schemeClr w14:val="tx1"/>
                  </w14:solidFill>
                </w14:textFill>
              </w:rPr>
            </w:pPr>
          </w:p>
        </w:tc>
        <w:tc>
          <w:tcPr>
            <w:tcW w:w="726"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7" w:hRule="atLeast"/>
        </w:trPr>
        <w:tc>
          <w:tcPr>
            <w:tcW w:w="405" w:type="dxa"/>
          </w:tcPr>
          <w:p>
            <w:pPr>
              <w:pStyle w:val="20"/>
              <w:keepNext w:val="0"/>
              <w:keepLines w:val="0"/>
              <w:suppressLineNumbers w:val="0"/>
              <w:shd w:val="clear"/>
              <w:spacing w:before="60" w:beforeAutospacing="0" w:after="0" w:afterAutospacing="0"/>
              <w:ind w:left="0" w:right="0"/>
              <w:rPr>
                <w:rFonts w:hint="default"/>
                <w:color w:val="000000" w:themeColor="text1"/>
                <w:sz w:val="24"/>
                <w:highlight w:val="none"/>
                <w14:textFill>
                  <w14:solidFill>
                    <w14:schemeClr w14:val="tx1"/>
                  </w14:solidFill>
                </w14:textFill>
              </w:rPr>
            </w:pPr>
          </w:p>
          <w:p>
            <w:pPr>
              <w:pStyle w:val="20"/>
              <w:keepNext w:val="0"/>
              <w:keepLines w:val="0"/>
              <w:suppressLineNumbers w:val="0"/>
              <w:shd w:val="clear"/>
              <w:spacing w:before="1" w:beforeAutospacing="0" w:after="0" w:afterAutospacing="0"/>
              <w:ind w:left="6" w:right="0"/>
              <w:jc w:val="center"/>
              <w:rPr>
                <w:rFonts w:hint="default"/>
                <w:color w:val="000000" w:themeColor="text1"/>
                <w:sz w:val="24"/>
                <w:highlight w:val="none"/>
                <w14:textFill>
                  <w14:solidFill>
                    <w14:schemeClr w14:val="tx1"/>
                  </w14:solidFill>
                </w14:textFill>
              </w:rPr>
            </w:pPr>
            <w:r>
              <w:rPr>
                <w:rFonts w:hint="default"/>
                <w:color w:val="000000" w:themeColor="text1"/>
                <w:spacing w:val="-10"/>
                <w:sz w:val="24"/>
                <w:highlight w:val="none"/>
                <w14:textFill>
                  <w14:solidFill>
                    <w14:schemeClr w14:val="tx1"/>
                  </w14:solidFill>
                </w14:textFill>
              </w:rPr>
              <w:t>7</w:t>
            </w:r>
          </w:p>
        </w:tc>
        <w:tc>
          <w:tcPr>
            <w:tcW w:w="1978" w:type="dxa"/>
          </w:tcPr>
          <w:p>
            <w:pPr>
              <w:pStyle w:val="20"/>
              <w:keepNext w:val="0"/>
              <w:keepLines w:val="0"/>
              <w:suppressLineNumbers w:val="0"/>
              <w:shd w:val="clear"/>
              <w:spacing w:before="60" w:beforeAutospacing="0" w:after="0" w:afterAutospacing="0"/>
              <w:ind w:left="0" w:right="0"/>
              <w:rPr>
                <w:rFonts w:hint="default"/>
                <w:color w:val="000000" w:themeColor="text1"/>
                <w:sz w:val="24"/>
                <w:highlight w:val="none"/>
                <w14:textFill>
                  <w14:solidFill>
                    <w14:schemeClr w14:val="tx1"/>
                  </w14:solidFill>
                </w14:textFill>
              </w:rPr>
            </w:pPr>
          </w:p>
          <w:p>
            <w:pPr>
              <w:pStyle w:val="20"/>
              <w:keepNext w:val="0"/>
              <w:keepLines w:val="0"/>
              <w:suppressLineNumbers w:val="0"/>
              <w:shd w:val="clear"/>
              <w:spacing w:before="1" w:beforeAutospacing="0" w:after="0" w:afterAutospacing="0"/>
              <w:ind w:left="107" w:right="0"/>
              <w:rPr>
                <w:rFonts w:hint="default"/>
                <w:color w:val="000000" w:themeColor="text1"/>
                <w:sz w:val="24"/>
                <w:highlight w:val="none"/>
                <w14:textFill>
                  <w14:solidFill>
                    <w14:schemeClr w14:val="tx1"/>
                  </w14:solidFill>
                </w14:textFill>
              </w:rPr>
            </w:pPr>
            <w:r>
              <w:rPr>
                <w:rFonts w:hint="default"/>
                <w:color w:val="000000" w:themeColor="text1"/>
                <w:spacing w:val="-5"/>
                <w:sz w:val="24"/>
                <w:highlight w:val="none"/>
                <w14:textFill>
                  <w14:solidFill>
                    <w14:schemeClr w14:val="tx1"/>
                  </w14:solidFill>
                </w14:textFill>
              </w:rPr>
              <w:t>……</w:t>
            </w:r>
          </w:p>
        </w:tc>
        <w:tc>
          <w:tcPr>
            <w:tcW w:w="4229"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4"/>
                <w:highlight w:val="none"/>
                <w14:textFill>
                  <w14:solidFill>
                    <w14:schemeClr w14:val="tx1"/>
                  </w14:solidFill>
                </w14:textFill>
              </w:rPr>
            </w:pPr>
          </w:p>
        </w:tc>
        <w:tc>
          <w:tcPr>
            <w:tcW w:w="1860"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4"/>
                <w:highlight w:val="none"/>
                <w14:textFill>
                  <w14:solidFill>
                    <w14:schemeClr w14:val="tx1"/>
                  </w14:solidFill>
                </w14:textFill>
              </w:rPr>
            </w:pPr>
          </w:p>
        </w:tc>
        <w:tc>
          <w:tcPr>
            <w:tcW w:w="726"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trPr>
        <w:tc>
          <w:tcPr>
            <w:tcW w:w="405"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4"/>
                <w:highlight w:val="none"/>
                <w14:textFill>
                  <w14:solidFill>
                    <w14:schemeClr w14:val="tx1"/>
                  </w14:solidFill>
                </w14:textFill>
              </w:rPr>
            </w:pPr>
          </w:p>
        </w:tc>
        <w:tc>
          <w:tcPr>
            <w:tcW w:w="1978" w:type="dxa"/>
          </w:tcPr>
          <w:p>
            <w:pPr>
              <w:pStyle w:val="20"/>
              <w:keepNext w:val="0"/>
              <w:keepLines w:val="0"/>
              <w:suppressLineNumbers w:val="0"/>
              <w:shd w:val="clear"/>
              <w:spacing w:before="272" w:beforeAutospacing="0" w:after="0" w:afterAutospacing="0"/>
              <w:ind w:left="107" w:right="0"/>
              <w:rPr>
                <w:rFonts w:hint="default"/>
                <w:color w:val="000000" w:themeColor="text1"/>
                <w:sz w:val="24"/>
                <w:highlight w:val="none"/>
                <w14:textFill>
                  <w14:solidFill>
                    <w14:schemeClr w14:val="tx1"/>
                  </w14:solidFill>
                </w14:textFill>
              </w:rPr>
            </w:pPr>
            <w:r>
              <w:rPr>
                <w:rFonts w:hint="default"/>
                <w:color w:val="000000" w:themeColor="text1"/>
                <w:spacing w:val="-5"/>
                <w:sz w:val="24"/>
                <w:highlight w:val="none"/>
                <w14:textFill>
                  <w14:solidFill>
                    <w14:schemeClr w14:val="tx1"/>
                  </w14:solidFill>
                </w14:textFill>
              </w:rPr>
              <w:t>……</w:t>
            </w:r>
          </w:p>
        </w:tc>
        <w:tc>
          <w:tcPr>
            <w:tcW w:w="4229"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4"/>
                <w:highlight w:val="none"/>
                <w14:textFill>
                  <w14:solidFill>
                    <w14:schemeClr w14:val="tx1"/>
                  </w14:solidFill>
                </w14:textFill>
              </w:rPr>
            </w:pPr>
          </w:p>
        </w:tc>
        <w:tc>
          <w:tcPr>
            <w:tcW w:w="1860"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4"/>
                <w:highlight w:val="none"/>
                <w14:textFill>
                  <w14:solidFill>
                    <w14:schemeClr w14:val="tx1"/>
                  </w14:solidFill>
                </w14:textFill>
              </w:rPr>
            </w:pPr>
          </w:p>
        </w:tc>
        <w:tc>
          <w:tcPr>
            <w:tcW w:w="726"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4"/>
                <w:highlight w:val="none"/>
                <w14:textFill>
                  <w14:solidFill>
                    <w14:schemeClr w14:val="tx1"/>
                  </w14:solidFill>
                </w14:textFill>
              </w:rPr>
            </w:pPr>
          </w:p>
        </w:tc>
      </w:tr>
    </w:tbl>
    <w:p>
      <w:pPr>
        <w:shd w:val="clear"/>
        <w:rPr>
          <w:rFonts w:ascii="Times New Roman"/>
          <w:color w:val="000000" w:themeColor="text1"/>
          <w:sz w:val="24"/>
          <w:highlight w:val="none"/>
          <w14:textFill>
            <w14:solidFill>
              <w14:schemeClr w14:val="tx1"/>
            </w14:solidFill>
          </w14:textFill>
        </w:rPr>
        <w:sectPr>
          <w:pgSz w:w="11910" w:h="16840"/>
          <w:pgMar w:top="1380" w:right="1020" w:bottom="1420" w:left="1020" w:header="878" w:footer="1224" w:gutter="0"/>
          <w:cols w:space="720" w:num="1"/>
        </w:sectPr>
      </w:pPr>
    </w:p>
    <w:p>
      <w:pPr>
        <w:pStyle w:val="5"/>
        <w:shd w:val="clear"/>
        <w:spacing w:before="159"/>
        <w:rPr>
          <w:color w:val="000000" w:themeColor="text1"/>
          <w:highlight w:val="none"/>
          <w14:textFill>
            <w14:solidFill>
              <w14:schemeClr w14:val="tx1"/>
            </w14:solidFill>
          </w14:textFill>
        </w:rPr>
      </w:pPr>
      <w:bookmarkStart w:id="196" w:name="_bookmark51"/>
      <w:bookmarkEnd w:id="196"/>
      <w:bookmarkStart w:id="197" w:name="六、商务响应偏离表"/>
      <w:bookmarkEnd w:id="197"/>
      <w:r>
        <w:rPr>
          <w:color w:val="000000" w:themeColor="text1"/>
          <w:spacing w:val="-3"/>
          <w:highlight w:val="none"/>
          <w14:textFill>
            <w14:solidFill>
              <w14:schemeClr w14:val="tx1"/>
            </w14:solidFill>
          </w14:textFill>
        </w:rPr>
        <w:t>六、商务响应偏离表</w:t>
      </w:r>
    </w:p>
    <w:p>
      <w:pPr>
        <w:pStyle w:val="10"/>
        <w:shd w:val="clear"/>
        <w:spacing w:before="282"/>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项目名称：</w:t>
      </w:r>
    </w:p>
    <w:p>
      <w:pPr>
        <w:pStyle w:val="10"/>
        <w:shd w:val="clear"/>
        <w:spacing w:before="156"/>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项目编号/包号：</w:t>
      </w:r>
    </w:p>
    <w:p>
      <w:pPr>
        <w:pStyle w:val="10"/>
        <w:shd w:val="clear"/>
        <w:spacing w:before="2"/>
        <w:ind w:left="0"/>
        <w:rPr>
          <w:color w:val="000000" w:themeColor="text1"/>
          <w:sz w:val="6"/>
          <w:highlight w:val="none"/>
          <w14:textFill>
            <w14:solidFill>
              <w14:schemeClr w14:val="tx1"/>
            </w14:solidFill>
          </w14:textFill>
        </w:rPr>
      </w:pPr>
    </w:p>
    <w:tbl>
      <w:tblPr>
        <w:tblStyle w:val="14"/>
        <w:tblW w:w="0" w:type="auto"/>
        <w:tblInd w:w="6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1"/>
        <w:gridCol w:w="2394"/>
        <w:gridCol w:w="1720"/>
        <w:gridCol w:w="1871"/>
        <w:gridCol w:w="18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721" w:type="dxa"/>
          </w:tcPr>
          <w:p>
            <w:pPr>
              <w:pStyle w:val="20"/>
              <w:keepNext w:val="0"/>
              <w:keepLines w:val="0"/>
              <w:suppressLineNumbers w:val="0"/>
              <w:shd w:val="clear"/>
              <w:spacing w:before="6" w:beforeAutospacing="0" w:after="0" w:afterAutospacing="0"/>
              <w:ind w:left="0" w:right="0"/>
              <w:rPr>
                <w:rFonts w:hint="default"/>
                <w:color w:val="000000" w:themeColor="text1"/>
                <w:sz w:val="21"/>
                <w:highlight w:val="none"/>
                <w14:textFill>
                  <w14:solidFill>
                    <w14:schemeClr w14:val="tx1"/>
                  </w14:solidFill>
                </w14:textFill>
              </w:rPr>
            </w:pPr>
          </w:p>
          <w:p>
            <w:pPr>
              <w:pStyle w:val="20"/>
              <w:keepNext w:val="0"/>
              <w:keepLines w:val="0"/>
              <w:suppressLineNumbers w:val="0"/>
              <w:shd w:val="clear"/>
              <w:spacing w:before="0" w:beforeAutospacing="0" w:after="0" w:afterAutospacing="0"/>
              <w:ind w:left="7" w:right="4"/>
              <w:jc w:val="center"/>
              <w:rPr>
                <w:rFonts w:hint="default"/>
                <w:color w:val="000000" w:themeColor="text1"/>
                <w:sz w:val="21"/>
                <w:highlight w:val="none"/>
                <w14:textFill>
                  <w14:solidFill>
                    <w14:schemeClr w14:val="tx1"/>
                  </w14:solidFill>
                </w14:textFill>
              </w:rPr>
            </w:pPr>
            <w:r>
              <w:rPr>
                <w:rFonts w:hint="default"/>
                <w:color w:val="000000" w:themeColor="text1"/>
                <w:spacing w:val="-8"/>
                <w:sz w:val="21"/>
                <w:highlight w:val="none"/>
                <w14:textFill>
                  <w14:solidFill>
                    <w14:schemeClr w14:val="tx1"/>
                  </w14:solidFill>
                </w14:textFill>
              </w:rPr>
              <w:t>序号</w:t>
            </w:r>
          </w:p>
        </w:tc>
        <w:tc>
          <w:tcPr>
            <w:tcW w:w="2394" w:type="dxa"/>
          </w:tcPr>
          <w:p>
            <w:pPr>
              <w:pStyle w:val="20"/>
              <w:keepNext w:val="0"/>
              <w:keepLines w:val="0"/>
              <w:suppressLineNumbers w:val="0"/>
              <w:shd w:val="clear"/>
              <w:spacing w:before="6" w:beforeAutospacing="0" w:after="0" w:afterAutospacing="0"/>
              <w:ind w:left="0" w:right="0"/>
              <w:rPr>
                <w:rFonts w:hint="default"/>
                <w:color w:val="000000" w:themeColor="text1"/>
                <w:sz w:val="21"/>
                <w:highlight w:val="none"/>
                <w14:textFill>
                  <w14:solidFill>
                    <w14:schemeClr w14:val="tx1"/>
                  </w14:solidFill>
                </w14:textFill>
              </w:rPr>
            </w:pPr>
          </w:p>
          <w:p>
            <w:pPr>
              <w:pStyle w:val="20"/>
              <w:keepNext w:val="0"/>
              <w:keepLines w:val="0"/>
              <w:suppressLineNumbers w:val="0"/>
              <w:shd w:val="clear"/>
              <w:spacing w:before="0" w:beforeAutospacing="0" w:after="0" w:afterAutospacing="0"/>
              <w:ind w:left="10" w:right="4"/>
              <w:jc w:val="center"/>
              <w:rPr>
                <w:rFonts w:hint="default"/>
                <w:color w:val="000000" w:themeColor="text1"/>
                <w:sz w:val="21"/>
                <w:highlight w:val="none"/>
                <w14:textFill>
                  <w14:solidFill>
                    <w14:schemeClr w14:val="tx1"/>
                  </w14:solidFill>
                </w14:textFill>
              </w:rPr>
            </w:pPr>
            <w:r>
              <w:rPr>
                <w:rFonts w:hint="default"/>
                <w:color w:val="000000" w:themeColor="text1"/>
                <w:spacing w:val="-3"/>
                <w:sz w:val="21"/>
                <w:highlight w:val="none"/>
                <w14:textFill>
                  <w14:solidFill>
                    <w14:schemeClr w14:val="tx1"/>
                  </w14:solidFill>
                </w14:textFill>
              </w:rPr>
              <w:t>招标文件的商务条款</w:t>
            </w:r>
          </w:p>
        </w:tc>
        <w:tc>
          <w:tcPr>
            <w:tcW w:w="1720" w:type="dxa"/>
          </w:tcPr>
          <w:p>
            <w:pPr>
              <w:pStyle w:val="20"/>
              <w:keepNext w:val="0"/>
              <w:keepLines w:val="0"/>
              <w:suppressLineNumbers w:val="0"/>
              <w:shd w:val="clear"/>
              <w:spacing w:before="123" w:beforeAutospacing="0" w:after="0" w:afterAutospacing="0" w:line="273" w:lineRule="auto"/>
              <w:ind w:left="650" w:right="114" w:hanging="526"/>
              <w:rPr>
                <w:rFonts w:hint="default"/>
                <w:color w:val="000000" w:themeColor="text1"/>
                <w:sz w:val="21"/>
                <w:highlight w:val="none"/>
                <w14:textFill>
                  <w14:solidFill>
                    <w14:schemeClr w14:val="tx1"/>
                  </w14:solidFill>
                </w14:textFill>
              </w:rPr>
            </w:pPr>
            <w:r>
              <w:rPr>
                <w:rFonts w:hint="default"/>
                <w:color w:val="000000" w:themeColor="text1"/>
                <w:spacing w:val="-2"/>
                <w:sz w:val="21"/>
                <w:highlight w:val="none"/>
                <w14:textFill>
                  <w14:solidFill>
                    <w14:schemeClr w14:val="tx1"/>
                  </w14:solidFill>
                </w14:textFill>
              </w:rPr>
              <w:t>投标文件的响应</w:t>
            </w:r>
            <w:r>
              <w:rPr>
                <w:rFonts w:hint="default"/>
                <w:color w:val="000000" w:themeColor="text1"/>
                <w:spacing w:val="-6"/>
                <w:sz w:val="21"/>
                <w:highlight w:val="none"/>
                <w14:textFill>
                  <w14:solidFill>
                    <w14:schemeClr w14:val="tx1"/>
                  </w14:solidFill>
                </w14:textFill>
              </w:rPr>
              <w:t>内容</w:t>
            </w:r>
          </w:p>
        </w:tc>
        <w:tc>
          <w:tcPr>
            <w:tcW w:w="1871" w:type="dxa"/>
          </w:tcPr>
          <w:p>
            <w:pPr>
              <w:pStyle w:val="20"/>
              <w:keepNext w:val="0"/>
              <w:keepLines w:val="0"/>
              <w:suppressLineNumbers w:val="0"/>
              <w:shd w:val="clear"/>
              <w:spacing w:before="6" w:beforeAutospacing="0" w:after="0" w:afterAutospacing="0"/>
              <w:ind w:left="0" w:right="0"/>
              <w:rPr>
                <w:rFonts w:hint="default"/>
                <w:color w:val="000000" w:themeColor="text1"/>
                <w:sz w:val="21"/>
                <w:highlight w:val="none"/>
                <w14:textFill>
                  <w14:solidFill>
                    <w14:schemeClr w14:val="tx1"/>
                  </w14:solidFill>
                </w14:textFill>
              </w:rPr>
            </w:pPr>
          </w:p>
          <w:p>
            <w:pPr>
              <w:pStyle w:val="20"/>
              <w:keepNext w:val="0"/>
              <w:keepLines w:val="0"/>
              <w:suppressLineNumbers w:val="0"/>
              <w:shd w:val="clear"/>
              <w:spacing w:before="0" w:beforeAutospacing="0" w:after="0" w:afterAutospacing="0"/>
              <w:ind w:left="7" w:right="2"/>
              <w:jc w:val="center"/>
              <w:rPr>
                <w:rFonts w:hint="default"/>
                <w:color w:val="000000" w:themeColor="text1"/>
                <w:sz w:val="21"/>
                <w:highlight w:val="none"/>
                <w14:textFill>
                  <w14:solidFill>
                    <w14:schemeClr w14:val="tx1"/>
                  </w14:solidFill>
                </w14:textFill>
              </w:rPr>
            </w:pPr>
            <w:r>
              <w:rPr>
                <w:rFonts w:hint="default"/>
                <w:color w:val="000000" w:themeColor="text1"/>
                <w:spacing w:val="-7"/>
                <w:sz w:val="21"/>
                <w:highlight w:val="none"/>
                <w14:textFill>
                  <w14:solidFill>
                    <w14:schemeClr w14:val="tx1"/>
                  </w14:solidFill>
                </w14:textFill>
              </w:rPr>
              <w:t>响应情况</w:t>
            </w:r>
          </w:p>
        </w:tc>
        <w:tc>
          <w:tcPr>
            <w:tcW w:w="1871" w:type="dxa"/>
          </w:tcPr>
          <w:p>
            <w:pPr>
              <w:pStyle w:val="20"/>
              <w:keepNext w:val="0"/>
              <w:keepLines w:val="0"/>
              <w:suppressLineNumbers w:val="0"/>
              <w:shd w:val="clear"/>
              <w:spacing w:before="6" w:beforeAutospacing="0" w:after="0" w:afterAutospacing="0"/>
              <w:ind w:left="0" w:right="0"/>
              <w:rPr>
                <w:rFonts w:hint="default"/>
                <w:color w:val="000000" w:themeColor="text1"/>
                <w:sz w:val="21"/>
                <w:highlight w:val="none"/>
                <w14:textFill>
                  <w14:solidFill>
                    <w14:schemeClr w14:val="tx1"/>
                  </w14:solidFill>
                </w14:textFill>
              </w:rPr>
            </w:pPr>
          </w:p>
          <w:p>
            <w:pPr>
              <w:pStyle w:val="20"/>
              <w:keepNext w:val="0"/>
              <w:keepLines w:val="0"/>
              <w:suppressLineNumbers w:val="0"/>
              <w:shd w:val="clear"/>
              <w:spacing w:before="0" w:beforeAutospacing="0" w:after="0" w:afterAutospacing="0"/>
              <w:ind w:left="409" w:right="0"/>
              <w:rPr>
                <w:rFonts w:hint="default"/>
                <w:color w:val="000000" w:themeColor="text1"/>
                <w:sz w:val="21"/>
                <w:highlight w:val="none"/>
                <w14:textFill>
                  <w14:solidFill>
                    <w14:schemeClr w14:val="tx1"/>
                  </w14:solidFill>
                </w14:textFill>
              </w:rPr>
            </w:pPr>
            <w:r>
              <w:rPr>
                <w:rFonts w:hint="default"/>
                <w:color w:val="000000" w:themeColor="text1"/>
                <w:spacing w:val="-4"/>
                <w:sz w:val="21"/>
                <w:highlight w:val="none"/>
                <w14:textFill>
                  <w14:solidFill>
                    <w14:schemeClr w14:val="tx1"/>
                  </w14:solidFill>
                </w14:textFill>
              </w:rPr>
              <w:t>说明及索引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721" w:type="dxa"/>
          </w:tcPr>
          <w:p>
            <w:pPr>
              <w:pStyle w:val="20"/>
              <w:keepNext w:val="0"/>
              <w:keepLines w:val="0"/>
              <w:suppressLineNumbers w:val="0"/>
              <w:shd w:val="clear"/>
              <w:spacing w:before="77" w:beforeAutospacing="0" w:after="0" w:afterAutospacing="0"/>
              <w:ind w:left="7" w:right="0"/>
              <w:jc w:val="center"/>
              <w:rPr>
                <w:rFonts w:hint="default"/>
                <w:color w:val="000000" w:themeColor="text1"/>
                <w:sz w:val="21"/>
                <w:highlight w:val="none"/>
                <w14:textFill>
                  <w14:solidFill>
                    <w14:schemeClr w14:val="tx1"/>
                  </w14:solidFill>
                </w14:textFill>
              </w:rPr>
            </w:pPr>
            <w:r>
              <w:rPr>
                <w:rFonts w:hint="default"/>
                <w:color w:val="000000" w:themeColor="text1"/>
                <w:spacing w:val="-10"/>
                <w:sz w:val="21"/>
                <w:highlight w:val="none"/>
                <w14:textFill>
                  <w14:solidFill>
                    <w14:schemeClr w14:val="tx1"/>
                  </w14:solidFill>
                </w14:textFill>
              </w:rPr>
              <w:t>1</w:t>
            </w:r>
          </w:p>
        </w:tc>
        <w:tc>
          <w:tcPr>
            <w:tcW w:w="2394" w:type="dxa"/>
          </w:tcPr>
          <w:p>
            <w:pPr>
              <w:pStyle w:val="20"/>
              <w:keepNext w:val="0"/>
              <w:keepLines w:val="0"/>
              <w:suppressLineNumbers w:val="0"/>
              <w:shd w:val="clear"/>
              <w:spacing w:before="77" w:beforeAutospacing="0" w:after="0" w:afterAutospacing="0"/>
              <w:ind w:left="10" w:right="0"/>
              <w:jc w:val="center"/>
              <w:rPr>
                <w:rFonts w:hint="default"/>
                <w:color w:val="000000" w:themeColor="text1"/>
                <w:sz w:val="21"/>
                <w:highlight w:val="none"/>
                <w14:textFill>
                  <w14:solidFill>
                    <w14:schemeClr w14:val="tx1"/>
                  </w14:solidFill>
                </w14:textFill>
              </w:rPr>
            </w:pPr>
            <w:r>
              <w:rPr>
                <w:rFonts w:hint="default"/>
                <w:color w:val="000000" w:themeColor="text1"/>
                <w:spacing w:val="-2"/>
                <w:sz w:val="21"/>
                <w:highlight w:val="none"/>
                <w14:textFill>
                  <w14:solidFill>
                    <w14:schemeClr w14:val="tx1"/>
                  </w14:solidFill>
                </w14:textFill>
              </w:rPr>
              <w:t>*******</w:t>
            </w:r>
          </w:p>
        </w:tc>
        <w:tc>
          <w:tcPr>
            <w:tcW w:w="1720" w:type="dxa"/>
          </w:tcPr>
          <w:p>
            <w:pPr>
              <w:pStyle w:val="20"/>
              <w:keepNext w:val="0"/>
              <w:keepLines w:val="0"/>
              <w:suppressLineNumbers w:val="0"/>
              <w:shd w:val="clear"/>
              <w:spacing w:before="77" w:beforeAutospacing="0" w:after="0" w:afterAutospacing="0"/>
              <w:ind w:left="9" w:right="0"/>
              <w:jc w:val="center"/>
              <w:rPr>
                <w:rFonts w:hint="default"/>
                <w:color w:val="000000" w:themeColor="text1"/>
                <w:sz w:val="21"/>
                <w:highlight w:val="none"/>
                <w14:textFill>
                  <w14:solidFill>
                    <w14:schemeClr w14:val="tx1"/>
                  </w14:solidFill>
                </w14:textFill>
              </w:rPr>
            </w:pPr>
            <w:r>
              <w:rPr>
                <w:rFonts w:hint="default"/>
                <w:color w:val="000000" w:themeColor="text1"/>
                <w:spacing w:val="-2"/>
                <w:sz w:val="21"/>
                <w:highlight w:val="none"/>
                <w14:textFill>
                  <w14:solidFill>
                    <w14:schemeClr w14:val="tx1"/>
                  </w14:solidFill>
                </w14:textFill>
              </w:rPr>
              <w:t>*******</w:t>
            </w:r>
          </w:p>
        </w:tc>
        <w:tc>
          <w:tcPr>
            <w:tcW w:w="1871" w:type="dxa"/>
          </w:tcPr>
          <w:p>
            <w:pPr>
              <w:pStyle w:val="20"/>
              <w:keepNext w:val="0"/>
              <w:keepLines w:val="0"/>
              <w:suppressLineNumbers w:val="0"/>
              <w:shd w:val="clear"/>
              <w:spacing w:before="77" w:beforeAutospacing="0" w:after="0" w:afterAutospacing="0"/>
              <w:ind w:left="7" w:right="2"/>
              <w:jc w:val="center"/>
              <w:rPr>
                <w:rFonts w:hint="default"/>
                <w:color w:val="000000" w:themeColor="text1"/>
                <w:sz w:val="21"/>
                <w:highlight w:val="none"/>
                <w14:textFill>
                  <w14:solidFill>
                    <w14:schemeClr w14:val="tx1"/>
                  </w14:solidFill>
                </w14:textFill>
              </w:rPr>
            </w:pPr>
            <w:r>
              <w:rPr>
                <w:rFonts w:hint="default"/>
                <w:color w:val="000000" w:themeColor="text1"/>
                <w:spacing w:val="-4"/>
                <w:sz w:val="21"/>
                <w:highlight w:val="none"/>
                <w14:textFill>
                  <w14:solidFill>
                    <w14:schemeClr w14:val="tx1"/>
                  </w14:solidFill>
                </w14:textFill>
              </w:rPr>
              <w:t>响应/偏离</w:t>
            </w:r>
          </w:p>
        </w:tc>
        <w:tc>
          <w:tcPr>
            <w:tcW w:w="1871"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721" w:type="dxa"/>
          </w:tcPr>
          <w:p>
            <w:pPr>
              <w:pStyle w:val="20"/>
              <w:keepNext w:val="0"/>
              <w:keepLines w:val="0"/>
              <w:suppressLineNumbers w:val="0"/>
              <w:shd w:val="clear"/>
              <w:spacing w:before="75" w:beforeAutospacing="0" w:after="0" w:afterAutospacing="0"/>
              <w:ind w:left="7" w:right="0"/>
              <w:jc w:val="center"/>
              <w:rPr>
                <w:rFonts w:hint="default"/>
                <w:color w:val="000000" w:themeColor="text1"/>
                <w:sz w:val="21"/>
                <w:highlight w:val="none"/>
                <w14:textFill>
                  <w14:solidFill>
                    <w14:schemeClr w14:val="tx1"/>
                  </w14:solidFill>
                </w14:textFill>
              </w:rPr>
            </w:pPr>
            <w:r>
              <w:rPr>
                <w:rFonts w:hint="default"/>
                <w:color w:val="000000" w:themeColor="text1"/>
                <w:spacing w:val="-10"/>
                <w:sz w:val="21"/>
                <w:highlight w:val="none"/>
                <w14:textFill>
                  <w14:solidFill>
                    <w14:schemeClr w14:val="tx1"/>
                  </w14:solidFill>
                </w14:textFill>
              </w:rPr>
              <w:t>2</w:t>
            </w:r>
          </w:p>
        </w:tc>
        <w:tc>
          <w:tcPr>
            <w:tcW w:w="2394" w:type="dxa"/>
          </w:tcPr>
          <w:p>
            <w:pPr>
              <w:pStyle w:val="20"/>
              <w:keepNext w:val="0"/>
              <w:keepLines w:val="0"/>
              <w:suppressLineNumbers w:val="0"/>
              <w:shd w:val="clear"/>
              <w:spacing w:before="75" w:beforeAutospacing="0" w:after="0" w:afterAutospacing="0"/>
              <w:ind w:left="10" w:right="0"/>
              <w:jc w:val="center"/>
              <w:rPr>
                <w:rFonts w:hint="default"/>
                <w:color w:val="000000" w:themeColor="text1"/>
                <w:sz w:val="21"/>
                <w:highlight w:val="none"/>
                <w14:textFill>
                  <w14:solidFill>
                    <w14:schemeClr w14:val="tx1"/>
                  </w14:solidFill>
                </w14:textFill>
              </w:rPr>
            </w:pPr>
            <w:r>
              <w:rPr>
                <w:rFonts w:hint="default"/>
                <w:color w:val="000000" w:themeColor="text1"/>
                <w:spacing w:val="-2"/>
                <w:sz w:val="21"/>
                <w:highlight w:val="none"/>
                <w14:textFill>
                  <w14:solidFill>
                    <w14:schemeClr w14:val="tx1"/>
                  </w14:solidFill>
                </w14:textFill>
              </w:rPr>
              <w:t>*******</w:t>
            </w:r>
          </w:p>
        </w:tc>
        <w:tc>
          <w:tcPr>
            <w:tcW w:w="1720" w:type="dxa"/>
          </w:tcPr>
          <w:p>
            <w:pPr>
              <w:pStyle w:val="20"/>
              <w:keepNext w:val="0"/>
              <w:keepLines w:val="0"/>
              <w:suppressLineNumbers w:val="0"/>
              <w:shd w:val="clear"/>
              <w:spacing w:before="75" w:beforeAutospacing="0" w:after="0" w:afterAutospacing="0"/>
              <w:ind w:left="9" w:right="0"/>
              <w:jc w:val="center"/>
              <w:rPr>
                <w:rFonts w:hint="default"/>
                <w:color w:val="000000" w:themeColor="text1"/>
                <w:sz w:val="21"/>
                <w:highlight w:val="none"/>
                <w14:textFill>
                  <w14:solidFill>
                    <w14:schemeClr w14:val="tx1"/>
                  </w14:solidFill>
                </w14:textFill>
              </w:rPr>
            </w:pPr>
            <w:r>
              <w:rPr>
                <w:rFonts w:hint="default"/>
                <w:color w:val="000000" w:themeColor="text1"/>
                <w:spacing w:val="-2"/>
                <w:sz w:val="21"/>
                <w:highlight w:val="none"/>
                <w14:textFill>
                  <w14:solidFill>
                    <w14:schemeClr w14:val="tx1"/>
                  </w14:solidFill>
                </w14:textFill>
              </w:rPr>
              <w:t>*******</w:t>
            </w:r>
          </w:p>
        </w:tc>
        <w:tc>
          <w:tcPr>
            <w:tcW w:w="1871"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871"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721" w:type="dxa"/>
          </w:tcPr>
          <w:p>
            <w:pPr>
              <w:pStyle w:val="20"/>
              <w:keepNext w:val="0"/>
              <w:keepLines w:val="0"/>
              <w:suppressLineNumbers w:val="0"/>
              <w:shd w:val="clear"/>
              <w:spacing w:before="76" w:beforeAutospacing="0" w:after="0" w:afterAutospacing="0"/>
              <w:ind w:left="7" w:right="0"/>
              <w:jc w:val="center"/>
              <w:rPr>
                <w:rFonts w:hint="default"/>
                <w:color w:val="000000" w:themeColor="text1"/>
                <w:sz w:val="21"/>
                <w:highlight w:val="none"/>
                <w14:textFill>
                  <w14:solidFill>
                    <w14:schemeClr w14:val="tx1"/>
                  </w14:solidFill>
                </w14:textFill>
              </w:rPr>
            </w:pPr>
            <w:r>
              <w:rPr>
                <w:rFonts w:hint="default"/>
                <w:color w:val="000000" w:themeColor="text1"/>
                <w:spacing w:val="-10"/>
                <w:sz w:val="21"/>
                <w:highlight w:val="none"/>
                <w14:textFill>
                  <w14:solidFill>
                    <w14:schemeClr w14:val="tx1"/>
                  </w14:solidFill>
                </w14:textFill>
              </w:rPr>
              <w:t>3</w:t>
            </w:r>
          </w:p>
        </w:tc>
        <w:tc>
          <w:tcPr>
            <w:tcW w:w="2394" w:type="dxa"/>
          </w:tcPr>
          <w:p>
            <w:pPr>
              <w:pStyle w:val="20"/>
              <w:keepNext w:val="0"/>
              <w:keepLines w:val="0"/>
              <w:suppressLineNumbers w:val="0"/>
              <w:shd w:val="clear"/>
              <w:spacing w:before="76" w:beforeAutospacing="0" w:after="0" w:afterAutospacing="0"/>
              <w:ind w:left="10" w:right="0"/>
              <w:jc w:val="center"/>
              <w:rPr>
                <w:rFonts w:hint="default"/>
                <w:color w:val="000000" w:themeColor="text1"/>
                <w:sz w:val="21"/>
                <w:highlight w:val="none"/>
                <w14:textFill>
                  <w14:solidFill>
                    <w14:schemeClr w14:val="tx1"/>
                  </w14:solidFill>
                </w14:textFill>
              </w:rPr>
            </w:pPr>
            <w:r>
              <w:rPr>
                <w:rFonts w:hint="default"/>
                <w:color w:val="000000" w:themeColor="text1"/>
                <w:spacing w:val="-2"/>
                <w:sz w:val="21"/>
                <w:highlight w:val="none"/>
                <w14:textFill>
                  <w14:solidFill>
                    <w14:schemeClr w14:val="tx1"/>
                  </w14:solidFill>
                </w14:textFill>
              </w:rPr>
              <w:t>*******</w:t>
            </w:r>
          </w:p>
        </w:tc>
        <w:tc>
          <w:tcPr>
            <w:tcW w:w="1720" w:type="dxa"/>
          </w:tcPr>
          <w:p>
            <w:pPr>
              <w:pStyle w:val="20"/>
              <w:keepNext w:val="0"/>
              <w:keepLines w:val="0"/>
              <w:suppressLineNumbers w:val="0"/>
              <w:shd w:val="clear"/>
              <w:spacing w:before="76" w:beforeAutospacing="0" w:after="0" w:afterAutospacing="0"/>
              <w:ind w:left="9" w:right="0"/>
              <w:jc w:val="center"/>
              <w:rPr>
                <w:rFonts w:hint="default"/>
                <w:color w:val="000000" w:themeColor="text1"/>
                <w:sz w:val="21"/>
                <w:highlight w:val="none"/>
                <w14:textFill>
                  <w14:solidFill>
                    <w14:schemeClr w14:val="tx1"/>
                  </w14:solidFill>
                </w14:textFill>
              </w:rPr>
            </w:pPr>
            <w:r>
              <w:rPr>
                <w:rFonts w:hint="default"/>
                <w:color w:val="000000" w:themeColor="text1"/>
                <w:spacing w:val="-2"/>
                <w:sz w:val="21"/>
                <w:highlight w:val="none"/>
                <w14:textFill>
                  <w14:solidFill>
                    <w14:schemeClr w14:val="tx1"/>
                  </w14:solidFill>
                </w14:textFill>
              </w:rPr>
              <w:t>*******</w:t>
            </w:r>
          </w:p>
        </w:tc>
        <w:tc>
          <w:tcPr>
            <w:tcW w:w="1871"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871"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721"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2394"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720"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871"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871"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721"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2394"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720"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871"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871"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721"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2394"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720"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871"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871"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721"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2394"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720"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871"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871"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721"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2394"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720"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871"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871"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721"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2394"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720"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871"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871"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721"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2394"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720"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871"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871"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721"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2394"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720"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871"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871"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721"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2394"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720"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871"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871"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721"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2394"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720"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871"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871"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21" w:type="dxa"/>
          </w:tcPr>
          <w:p>
            <w:pPr>
              <w:pStyle w:val="20"/>
              <w:keepNext w:val="0"/>
              <w:keepLines w:val="0"/>
              <w:suppressLineNumbers w:val="0"/>
              <w:shd w:val="clear"/>
              <w:spacing w:before="87" w:beforeAutospacing="0" w:after="0" w:afterAutospacing="0"/>
              <w:ind w:left="7" w:right="4"/>
              <w:jc w:val="center"/>
              <w:rPr>
                <w:rFonts w:hint="default"/>
                <w:color w:val="000000" w:themeColor="text1"/>
                <w:sz w:val="21"/>
                <w:highlight w:val="none"/>
                <w14:textFill>
                  <w14:solidFill>
                    <w14:schemeClr w14:val="tx1"/>
                  </w14:solidFill>
                </w14:textFill>
              </w:rPr>
            </w:pPr>
            <w:r>
              <w:rPr>
                <w:rFonts w:hint="default"/>
                <w:color w:val="000000" w:themeColor="text1"/>
                <w:spacing w:val="-5"/>
                <w:sz w:val="21"/>
                <w:highlight w:val="none"/>
                <w14:textFill>
                  <w14:solidFill>
                    <w14:schemeClr w14:val="tx1"/>
                  </w14:solidFill>
                </w14:textFill>
              </w:rPr>
              <w:t>……</w:t>
            </w:r>
          </w:p>
        </w:tc>
        <w:tc>
          <w:tcPr>
            <w:tcW w:w="2394" w:type="dxa"/>
          </w:tcPr>
          <w:p>
            <w:pPr>
              <w:pStyle w:val="20"/>
              <w:keepNext w:val="0"/>
              <w:keepLines w:val="0"/>
              <w:suppressLineNumbers w:val="0"/>
              <w:shd w:val="clear"/>
              <w:spacing w:before="87" w:beforeAutospacing="0" w:after="0" w:afterAutospacing="0"/>
              <w:ind w:left="10" w:right="4"/>
              <w:jc w:val="center"/>
              <w:rPr>
                <w:rFonts w:hint="default"/>
                <w:color w:val="000000" w:themeColor="text1"/>
                <w:sz w:val="21"/>
                <w:highlight w:val="none"/>
                <w14:textFill>
                  <w14:solidFill>
                    <w14:schemeClr w14:val="tx1"/>
                  </w14:solidFill>
                </w14:textFill>
              </w:rPr>
            </w:pPr>
            <w:r>
              <w:rPr>
                <w:rFonts w:hint="default"/>
                <w:color w:val="000000" w:themeColor="text1"/>
                <w:spacing w:val="-4"/>
                <w:sz w:val="21"/>
                <w:highlight w:val="none"/>
                <w14:textFill>
                  <w14:solidFill>
                    <w14:schemeClr w14:val="tx1"/>
                  </w14:solidFill>
                </w14:textFill>
              </w:rPr>
              <w:t>…………</w:t>
            </w:r>
          </w:p>
        </w:tc>
        <w:tc>
          <w:tcPr>
            <w:tcW w:w="1720" w:type="dxa"/>
          </w:tcPr>
          <w:p>
            <w:pPr>
              <w:pStyle w:val="20"/>
              <w:keepNext w:val="0"/>
              <w:keepLines w:val="0"/>
              <w:suppressLineNumbers w:val="0"/>
              <w:shd w:val="clear"/>
              <w:spacing w:before="87" w:beforeAutospacing="0" w:after="0" w:afterAutospacing="0"/>
              <w:ind w:left="9" w:right="3"/>
              <w:jc w:val="center"/>
              <w:rPr>
                <w:rFonts w:hint="default"/>
                <w:color w:val="000000" w:themeColor="text1"/>
                <w:sz w:val="21"/>
                <w:highlight w:val="none"/>
                <w14:textFill>
                  <w14:solidFill>
                    <w14:schemeClr w14:val="tx1"/>
                  </w14:solidFill>
                </w14:textFill>
              </w:rPr>
            </w:pPr>
            <w:r>
              <w:rPr>
                <w:rFonts w:hint="default"/>
                <w:color w:val="000000" w:themeColor="text1"/>
                <w:spacing w:val="-4"/>
                <w:sz w:val="21"/>
                <w:highlight w:val="none"/>
                <w14:textFill>
                  <w14:solidFill>
                    <w14:schemeClr w14:val="tx1"/>
                  </w14:solidFill>
                </w14:textFill>
              </w:rPr>
              <w:t>…………</w:t>
            </w:r>
          </w:p>
        </w:tc>
        <w:tc>
          <w:tcPr>
            <w:tcW w:w="1871" w:type="dxa"/>
          </w:tcPr>
          <w:p>
            <w:pPr>
              <w:pStyle w:val="20"/>
              <w:keepNext w:val="0"/>
              <w:keepLines w:val="0"/>
              <w:suppressLineNumbers w:val="0"/>
              <w:shd w:val="clear"/>
              <w:spacing w:before="87" w:beforeAutospacing="0" w:after="0" w:afterAutospacing="0"/>
              <w:ind w:left="7" w:right="0"/>
              <w:jc w:val="center"/>
              <w:rPr>
                <w:rFonts w:hint="default"/>
                <w:color w:val="000000" w:themeColor="text1"/>
                <w:sz w:val="21"/>
                <w:highlight w:val="none"/>
                <w14:textFill>
                  <w14:solidFill>
                    <w14:schemeClr w14:val="tx1"/>
                  </w14:solidFill>
                </w14:textFill>
              </w:rPr>
            </w:pPr>
            <w:r>
              <w:rPr>
                <w:rFonts w:hint="default"/>
                <w:color w:val="000000" w:themeColor="text1"/>
                <w:spacing w:val="-5"/>
                <w:sz w:val="21"/>
                <w:highlight w:val="none"/>
                <w14:textFill>
                  <w14:solidFill>
                    <w14:schemeClr w14:val="tx1"/>
                  </w14:solidFill>
                </w14:textFill>
              </w:rPr>
              <w:t>……</w:t>
            </w:r>
          </w:p>
        </w:tc>
        <w:tc>
          <w:tcPr>
            <w:tcW w:w="1871"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r>
    </w:tbl>
    <w:p>
      <w:pPr>
        <w:pStyle w:val="10"/>
        <w:shd w:val="clear"/>
        <w:spacing w:before="259"/>
        <w:ind w:left="0"/>
        <w:rPr>
          <w:color w:val="000000" w:themeColor="text1"/>
          <w:highlight w:val="none"/>
          <w14:textFill>
            <w14:solidFill>
              <w14:schemeClr w14:val="tx1"/>
            </w14:solidFill>
          </w14:textFill>
        </w:rPr>
      </w:pPr>
    </w:p>
    <w:p>
      <w:pPr>
        <w:shd w:val="clear"/>
        <w:spacing w:line="410" w:lineRule="auto"/>
        <w:ind w:left="780" w:right="779" w:firstLine="420"/>
        <w:rPr>
          <w:color w:val="000000" w:themeColor="text1"/>
          <w:sz w:val="21"/>
          <w:highlight w:val="none"/>
          <w14:textFill>
            <w14:solidFill>
              <w14:schemeClr w14:val="tx1"/>
            </w14:solidFill>
          </w14:textFill>
        </w:rPr>
      </w:pPr>
      <w:r>
        <w:rPr>
          <w:color w:val="000000" w:themeColor="text1"/>
          <w:spacing w:val="-4"/>
          <w:sz w:val="21"/>
          <w:highlight w:val="none"/>
          <w14:textFill>
            <w14:solidFill>
              <w14:schemeClr w14:val="tx1"/>
            </w14:solidFill>
          </w14:textFill>
        </w:rPr>
        <w:t>注：投标人应按照招标文件“第三章 采购需求”中的商务要求填写，“响应/偏离”应</w:t>
      </w:r>
      <w:r>
        <w:rPr>
          <w:color w:val="000000" w:themeColor="text1"/>
          <w:spacing w:val="-2"/>
          <w:sz w:val="21"/>
          <w:highlight w:val="none"/>
          <w14:textFill>
            <w14:solidFill>
              <w14:schemeClr w14:val="tx1"/>
            </w14:solidFill>
          </w14:textFill>
        </w:rPr>
        <w:t>据实填写“响应”、“正偏离”或“负偏离”。</w:t>
      </w:r>
    </w:p>
    <w:p>
      <w:pPr>
        <w:pStyle w:val="10"/>
        <w:shd w:val="clear"/>
        <w:ind w:left="0"/>
        <w:rPr>
          <w:color w:val="000000" w:themeColor="text1"/>
          <w:sz w:val="21"/>
          <w:highlight w:val="none"/>
          <w14:textFill>
            <w14:solidFill>
              <w14:schemeClr w14:val="tx1"/>
            </w14:solidFill>
          </w14:textFill>
        </w:rPr>
      </w:pPr>
    </w:p>
    <w:p>
      <w:pPr>
        <w:pStyle w:val="10"/>
        <w:shd w:val="clear"/>
        <w:ind w:left="0"/>
        <w:rPr>
          <w:color w:val="000000" w:themeColor="text1"/>
          <w:sz w:val="21"/>
          <w:highlight w:val="none"/>
          <w14:textFill>
            <w14:solidFill>
              <w14:schemeClr w14:val="tx1"/>
            </w14:solidFill>
          </w14:textFill>
        </w:rPr>
      </w:pPr>
    </w:p>
    <w:p>
      <w:pPr>
        <w:pStyle w:val="10"/>
        <w:shd w:val="clear"/>
        <w:spacing w:before="101"/>
        <w:ind w:left="0"/>
        <w:rPr>
          <w:color w:val="000000" w:themeColor="text1"/>
          <w:sz w:val="21"/>
          <w:highlight w:val="none"/>
          <w14:textFill>
            <w14:solidFill>
              <w14:schemeClr w14:val="tx1"/>
            </w14:solidFill>
          </w14:textFill>
        </w:rPr>
      </w:pPr>
    </w:p>
    <w:p>
      <w:pPr>
        <w:pStyle w:val="10"/>
        <w:shd w:val="clear"/>
        <w:tabs>
          <w:tab w:val="left" w:pos="2159"/>
        </w:tabs>
        <w:spacing w:line="360" w:lineRule="auto"/>
        <w:ind w:left="1200" w:right="6325" w:firstLine="60"/>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投标人名称（公章)：</w:t>
      </w:r>
      <w:r>
        <w:rPr>
          <w:color w:val="000000" w:themeColor="text1"/>
          <w:spacing w:val="-10"/>
          <w:highlight w:val="none"/>
          <w14:textFill>
            <w14:solidFill>
              <w14:schemeClr w14:val="tx1"/>
            </w14:solidFill>
          </w14:textFill>
        </w:rPr>
        <w:t>日</w:t>
      </w:r>
      <w:r>
        <w:rPr>
          <w:color w:val="000000" w:themeColor="text1"/>
          <w:highlight w:val="none"/>
          <w14:textFill>
            <w14:solidFill>
              <w14:schemeClr w14:val="tx1"/>
            </w14:solidFill>
          </w14:textFill>
        </w:rPr>
        <w:tab/>
      </w:r>
      <w:r>
        <w:rPr>
          <w:color w:val="000000" w:themeColor="text1"/>
          <w:spacing w:val="-6"/>
          <w:highlight w:val="none"/>
          <w14:textFill>
            <w14:solidFill>
              <w14:schemeClr w14:val="tx1"/>
            </w14:solidFill>
          </w14:textFill>
        </w:rPr>
        <w:t>期：</w:t>
      </w:r>
    </w:p>
    <w:p>
      <w:pPr>
        <w:shd w:val="clear"/>
        <w:spacing w:line="360" w:lineRule="auto"/>
        <w:rPr>
          <w:color w:val="000000" w:themeColor="text1"/>
          <w:highlight w:val="none"/>
          <w14:textFill>
            <w14:solidFill>
              <w14:schemeClr w14:val="tx1"/>
            </w14:solidFill>
          </w14:textFill>
        </w:rPr>
        <w:sectPr>
          <w:headerReference r:id="rId10" w:type="default"/>
          <w:footerReference r:id="rId11" w:type="default"/>
          <w:pgSz w:w="11910" w:h="16840"/>
          <w:pgMar w:top="1380" w:right="1020" w:bottom="1420" w:left="1020" w:header="878" w:footer="1224" w:gutter="0"/>
          <w:cols w:space="720" w:num="1"/>
        </w:sectPr>
      </w:pPr>
    </w:p>
    <w:p>
      <w:pPr>
        <w:pStyle w:val="10"/>
        <w:shd w:val="clear"/>
        <w:spacing w:before="343"/>
        <w:ind w:left="0"/>
        <w:rPr>
          <w:color w:val="000000" w:themeColor="text1"/>
          <w:sz w:val="32"/>
          <w:highlight w:val="none"/>
          <w14:textFill>
            <w14:solidFill>
              <w14:schemeClr w14:val="tx1"/>
            </w14:solidFill>
          </w14:textFill>
        </w:rPr>
      </w:pPr>
    </w:p>
    <w:p>
      <w:pPr>
        <w:pStyle w:val="5"/>
        <w:shd w:val="clear"/>
        <w:rPr>
          <w:color w:val="000000" w:themeColor="text1"/>
          <w:highlight w:val="none"/>
          <w14:textFill>
            <w14:solidFill>
              <w14:schemeClr w14:val="tx1"/>
            </w14:solidFill>
          </w14:textFill>
        </w:rPr>
      </w:pPr>
      <w:bookmarkStart w:id="198" w:name="_bookmark52"/>
      <w:bookmarkEnd w:id="198"/>
      <w:bookmarkStart w:id="199" w:name="七、业绩证明文件"/>
      <w:bookmarkEnd w:id="199"/>
      <w:r>
        <w:rPr>
          <w:color w:val="000000" w:themeColor="text1"/>
          <w:spacing w:val="-4"/>
          <w:highlight w:val="none"/>
          <w14:textFill>
            <w14:solidFill>
              <w14:schemeClr w14:val="tx1"/>
            </w14:solidFill>
          </w14:textFill>
        </w:rPr>
        <w:t>七、业绩证明文件</w:t>
      </w:r>
    </w:p>
    <w:p>
      <w:pPr>
        <w:pStyle w:val="10"/>
        <w:shd w:val="clear"/>
        <w:spacing w:before="282"/>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项目名称：</w:t>
      </w:r>
    </w:p>
    <w:p>
      <w:pPr>
        <w:pStyle w:val="10"/>
        <w:shd w:val="clear"/>
        <w:spacing w:before="156"/>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项目编号/包号：</w:t>
      </w:r>
    </w:p>
    <w:p>
      <w:pPr>
        <w:pStyle w:val="10"/>
        <w:shd w:val="clear"/>
        <w:spacing w:before="2"/>
        <w:ind w:left="0"/>
        <w:rPr>
          <w:color w:val="000000" w:themeColor="text1"/>
          <w:sz w:val="6"/>
          <w:highlight w:val="none"/>
          <w14:textFill>
            <w14:solidFill>
              <w14:schemeClr w14:val="tx1"/>
            </w14:solidFill>
          </w14:textFill>
        </w:rPr>
      </w:pPr>
    </w:p>
    <w:tbl>
      <w:tblPr>
        <w:tblStyle w:val="14"/>
        <w:tblW w:w="0" w:type="auto"/>
        <w:tblInd w:w="6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1080"/>
        <w:gridCol w:w="1248"/>
        <w:gridCol w:w="1129"/>
        <w:gridCol w:w="1283"/>
        <w:gridCol w:w="1368"/>
        <w:gridCol w:w="960"/>
        <w:gridCol w:w="11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744" w:type="dxa"/>
          </w:tcPr>
          <w:p>
            <w:pPr>
              <w:pStyle w:val="20"/>
              <w:keepNext w:val="0"/>
              <w:keepLines w:val="0"/>
              <w:suppressLineNumbers w:val="0"/>
              <w:shd w:val="clear"/>
              <w:spacing w:before="57" w:beforeAutospacing="0" w:after="0" w:afterAutospacing="0"/>
              <w:ind w:left="0" w:right="0"/>
              <w:rPr>
                <w:rFonts w:hint="default"/>
                <w:color w:val="000000" w:themeColor="text1"/>
                <w:sz w:val="21"/>
                <w:highlight w:val="none"/>
                <w14:textFill>
                  <w14:solidFill>
                    <w14:schemeClr w14:val="tx1"/>
                  </w14:solidFill>
                </w14:textFill>
              </w:rPr>
            </w:pPr>
          </w:p>
          <w:p>
            <w:pPr>
              <w:pStyle w:val="20"/>
              <w:keepNext w:val="0"/>
              <w:keepLines w:val="0"/>
              <w:suppressLineNumbers w:val="0"/>
              <w:shd w:val="clear"/>
              <w:spacing w:before="0" w:beforeAutospacing="0" w:after="0" w:afterAutospacing="0"/>
              <w:ind w:left="10" w:right="2"/>
              <w:jc w:val="center"/>
              <w:rPr>
                <w:rFonts w:hint="default"/>
                <w:color w:val="000000" w:themeColor="text1"/>
                <w:sz w:val="21"/>
                <w:highlight w:val="none"/>
                <w14:textFill>
                  <w14:solidFill>
                    <w14:schemeClr w14:val="tx1"/>
                  </w14:solidFill>
                </w14:textFill>
              </w:rPr>
            </w:pPr>
            <w:r>
              <w:rPr>
                <w:rFonts w:hint="default"/>
                <w:color w:val="000000" w:themeColor="text1"/>
                <w:spacing w:val="-8"/>
                <w:sz w:val="21"/>
                <w:highlight w:val="none"/>
                <w14:textFill>
                  <w14:solidFill>
                    <w14:schemeClr w14:val="tx1"/>
                  </w14:solidFill>
                </w14:textFill>
              </w:rPr>
              <w:t>序号</w:t>
            </w:r>
          </w:p>
        </w:tc>
        <w:tc>
          <w:tcPr>
            <w:tcW w:w="1080" w:type="dxa"/>
          </w:tcPr>
          <w:p>
            <w:pPr>
              <w:pStyle w:val="20"/>
              <w:keepNext w:val="0"/>
              <w:keepLines w:val="0"/>
              <w:suppressLineNumbers w:val="0"/>
              <w:shd w:val="clear"/>
              <w:spacing w:before="57" w:beforeAutospacing="0" w:after="0" w:afterAutospacing="0"/>
              <w:ind w:left="0" w:right="0"/>
              <w:rPr>
                <w:rFonts w:hint="default"/>
                <w:color w:val="000000" w:themeColor="text1"/>
                <w:sz w:val="21"/>
                <w:highlight w:val="none"/>
                <w14:textFill>
                  <w14:solidFill>
                    <w14:schemeClr w14:val="tx1"/>
                  </w14:solidFill>
                </w14:textFill>
              </w:rPr>
            </w:pPr>
          </w:p>
          <w:p>
            <w:pPr>
              <w:pStyle w:val="20"/>
              <w:keepNext w:val="0"/>
              <w:keepLines w:val="0"/>
              <w:suppressLineNumbers w:val="0"/>
              <w:shd w:val="clear"/>
              <w:spacing w:before="0" w:beforeAutospacing="0" w:after="0" w:afterAutospacing="0"/>
              <w:ind w:left="106" w:right="0"/>
              <w:rPr>
                <w:rFonts w:hint="default"/>
                <w:color w:val="000000" w:themeColor="text1"/>
                <w:sz w:val="21"/>
                <w:highlight w:val="none"/>
                <w14:textFill>
                  <w14:solidFill>
                    <w14:schemeClr w14:val="tx1"/>
                  </w14:solidFill>
                </w14:textFill>
              </w:rPr>
            </w:pPr>
            <w:r>
              <w:rPr>
                <w:rFonts w:hint="default"/>
                <w:color w:val="000000" w:themeColor="text1"/>
                <w:spacing w:val="-7"/>
                <w:sz w:val="21"/>
                <w:highlight w:val="none"/>
                <w14:textFill>
                  <w14:solidFill>
                    <w14:schemeClr w14:val="tx1"/>
                  </w14:solidFill>
                </w14:textFill>
              </w:rPr>
              <w:t>完成时间</w:t>
            </w:r>
          </w:p>
        </w:tc>
        <w:tc>
          <w:tcPr>
            <w:tcW w:w="1248" w:type="dxa"/>
          </w:tcPr>
          <w:p>
            <w:pPr>
              <w:pStyle w:val="20"/>
              <w:keepNext w:val="0"/>
              <w:keepLines w:val="0"/>
              <w:suppressLineNumbers w:val="0"/>
              <w:shd w:val="clear"/>
              <w:spacing w:before="57" w:beforeAutospacing="0" w:after="0" w:afterAutospacing="0"/>
              <w:ind w:left="0" w:right="0"/>
              <w:rPr>
                <w:rFonts w:hint="default"/>
                <w:color w:val="000000" w:themeColor="text1"/>
                <w:sz w:val="21"/>
                <w:highlight w:val="none"/>
                <w14:textFill>
                  <w14:solidFill>
                    <w14:schemeClr w14:val="tx1"/>
                  </w14:solidFill>
                </w14:textFill>
              </w:rPr>
            </w:pPr>
          </w:p>
          <w:p>
            <w:pPr>
              <w:pStyle w:val="20"/>
              <w:keepNext w:val="0"/>
              <w:keepLines w:val="0"/>
              <w:suppressLineNumbers w:val="0"/>
              <w:shd w:val="clear"/>
              <w:spacing w:before="0" w:beforeAutospacing="0" w:after="0" w:afterAutospacing="0"/>
              <w:ind w:left="202" w:right="0"/>
              <w:rPr>
                <w:rFonts w:hint="default"/>
                <w:color w:val="000000" w:themeColor="text1"/>
                <w:sz w:val="21"/>
                <w:highlight w:val="none"/>
                <w14:textFill>
                  <w14:solidFill>
                    <w14:schemeClr w14:val="tx1"/>
                  </w14:solidFill>
                </w14:textFill>
              </w:rPr>
            </w:pPr>
            <w:r>
              <w:rPr>
                <w:rFonts w:hint="default"/>
                <w:color w:val="000000" w:themeColor="text1"/>
                <w:spacing w:val="-7"/>
                <w:sz w:val="21"/>
                <w:highlight w:val="none"/>
                <w14:textFill>
                  <w14:solidFill>
                    <w14:schemeClr w14:val="tx1"/>
                  </w14:solidFill>
                </w14:textFill>
              </w:rPr>
              <w:t>项目名称</w:t>
            </w:r>
          </w:p>
        </w:tc>
        <w:tc>
          <w:tcPr>
            <w:tcW w:w="1129" w:type="dxa"/>
          </w:tcPr>
          <w:p>
            <w:pPr>
              <w:pStyle w:val="20"/>
              <w:keepNext w:val="0"/>
              <w:keepLines w:val="0"/>
              <w:suppressLineNumbers w:val="0"/>
              <w:shd w:val="clear"/>
              <w:spacing w:before="57" w:beforeAutospacing="0" w:after="0" w:afterAutospacing="0"/>
              <w:ind w:left="0" w:right="0"/>
              <w:rPr>
                <w:rFonts w:hint="default"/>
                <w:color w:val="000000" w:themeColor="text1"/>
                <w:sz w:val="21"/>
                <w:highlight w:val="none"/>
                <w14:textFill>
                  <w14:solidFill>
                    <w14:schemeClr w14:val="tx1"/>
                  </w14:solidFill>
                </w14:textFill>
              </w:rPr>
            </w:pPr>
          </w:p>
          <w:p>
            <w:pPr>
              <w:pStyle w:val="20"/>
              <w:keepNext w:val="0"/>
              <w:keepLines w:val="0"/>
              <w:suppressLineNumbers w:val="0"/>
              <w:shd w:val="clear"/>
              <w:spacing w:before="0" w:beforeAutospacing="0" w:after="0" w:afterAutospacing="0"/>
              <w:ind w:left="142" w:right="0"/>
              <w:rPr>
                <w:rFonts w:hint="default"/>
                <w:color w:val="000000" w:themeColor="text1"/>
                <w:sz w:val="21"/>
                <w:highlight w:val="none"/>
                <w14:textFill>
                  <w14:solidFill>
                    <w14:schemeClr w14:val="tx1"/>
                  </w14:solidFill>
                </w14:textFill>
              </w:rPr>
            </w:pPr>
            <w:r>
              <w:rPr>
                <w:rFonts w:hint="default"/>
                <w:color w:val="000000" w:themeColor="text1"/>
                <w:spacing w:val="-7"/>
                <w:sz w:val="21"/>
                <w:highlight w:val="none"/>
                <w14:textFill>
                  <w14:solidFill>
                    <w14:schemeClr w14:val="tx1"/>
                  </w14:solidFill>
                </w14:textFill>
              </w:rPr>
              <w:t>标的内容</w:t>
            </w:r>
          </w:p>
        </w:tc>
        <w:tc>
          <w:tcPr>
            <w:tcW w:w="1283" w:type="dxa"/>
          </w:tcPr>
          <w:p>
            <w:pPr>
              <w:pStyle w:val="20"/>
              <w:keepNext w:val="0"/>
              <w:keepLines w:val="0"/>
              <w:suppressLineNumbers w:val="0"/>
              <w:shd w:val="clear"/>
              <w:spacing w:before="57" w:beforeAutospacing="0" w:after="0" w:afterAutospacing="0"/>
              <w:ind w:left="0" w:right="0"/>
              <w:rPr>
                <w:rFonts w:hint="default"/>
                <w:color w:val="000000" w:themeColor="text1"/>
                <w:sz w:val="21"/>
                <w:highlight w:val="none"/>
                <w14:textFill>
                  <w14:solidFill>
                    <w14:schemeClr w14:val="tx1"/>
                  </w14:solidFill>
                </w14:textFill>
              </w:rPr>
            </w:pPr>
          </w:p>
          <w:p>
            <w:pPr>
              <w:pStyle w:val="20"/>
              <w:keepNext w:val="0"/>
              <w:keepLines w:val="0"/>
              <w:suppressLineNumbers w:val="0"/>
              <w:shd w:val="clear"/>
              <w:spacing w:before="0" w:beforeAutospacing="0" w:after="0" w:afterAutospacing="0"/>
              <w:ind w:left="115" w:right="0"/>
              <w:rPr>
                <w:rFonts w:hint="default"/>
                <w:color w:val="000000" w:themeColor="text1"/>
                <w:sz w:val="21"/>
                <w:highlight w:val="none"/>
                <w14:textFill>
                  <w14:solidFill>
                    <w14:schemeClr w14:val="tx1"/>
                  </w14:solidFill>
                </w14:textFill>
              </w:rPr>
            </w:pPr>
            <w:r>
              <w:rPr>
                <w:rFonts w:hint="default"/>
                <w:color w:val="000000" w:themeColor="text1"/>
                <w:spacing w:val="-4"/>
                <w:sz w:val="21"/>
                <w:highlight w:val="none"/>
                <w14:textFill>
                  <w14:solidFill>
                    <w14:schemeClr w14:val="tx1"/>
                  </w14:solidFill>
                </w14:textFill>
              </w:rPr>
              <w:t>采购人名称</w:t>
            </w:r>
          </w:p>
        </w:tc>
        <w:tc>
          <w:tcPr>
            <w:tcW w:w="1368" w:type="dxa"/>
          </w:tcPr>
          <w:p>
            <w:pPr>
              <w:pStyle w:val="20"/>
              <w:keepNext w:val="0"/>
              <w:keepLines w:val="0"/>
              <w:suppressLineNumbers w:val="0"/>
              <w:shd w:val="clear"/>
              <w:spacing w:before="95" w:beforeAutospacing="0" w:after="0" w:afterAutospacing="0"/>
              <w:ind w:left="106" w:right="-15"/>
              <w:rPr>
                <w:rFonts w:hint="default"/>
                <w:color w:val="000000" w:themeColor="text1"/>
                <w:sz w:val="21"/>
                <w:highlight w:val="none"/>
                <w14:textFill>
                  <w14:solidFill>
                    <w14:schemeClr w14:val="tx1"/>
                  </w14:solidFill>
                </w14:textFill>
              </w:rPr>
            </w:pPr>
            <w:r>
              <w:rPr>
                <w:rFonts w:hint="default"/>
                <w:color w:val="000000" w:themeColor="text1"/>
                <w:spacing w:val="-2"/>
                <w:sz w:val="21"/>
                <w:highlight w:val="none"/>
                <w14:textFill>
                  <w14:solidFill>
                    <w14:schemeClr w14:val="tx1"/>
                  </w14:solidFill>
                </w14:textFill>
              </w:rPr>
              <w:t>中标（成交</w:t>
            </w:r>
            <w:r>
              <w:rPr>
                <w:rFonts w:hint="default"/>
                <w:color w:val="000000" w:themeColor="text1"/>
                <w:spacing w:val="-10"/>
                <w:sz w:val="21"/>
                <w:highlight w:val="none"/>
                <w14:textFill>
                  <w14:solidFill>
                    <w14:schemeClr w14:val="tx1"/>
                  </w14:solidFill>
                </w14:textFill>
              </w:rPr>
              <w:t>）</w:t>
            </w:r>
          </w:p>
          <w:p>
            <w:pPr>
              <w:pStyle w:val="20"/>
              <w:keepNext w:val="0"/>
              <w:keepLines w:val="0"/>
              <w:suppressLineNumbers w:val="0"/>
              <w:shd w:val="clear"/>
              <w:spacing w:before="195" w:beforeAutospacing="0" w:after="0" w:afterAutospacing="0"/>
              <w:ind w:left="8" w:right="0"/>
              <w:jc w:val="center"/>
              <w:rPr>
                <w:rFonts w:hint="default"/>
                <w:color w:val="000000" w:themeColor="text1"/>
                <w:sz w:val="21"/>
                <w:highlight w:val="none"/>
                <w14:textFill>
                  <w14:solidFill>
                    <w14:schemeClr w14:val="tx1"/>
                  </w14:solidFill>
                </w14:textFill>
              </w:rPr>
            </w:pPr>
            <w:r>
              <w:rPr>
                <w:rFonts w:hint="default"/>
                <w:color w:val="000000" w:themeColor="text1"/>
                <w:spacing w:val="-8"/>
                <w:sz w:val="21"/>
                <w:highlight w:val="none"/>
                <w14:textFill>
                  <w14:solidFill>
                    <w14:schemeClr w14:val="tx1"/>
                  </w14:solidFill>
                </w14:textFill>
              </w:rPr>
              <w:t>金额</w:t>
            </w:r>
          </w:p>
        </w:tc>
        <w:tc>
          <w:tcPr>
            <w:tcW w:w="960" w:type="dxa"/>
          </w:tcPr>
          <w:p>
            <w:pPr>
              <w:pStyle w:val="20"/>
              <w:keepNext w:val="0"/>
              <w:keepLines w:val="0"/>
              <w:suppressLineNumbers w:val="0"/>
              <w:shd w:val="clear"/>
              <w:spacing w:before="57" w:beforeAutospacing="0" w:after="0" w:afterAutospacing="0"/>
              <w:ind w:left="0" w:right="0"/>
              <w:rPr>
                <w:rFonts w:hint="default"/>
                <w:color w:val="000000" w:themeColor="text1"/>
                <w:sz w:val="21"/>
                <w:highlight w:val="none"/>
                <w14:textFill>
                  <w14:solidFill>
                    <w14:schemeClr w14:val="tx1"/>
                  </w14:solidFill>
                </w14:textFill>
              </w:rPr>
            </w:pPr>
          </w:p>
          <w:p>
            <w:pPr>
              <w:pStyle w:val="20"/>
              <w:keepNext w:val="0"/>
              <w:keepLines w:val="0"/>
              <w:suppressLineNumbers w:val="0"/>
              <w:shd w:val="clear"/>
              <w:spacing w:before="0" w:beforeAutospacing="0" w:after="0" w:afterAutospacing="0"/>
              <w:ind w:left="164" w:right="0"/>
              <w:rPr>
                <w:rFonts w:hint="default"/>
                <w:color w:val="000000" w:themeColor="text1"/>
                <w:sz w:val="21"/>
                <w:highlight w:val="none"/>
                <w14:textFill>
                  <w14:solidFill>
                    <w14:schemeClr w14:val="tx1"/>
                  </w14:solidFill>
                </w14:textFill>
              </w:rPr>
            </w:pPr>
            <w:r>
              <w:rPr>
                <w:rFonts w:hint="default"/>
                <w:color w:val="000000" w:themeColor="text1"/>
                <w:spacing w:val="-5"/>
                <w:sz w:val="21"/>
                <w:highlight w:val="none"/>
                <w14:textFill>
                  <w14:solidFill>
                    <w14:schemeClr w14:val="tx1"/>
                  </w14:solidFill>
                </w14:textFill>
              </w:rPr>
              <w:t>联系人</w:t>
            </w:r>
          </w:p>
        </w:tc>
        <w:tc>
          <w:tcPr>
            <w:tcW w:w="1176" w:type="dxa"/>
          </w:tcPr>
          <w:p>
            <w:pPr>
              <w:pStyle w:val="20"/>
              <w:keepNext w:val="0"/>
              <w:keepLines w:val="0"/>
              <w:suppressLineNumbers w:val="0"/>
              <w:shd w:val="clear"/>
              <w:spacing w:before="57" w:beforeAutospacing="0" w:after="0" w:afterAutospacing="0"/>
              <w:ind w:left="0" w:right="0"/>
              <w:rPr>
                <w:rFonts w:hint="default"/>
                <w:color w:val="000000" w:themeColor="text1"/>
                <w:sz w:val="21"/>
                <w:highlight w:val="none"/>
                <w14:textFill>
                  <w14:solidFill>
                    <w14:schemeClr w14:val="tx1"/>
                  </w14:solidFill>
                </w14:textFill>
              </w:rPr>
            </w:pPr>
          </w:p>
          <w:p>
            <w:pPr>
              <w:pStyle w:val="20"/>
              <w:keepNext w:val="0"/>
              <w:keepLines w:val="0"/>
              <w:suppressLineNumbers w:val="0"/>
              <w:shd w:val="clear"/>
              <w:spacing w:before="0" w:beforeAutospacing="0" w:after="0" w:afterAutospacing="0"/>
              <w:ind w:left="166" w:right="0"/>
              <w:rPr>
                <w:rFonts w:hint="default"/>
                <w:color w:val="000000" w:themeColor="text1"/>
                <w:sz w:val="21"/>
                <w:highlight w:val="none"/>
                <w14:textFill>
                  <w14:solidFill>
                    <w14:schemeClr w14:val="tx1"/>
                  </w14:solidFill>
                </w14:textFill>
              </w:rPr>
            </w:pPr>
            <w:r>
              <w:rPr>
                <w:rFonts w:hint="default"/>
                <w:color w:val="000000" w:themeColor="text1"/>
                <w:spacing w:val="-7"/>
                <w:sz w:val="21"/>
                <w:highlight w:val="none"/>
                <w14:textFill>
                  <w14:solidFill>
                    <w14:schemeClr w14:val="tx1"/>
                  </w14:solidFill>
                </w14:textFill>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744" w:type="dxa"/>
          </w:tcPr>
          <w:p>
            <w:pPr>
              <w:pStyle w:val="20"/>
              <w:keepNext w:val="0"/>
              <w:keepLines w:val="0"/>
              <w:suppressLineNumbers w:val="0"/>
              <w:shd w:val="clear"/>
              <w:spacing w:before="195" w:beforeAutospacing="0" w:after="0" w:afterAutospacing="0"/>
              <w:ind w:left="10" w:right="4"/>
              <w:jc w:val="center"/>
              <w:rPr>
                <w:rFonts w:hint="default"/>
                <w:color w:val="000000" w:themeColor="text1"/>
                <w:sz w:val="21"/>
                <w:highlight w:val="none"/>
                <w14:textFill>
                  <w14:solidFill>
                    <w14:schemeClr w14:val="tx1"/>
                  </w14:solidFill>
                </w14:textFill>
              </w:rPr>
            </w:pPr>
            <w:r>
              <w:rPr>
                <w:rFonts w:hint="default"/>
                <w:color w:val="000000" w:themeColor="text1"/>
                <w:spacing w:val="-10"/>
                <w:sz w:val="21"/>
                <w:highlight w:val="none"/>
                <w14:textFill>
                  <w14:solidFill>
                    <w14:schemeClr w14:val="tx1"/>
                  </w14:solidFill>
                </w14:textFill>
              </w:rPr>
              <w:t>1</w:t>
            </w:r>
          </w:p>
        </w:tc>
        <w:tc>
          <w:tcPr>
            <w:tcW w:w="1080"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248"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129"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283"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368"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960"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176"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744" w:type="dxa"/>
          </w:tcPr>
          <w:p>
            <w:pPr>
              <w:pStyle w:val="20"/>
              <w:keepNext w:val="0"/>
              <w:keepLines w:val="0"/>
              <w:suppressLineNumbers w:val="0"/>
              <w:shd w:val="clear"/>
              <w:spacing w:before="196" w:beforeAutospacing="0" w:after="0" w:afterAutospacing="0"/>
              <w:ind w:left="10" w:right="4"/>
              <w:jc w:val="center"/>
              <w:rPr>
                <w:rFonts w:hint="default"/>
                <w:color w:val="000000" w:themeColor="text1"/>
                <w:sz w:val="21"/>
                <w:highlight w:val="none"/>
                <w14:textFill>
                  <w14:solidFill>
                    <w14:schemeClr w14:val="tx1"/>
                  </w14:solidFill>
                </w14:textFill>
              </w:rPr>
            </w:pPr>
            <w:r>
              <w:rPr>
                <w:rFonts w:hint="default"/>
                <w:color w:val="000000" w:themeColor="text1"/>
                <w:spacing w:val="-10"/>
                <w:sz w:val="21"/>
                <w:highlight w:val="none"/>
                <w14:textFill>
                  <w14:solidFill>
                    <w14:schemeClr w14:val="tx1"/>
                  </w14:solidFill>
                </w14:textFill>
              </w:rPr>
              <w:t>2</w:t>
            </w:r>
          </w:p>
        </w:tc>
        <w:tc>
          <w:tcPr>
            <w:tcW w:w="1080"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248"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129"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283"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368"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960"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176"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744" w:type="dxa"/>
          </w:tcPr>
          <w:p>
            <w:pPr>
              <w:pStyle w:val="20"/>
              <w:keepNext w:val="0"/>
              <w:keepLines w:val="0"/>
              <w:suppressLineNumbers w:val="0"/>
              <w:shd w:val="clear"/>
              <w:spacing w:before="196" w:beforeAutospacing="0" w:after="0" w:afterAutospacing="0"/>
              <w:ind w:left="10" w:right="4"/>
              <w:jc w:val="center"/>
              <w:rPr>
                <w:rFonts w:hint="default"/>
                <w:color w:val="000000" w:themeColor="text1"/>
                <w:sz w:val="21"/>
                <w:highlight w:val="none"/>
                <w14:textFill>
                  <w14:solidFill>
                    <w14:schemeClr w14:val="tx1"/>
                  </w14:solidFill>
                </w14:textFill>
              </w:rPr>
            </w:pPr>
            <w:r>
              <w:rPr>
                <w:rFonts w:hint="default"/>
                <w:color w:val="000000" w:themeColor="text1"/>
                <w:spacing w:val="-10"/>
                <w:sz w:val="21"/>
                <w:highlight w:val="none"/>
                <w14:textFill>
                  <w14:solidFill>
                    <w14:schemeClr w14:val="tx1"/>
                  </w14:solidFill>
                </w14:textFill>
              </w:rPr>
              <w:t>3</w:t>
            </w:r>
          </w:p>
        </w:tc>
        <w:tc>
          <w:tcPr>
            <w:tcW w:w="1080"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248"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129"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283"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368"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960"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176"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744" w:type="dxa"/>
          </w:tcPr>
          <w:p>
            <w:pPr>
              <w:pStyle w:val="20"/>
              <w:keepNext w:val="0"/>
              <w:keepLines w:val="0"/>
              <w:suppressLineNumbers w:val="0"/>
              <w:shd w:val="clear"/>
              <w:spacing w:before="197" w:beforeAutospacing="0" w:after="0" w:afterAutospacing="0"/>
              <w:ind w:left="10" w:right="4"/>
              <w:jc w:val="center"/>
              <w:rPr>
                <w:rFonts w:hint="default"/>
                <w:color w:val="000000" w:themeColor="text1"/>
                <w:sz w:val="21"/>
                <w:highlight w:val="none"/>
                <w14:textFill>
                  <w14:solidFill>
                    <w14:schemeClr w14:val="tx1"/>
                  </w14:solidFill>
                </w14:textFill>
              </w:rPr>
            </w:pPr>
            <w:r>
              <w:rPr>
                <w:rFonts w:hint="default"/>
                <w:color w:val="000000" w:themeColor="text1"/>
                <w:spacing w:val="-10"/>
                <w:sz w:val="21"/>
                <w:highlight w:val="none"/>
                <w14:textFill>
                  <w14:solidFill>
                    <w14:schemeClr w14:val="tx1"/>
                  </w14:solidFill>
                </w14:textFill>
              </w:rPr>
              <w:t>4</w:t>
            </w:r>
          </w:p>
        </w:tc>
        <w:tc>
          <w:tcPr>
            <w:tcW w:w="1080"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248"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129"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283"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368"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960"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176"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744" w:type="dxa"/>
          </w:tcPr>
          <w:p>
            <w:pPr>
              <w:pStyle w:val="20"/>
              <w:keepNext w:val="0"/>
              <w:keepLines w:val="0"/>
              <w:suppressLineNumbers w:val="0"/>
              <w:shd w:val="clear"/>
              <w:spacing w:before="195" w:beforeAutospacing="0" w:after="0" w:afterAutospacing="0"/>
              <w:ind w:left="10" w:right="4"/>
              <w:jc w:val="center"/>
              <w:rPr>
                <w:rFonts w:hint="default"/>
                <w:color w:val="000000" w:themeColor="text1"/>
                <w:sz w:val="21"/>
                <w:highlight w:val="none"/>
                <w14:textFill>
                  <w14:solidFill>
                    <w14:schemeClr w14:val="tx1"/>
                  </w14:solidFill>
                </w14:textFill>
              </w:rPr>
            </w:pPr>
            <w:r>
              <w:rPr>
                <w:rFonts w:hint="default"/>
                <w:color w:val="000000" w:themeColor="text1"/>
                <w:spacing w:val="-10"/>
                <w:sz w:val="21"/>
                <w:highlight w:val="none"/>
                <w14:textFill>
                  <w14:solidFill>
                    <w14:schemeClr w14:val="tx1"/>
                  </w14:solidFill>
                </w14:textFill>
              </w:rPr>
              <w:t>5</w:t>
            </w:r>
          </w:p>
        </w:tc>
        <w:tc>
          <w:tcPr>
            <w:tcW w:w="1080"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248"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129"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283"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368"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960"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176"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744" w:type="dxa"/>
          </w:tcPr>
          <w:p>
            <w:pPr>
              <w:pStyle w:val="20"/>
              <w:keepNext w:val="0"/>
              <w:keepLines w:val="0"/>
              <w:suppressLineNumbers w:val="0"/>
              <w:shd w:val="clear"/>
              <w:spacing w:before="203" w:beforeAutospacing="0" w:after="0" w:afterAutospacing="0"/>
              <w:ind w:left="10" w:right="0"/>
              <w:jc w:val="center"/>
              <w:rPr>
                <w:rFonts w:hint="default"/>
                <w:color w:val="000000" w:themeColor="text1"/>
                <w:sz w:val="21"/>
                <w:highlight w:val="none"/>
                <w14:textFill>
                  <w14:solidFill>
                    <w14:schemeClr w14:val="tx1"/>
                  </w14:solidFill>
                </w14:textFill>
              </w:rPr>
            </w:pPr>
            <w:r>
              <w:rPr>
                <w:rFonts w:hint="default"/>
                <w:color w:val="000000" w:themeColor="text1"/>
                <w:spacing w:val="-10"/>
                <w:sz w:val="21"/>
                <w:highlight w:val="none"/>
                <w14:textFill>
                  <w14:solidFill>
                    <w14:schemeClr w14:val="tx1"/>
                  </w14:solidFill>
                </w14:textFill>
              </w:rPr>
              <w:t>…</w:t>
            </w:r>
          </w:p>
        </w:tc>
        <w:tc>
          <w:tcPr>
            <w:tcW w:w="1080"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248"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129"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283"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368"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960"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176"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r>
    </w:tbl>
    <w:p>
      <w:pPr>
        <w:pStyle w:val="10"/>
        <w:shd w:val="clear"/>
        <w:spacing w:before="254"/>
        <w:ind w:left="0"/>
        <w:rPr>
          <w:color w:val="000000" w:themeColor="text1"/>
          <w:highlight w:val="none"/>
          <w14:textFill>
            <w14:solidFill>
              <w14:schemeClr w14:val="tx1"/>
            </w14:solidFill>
          </w14:textFill>
        </w:rPr>
      </w:pPr>
    </w:p>
    <w:p>
      <w:pPr>
        <w:shd w:val="clear"/>
        <w:ind w:left="780"/>
        <w:rPr>
          <w:color w:val="000000" w:themeColor="text1"/>
          <w:sz w:val="21"/>
          <w:highlight w:val="none"/>
          <w14:textFill>
            <w14:solidFill>
              <w14:schemeClr w14:val="tx1"/>
            </w14:solidFill>
          </w14:textFill>
        </w:rPr>
      </w:pPr>
      <w:r>
        <w:rPr>
          <w:color w:val="000000" w:themeColor="text1"/>
          <w:spacing w:val="-2"/>
          <w:sz w:val="21"/>
          <w:highlight w:val="none"/>
          <w14:textFill>
            <w14:solidFill>
              <w14:schemeClr w14:val="tx1"/>
            </w14:solidFill>
          </w14:textFill>
        </w:rPr>
        <w:t>注：投标人须按相关要求提供相应的中标（成交）</w:t>
      </w:r>
      <w:r>
        <w:rPr>
          <w:color w:val="000000" w:themeColor="text1"/>
          <w:spacing w:val="-3"/>
          <w:sz w:val="21"/>
          <w:highlight w:val="none"/>
          <w14:textFill>
            <w14:solidFill>
              <w14:schemeClr w14:val="tx1"/>
            </w14:solidFill>
          </w14:textFill>
        </w:rPr>
        <w:t>通知书、采购合同等业绩证明资料。</w:t>
      </w:r>
    </w:p>
    <w:p>
      <w:pPr>
        <w:pStyle w:val="10"/>
        <w:shd w:val="clear"/>
        <w:ind w:left="0"/>
        <w:rPr>
          <w:color w:val="000000" w:themeColor="text1"/>
          <w:sz w:val="21"/>
          <w:highlight w:val="none"/>
          <w14:textFill>
            <w14:solidFill>
              <w14:schemeClr w14:val="tx1"/>
            </w14:solidFill>
          </w14:textFill>
        </w:rPr>
      </w:pPr>
    </w:p>
    <w:p>
      <w:pPr>
        <w:pStyle w:val="10"/>
        <w:shd w:val="clear"/>
        <w:ind w:left="0"/>
        <w:rPr>
          <w:color w:val="000000" w:themeColor="text1"/>
          <w:sz w:val="21"/>
          <w:highlight w:val="none"/>
          <w14:textFill>
            <w14:solidFill>
              <w14:schemeClr w14:val="tx1"/>
            </w14:solidFill>
          </w14:textFill>
        </w:rPr>
      </w:pPr>
    </w:p>
    <w:p>
      <w:pPr>
        <w:pStyle w:val="10"/>
        <w:shd w:val="clear"/>
        <w:ind w:left="0"/>
        <w:rPr>
          <w:color w:val="000000" w:themeColor="text1"/>
          <w:sz w:val="21"/>
          <w:highlight w:val="none"/>
          <w14:textFill>
            <w14:solidFill>
              <w14:schemeClr w14:val="tx1"/>
            </w14:solidFill>
          </w14:textFill>
        </w:rPr>
      </w:pPr>
    </w:p>
    <w:p>
      <w:pPr>
        <w:pStyle w:val="10"/>
        <w:shd w:val="clear"/>
        <w:ind w:left="0"/>
        <w:rPr>
          <w:color w:val="000000" w:themeColor="text1"/>
          <w:sz w:val="21"/>
          <w:highlight w:val="none"/>
          <w14:textFill>
            <w14:solidFill>
              <w14:schemeClr w14:val="tx1"/>
            </w14:solidFill>
          </w14:textFill>
        </w:rPr>
      </w:pPr>
    </w:p>
    <w:p>
      <w:pPr>
        <w:pStyle w:val="10"/>
        <w:shd w:val="clear"/>
        <w:ind w:left="0"/>
        <w:rPr>
          <w:color w:val="000000" w:themeColor="text1"/>
          <w:sz w:val="21"/>
          <w:highlight w:val="none"/>
          <w14:textFill>
            <w14:solidFill>
              <w14:schemeClr w14:val="tx1"/>
            </w14:solidFill>
          </w14:textFill>
        </w:rPr>
      </w:pPr>
    </w:p>
    <w:p>
      <w:pPr>
        <w:pStyle w:val="10"/>
        <w:shd w:val="clear"/>
        <w:spacing w:before="33"/>
        <w:ind w:left="0"/>
        <w:rPr>
          <w:color w:val="000000" w:themeColor="text1"/>
          <w:sz w:val="21"/>
          <w:highlight w:val="none"/>
          <w14:textFill>
            <w14:solidFill>
              <w14:schemeClr w14:val="tx1"/>
            </w14:solidFill>
          </w14:textFill>
        </w:rPr>
      </w:pPr>
    </w:p>
    <w:p>
      <w:pPr>
        <w:pStyle w:val="10"/>
        <w:shd w:val="clear"/>
        <w:tabs>
          <w:tab w:val="left" w:pos="2159"/>
        </w:tabs>
        <w:spacing w:line="360" w:lineRule="auto"/>
        <w:ind w:left="1200" w:right="6325" w:firstLine="60"/>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投标人名称（公章)：</w:t>
      </w:r>
      <w:r>
        <w:rPr>
          <w:color w:val="000000" w:themeColor="text1"/>
          <w:spacing w:val="-10"/>
          <w:highlight w:val="none"/>
          <w14:textFill>
            <w14:solidFill>
              <w14:schemeClr w14:val="tx1"/>
            </w14:solidFill>
          </w14:textFill>
        </w:rPr>
        <w:t>日</w:t>
      </w:r>
      <w:r>
        <w:rPr>
          <w:color w:val="000000" w:themeColor="text1"/>
          <w:highlight w:val="none"/>
          <w14:textFill>
            <w14:solidFill>
              <w14:schemeClr w14:val="tx1"/>
            </w14:solidFill>
          </w14:textFill>
        </w:rPr>
        <w:tab/>
      </w:r>
      <w:r>
        <w:rPr>
          <w:color w:val="000000" w:themeColor="text1"/>
          <w:spacing w:val="-6"/>
          <w:highlight w:val="none"/>
          <w14:textFill>
            <w14:solidFill>
              <w14:schemeClr w14:val="tx1"/>
            </w14:solidFill>
          </w14:textFill>
        </w:rPr>
        <w:t>期：</w:t>
      </w:r>
    </w:p>
    <w:p>
      <w:pPr>
        <w:shd w:val="clear"/>
        <w:spacing w:line="360" w:lineRule="auto"/>
        <w:rPr>
          <w:color w:val="000000" w:themeColor="text1"/>
          <w:highlight w:val="none"/>
          <w14:textFill>
            <w14:solidFill>
              <w14:schemeClr w14:val="tx1"/>
            </w14:solidFill>
          </w14:textFill>
        </w:rPr>
        <w:sectPr>
          <w:headerReference r:id="rId12" w:type="default"/>
          <w:footerReference r:id="rId13" w:type="default"/>
          <w:pgSz w:w="11910" w:h="16840"/>
          <w:pgMar w:top="1380" w:right="1020" w:bottom="1420" w:left="1020" w:header="878" w:footer="1224" w:gutter="0"/>
          <w:pgNumType w:start="101"/>
          <w:cols w:space="720" w:num="1"/>
        </w:sectPr>
      </w:pPr>
    </w:p>
    <w:p>
      <w:pPr>
        <w:pStyle w:val="5"/>
        <w:shd w:val="clear"/>
        <w:spacing w:before="159"/>
        <w:rPr>
          <w:color w:val="000000" w:themeColor="text1"/>
          <w:highlight w:val="none"/>
          <w14:textFill>
            <w14:solidFill>
              <w14:schemeClr w14:val="tx1"/>
            </w14:solidFill>
          </w14:textFill>
        </w:rPr>
      </w:pPr>
      <w:bookmarkStart w:id="200" w:name="八、拟派项目团队"/>
      <w:bookmarkEnd w:id="200"/>
      <w:bookmarkStart w:id="201" w:name="_bookmark53"/>
      <w:bookmarkEnd w:id="201"/>
      <w:r>
        <w:rPr>
          <w:color w:val="000000" w:themeColor="text1"/>
          <w:spacing w:val="-4"/>
          <w:highlight w:val="none"/>
          <w14:textFill>
            <w14:solidFill>
              <w14:schemeClr w14:val="tx1"/>
            </w14:solidFill>
          </w14:textFill>
        </w:rPr>
        <w:t>八、拟派项目团队</w:t>
      </w:r>
    </w:p>
    <w:p>
      <w:pPr>
        <w:pStyle w:val="10"/>
        <w:shd w:val="clear"/>
        <w:spacing w:before="11"/>
        <w:ind w:left="0"/>
        <w:rPr>
          <w:b/>
          <w:color w:val="000000" w:themeColor="text1"/>
          <w:sz w:val="15"/>
          <w:highlight w:val="none"/>
          <w14:textFill>
            <w14:solidFill>
              <w14:schemeClr w14:val="tx1"/>
            </w14:solidFill>
          </w14:textFill>
        </w:rPr>
      </w:pPr>
    </w:p>
    <w:tbl>
      <w:tblPr>
        <w:tblStyle w:val="14"/>
        <w:tblW w:w="0" w:type="auto"/>
        <w:tblInd w:w="2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3"/>
        <w:gridCol w:w="1267"/>
        <w:gridCol w:w="1296"/>
        <w:gridCol w:w="1080"/>
        <w:gridCol w:w="804"/>
        <w:gridCol w:w="1860"/>
        <w:gridCol w:w="1356"/>
        <w:gridCol w:w="8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773" w:type="dxa"/>
          </w:tcPr>
          <w:p>
            <w:pPr>
              <w:pStyle w:val="20"/>
              <w:keepNext w:val="0"/>
              <w:keepLines w:val="0"/>
              <w:suppressLineNumbers w:val="0"/>
              <w:shd w:val="clear"/>
              <w:spacing w:before="234" w:beforeAutospacing="0" w:after="0" w:afterAutospacing="0"/>
              <w:ind w:left="7" w:right="0"/>
              <w:jc w:val="center"/>
              <w:rPr>
                <w:rFonts w:hint="default"/>
                <w:color w:val="000000" w:themeColor="text1"/>
                <w:sz w:val="21"/>
                <w:highlight w:val="none"/>
                <w14:textFill>
                  <w14:solidFill>
                    <w14:schemeClr w14:val="tx1"/>
                  </w14:solidFill>
                </w14:textFill>
              </w:rPr>
            </w:pPr>
            <w:r>
              <w:rPr>
                <w:rFonts w:hint="default"/>
                <w:color w:val="000000" w:themeColor="text1"/>
                <w:spacing w:val="-8"/>
                <w:sz w:val="21"/>
                <w:highlight w:val="none"/>
                <w14:textFill>
                  <w14:solidFill>
                    <w14:schemeClr w14:val="tx1"/>
                  </w14:solidFill>
                </w14:textFill>
              </w:rPr>
              <w:t>序号</w:t>
            </w:r>
          </w:p>
        </w:tc>
        <w:tc>
          <w:tcPr>
            <w:tcW w:w="1267" w:type="dxa"/>
          </w:tcPr>
          <w:p>
            <w:pPr>
              <w:pStyle w:val="20"/>
              <w:keepNext w:val="0"/>
              <w:keepLines w:val="0"/>
              <w:suppressLineNumbers w:val="0"/>
              <w:shd w:val="clear"/>
              <w:spacing w:before="78" w:beforeAutospacing="0" w:after="0" w:afterAutospacing="0" w:line="273" w:lineRule="auto"/>
              <w:ind w:left="423" w:right="204" w:hanging="212"/>
              <w:rPr>
                <w:rFonts w:hint="default"/>
                <w:color w:val="000000" w:themeColor="text1"/>
                <w:sz w:val="21"/>
                <w:highlight w:val="none"/>
                <w14:textFill>
                  <w14:solidFill>
                    <w14:schemeClr w14:val="tx1"/>
                  </w14:solidFill>
                </w14:textFill>
              </w:rPr>
            </w:pPr>
            <w:r>
              <w:rPr>
                <w:rFonts w:hint="default"/>
                <w:color w:val="000000" w:themeColor="text1"/>
                <w:spacing w:val="-4"/>
                <w:sz w:val="21"/>
                <w:highlight w:val="none"/>
                <w14:textFill>
                  <w14:solidFill>
                    <w14:schemeClr w14:val="tx1"/>
                  </w14:solidFill>
                </w14:textFill>
              </w:rPr>
              <w:t>团队成员</w:t>
            </w:r>
            <w:r>
              <w:rPr>
                <w:rFonts w:hint="default"/>
                <w:color w:val="000000" w:themeColor="text1"/>
                <w:spacing w:val="-6"/>
                <w:sz w:val="21"/>
                <w:highlight w:val="none"/>
                <w14:textFill>
                  <w14:solidFill>
                    <w14:schemeClr w14:val="tx1"/>
                  </w14:solidFill>
                </w14:textFill>
              </w:rPr>
              <w:t>姓名</w:t>
            </w:r>
          </w:p>
        </w:tc>
        <w:tc>
          <w:tcPr>
            <w:tcW w:w="1296" w:type="dxa"/>
          </w:tcPr>
          <w:p>
            <w:pPr>
              <w:pStyle w:val="20"/>
              <w:keepNext w:val="0"/>
              <w:keepLines w:val="0"/>
              <w:suppressLineNumbers w:val="0"/>
              <w:shd w:val="clear"/>
              <w:spacing w:before="234" w:beforeAutospacing="0" w:after="0" w:afterAutospacing="0"/>
              <w:ind w:left="226" w:right="0"/>
              <w:rPr>
                <w:rFonts w:hint="default"/>
                <w:color w:val="000000" w:themeColor="text1"/>
                <w:sz w:val="21"/>
                <w:highlight w:val="none"/>
                <w14:textFill>
                  <w14:solidFill>
                    <w14:schemeClr w14:val="tx1"/>
                  </w14:solidFill>
                </w14:textFill>
              </w:rPr>
            </w:pPr>
            <w:r>
              <w:rPr>
                <w:rFonts w:hint="default"/>
                <w:color w:val="000000" w:themeColor="text1"/>
                <w:spacing w:val="-7"/>
                <w:sz w:val="21"/>
                <w:highlight w:val="none"/>
                <w14:textFill>
                  <w14:solidFill>
                    <w14:schemeClr w14:val="tx1"/>
                  </w14:solidFill>
                </w14:textFill>
              </w:rPr>
              <w:t>工作单位</w:t>
            </w:r>
          </w:p>
        </w:tc>
        <w:tc>
          <w:tcPr>
            <w:tcW w:w="1080" w:type="dxa"/>
          </w:tcPr>
          <w:p>
            <w:pPr>
              <w:pStyle w:val="20"/>
              <w:keepNext w:val="0"/>
              <w:keepLines w:val="0"/>
              <w:suppressLineNumbers w:val="0"/>
              <w:shd w:val="clear"/>
              <w:spacing w:before="234" w:beforeAutospacing="0" w:after="0" w:afterAutospacing="0"/>
              <w:ind w:left="118" w:right="0"/>
              <w:rPr>
                <w:rFonts w:hint="default"/>
                <w:color w:val="000000" w:themeColor="text1"/>
                <w:sz w:val="21"/>
                <w:highlight w:val="none"/>
                <w14:textFill>
                  <w14:solidFill>
                    <w14:schemeClr w14:val="tx1"/>
                  </w14:solidFill>
                </w14:textFill>
              </w:rPr>
            </w:pPr>
            <w:r>
              <w:rPr>
                <w:rFonts w:hint="default"/>
                <w:color w:val="000000" w:themeColor="text1"/>
                <w:spacing w:val="-7"/>
                <w:sz w:val="21"/>
                <w:highlight w:val="none"/>
                <w14:textFill>
                  <w14:solidFill>
                    <w14:schemeClr w14:val="tx1"/>
                  </w14:solidFill>
                </w14:textFill>
              </w:rPr>
              <w:t>身份证号</w:t>
            </w:r>
          </w:p>
        </w:tc>
        <w:tc>
          <w:tcPr>
            <w:tcW w:w="804" w:type="dxa"/>
          </w:tcPr>
          <w:p>
            <w:pPr>
              <w:pStyle w:val="20"/>
              <w:keepNext w:val="0"/>
              <w:keepLines w:val="0"/>
              <w:suppressLineNumbers w:val="0"/>
              <w:shd w:val="clear"/>
              <w:spacing w:before="234" w:beforeAutospacing="0" w:after="0" w:afterAutospacing="0"/>
              <w:ind w:left="190" w:right="0"/>
              <w:rPr>
                <w:rFonts w:hint="default"/>
                <w:color w:val="000000" w:themeColor="text1"/>
                <w:sz w:val="21"/>
                <w:highlight w:val="none"/>
                <w14:textFill>
                  <w14:solidFill>
                    <w14:schemeClr w14:val="tx1"/>
                  </w14:solidFill>
                </w14:textFill>
              </w:rPr>
            </w:pPr>
            <w:r>
              <w:rPr>
                <w:rFonts w:hint="default"/>
                <w:color w:val="000000" w:themeColor="text1"/>
                <w:spacing w:val="-8"/>
                <w:sz w:val="21"/>
                <w:highlight w:val="none"/>
                <w14:textFill>
                  <w14:solidFill>
                    <w14:schemeClr w14:val="tx1"/>
                  </w14:solidFill>
                </w14:textFill>
              </w:rPr>
              <w:t>职称</w:t>
            </w:r>
          </w:p>
        </w:tc>
        <w:tc>
          <w:tcPr>
            <w:tcW w:w="1860" w:type="dxa"/>
          </w:tcPr>
          <w:p>
            <w:pPr>
              <w:pStyle w:val="20"/>
              <w:keepNext w:val="0"/>
              <w:keepLines w:val="0"/>
              <w:suppressLineNumbers w:val="0"/>
              <w:shd w:val="clear"/>
              <w:spacing w:before="78" w:beforeAutospacing="0" w:after="0" w:afterAutospacing="0" w:line="273" w:lineRule="auto"/>
              <w:ind w:left="195" w:right="96" w:hanging="89"/>
              <w:rPr>
                <w:rFonts w:hint="default"/>
                <w:color w:val="000000" w:themeColor="text1"/>
                <w:sz w:val="21"/>
                <w:highlight w:val="none"/>
                <w14:textFill>
                  <w14:solidFill>
                    <w14:schemeClr w14:val="tx1"/>
                  </w14:solidFill>
                </w14:textFill>
              </w:rPr>
            </w:pPr>
            <w:r>
              <w:rPr>
                <w:rFonts w:hint="default"/>
                <w:color w:val="000000" w:themeColor="text1"/>
                <w:spacing w:val="-6"/>
                <w:sz w:val="21"/>
                <w:highlight w:val="none"/>
                <w14:textFill>
                  <w14:solidFill>
                    <w14:schemeClr w14:val="tx1"/>
                  </w14:solidFill>
                </w14:textFill>
              </w:rPr>
              <w:t>注册证书（岗位证</w:t>
            </w:r>
            <w:r>
              <w:rPr>
                <w:rFonts w:hint="default"/>
                <w:color w:val="000000" w:themeColor="text1"/>
                <w:spacing w:val="-2"/>
                <w:sz w:val="21"/>
                <w:highlight w:val="none"/>
                <w14:textFill>
                  <w14:solidFill>
                    <w14:schemeClr w14:val="tx1"/>
                  </w14:solidFill>
                </w14:textFill>
              </w:rPr>
              <w:t>书）名称及编号</w:t>
            </w:r>
          </w:p>
        </w:tc>
        <w:tc>
          <w:tcPr>
            <w:tcW w:w="1356" w:type="dxa"/>
          </w:tcPr>
          <w:p>
            <w:pPr>
              <w:pStyle w:val="20"/>
              <w:keepNext w:val="0"/>
              <w:keepLines w:val="0"/>
              <w:suppressLineNumbers w:val="0"/>
              <w:shd w:val="clear"/>
              <w:spacing w:before="78" w:beforeAutospacing="0" w:after="0" w:afterAutospacing="0" w:line="273" w:lineRule="auto"/>
              <w:ind w:left="152" w:right="142"/>
              <w:rPr>
                <w:rFonts w:hint="default"/>
                <w:color w:val="000000" w:themeColor="text1"/>
                <w:sz w:val="21"/>
                <w:highlight w:val="none"/>
                <w14:textFill>
                  <w14:solidFill>
                    <w14:schemeClr w14:val="tx1"/>
                  </w14:solidFill>
                </w14:textFill>
              </w:rPr>
            </w:pPr>
            <w:r>
              <w:rPr>
                <w:rFonts w:hint="default"/>
                <w:color w:val="000000" w:themeColor="text1"/>
                <w:spacing w:val="-2"/>
                <w:sz w:val="21"/>
                <w:highlight w:val="none"/>
                <w14:textFill>
                  <w14:solidFill>
                    <w14:schemeClr w14:val="tx1"/>
                  </w14:solidFill>
                </w14:textFill>
              </w:rPr>
              <w:t>在团队中职务（岗位</w:t>
            </w:r>
            <w:r>
              <w:rPr>
                <w:rFonts w:hint="default"/>
                <w:color w:val="000000" w:themeColor="text1"/>
                <w:spacing w:val="-10"/>
                <w:sz w:val="21"/>
                <w:highlight w:val="none"/>
                <w14:textFill>
                  <w14:solidFill>
                    <w14:schemeClr w14:val="tx1"/>
                  </w14:solidFill>
                </w14:textFill>
              </w:rPr>
              <w:t>）</w:t>
            </w:r>
          </w:p>
        </w:tc>
        <w:tc>
          <w:tcPr>
            <w:tcW w:w="816" w:type="dxa"/>
          </w:tcPr>
          <w:p>
            <w:pPr>
              <w:pStyle w:val="20"/>
              <w:keepNext w:val="0"/>
              <w:keepLines w:val="0"/>
              <w:suppressLineNumbers w:val="0"/>
              <w:shd w:val="clear"/>
              <w:spacing w:before="78" w:beforeAutospacing="0" w:after="0" w:afterAutospacing="0" w:line="273" w:lineRule="auto"/>
              <w:ind w:left="198" w:right="134" w:hanging="53"/>
              <w:rPr>
                <w:rFonts w:hint="default"/>
                <w:color w:val="000000" w:themeColor="text1"/>
                <w:sz w:val="21"/>
                <w:highlight w:val="none"/>
                <w14:textFill>
                  <w14:solidFill>
                    <w14:schemeClr w14:val="tx1"/>
                  </w14:solidFill>
                </w14:textFill>
              </w:rPr>
            </w:pPr>
            <w:r>
              <w:rPr>
                <w:rFonts w:hint="default"/>
                <w:color w:val="000000" w:themeColor="text1"/>
                <w:spacing w:val="-4"/>
                <w:sz w:val="21"/>
                <w:highlight w:val="none"/>
                <w14:textFill>
                  <w14:solidFill>
                    <w14:schemeClr w14:val="tx1"/>
                  </w14:solidFill>
                </w14:textFill>
              </w:rPr>
              <w:t>自有/</w:t>
            </w:r>
            <w:r>
              <w:rPr>
                <w:rFonts w:hint="default"/>
                <w:color w:val="000000" w:themeColor="text1"/>
                <w:spacing w:val="-8"/>
                <w:sz w:val="21"/>
                <w:highlight w:val="none"/>
                <w14:textFill>
                  <w14:solidFill>
                    <w14:schemeClr w14:val="tx1"/>
                  </w14:solidFill>
                </w14:textFill>
              </w:rPr>
              <w:t>外聘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773" w:type="dxa"/>
          </w:tcPr>
          <w:p>
            <w:pPr>
              <w:pStyle w:val="20"/>
              <w:keepNext w:val="0"/>
              <w:keepLines w:val="0"/>
              <w:suppressLineNumbers w:val="0"/>
              <w:shd w:val="clear"/>
              <w:spacing w:before="200" w:beforeAutospacing="0" w:after="0" w:afterAutospacing="0"/>
              <w:ind w:left="7" w:right="1"/>
              <w:jc w:val="center"/>
              <w:rPr>
                <w:rFonts w:hint="default"/>
                <w:color w:val="000000" w:themeColor="text1"/>
                <w:sz w:val="21"/>
                <w:highlight w:val="none"/>
                <w14:textFill>
                  <w14:solidFill>
                    <w14:schemeClr w14:val="tx1"/>
                  </w14:solidFill>
                </w14:textFill>
              </w:rPr>
            </w:pPr>
            <w:r>
              <w:rPr>
                <w:rFonts w:hint="default"/>
                <w:color w:val="000000" w:themeColor="text1"/>
                <w:spacing w:val="-10"/>
                <w:sz w:val="21"/>
                <w:highlight w:val="none"/>
                <w14:textFill>
                  <w14:solidFill>
                    <w14:schemeClr w14:val="tx1"/>
                  </w14:solidFill>
                </w14:textFill>
              </w:rPr>
              <w:t>1</w:t>
            </w:r>
          </w:p>
        </w:tc>
        <w:tc>
          <w:tcPr>
            <w:tcW w:w="1267"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296"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080"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804"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860"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356"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816"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773" w:type="dxa"/>
          </w:tcPr>
          <w:p>
            <w:pPr>
              <w:pStyle w:val="20"/>
              <w:keepNext w:val="0"/>
              <w:keepLines w:val="0"/>
              <w:suppressLineNumbers w:val="0"/>
              <w:shd w:val="clear"/>
              <w:spacing w:before="199" w:beforeAutospacing="0" w:after="0" w:afterAutospacing="0"/>
              <w:ind w:left="7" w:right="1"/>
              <w:jc w:val="center"/>
              <w:rPr>
                <w:rFonts w:hint="default"/>
                <w:color w:val="000000" w:themeColor="text1"/>
                <w:sz w:val="21"/>
                <w:highlight w:val="none"/>
                <w14:textFill>
                  <w14:solidFill>
                    <w14:schemeClr w14:val="tx1"/>
                  </w14:solidFill>
                </w14:textFill>
              </w:rPr>
            </w:pPr>
            <w:r>
              <w:rPr>
                <w:rFonts w:hint="default"/>
                <w:color w:val="000000" w:themeColor="text1"/>
                <w:spacing w:val="-10"/>
                <w:sz w:val="21"/>
                <w:highlight w:val="none"/>
                <w14:textFill>
                  <w14:solidFill>
                    <w14:schemeClr w14:val="tx1"/>
                  </w14:solidFill>
                </w14:textFill>
              </w:rPr>
              <w:t>2</w:t>
            </w:r>
          </w:p>
        </w:tc>
        <w:tc>
          <w:tcPr>
            <w:tcW w:w="1267"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296"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080"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804"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860"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356"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816"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773" w:type="dxa"/>
          </w:tcPr>
          <w:p>
            <w:pPr>
              <w:pStyle w:val="20"/>
              <w:keepNext w:val="0"/>
              <w:keepLines w:val="0"/>
              <w:suppressLineNumbers w:val="0"/>
              <w:shd w:val="clear"/>
              <w:spacing w:before="199" w:beforeAutospacing="0" w:after="0" w:afterAutospacing="0"/>
              <w:ind w:left="7" w:right="1"/>
              <w:jc w:val="center"/>
              <w:rPr>
                <w:rFonts w:hint="default"/>
                <w:color w:val="000000" w:themeColor="text1"/>
                <w:sz w:val="21"/>
                <w:highlight w:val="none"/>
                <w14:textFill>
                  <w14:solidFill>
                    <w14:schemeClr w14:val="tx1"/>
                  </w14:solidFill>
                </w14:textFill>
              </w:rPr>
            </w:pPr>
            <w:r>
              <w:rPr>
                <w:rFonts w:hint="default"/>
                <w:color w:val="000000" w:themeColor="text1"/>
                <w:spacing w:val="-10"/>
                <w:sz w:val="21"/>
                <w:highlight w:val="none"/>
                <w14:textFill>
                  <w14:solidFill>
                    <w14:schemeClr w14:val="tx1"/>
                  </w14:solidFill>
                </w14:textFill>
              </w:rPr>
              <w:t>3</w:t>
            </w:r>
          </w:p>
        </w:tc>
        <w:tc>
          <w:tcPr>
            <w:tcW w:w="1267"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296"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080"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804"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860"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356"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816"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773" w:type="dxa"/>
          </w:tcPr>
          <w:p>
            <w:pPr>
              <w:pStyle w:val="20"/>
              <w:keepNext w:val="0"/>
              <w:keepLines w:val="0"/>
              <w:suppressLineNumbers w:val="0"/>
              <w:shd w:val="clear"/>
              <w:spacing w:before="198" w:beforeAutospacing="0" w:after="0" w:afterAutospacing="0"/>
              <w:ind w:left="7" w:right="1"/>
              <w:jc w:val="center"/>
              <w:rPr>
                <w:rFonts w:hint="default"/>
                <w:color w:val="000000" w:themeColor="text1"/>
                <w:sz w:val="21"/>
                <w:highlight w:val="none"/>
                <w14:textFill>
                  <w14:solidFill>
                    <w14:schemeClr w14:val="tx1"/>
                  </w14:solidFill>
                </w14:textFill>
              </w:rPr>
            </w:pPr>
            <w:r>
              <w:rPr>
                <w:rFonts w:hint="default"/>
                <w:color w:val="000000" w:themeColor="text1"/>
                <w:spacing w:val="-10"/>
                <w:sz w:val="21"/>
                <w:highlight w:val="none"/>
                <w14:textFill>
                  <w14:solidFill>
                    <w14:schemeClr w14:val="tx1"/>
                  </w14:solidFill>
                </w14:textFill>
              </w:rPr>
              <w:t>4</w:t>
            </w:r>
          </w:p>
        </w:tc>
        <w:tc>
          <w:tcPr>
            <w:tcW w:w="1267"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296"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080"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804"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860"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356"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816"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773" w:type="dxa"/>
          </w:tcPr>
          <w:p>
            <w:pPr>
              <w:pStyle w:val="20"/>
              <w:keepNext w:val="0"/>
              <w:keepLines w:val="0"/>
              <w:suppressLineNumbers w:val="0"/>
              <w:shd w:val="clear"/>
              <w:spacing w:before="200" w:beforeAutospacing="0" w:after="0" w:afterAutospacing="0"/>
              <w:ind w:left="7" w:right="1"/>
              <w:jc w:val="center"/>
              <w:rPr>
                <w:rFonts w:hint="default"/>
                <w:color w:val="000000" w:themeColor="text1"/>
                <w:sz w:val="21"/>
                <w:highlight w:val="none"/>
                <w14:textFill>
                  <w14:solidFill>
                    <w14:schemeClr w14:val="tx1"/>
                  </w14:solidFill>
                </w14:textFill>
              </w:rPr>
            </w:pPr>
            <w:r>
              <w:rPr>
                <w:rFonts w:hint="default"/>
                <w:color w:val="000000" w:themeColor="text1"/>
                <w:spacing w:val="-10"/>
                <w:sz w:val="21"/>
                <w:highlight w:val="none"/>
                <w14:textFill>
                  <w14:solidFill>
                    <w14:schemeClr w14:val="tx1"/>
                  </w14:solidFill>
                </w14:textFill>
              </w:rPr>
              <w:t>5</w:t>
            </w:r>
          </w:p>
        </w:tc>
        <w:tc>
          <w:tcPr>
            <w:tcW w:w="1267"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296"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080"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804"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860"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356"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816"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773" w:type="dxa"/>
          </w:tcPr>
          <w:p>
            <w:pPr>
              <w:pStyle w:val="20"/>
              <w:keepNext w:val="0"/>
              <w:keepLines w:val="0"/>
              <w:suppressLineNumbers w:val="0"/>
              <w:shd w:val="clear"/>
              <w:spacing w:before="199" w:beforeAutospacing="0" w:after="0" w:afterAutospacing="0"/>
              <w:ind w:left="7" w:right="1"/>
              <w:jc w:val="center"/>
              <w:rPr>
                <w:rFonts w:hint="default"/>
                <w:color w:val="000000" w:themeColor="text1"/>
                <w:sz w:val="21"/>
                <w:highlight w:val="none"/>
                <w14:textFill>
                  <w14:solidFill>
                    <w14:schemeClr w14:val="tx1"/>
                  </w14:solidFill>
                </w14:textFill>
              </w:rPr>
            </w:pPr>
            <w:r>
              <w:rPr>
                <w:rFonts w:hint="default"/>
                <w:color w:val="000000" w:themeColor="text1"/>
                <w:spacing w:val="-10"/>
                <w:sz w:val="21"/>
                <w:highlight w:val="none"/>
                <w14:textFill>
                  <w14:solidFill>
                    <w14:schemeClr w14:val="tx1"/>
                  </w14:solidFill>
                </w14:textFill>
              </w:rPr>
              <w:t>6</w:t>
            </w:r>
          </w:p>
        </w:tc>
        <w:tc>
          <w:tcPr>
            <w:tcW w:w="1267"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296"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080"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804"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860"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356"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816"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773" w:type="dxa"/>
          </w:tcPr>
          <w:p>
            <w:pPr>
              <w:pStyle w:val="20"/>
              <w:keepNext w:val="0"/>
              <w:keepLines w:val="0"/>
              <w:suppressLineNumbers w:val="0"/>
              <w:shd w:val="clear"/>
              <w:spacing w:before="199" w:beforeAutospacing="0" w:after="0" w:afterAutospacing="0"/>
              <w:ind w:left="7" w:right="1"/>
              <w:jc w:val="center"/>
              <w:rPr>
                <w:rFonts w:hint="default"/>
                <w:color w:val="000000" w:themeColor="text1"/>
                <w:sz w:val="21"/>
                <w:highlight w:val="none"/>
                <w14:textFill>
                  <w14:solidFill>
                    <w14:schemeClr w14:val="tx1"/>
                  </w14:solidFill>
                </w14:textFill>
              </w:rPr>
            </w:pPr>
            <w:r>
              <w:rPr>
                <w:rFonts w:hint="default"/>
                <w:color w:val="000000" w:themeColor="text1"/>
                <w:spacing w:val="-10"/>
                <w:sz w:val="21"/>
                <w:highlight w:val="none"/>
                <w14:textFill>
                  <w14:solidFill>
                    <w14:schemeClr w14:val="tx1"/>
                  </w14:solidFill>
                </w14:textFill>
              </w:rPr>
              <w:t>7</w:t>
            </w:r>
          </w:p>
        </w:tc>
        <w:tc>
          <w:tcPr>
            <w:tcW w:w="1267"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296"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080"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804"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860"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356"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816"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773" w:type="dxa"/>
          </w:tcPr>
          <w:p>
            <w:pPr>
              <w:pStyle w:val="20"/>
              <w:keepNext w:val="0"/>
              <w:keepLines w:val="0"/>
              <w:suppressLineNumbers w:val="0"/>
              <w:shd w:val="clear"/>
              <w:spacing w:before="198" w:beforeAutospacing="0" w:after="0" w:afterAutospacing="0"/>
              <w:ind w:left="7" w:right="1"/>
              <w:jc w:val="center"/>
              <w:rPr>
                <w:rFonts w:hint="default"/>
                <w:color w:val="000000" w:themeColor="text1"/>
                <w:sz w:val="21"/>
                <w:highlight w:val="none"/>
                <w14:textFill>
                  <w14:solidFill>
                    <w14:schemeClr w14:val="tx1"/>
                  </w14:solidFill>
                </w14:textFill>
              </w:rPr>
            </w:pPr>
            <w:r>
              <w:rPr>
                <w:rFonts w:hint="default"/>
                <w:color w:val="000000" w:themeColor="text1"/>
                <w:spacing w:val="-10"/>
                <w:sz w:val="21"/>
                <w:highlight w:val="none"/>
                <w14:textFill>
                  <w14:solidFill>
                    <w14:schemeClr w14:val="tx1"/>
                  </w14:solidFill>
                </w14:textFill>
              </w:rPr>
              <w:t>8</w:t>
            </w:r>
          </w:p>
        </w:tc>
        <w:tc>
          <w:tcPr>
            <w:tcW w:w="1267"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296"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080"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804"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860"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356"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816"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773" w:type="dxa"/>
          </w:tcPr>
          <w:p>
            <w:pPr>
              <w:pStyle w:val="20"/>
              <w:keepNext w:val="0"/>
              <w:keepLines w:val="0"/>
              <w:suppressLineNumbers w:val="0"/>
              <w:shd w:val="clear"/>
              <w:spacing w:before="200" w:beforeAutospacing="0" w:after="0" w:afterAutospacing="0"/>
              <w:ind w:left="7" w:right="1"/>
              <w:jc w:val="center"/>
              <w:rPr>
                <w:rFonts w:hint="default"/>
                <w:color w:val="000000" w:themeColor="text1"/>
                <w:sz w:val="21"/>
                <w:highlight w:val="none"/>
                <w14:textFill>
                  <w14:solidFill>
                    <w14:schemeClr w14:val="tx1"/>
                  </w14:solidFill>
                </w14:textFill>
              </w:rPr>
            </w:pPr>
            <w:r>
              <w:rPr>
                <w:rFonts w:hint="default"/>
                <w:color w:val="000000" w:themeColor="text1"/>
                <w:spacing w:val="-10"/>
                <w:sz w:val="21"/>
                <w:highlight w:val="none"/>
                <w14:textFill>
                  <w14:solidFill>
                    <w14:schemeClr w14:val="tx1"/>
                  </w14:solidFill>
                </w14:textFill>
              </w:rPr>
              <w:t>9</w:t>
            </w:r>
          </w:p>
        </w:tc>
        <w:tc>
          <w:tcPr>
            <w:tcW w:w="1267"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296"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080"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804"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860"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356"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816"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773" w:type="dxa"/>
          </w:tcPr>
          <w:p>
            <w:pPr>
              <w:pStyle w:val="20"/>
              <w:keepNext w:val="0"/>
              <w:keepLines w:val="0"/>
              <w:suppressLineNumbers w:val="0"/>
              <w:shd w:val="clear"/>
              <w:spacing w:before="204" w:beforeAutospacing="0" w:after="0" w:afterAutospacing="0"/>
              <w:ind w:left="7" w:right="1"/>
              <w:jc w:val="center"/>
              <w:rPr>
                <w:rFonts w:hint="default"/>
                <w:color w:val="000000" w:themeColor="text1"/>
                <w:sz w:val="21"/>
                <w:highlight w:val="none"/>
                <w14:textFill>
                  <w14:solidFill>
                    <w14:schemeClr w14:val="tx1"/>
                  </w14:solidFill>
                </w14:textFill>
              </w:rPr>
            </w:pPr>
            <w:r>
              <w:rPr>
                <w:rFonts w:hint="default"/>
                <w:color w:val="000000" w:themeColor="text1"/>
                <w:spacing w:val="-5"/>
                <w:sz w:val="21"/>
                <w:highlight w:val="none"/>
                <w14:textFill>
                  <w14:solidFill>
                    <w14:schemeClr w14:val="tx1"/>
                  </w14:solidFill>
                </w14:textFill>
              </w:rPr>
              <w:t>10</w:t>
            </w:r>
          </w:p>
        </w:tc>
        <w:tc>
          <w:tcPr>
            <w:tcW w:w="1267"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296"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080"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804"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860"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356"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816"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r>
    </w:tbl>
    <w:p>
      <w:pPr>
        <w:shd w:val="clear"/>
        <w:rPr>
          <w:rFonts w:ascii="Times New Roman"/>
          <w:color w:val="000000" w:themeColor="text1"/>
          <w:sz w:val="20"/>
          <w:highlight w:val="none"/>
          <w14:textFill>
            <w14:solidFill>
              <w14:schemeClr w14:val="tx1"/>
            </w14:solidFill>
          </w14:textFill>
        </w:rPr>
        <w:sectPr>
          <w:pgSz w:w="11910" w:h="16840"/>
          <w:pgMar w:top="1380" w:right="1020" w:bottom="1420" w:left="1020" w:header="878" w:footer="1224" w:gutter="0"/>
          <w:cols w:space="720" w:num="1"/>
        </w:sectPr>
      </w:pPr>
    </w:p>
    <w:p>
      <w:pPr>
        <w:shd w:val="clear"/>
        <w:spacing w:before="159"/>
        <w:jc w:val="center"/>
        <w:rPr>
          <w:b/>
          <w:color w:val="000000" w:themeColor="text1"/>
          <w:sz w:val="32"/>
          <w:highlight w:val="none"/>
          <w14:textFill>
            <w14:solidFill>
              <w14:schemeClr w14:val="tx1"/>
            </w14:solidFill>
          </w14:textFill>
        </w:rPr>
      </w:pPr>
      <w:bookmarkStart w:id="202" w:name="九、技术响应偏离表"/>
      <w:bookmarkEnd w:id="202"/>
      <w:bookmarkStart w:id="203" w:name="_bookmark54"/>
      <w:bookmarkEnd w:id="203"/>
      <w:r>
        <w:rPr>
          <w:b/>
          <w:color w:val="000000" w:themeColor="text1"/>
          <w:spacing w:val="-3"/>
          <w:sz w:val="32"/>
          <w:highlight w:val="none"/>
          <w14:textFill>
            <w14:solidFill>
              <w14:schemeClr w14:val="tx1"/>
            </w14:solidFill>
          </w14:textFill>
        </w:rPr>
        <w:t>九、技术响应偏离表</w:t>
      </w:r>
    </w:p>
    <w:p>
      <w:pPr>
        <w:pStyle w:val="10"/>
        <w:shd w:val="clear"/>
        <w:spacing w:before="282"/>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项目名称：</w:t>
      </w:r>
    </w:p>
    <w:p>
      <w:pPr>
        <w:pStyle w:val="10"/>
        <w:shd w:val="clear"/>
        <w:spacing w:before="156"/>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项目编号/包号：</w:t>
      </w:r>
    </w:p>
    <w:p>
      <w:pPr>
        <w:pStyle w:val="10"/>
        <w:shd w:val="clear"/>
        <w:spacing w:before="2"/>
        <w:ind w:left="0"/>
        <w:rPr>
          <w:color w:val="000000" w:themeColor="text1"/>
          <w:sz w:val="6"/>
          <w:highlight w:val="none"/>
          <w14:textFill>
            <w14:solidFill>
              <w14:schemeClr w14:val="tx1"/>
            </w14:solidFill>
          </w14:textFill>
        </w:rPr>
      </w:pPr>
    </w:p>
    <w:tbl>
      <w:tblPr>
        <w:tblStyle w:val="14"/>
        <w:tblW w:w="0" w:type="auto"/>
        <w:tblInd w:w="6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3"/>
        <w:gridCol w:w="1976"/>
        <w:gridCol w:w="1758"/>
        <w:gridCol w:w="2157"/>
        <w:gridCol w:w="19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693" w:type="dxa"/>
          </w:tcPr>
          <w:p>
            <w:pPr>
              <w:pStyle w:val="20"/>
              <w:keepNext w:val="0"/>
              <w:keepLines w:val="0"/>
              <w:suppressLineNumbers w:val="0"/>
              <w:shd w:val="clear"/>
              <w:spacing w:before="207" w:beforeAutospacing="0" w:after="0" w:afterAutospacing="0"/>
              <w:ind w:left="7" w:right="0"/>
              <w:jc w:val="center"/>
              <w:rPr>
                <w:rFonts w:hint="default"/>
                <w:color w:val="000000" w:themeColor="text1"/>
                <w:sz w:val="21"/>
                <w:highlight w:val="none"/>
                <w14:textFill>
                  <w14:solidFill>
                    <w14:schemeClr w14:val="tx1"/>
                  </w14:solidFill>
                </w14:textFill>
              </w:rPr>
            </w:pPr>
            <w:r>
              <w:rPr>
                <w:rFonts w:hint="default"/>
                <w:color w:val="000000" w:themeColor="text1"/>
                <w:spacing w:val="-8"/>
                <w:sz w:val="21"/>
                <w:highlight w:val="none"/>
                <w14:textFill>
                  <w14:solidFill>
                    <w14:schemeClr w14:val="tx1"/>
                  </w14:solidFill>
                </w14:textFill>
              </w:rPr>
              <w:t>序号</w:t>
            </w:r>
          </w:p>
        </w:tc>
        <w:tc>
          <w:tcPr>
            <w:tcW w:w="1976" w:type="dxa"/>
          </w:tcPr>
          <w:p>
            <w:pPr>
              <w:pStyle w:val="20"/>
              <w:keepNext w:val="0"/>
              <w:keepLines w:val="0"/>
              <w:suppressLineNumbers w:val="0"/>
              <w:shd w:val="clear"/>
              <w:spacing w:before="51" w:beforeAutospacing="0" w:after="0" w:afterAutospacing="0" w:line="273" w:lineRule="auto"/>
              <w:ind w:left="566" w:right="348" w:hanging="209"/>
              <w:rPr>
                <w:rFonts w:hint="default"/>
                <w:color w:val="000000" w:themeColor="text1"/>
                <w:sz w:val="21"/>
                <w:highlight w:val="none"/>
                <w14:textFill>
                  <w14:solidFill>
                    <w14:schemeClr w14:val="tx1"/>
                  </w14:solidFill>
                </w14:textFill>
              </w:rPr>
            </w:pPr>
            <w:r>
              <w:rPr>
                <w:rFonts w:hint="default"/>
                <w:color w:val="000000" w:themeColor="text1"/>
                <w:spacing w:val="-2"/>
                <w:sz w:val="21"/>
                <w:highlight w:val="none"/>
                <w14:textFill>
                  <w14:solidFill>
                    <w14:schemeClr w14:val="tx1"/>
                  </w14:solidFill>
                </w14:textFill>
              </w:rPr>
              <w:t>招标文件技术</w:t>
            </w:r>
            <w:r>
              <w:rPr>
                <w:rFonts w:hint="default"/>
                <w:color w:val="000000" w:themeColor="text1"/>
                <w:spacing w:val="-4"/>
                <w:sz w:val="21"/>
                <w:highlight w:val="none"/>
                <w14:textFill>
                  <w14:solidFill>
                    <w14:schemeClr w14:val="tx1"/>
                  </w14:solidFill>
                </w14:textFill>
              </w:rPr>
              <w:t>要求条款</w:t>
            </w:r>
          </w:p>
        </w:tc>
        <w:tc>
          <w:tcPr>
            <w:tcW w:w="1758" w:type="dxa"/>
          </w:tcPr>
          <w:p>
            <w:pPr>
              <w:pStyle w:val="20"/>
              <w:keepNext w:val="0"/>
              <w:keepLines w:val="0"/>
              <w:suppressLineNumbers w:val="0"/>
              <w:shd w:val="clear"/>
              <w:spacing w:before="51" w:beforeAutospacing="0" w:after="0" w:afterAutospacing="0" w:line="273" w:lineRule="auto"/>
              <w:ind w:left="457" w:right="239" w:hanging="209"/>
              <w:rPr>
                <w:rFonts w:hint="default"/>
                <w:color w:val="000000" w:themeColor="text1"/>
                <w:sz w:val="21"/>
                <w:highlight w:val="none"/>
                <w14:textFill>
                  <w14:solidFill>
                    <w14:schemeClr w14:val="tx1"/>
                  </w14:solidFill>
                </w14:textFill>
              </w:rPr>
            </w:pPr>
            <w:r>
              <w:rPr>
                <w:rFonts w:hint="default"/>
                <w:color w:val="000000" w:themeColor="text1"/>
                <w:spacing w:val="-2"/>
                <w:sz w:val="21"/>
                <w:highlight w:val="none"/>
                <w14:textFill>
                  <w14:solidFill>
                    <w14:schemeClr w14:val="tx1"/>
                  </w14:solidFill>
                </w14:textFill>
              </w:rPr>
              <w:t>投标文件内容</w:t>
            </w:r>
            <w:r>
              <w:rPr>
                <w:rFonts w:hint="default"/>
                <w:color w:val="000000" w:themeColor="text1"/>
                <w:spacing w:val="-4"/>
                <w:sz w:val="21"/>
                <w:highlight w:val="none"/>
                <w14:textFill>
                  <w14:solidFill>
                    <w14:schemeClr w14:val="tx1"/>
                  </w14:solidFill>
                </w14:textFill>
              </w:rPr>
              <w:t>对应简述</w:t>
            </w:r>
          </w:p>
        </w:tc>
        <w:tc>
          <w:tcPr>
            <w:tcW w:w="2157" w:type="dxa"/>
          </w:tcPr>
          <w:p>
            <w:pPr>
              <w:pStyle w:val="20"/>
              <w:keepNext w:val="0"/>
              <w:keepLines w:val="0"/>
              <w:suppressLineNumbers w:val="0"/>
              <w:shd w:val="clear"/>
              <w:spacing w:before="207" w:beforeAutospacing="0" w:after="0" w:afterAutospacing="0"/>
              <w:ind w:left="7" w:right="0"/>
              <w:jc w:val="center"/>
              <w:rPr>
                <w:rFonts w:hint="default"/>
                <w:color w:val="000000" w:themeColor="text1"/>
                <w:sz w:val="21"/>
                <w:highlight w:val="none"/>
                <w14:textFill>
                  <w14:solidFill>
                    <w14:schemeClr w14:val="tx1"/>
                  </w14:solidFill>
                </w14:textFill>
              </w:rPr>
            </w:pPr>
            <w:r>
              <w:rPr>
                <w:rFonts w:hint="default"/>
                <w:color w:val="000000" w:themeColor="text1"/>
                <w:spacing w:val="-7"/>
                <w:sz w:val="21"/>
                <w:highlight w:val="none"/>
                <w14:textFill>
                  <w14:solidFill>
                    <w14:schemeClr w14:val="tx1"/>
                  </w14:solidFill>
                </w14:textFill>
              </w:rPr>
              <w:t>响应情况</w:t>
            </w:r>
          </w:p>
        </w:tc>
        <w:tc>
          <w:tcPr>
            <w:tcW w:w="1935" w:type="dxa"/>
          </w:tcPr>
          <w:p>
            <w:pPr>
              <w:pStyle w:val="20"/>
              <w:keepNext w:val="0"/>
              <w:keepLines w:val="0"/>
              <w:suppressLineNumbers w:val="0"/>
              <w:shd w:val="clear"/>
              <w:spacing w:before="207" w:beforeAutospacing="0" w:after="0" w:afterAutospacing="0"/>
              <w:ind w:left="231" w:right="0"/>
              <w:rPr>
                <w:rFonts w:hint="default"/>
                <w:color w:val="000000" w:themeColor="text1"/>
                <w:sz w:val="21"/>
                <w:highlight w:val="none"/>
                <w14:textFill>
                  <w14:solidFill>
                    <w14:schemeClr w14:val="tx1"/>
                  </w14:solidFill>
                </w14:textFill>
              </w:rPr>
            </w:pPr>
            <w:r>
              <w:rPr>
                <w:rFonts w:hint="default"/>
                <w:color w:val="000000" w:themeColor="text1"/>
                <w:spacing w:val="-4"/>
                <w:sz w:val="21"/>
                <w:highlight w:val="none"/>
                <w14:textFill>
                  <w14:solidFill>
                    <w14:schemeClr w14:val="tx1"/>
                  </w14:solidFill>
                </w14:textFill>
              </w:rPr>
              <w:t>证明资料及索引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693" w:type="dxa"/>
          </w:tcPr>
          <w:p>
            <w:pPr>
              <w:pStyle w:val="20"/>
              <w:keepNext w:val="0"/>
              <w:keepLines w:val="0"/>
              <w:suppressLineNumbers w:val="0"/>
              <w:shd w:val="clear"/>
              <w:spacing w:before="208" w:beforeAutospacing="0" w:after="0" w:afterAutospacing="0"/>
              <w:ind w:left="7" w:right="1"/>
              <w:jc w:val="center"/>
              <w:rPr>
                <w:rFonts w:hint="default"/>
                <w:color w:val="000000" w:themeColor="text1"/>
                <w:sz w:val="21"/>
                <w:highlight w:val="none"/>
                <w14:textFill>
                  <w14:solidFill>
                    <w14:schemeClr w14:val="tx1"/>
                  </w14:solidFill>
                </w14:textFill>
              </w:rPr>
            </w:pPr>
            <w:r>
              <w:rPr>
                <w:rFonts w:hint="default"/>
                <w:color w:val="000000" w:themeColor="text1"/>
                <w:spacing w:val="-10"/>
                <w:sz w:val="21"/>
                <w:highlight w:val="none"/>
                <w14:textFill>
                  <w14:solidFill>
                    <w14:schemeClr w14:val="tx1"/>
                  </w14:solidFill>
                </w14:textFill>
              </w:rPr>
              <w:t>1</w:t>
            </w:r>
          </w:p>
        </w:tc>
        <w:tc>
          <w:tcPr>
            <w:tcW w:w="1976" w:type="dxa"/>
          </w:tcPr>
          <w:p>
            <w:pPr>
              <w:pStyle w:val="20"/>
              <w:keepNext w:val="0"/>
              <w:keepLines w:val="0"/>
              <w:suppressLineNumbers w:val="0"/>
              <w:shd w:val="clear"/>
              <w:spacing w:before="208" w:beforeAutospacing="0" w:after="0" w:afterAutospacing="0"/>
              <w:ind w:left="8" w:right="0"/>
              <w:jc w:val="center"/>
              <w:rPr>
                <w:rFonts w:hint="default"/>
                <w:color w:val="000000" w:themeColor="text1"/>
                <w:sz w:val="21"/>
                <w:highlight w:val="none"/>
                <w14:textFill>
                  <w14:solidFill>
                    <w14:schemeClr w14:val="tx1"/>
                  </w14:solidFill>
                </w14:textFill>
              </w:rPr>
            </w:pPr>
            <w:r>
              <w:rPr>
                <w:rFonts w:hint="default"/>
                <w:color w:val="000000" w:themeColor="text1"/>
                <w:spacing w:val="-2"/>
                <w:sz w:val="21"/>
                <w:highlight w:val="none"/>
                <w14:textFill>
                  <w14:solidFill>
                    <w14:schemeClr w14:val="tx1"/>
                  </w14:solidFill>
                </w14:textFill>
              </w:rPr>
              <w:t>********</w:t>
            </w:r>
          </w:p>
        </w:tc>
        <w:tc>
          <w:tcPr>
            <w:tcW w:w="1758" w:type="dxa"/>
          </w:tcPr>
          <w:p>
            <w:pPr>
              <w:pStyle w:val="20"/>
              <w:keepNext w:val="0"/>
              <w:keepLines w:val="0"/>
              <w:suppressLineNumbers w:val="0"/>
              <w:shd w:val="clear"/>
              <w:spacing w:before="208" w:beforeAutospacing="0" w:after="0" w:afterAutospacing="0"/>
              <w:ind w:left="9" w:right="0"/>
              <w:jc w:val="center"/>
              <w:rPr>
                <w:rFonts w:hint="default"/>
                <w:color w:val="000000" w:themeColor="text1"/>
                <w:sz w:val="21"/>
                <w:highlight w:val="none"/>
                <w14:textFill>
                  <w14:solidFill>
                    <w14:schemeClr w14:val="tx1"/>
                  </w14:solidFill>
                </w14:textFill>
              </w:rPr>
            </w:pPr>
            <w:r>
              <w:rPr>
                <w:rFonts w:hint="default"/>
                <w:color w:val="000000" w:themeColor="text1"/>
                <w:spacing w:val="-2"/>
                <w:sz w:val="21"/>
                <w:highlight w:val="none"/>
                <w14:textFill>
                  <w14:solidFill>
                    <w14:schemeClr w14:val="tx1"/>
                  </w14:solidFill>
                </w14:textFill>
              </w:rPr>
              <w:t>******</w:t>
            </w:r>
          </w:p>
        </w:tc>
        <w:tc>
          <w:tcPr>
            <w:tcW w:w="2157" w:type="dxa"/>
          </w:tcPr>
          <w:p>
            <w:pPr>
              <w:pStyle w:val="20"/>
              <w:keepNext w:val="0"/>
              <w:keepLines w:val="0"/>
              <w:suppressLineNumbers w:val="0"/>
              <w:shd w:val="clear"/>
              <w:spacing w:before="208" w:beforeAutospacing="0" w:after="0" w:afterAutospacing="0"/>
              <w:ind w:left="7" w:right="0"/>
              <w:jc w:val="center"/>
              <w:rPr>
                <w:rFonts w:hint="default"/>
                <w:color w:val="000000" w:themeColor="text1"/>
                <w:sz w:val="21"/>
                <w:highlight w:val="none"/>
                <w14:textFill>
                  <w14:solidFill>
                    <w14:schemeClr w14:val="tx1"/>
                  </w14:solidFill>
                </w14:textFill>
              </w:rPr>
            </w:pPr>
            <w:r>
              <w:rPr>
                <w:rFonts w:hint="default"/>
                <w:color w:val="000000" w:themeColor="text1"/>
                <w:spacing w:val="-3"/>
                <w:sz w:val="21"/>
                <w:highlight w:val="none"/>
                <w14:textFill>
                  <w14:solidFill>
                    <w14:schemeClr w14:val="tx1"/>
                  </w14:solidFill>
                </w14:textFill>
              </w:rPr>
              <w:t>响应/正偏离/负偏离</w:t>
            </w:r>
          </w:p>
        </w:tc>
        <w:tc>
          <w:tcPr>
            <w:tcW w:w="1935"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693" w:type="dxa"/>
          </w:tcPr>
          <w:p>
            <w:pPr>
              <w:pStyle w:val="20"/>
              <w:keepNext w:val="0"/>
              <w:keepLines w:val="0"/>
              <w:suppressLineNumbers w:val="0"/>
              <w:shd w:val="clear"/>
              <w:spacing w:before="209" w:beforeAutospacing="0" w:after="0" w:afterAutospacing="0"/>
              <w:ind w:left="7" w:right="1"/>
              <w:jc w:val="center"/>
              <w:rPr>
                <w:rFonts w:hint="default"/>
                <w:color w:val="000000" w:themeColor="text1"/>
                <w:sz w:val="21"/>
                <w:highlight w:val="none"/>
                <w14:textFill>
                  <w14:solidFill>
                    <w14:schemeClr w14:val="tx1"/>
                  </w14:solidFill>
                </w14:textFill>
              </w:rPr>
            </w:pPr>
            <w:r>
              <w:rPr>
                <w:rFonts w:hint="default"/>
                <w:color w:val="000000" w:themeColor="text1"/>
                <w:spacing w:val="-10"/>
                <w:sz w:val="21"/>
                <w:highlight w:val="none"/>
                <w14:textFill>
                  <w14:solidFill>
                    <w14:schemeClr w14:val="tx1"/>
                  </w14:solidFill>
                </w14:textFill>
              </w:rPr>
              <w:t>2</w:t>
            </w:r>
          </w:p>
        </w:tc>
        <w:tc>
          <w:tcPr>
            <w:tcW w:w="1976" w:type="dxa"/>
          </w:tcPr>
          <w:p>
            <w:pPr>
              <w:pStyle w:val="20"/>
              <w:keepNext w:val="0"/>
              <w:keepLines w:val="0"/>
              <w:suppressLineNumbers w:val="0"/>
              <w:shd w:val="clear"/>
              <w:spacing w:before="209" w:beforeAutospacing="0" w:after="0" w:afterAutospacing="0"/>
              <w:ind w:left="8" w:right="0"/>
              <w:jc w:val="center"/>
              <w:rPr>
                <w:rFonts w:hint="default"/>
                <w:color w:val="000000" w:themeColor="text1"/>
                <w:sz w:val="21"/>
                <w:highlight w:val="none"/>
                <w14:textFill>
                  <w14:solidFill>
                    <w14:schemeClr w14:val="tx1"/>
                  </w14:solidFill>
                </w14:textFill>
              </w:rPr>
            </w:pPr>
            <w:r>
              <w:rPr>
                <w:rFonts w:hint="default"/>
                <w:color w:val="000000" w:themeColor="text1"/>
                <w:spacing w:val="-2"/>
                <w:sz w:val="21"/>
                <w:highlight w:val="none"/>
                <w14:textFill>
                  <w14:solidFill>
                    <w14:schemeClr w14:val="tx1"/>
                  </w14:solidFill>
                </w14:textFill>
              </w:rPr>
              <w:t>********</w:t>
            </w:r>
          </w:p>
        </w:tc>
        <w:tc>
          <w:tcPr>
            <w:tcW w:w="1758" w:type="dxa"/>
          </w:tcPr>
          <w:p>
            <w:pPr>
              <w:pStyle w:val="20"/>
              <w:keepNext w:val="0"/>
              <w:keepLines w:val="0"/>
              <w:suppressLineNumbers w:val="0"/>
              <w:shd w:val="clear"/>
              <w:spacing w:before="209" w:beforeAutospacing="0" w:after="0" w:afterAutospacing="0"/>
              <w:ind w:left="9" w:right="0"/>
              <w:jc w:val="center"/>
              <w:rPr>
                <w:rFonts w:hint="default"/>
                <w:color w:val="000000" w:themeColor="text1"/>
                <w:sz w:val="21"/>
                <w:highlight w:val="none"/>
                <w14:textFill>
                  <w14:solidFill>
                    <w14:schemeClr w14:val="tx1"/>
                  </w14:solidFill>
                </w14:textFill>
              </w:rPr>
            </w:pPr>
            <w:r>
              <w:rPr>
                <w:rFonts w:hint="default"/>
                <w:color w:val="000000" w:themeColor="text1"/>
                <w:spacing w:val="-2"/>
                <w:sz w:val="21"/>
                <w:highlight w:val="none"/>
                <w14:textFill>
                  <w14:solidFill>
                    <w14:schemeClr w14:val="tx1"/>
                  </w14:solidFill>
                </w14:textFill>
              </w:rPr>
              <w:t>******</w:t>
            </w:r>
          </w:p>
        </w:tc>
        <w:tc>
          <w:tcPr>
            <w:tcW w:w="2157" w:type="dxa"/>
          </w:tcPr>
          <w:p>
            <w:pPr>
              <w:pStyle w:val="20"/>
              <w:keepNext w:val="0"/>
              <w:keepLines w:val="0"/>
              <w:suppressLineNumbers w:val="0"/>
              <w:shd w:val="clear"/>
              <w:spacing w:before="209" w:beforeAutospacing="0" w:after="0" w:afterAutospacing="0"/>
              <w:ind w:left="7" w:right="0"/>
              <w:jc w:val="center"/>
              <w:rPr>
                <w:rFonts w:hint="default"/>
                <w:color w:val="000000" w:themeColor="text1"/>
                <w:sz w:val="21"/>
                <w:highlight w:val="none"/>
                <w14:textFill>
                  <w14:solidFill>
                    <w14:schemeClr w14:val="tx1"/>
                  </w14:solidFill>
                </w14:textFill>
              </w:rPr>
            </w:pPr>
            <w:r>
              <w:rPr>
                <w:rFonts w:hint="default"/>
                <w:color w:val="000000" w:themeColor="text1"/>
                <w:spacing w:val="-3"/>
                <w:sz w:val="21"/>
                <w:highlight w:val="none"/>
                <w14:textFill>
                  <w14:solidFill>
                    <w14:schemeClr w14:val="tx1"/>
                  </w14:solidFill>
                </w14:textFill>
              </w:rPr>
              <w:t>响应/正偏离/负偏离</w:t>
            </w:r>
          </w:p>
        </w:tc>
        <w:tc>
          <w:tcPr>
            <w:tcW w:w="1935"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693"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976"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758"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2157"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935"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693"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976"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758"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2157"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935"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693"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976"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758"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2157"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935"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693"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976"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758"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2157"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935"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693"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976"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758"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2157"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935"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693"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976"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758"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2157"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935"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693"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976"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758"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2157"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935"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693"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976"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758"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2157"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c>
          <w:tcPr>
            <w:tcW w:w="1935"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93" w:type="dxa"/>
          </w:tcPr>
          <w:p>
            <w:pPr>
              <w:pStyle w:val="20"/>
              <w:keepNext w:val="0"/>
              <w:keepLines w:val="0"/>
              <w:suppressLineNumbers w:val="0"/>
              <w:shd w:val="clear"/>
              <w:spacing w:before="96" w:beforeAutospacing="0" w:after="0" w:afterAutospacing="0"/>
              <w:ind w:left="7" w:right="0"/>
              <w:jc w:val="center"/>
              <w:rPr>
                <w:rFonts w:hint="default"/>
                <w:color w:val="000000" w:themeColor="text1"/>
                <w:sz w:val="21"/>
                <w:highlight w:val="none"/>
                <w14:textFill>
                  <w14:solidFill>
                    <w14:schemeClr w14:val="tx1"/>
                  </w14:solidFill>
                </w14:textFill>
              </w:rPr>
            </w:pPr>
            <w:r>
              <w:rPr>
                <w:rFonts w:hint="default"/>
                <w:color w:val="000000" w:themeColor="text1"/>
                <w:spacing w:val="-5"/>
                <w:sz w:val="21"/>
                <w:highlight w:val="none"/>
                <w14:textFill>
                  <w14:solidFill>
                    <w14:schemeClr w14:val="tx1"/>
                  </w14:solidFill>
                </w14:textFill>
              </w:rPr>
              <w:t>……</w:t>
            </w:r>
          </w:p>
        </w:tc>
        <w:tc>
          <w:tcPr>
            <w:tcW w:w="1976" w:type="dxa"/>
          </w:tcPr>
          <w:p>
            <w:pPr>
              <w:pStyle w:val="20"/>
              <w:keepNext w:val="0"/>
              <w:keepLines w:val="0"/>
              <w:suppressLineNumbers w:val="0"/>
              <w:shd w:val="clear"/>
              <w:spacing w:before="96" w:beforeAutospacing="0" w:after="0" w:afterAutospacing="0"/>
              <w:ind w:left="8" w:right="3"/>
              <w:jc w:val="center"/>
              <w:rPr>
                <w:rFonts w:hint="default"/>
                <w:color w:val="000000" w:themeColor="text1"/>
                <w:sz w:val="21"/>
                <w:highlight w:val="none"/>
                <w14:textFill>
                  <w14:solidFill>
                    <w14:schemeClr w14:val="tx1"/>
                  </w14:solidFill>
                </w14:textFill>
              </w:rPr>
            </w:pPr>
            <w:r>
              <w:rPr>
                <w:rFonts w:hint="default"/>
                <w:color w:val="000000" w:themeColor="text1"/>
                <w:spacing w:val="-4"/>
                <w:sz w:val="21"/>
                <w:highlight w:val="none"/>
                <w14:textFill>
                  <w14:solidFill>
                    <w14:schemeClr w14:val="tx1"/>
                  </w14:solidFill>
                </w14:textFill>
              </w:rPr>
              <w:t>…………</w:t>
            </w:r>
          </w:p>
        </w:tc>
        <w:tc>
          <w:tcPr>
            <w:tcW w:w="1758" w:type="dxa"/>
          </w:tcPr>
          <w:p>
            <w:pPr>
              <w:pStyle w:val="20"/>
              <w:keepNext w:val="0"/>
              <w:keepLines w:val="0"/>
              <w:suppressLineNumbers w:val="0"/>
              <w:shd w:val="clear"/>
              <w:spacing w:before="96" w:beforeAutospacing="0" w:after="0" w:afterAutospacing="0"/>
              <w:ind w:left="9" w:right="1"/>
              <w:jc w:val="center"/>
              <w:rPr>
                <w:rFonts w:hint="default"/>
                <w:color w:val="000000" w:themeColor="text1"/>
                <w:sz w:val="21"/>
                <w:highlight w:val="none"/>
                <w14:textFill>
                  <w14:solidFill>
                    <w14:schemeClr w14:val="tx1"/>
                  </w14:solidFill>
                </w14:textFill>
              </w:rPr>
            </w:pPr>
            <w:r>
              <w:rPr>
                <w:rFonts w:hint="default"/>
                <w:color w:val="000000" w:themeColor="text1"/>
                <w:spacing w:val="-2"/>
                <w:sz w:val="21"/>
                <w:highlight w:val="none"/>
                <w14:textFill>
                  <w14:solidFill>
                    <w14:schemeClr w14:val="tx1"/>
                  </w14:solidFill>
                </w14:textFill>
              </w:rPr>
              <w:t>………………</w:t>
            </w:r>
          </w:p>
        </w:tc>
        <w:tc>
          <w:tcPr>
            <w:tcW w:w="2157" w:type="dxa"/>
          </w:tcPr>
          <w:p>
            <w:pPr>
              <w:pStyle w:val="20"/>
              <w:keepNext w:val="0"/>
              <w:keepLines w:val="0"/>
              <w:suppressLineNumbers w:val="0"/>
              <w:shd w:val="clear"/>
              <w:spacing w:before="96" w:beforeAutospacing="0" w:after="0" w:afterAutospacing="0"/>
              <w:ind w:left="7" w:right="0"/>
              <w:jc w:val="center"/>
              <w:rPr>
                <w:rFonts w:hint="default"/>
                <w:color w:val="000000" w:themeColor="text1"/>
                <w:sz w:val="21"/>
                <w:highlight w:val="none"/>
                <w14:textFill>
                  <w14:solidFill>
                    <w14:schemeClr w14:val="tx1"/>
                  </w14:solidFill>
                </w14:textFill>
              </w:rPr>
            </w:pPr>
            <w:r>
              <w:rPr>
                <w:rFonts w:hint="default"/>
                <w:color w:val="000000" w:themeColor="text1"/>
                <w:spacing w:val="-4"/>
                <w:sz w:val="21"/>
                <w:highlight w:val="none"/>
                <w14:textFill>
                  <w14:solidFill>
                    <w14:schemeClr w14:val="tx1"/>
                  </w14:solidFill>
                </w14:textFill>
              </w:rPr>
              <w:t>…………</w:t>
            </w:r>
          </w:p>
        </w:tc>
        <w:tc>
          <w:tcPr>
            <w:tcW w:w="1935"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sz w:val="20"/>
                <w:highlight w:val="none"/>
                <w14:textFill>
                  <w14:solidFill>
                    <w14:schemeClr w14:val="tx1"/>
                  </w14:solidFill>
                </w14:textFill>
              </w:rPr>
            </w:pPr>
          </w:p>
        </w:tc>
      </w:tr>
    </w:tbl>
    <w:p>
      <w:pPr>
        <w:pStyle w:val="10"/>
        <w:shd w:val="clear"/>
        <w:spacing w:before="253"/>
        <w:ind w:left="0"/>
        <w:rPr>
          <w:color w:val="000000" w:themeColor="text1"/>
          <w:highlight w:val="none"/>
          <w14:textFill>
            <w14:solidFill>
              <w14:schemeClr w14:val="tx1"/>
            </w14:solidFill>
          </w14:textFill>
        </w:rPr>
      </w:pPr>
    </w:p>
    <w:p>
      <w:pPr>
        <w:shd w:val="clear"/>
        <w:ind w:left="1200"/>
        <w:rPr>
          <w:color w:val="000000" w:themeColor="text1"/>
          <w:sz w:val="21"/>
          <w:highlight w:val="none"/>
          <w14:textFill>
            <w14:solidFill>
              <w14:schemeClr w14:val="tx1"/>
            </w14:solidFill>
          </w14:textFill>
        </w:rPr>
      </w:pPr>
      <w:r>
        <w:rPr>
          <w:color w:val="000000" w:themeColor="text1"/>
          <w:spacing w:val="-6"/>
          <w:sz w:val="21"/>
          <w:highlight w:val="none"/>
          <w14:textFill>
            <w14:solidFill>
              <w14:schemeClr w14:val="tx1"/>
            </w14:solidFill>
          </w14:textFill>
        </w:rPr>
        <w:t>说明：投标人应按照招标文件“第三章 采购需求”中的技术要求填写，“响应/正偏离</w:t>
      </w:r>
    </w:p>
    <w:p>
      <w:pPr>
        <w:shd w:val="clear"/>
        <w:spacing w:before="195"/>
        <w:ind w:left="780"/>
        <w:rPr>
          <w:color w:val="000000" w:themeColor="text1"/>
          <w:sz w:val="21"/>
          <w:highlight w:val="none"/>
          <w14:textFill>
            <w14:solidFill>
              <w14:schemeClr w14:val="tx1"/>
            </w14:solidFill>
          </w14:textFill>
        </w:rPr>
      </w:pPr>
      <w:r>
        <w:rPr>
          <w:color w:val="000000" w:themeColor="text1"/>
          <w:spacing w:val="-3"/>
          <w:sz w:val="21"/>
          <w:highlight w:val="none"/>
          <w14:textFill>
            <w14:solidFill>
              <w14:schemeClr w14:val="tx1"/>
            </w14:solidFill>
          </w14:textFill>
        </w:rPr>
        <w:t>/负偏离”应据实填写“响应”、“正偏离”或“负偏离”。</w:t>
      </w:r>
    </w:p>
    <w:p>
      <w:pPr>
        <w:pStyle w:val="10"/>
        <w:shd w:val="clear"/>
        <w:ind w:left="0"/>
        <w:rPr>
          <w:color w:val="000000" w:themeColor="text1"/>
          <w:sz w:val="21"/>
          <w:highlight w:val="none"/>
          <w14:textFill>
            <w14:solidFill>
              <w14:schemeClr w14:val="tx1"/>
            </w14:solidFill>
          </w14:textFill>
        </w:rPr>
      </w:pPr>
    </w:p>
    <w:p>
      <w:pPr>
        <w:pStyle w:val="10"/>
        <w:shd w:val="clear"/>
        <w:spacing w:before="99"/>
        <w:ind w:left="0"/>
        <w:rPr>
          <w:color w:val="000000" w:themeColor="text1"/>
          <w:sz w:val="21"/>
          <w:highlight w:val="none"/>
          <w14:textFill>
            <w14:solidFill>
              <w14:schemeClr w14:val="tx1"/>
            </w14:solidFill>
          </w14:textFill>
        </w:rPr>
      </w:pPr>
    </w:p>
    <w:p>
      <w:pPr>
        <w:pStyle w:val="10"/>
        <w:shd w:val="clear"/>
        <w:tabs>
          <w:tab w:val="left" w:pos="2159"/>
        </w:tabs>
        <w:spacing w:line="360" w:lineRule="auto"/>
        <w:ind w:left="1200" w:right="6325" w:firstLine="60"/>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投标人名称（公章)：</w:t>
      </w:r>
      <w:r>
        <w:rPr>
          <w:color w:val="000000" w:themeColor="text1"/>
          <w:spacing w:val="-10"/>
          <w:highlight w:val="none"/>
          <w14:textFill>
            <w14:solidFill>
              <w14:schemeClr w14:val="tx1"/>
            </w14:solidFill>
          </w14:textFill>
        </w:rPr>
        <w:t>日</w:t>
      </w:r>
      <w:r>
        <w:rPr>
          <w:color w:val="000000" w:themeColor="text1"/>
          <w:highlight w:val="none"/>
          <w14:textFill>
            <w14:solidFill>
              <w14:schemeClr w14:val="tx1"/>
            </w14:solidFill>
          </w14:textFill>
        </w:rPr>
        <w:tab/>
      </w:r>
      <w:r>
        <w:rPr>
          <w:color w:val="000000" w:themeColor="text1"/>
          <w:spacing w:val="-6"/>
          <w:highlight w:val="none"/>
          <w14:textFill>
            <w14:solidFill>
              <w14:schemeClr w14:val="tx1"/>
            </w14:solidFill>
          </w14:textFill>
        </w:rPr>
        <w:t>期：</w:t>
      </w:r>
    </w:p>
    <w:p>
      <w:pPr>
        <w:pStyle w:val="10"/>
        <w:shd w:val="clear"/>
        <w:ind w:left="0"/>
        <w:rPr>
          <w:color w:val="000000" w:themeColor="text1"/>
          <w:highlight w:val="none"/>
          <w14:textFill>
            <w14:solidFill>
              <w14:schemeClr w14:val="tx1"/>
            </w14:solidFill>
          </w14:textFill>
        </w:rPr>
      </w:pPr>
    </w:p>
    <w:p>
      <w:pPr>
        <w:pStyle w:val="10"/>
        <w:shd w:val="clear"/>
        <w:ind w:left="0"/>
        <w:rPr>
          <w:color w:val="000000" w:themeColor="text1"/>
          <w:highlight w:val="none"/>
          <w14:textFill>
            <w14:solidFill>
              <w14:schemeClr w14:val="tx1"/>
            </w14:solidFill>
          </w14:textFill>
        </w:rPr>
      </w:pPr>
    </w:p>
    <w:p>
      <w:pPr>
        <w:pStyle w:val="10"/>
        <w:shd w:val="clear"/>
        <w:spacing w:before="18"/>
        <w:ind w:left="0"/>
        <w:rPr>
          <w:color w:val="000000" w:themeColor="text1"/>
          <w:highlight w:val="none"/>
          <w14:textFill>
            <w14:solidFill>
              <w14:schemeClr w14:val="tx1"/>
            </w14:solidFill>
          </w14:textFill>
        </w:rPr>
      </w:pPr>
    </w:p>
    <w:p>
      <w:pPr>
        <w:shd w:val="clear"/>
        <w:spacing w:line="410" w:lineRule="auto"/>
        <w:ind w:left="780" w:right="779" w:firstLine="420"/>
        <w:rPr>
          <w:color w:val="000000" w:themeColor="text1"/>
          <w:sz w:val="21"/>
          <w:highlight w:val="none"/>
          <w14:textFill>
            <w14:solidFill>
              <w14:schemeClr w14:val="tx1"/>
            </w14:solidFill>
          </w14:textFill>
        </w:rPr>
      </w:pPr>
      <w:r>
        <w:rPr>
          <w:color w:val="000000" w:themeColor="text1"/>
          <w:spacing w:val="-4"/>
          <w:sz w:val="21"/>
          <w:highlight w:val="none"/>
          <w14:textFill>
            <w14:solidFill>
              <w14:schemeClr w14:val="tx1"/>
            </w14:solidFill>
          </w14:textFill>
        </w:rPr>
        <w:t>备注：投标人在本表中须标注技术响应的实际数值或内容，照搬照抄采购文件内容、不</w:t>
      </w:r>
      <w:r>
        <w:rPr>
          <w:color w:val="000000" w:themeColor="text1"/>
          <w:spacing w:val="-2"/>
          <w:sz w:val="21"/>
          <w:highlight w:val="none"/>
          <w14:textFill>
            <w14:solidFill>
              <w14:schemeClr w14:val="tx1"/>
            </w14:solidFill>
          </w14:textFill>
        </w:rPr>
        <w:t>注明实际响应内容者</w:t>
      </w:r>
      <w:r>
        <w:rPr>
          <w:b/>
          <w:color w:val="000000" w:themeColor="text1"/>
          <w:spacing w:val="-2"/>
          <w:sz w:val="21"/>
          <w:highlight w:val="none"/>
          <w14:textFill>
            <w14:solidFill>
              <w14:schemeClr w14:val="tx1"/>
            </w14:solidFill>
          </w14:textFill>
        </w:rPr>
        <w:t>视为未响应</w:t>
      </w:r>
      <w:r>
        <w:rPr>
          <w:color w:val="000000" w:themeColor="text1"/>
          <w:spacing w:val="-2"/>
          <w:sz w:val="21"/>
          <w:highlight w:val="none"/>
          <w14:textFill>
            <w14:solidFill>
              <w14:schemeClr w14:val="tx1"/>
            </w14:solidFill>
          </w14:textFill>
        </w:rPr>
        <w:t>。</w:t>
      </w:r>
    </w:p>
    <w:p>
      <w:pPr>
        <w:shd w:val="clear"/>
        <w:spacing w:line="410" w:lineRule="auto"/>
        <w:rPr>
          <w:color w:val="000000" w:themeColor="text1"/>
          <w:sz w:val="21"/>
          <w:highlight w:val="none"/>
          <w14:textFill>
            <w14:solidFill>
              <w14:schemeClr w14:val="tx1"/>
            </w14:solidFill>
          </w14:textFill>
        </w:rPr>
        <w:sectPr>
          <w:pgSz w:w="11910" w:h="16840"/>
          <w:pgMar w:top="1380" w:right="1020" w:bottom="1420" w:left="1020" w:header="878" w:footer="1224" w:gutter="0"/>
          <w:cols w:space="720" w:num="1"/>
        </w:sectPr>
      </w:pPr>
    </w:p>
    <w:p>
      <w:pPr>
        <w:pStyle w:val="10"/>
        <w:shd w:val="clear"/>
        <w:ind w:left="0"/>
        <w:rPr>
          <w:color w:val="000000" w:themeColor="text1"/>
          <w:sz w:val="32"/>
          <w:highlight w:val="none"/>
          <w14:textFill>
            <w14:solidFill>
              <w14:schemeClr w14:val="tx1"/>
            </w14:solidFill>
          </w14:textFill>
        </w:rPr>
      </w:pPr>
    </w:p>
    <w:p>
      <w:pPr>
        <w:pStyle w:val="10"/>
        <w:shd w:val="clear"/>
        <w:spacing w:before="52"/>
        <w:ind w:left="0"/>
        <w:rPr>
          <w:color w:val="000000" w:themeColor="text1"/>
          <w:sz w:val="32"/>
          <w:highlight w:val="none"/>
          <w14:textFill>
            <w14:solidFill>
              <w14:schemeClr w14:val="tx1"/>
            </w14:solidFill>
          </w14:textFill>
        </w:rPr>
      </w:pPr>
    </w:p>
    <w:p>
      <w:pPr>
        <w:pStyle w:val="5"/>
        <w:shd w:val="clear"/>
        <w:ind w:right="2"/>
        <w:rPr>
          <w:color w:val="000000" w:themeColor="text1"/>
          <w:highlight w:val="none"/>
          <w14:textFill>
            <w14:solidFill>
              <w14:schemeClr w14:val="tx1"/>
            </w14:solidFill>
          </w14:textFill>
        </w:rPr>
      </w:pPr>
      <w:bookmarkStart w:id="204" w:name="_bookmark55"/>
      <w:bookmarkEnd w:id="204"/>
      <w:bookmarkStart w:id="205" w:name="十、技术方案"/>
      <w:bookmarkEnd w:id="205"/>
      <w:r>
        <w:rPr>
          <w:color w:val="000000" w:themeColor="text1"/>
          <w:spacing w:val="-5"/>
          <w:highlight w:val="none"/>
          <w14:textFill>
            <w14:solidFill>
              <w14:schemeClr w14:val="tx1"/>
            </w14:solidFill>
          </w14:textFill>
        </w:rPr>
        <w:t>十、技术方案</w:t>
      </w:r>
    </w:p>
    <w:p>
      <w:pPr>
        <w:pStyle w:val="10"/>
        <w:shd w:val="clear"/>
        <w:spacing w:before="282" w:line="360" w:lineRule="auto"/>
        <w:ind w:right="777" w:firstLine="480"/>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投标人应按照招标文件的要求，提供详细的服务方案，包括文字描述或图表</w:t>
      </w:r>
      <w:r>
        <w:rPr>
          <w:color w:val="000000" w:themeColor="text1"/>
          <w:spacing w:val="-2"/>
          <w:highlight w:val="none"/>
          <w14:textFill>
            <w14:solidFill>
              <w14:schemeClr w14:val="tx1"/>
            </w14:solidFill>
          </w14:textFill>
        </w:rPr>
        <w:t>显示。格式自拟。</w:t>
      </w:r>
    </w:p>
    <w:p>
      <w:pPr>
        <w:shd w:val="clear"/>
        <w:spacing w:line="360" w:lineRule="auto"/>
        <w:rPr>
          <w:color w:val="000000" w:themeColor="text1"/>
          <w:highlight w:val="none"/>
          <w14:textFill>
            <w14:solidFill>
              <w14:schemeClr w14:val="tx1"/>
            </w14:solidFill>
          </w14:textFill>
        </w:rPr>
        <w:sectPr>
          <w:pgSz w:w="11910" w:h="16840"/>
          <w:pgMar w:top="1380" w:right="1020" w:bottom="1420" w:left="1020" w:header="878" w:footer="1224" w:gutter="0"/>
          <w:cols w:space="720" w:num="1"/>
        </w:sectPr>
      </w:pPr>
    </w:p>
    <w:p>
      <w:pPr>
        <w:pStyle w:val="10"/>
        <w:shd w:val="clear"/>
        <w:spacing w:before="312"/>
        <w:ind w:left="0"/>
        <w:rPr>
          <w:color w:val="000000" w:themeColor="text1"/>
          <w:sz w:val="32"/>
          <w:highlight w:val="none"/>
          <w14:textFill>
            <w14:solidFill>
              <w14:schemeClr w14:val="tx1"/>
            </w14:solidFill>
          </w14:textFill>
        </w:rPr>
      </w:pPr>
    </w:p>
    <w:p>
      <w:pPr>
        <w:pStyle w:val="5"/>
        <w:shd w:val="clear"/>
        <w:ind w:right="2"/>
        <w:rPr>
          <w:color w:val="000000" w:themeColor="text1"/>
          <w:highlight w:val="none"/>
          <w14:textFill>
            <w14:solidFill>
              <w14:schemeClr w14:val="tx1"/>
            </w14:solidFill>
          </w14:textFill>
        </w:rPr>
      </w:pPr>
      <w:bookmarkStart w:id="206" w:name="十一、其他文件"/>
      <w:bookmarkEnd w:id="206"/>
      <w:bookmarkStart w:id="207" w:name="_bookmark56"/>
      <w:bookmarkEnd w:id="207"/>
      <w:r>
        <w:rPr>
          <w:color w:val="000000" w:themeColor="text1"/>
          <w:spacing w:val="-4"/>
          <w:highlight w:val="none"/>
          <w14:textFill>
            <w14:solidFill>
              <w14:schemeClr w14:val="tx1"/>
            </w14:solidFill>
          </w14:textFill>
        </w:rPr>
        <w:t>十一、其他文件</w:t>
      </w:r>
    </w:p>
    <w:p>
      <w:pPr>
        <w:pStyle w:val="7"/>
        <w:shd w:val="clear"/>
        <w:spacing w:before="282"/>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（一）</w:t>
      </w:r>
      <w:r>
        <w:rPr>
          <w:color w:val="000000" w:themeColor="text1"/>
          <w:spacing w:val="-3"/>
          <w:highlight w:val="none"/>
          <w14:textFill>
            <w14:solidFill>
              <w14:schemeClr w14:val="tx1"/>
            </w14:solidFill>
          </w14:textFill>
        </w:rPr>
        <w:t>招标文件要求提供的其它商务、技术资料和证明材料；</w:t>
      </w:r>
    </w:p>
    <w:p>
      <w:pPr>
        <w:pStyle w:val="19"/>
        <w:numPr>
          <w:ilvl w:val="1"/>
          <w:numId w:val="61"/>
        </w:numPr>
        <w:shd w:val="clear"/>
        <w:tabs>
          <w:tab w:val="left" w:pos="1680"/>
        </w:tabs>
        <w:spacing w:before="156"/>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供应商信息采集表</w:t>
      </w:r>
    </w:p>
    <w:p>
      <w:pPr>
        <w:pStyle w:val="10"/>
        <w:shd w:val="clear"/>
        <w:spacing w:before="1"/>
        <w:ind w:left="0"/>
        <w:rPr>
          <w:color w:val="000000" w:themeColor="text1"/>
          <w:sz w:val="6"/>
          <w:highlight w:val="none"/>
          <w14:textFill>
            <w14:solidFill>
              <w14:schemeClr w14:val="tx1"/>
            </w14:solidFill>
          </w14:textFill>
        </w:rPr>
      </w:pPr>
    </w:p>
    <w:tbl>
      <w:tblPr>
        <w:tblStyle w:val="14"/>
        <w:tblW w:w="0" w:type="auto"/>
        <w:tblInd w:w="8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8"/>
        <w:gridCol w:w="2841"/>
        <w:gridCol w:w="27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2708" w:type="dxa"/>
          </w:tcPr>
          <w:p>
            <w:pPr>
              <w:pStyle w:val="20"/>
              <w:keepNext w:val="0"/>
              <w:keepLines w:val="0"/>
              <w:suppressLineNumbers w:val="0"/>
              <w:shd w:val="clear"/>
              <w:spacing w:before="216" w:beforeAutospacing="0" w:after="0" w:afterAutospacing="0"/>
              <w:ind w:left="753" w:right="0"/>
              <w:rPr>
                <w:rFonts w:hint="default"/>
                <w:color w:val="000000" w:themeColor="text1"/>
                <w:sz w:val="24"/>
                <w:highlight w:val="none"/>
                <w14:textFill>
                  <w14:solidFill>
                    <w14:schemeClr w14:val="tx1"/>
                  </w14:solidFill>
                </w14:textFill>
              </w:rPr>
            </w:pPr>
            <w:r>
              <w:rPr>
                <w:rFonts w:hint="default"/>
                <w:color w:val="000000" w:themeColor="text1"/>
                <w:spacing w:val="-2"/>
                <w:sz w:val="24"/>
                <w:highlight w:val="none"/>
                <w14:textFill>
                  <w14:solidFill>
                    <w14:schemeClr w14:val="tx1"/>
                  </w14:solidFill>
                </w14:textFill>
              </w:rPr>
              <w:t>供应商名称</w:t>
            </w:r>
          </w:p>
        </w:tc>
        <w:tc>
          <w:tcPr>
            <w:tcW w:w="2841" w:type="dxa"/>
          </w:tcPr>
          <w:p>
            <w:pPr>
              <w:pStyle w:val="20"/>
              <w:keepNext w:val="0"/>
              <w:keepLines w:val="0"/>
              <w:suppressLineNumbers w:val="0"/>
              <w:shd w:val="clear"/>
              <w:spacing w:before="216" w:beforeAutospacing="0" w:after="0" w:afterAutospacing="0"/>
              <w:ind w:left="219" w:right="0"/>
              <w:rPr>
                <w:rFonts w:hint="default"/>
                <w:color w:val="000000" w:themeColor="text1"/>
                <w:sz w:val="24"/>
                <w:highlight w:val="none"/>
                <w14:textFill>
                  <w14:solidFill>
                    <w14:schemeClr w14:val="tx1"/>
                  </w14:solidFill>
                </w14:textFill>
              </w:rPr>
            </w:pPr>
            <w:r>
              <w:rPr>
                <w:rFonts w:hint="default"/>
                <w:color w:val="000000" w:themeColor="text1"/>
                <w:spacing w:val="-1"/>
                <w:sz w:val="24"/>
                <w:highlight w:val="none"/>
                <w14:textFill>
                  <w14:solidFill>
                    <w14:schemeClr w14:val="tx1"/>
                  </w14:solidFill>
                </w14:textFill>
              </w:rPr>
              <w:t>供应商实际控制人性别</w:t>
            </w:r>
          </w:p>
        </w:tc>
        <w:tc>
          <w:tcPr>
            <w:tcW w:w="2743" w:type="dxa"/>
          </w:tcPr>
          <w:p>
            <w:pPr>
              <w:pStyle w:val="20"/>
              <w:keepNext w:val="0"/>
              <w:keepLines w:val="0"/>
              <w:suppressLineNumbers w:val="0"/>
              <w:shd w:val="clear"/>
              <w:spacing w:before="216" w:beforeAutospacing="0" w:after="0" w:afterAutospacing="0"/>
              <w:ind w:left="649" w:right="0"/>
              <w:rPr>
                <w:rFonts w:hint="default"/>
                <w:color w:val="000000" w:themeColor="text1"/>
                <w:sz w:val="24"/>
                <w:highlight w:val="none"/>
                <w14:textFill>
                  <w14:solidFill>
                    <w14:schemeClr w14:val="tx1"/>
                  </w14:solidFill>
                </w14:textFill>
              </w:rPr>
            </w:pPr>
            <w:r>
              <w:rPr>
                <w:rFonts w:hint="default"/>
                <w:color w:val="000000" w:themeColor="text1"/>
                <w:spacing w:val="-2"/>
                <w:sz w:val="24"/>
                <w:highlight w:val="none"/>
                <w14:textFill>
                  <w14:solidFill>
                    <w14:schemeClr w14:val="tx1"/>
                  </w14:solidFill>
                </w14:textFill>
              </w:rPr>
              <w:t>外商投资类型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2708"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highlight w:val="none"/>
                <w14:textFill>
                  <w14:solidFill>
                    <w14:schemeClr w14:val="tx1"/>
                  </w14:solidFill>
                </w14:textFill>
              </w:rPr>
            </w:pPr>
          </w:p>
        </w:tc>
        <w:tc>
          <w:tcPr>
            <w:tcW w:w="2841"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highlight w:val="none"/>
                <w14:textFill>
                  <w14:solidFill>
                    <w14:schemeClr w14:val="tx1"/>
                  </w14:solidFill>
                </w14:textFill>
              </w:rPr>
            </w:pPr>
          </w:p>
        </w:tc>
        <w:tc>
          <w:tcPr>
            <w:tcW w:w="2743"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708"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highlight w:val="none"/>
                <w14:textFill>
                  <w14:solidFill>
                    <w14:schemeClr w14:val="tx1"/>
                  </w14:solidFill>
                </w14:textFill>
              </w:rPr>
            </w:pPr>
          </w:p>
        </w:tc>
        <w:tc>
          <w:tcPr>
            <w:tcW w:w="2841"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highlight w:val="none"/>
                <w14:textFill>
                  <w14:solidFill>
                    <w14:schemeClr w14:val="tx1"/>
                  </w14:solidFill>
                </w14:textFill>
              </w:rPr>
            </w:pPr>
          </w:p>
        </w:tc>
        <w:tc>
          <w:tcPr>
            <w:tcW w:w="2743"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708"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highlight w:val="none"/>
                <w14:textFill>
                  <w14:solidFill>
                    <w14:schemeClr w14:val="tx1"/>
                  </w14:solidFill>
                </w14:textFill>
              </w:rPr>
            </w:pPr>
          </w:p>
        </w:tc>
        <w:tc>
          <w:tcPr>
            <w:tcW w:w="2841"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highlight w:val="none"/>
                <w14:textFill>
                  <w14:solidFill>
                    <w14:schemeClr w14:val="tx1"/>
                  </w14:solidFill>
                </w14:textFill>
              </w:rPr>
            </w:pPr>
          </w:p>
        </w:tc>
        <w:tc>
          <w:tcPr>
            <w:tcW w:w="2743"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2708"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highlight w:val="none"/>
                <w14:textFill>
                  <w14:solidFill>
                    <w14:schemeClr w14:val="tx1"/>
                  </w14:solidFill>
                </w14:textFill>
              </w:rPr>
            </w:pPr>
          </w:p>
        </w:tc>
        <w:tc>
          <w:tcPr>
            <w:tcW w:w="2841"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highlight w:val="none"/>
                <w14:textFill>
                  <w14:solidFill>
                    <w14:schemeClr w14:val="tx1"/>
                  </w14:solidFill>
                </w14:textFill>
              </w:rPr>
            </w:pPr>
          </w:p>
        </w:tc>
        <w:tc>
          <w:tcPr>
            <w:tcW w:w="2743" w:type="dxa"/>
          </w:tcPr>
          <w:p>
            <w:pPr>
              <w:pStyle w:val="20"/>
              <w:keepNext w:val="0"/>
              <w:keepLines w:val="0"/>
              <w:suppressLineNumbers w:val="0"/>
              <w:shd w:val="clear"/>
              <w:spacing w:before="0" w:beforeAutospacing="0" w:after="0" w:afterAutospacing="0"/>
              <w:ind w:left="0" w:right="0"/>
              <w:rPr>
                <w:rFonts w:hint="default" w:ascii="Times New Roman"/>
                <w:color w:val="000000" w:themeColor="text1"/>
                <w:highlight w:val="none"/>
                <w14:textFill>
                  <w14:solidFill>
                    <w14:schemeClr w14:val="tx1"/>
                  </w14:solidFill>
                </w14:textFill>
              </w:rPr>
            </w:pPr>
          </w:p>
        </w:tc>
      </w:tr>
    </w:tbl>
    <w:p>
      <w:pPr>
        <w:shd w:val="clear"/>
        <w:spacing w:before="97"/>
        <w:ind w:left="780"/>
        <w:rPr>
          <w:color w:val="000000" w:themeColor="text1"/>
          <w:sz w:val="21"/>
          <w:highlight w:val="none"/>
          <w14:textFill>
            <w14:solidFill>
              <w14:schemeClr w14:val="tx1"/>
            </w14:solidFill>
          </w14:textFill>
        </w:rPr>
      </w:pPr>
      <w:r>
        <w:rPr>
          <w:color w:val="000000" w:themeColor="text1"/>
          <w:spacing w:val="-2"/>
          <w:sz w:val="21"/>
          <w:highlight w:val="none"/>
          <w14:textFill>
            <w14:solidFill>
              <w14:schemeClr w14:val="tx1"/>
            </w14:solidFill>
          </w14:textFill>
        </w:rPr>
        <w:t>注：1</w:t>
      </w:r>
      <w:r>
        <w:rPr>
          <w:color w:val="000000" w:themeColor="text1"/>
          <w:spacing w:val="-3"/>
          <w:sz w:val="21"/>
          <w:highlight w:val="none"/>
          <w14:textFill>
            <w14:solidFill>
              <w14:schemeClr w14:val="tx1"/>
            </w14:solidFill>
          </w14:textFill>
        </w:rPr>
        <w:t>.供应商如为联合体，则应填写联合体各成员信息。</w:t>
      </w:r>
    </w:p>
    <w:p>
      <w:pPr>
        <w:pStyle w:val="19"/>
        <w:numPr>
          <w:ilvl w:val="0"/>
          <w:numId w:val="64"/>
        </w:numPr>
        <w:shd w:val="clear"/>
        <w:tabs>
          <w:tab w:val="left" w:pos="1396"/>
        </w:tabs>
        <w:spacing w:before="195" w:line="410" w:lineRule="auto"/>
        <w:ind w:right="779" w:firstLine="420"/>
        <w:jc w:val="both"/>
        <w:rPr>
          <w:color w:val="000000" w:themeColor="text1"/>
          <w:sz w:val="21"/>
          <w:highlight w:val="none"/>
          <w14:textFill>
            <w14:solidFill>
              <w14:schemeClr w14:val="tx1"/>
            </w14:solidFill>
          </w14:textFill>
        </w:rPr>
      </w:pPr>
      <w:r>
        <w:rPr>
          <w:color w:val="000000" w:themeColor="text1"/>
          <w:spacing w:val="-4"/>
          <w:sz w:val="21"/>
          <w:highlight w:val="none"/>
          <w14:textFill>
            <w14:solidFill>
              <w14:schemeClr w14:val="tx1"/>
            </w14:solidFill>
          </w14:textFill>
        </w:rPr>
        <w:t>“供应商实际控制人性别”按供应商实际控制人性别划分请填写“男”或“女”，指</w:t>
      </w:r>
      <w:r>
        <w:rPr>
          <w:color w:val="000000" w:themeColor="text1"/>
          <w:spacing w:val="-6"/>
          <w:sz w:val="21"/>
          <w:highlight w:val="none"/>
          <w14:textFill>
            <w14:solidFill>
              <w14:schemeClr w14:val="tx1"/>
            </w14:solidFill>
          </w14:textFill>
        </w:rPr>
        <w:t xml:space="preserve">拥有供应商 </w:t>
      </w:r>
      <w:r>
        <w:rPr>
          <w:color w:val="000000" w:themeColor="text1"/>
          <w:spacing w:val="-2"/>
          <w:sz w:val="21"/>
          <w:highlight w:val="none"/>
          <w14:textFill>
            <w14:solidFill>
              <w14:schemeClr w14:val="tx1"/>
            </w14:solidFill>
          </w14:textFill>
        </w:rPr>
        <w:t>51%以上绝对所有权的性；绝对所有权拥有者可以是一个人，也可以是多人合计</w:t>
      </w:r>
      <w:r>
        <w:rPr>
          <w:color w:val="000000" w:themeColor="text1"/>
          <w:spacing w:val="-4"/>
          <w:sz w:val="21"/>
          <w:highlight w:val="none"/>
          <w14:textFill>
            <w14:solidFill>
              <w14:schemeClr w14:val="tx1"/>
            </w14:solidFill>
          </w14:textFill>
        </w:rPr>
        <w:t>计算。</w:t>
      </w:r>
    </w:p>
    <w:p>
      <w:pPr>
        <w:pStyle w:val="19"/>
        <w:numPr>
          <w:ilvl w:val="0"/>
          <w:numId w:val="64"/>
        </w:numPr>
        <w:shd w:val="clear"/>
        <w:tabs>
          <w:tab w:val="left" w:pos="208"/>
        </w:tabs>
        <w:spacing w:before="3"/>
        <w:ind w:left="208" w:right="116" w:hanging="208"/>
        <w:jc w:val="center"/>
        <w:rPr>
          <w:color w:val="000000" w:themeColor="text1"/>
          <w:sz w:val="21"/>
          <w:highlight w:val="none"/>
          <w14:textFill>
            <w14:solidFill>
              <w14:schemeClr w14:val="tx1"/>
            </w14:solidFill>
          </w14:textFill>
        </w:rPr>
      </w:pPr>
      <w:r>
        <w:rPr>
          <w:color w:val="000000" w:themeColor="text1"/>
          <w:spacing w:val="-3"/>
          <w:sz w:val="21"/>
          <w:highlight w:val="none"/>
          <w14:textFill>
            <w14:solidFill>
              <w14:schemeClr w14:val="tx1"/>
            </w14:solidFill>
          </w14:textFill>
        </w:rPr>
        <w:t>“外商投资类型”请填写“外商单独投资”、“外商部分投资”或“内资”。</w:t>
      </w:r>
    </w:p>
    <w:p>
      <w:pPr>
        <w:pStyle w:val="10"/>
        <w:shd w:val="clear"/>
        <w:ind w:left="0"/>
        <w:rPr>
          <w:color w:val="000000" w:themeColor="text1"/>
          <w:sz w:val="21"/>
          <w:highlight w:val="none"/>
          <w14:textFill>
            <w14:solidFill>
              <w14:schemeClr w14:val="tx1"/>
            </w14:solidFill>
          </w14:textFill>
        </w:rPr>
      </w:pPr>
    </w:p>
    <w:p>
      <w:pPr>
        <w:pStyle w:val="10"/>
        <w:shd w:val="clear"/>
        <w:spacing w:before="255"/>
        <w:ind w:left="0"/>
        <w:rPr>
          <w:color w:val="000000" w:themeColor="text1"/>
          <w:sz w:val="21"/>
          <w:highlight w:val="none"/>
          <w14:textFill>
            <w14:solidFill>
              <w14:schemeClr w14:val="tx1"/>
            </w14:solidFill>
          </w14:textFill>
        </w:rPr>
      </w:pPr>
    </w:p>
    <w:p>
      <w:pPr>
        <w:pStyle w:val="19"/>
        <w:numPr>
          <w:ilvl w:val="1"/>
          <w:numId w:val="61"/>
        </w:numPr>
        <w:shd w:val="clear"/>
        <w:tabs>
          <w:tab w:val="left" w:pos="1680"/>
        </w:tabs>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其它商务、技术资料和证明材料</w:t>
      </w:r>
    </w:p>
    <w:p>
      <w:pPr>
        <w:pStyle w:val="10"/>
        <w:shd w:val="clear"/>
        <w:ind w:left="0"/>
        <w:rPr>
          <w:color w:val="000000" w:themeColor="text1"/>
          <w:highlight w:val="none"/>
          <w14:textFill>
            <w14:solidFill>
              <w14:schemeClr w14:val="tx1"/>
            </w14:solidFill>
          </w14:textFill>
        </w:rPr>
      </w:pPr>
    </w:p>
    <w:p>
      <w:pPr>
        <w:pStyle w:val="10"/>
        <w:shd w:val="clear"/>
        <w:ind w:left="0"/>
        <w:rPr>
          <w:color w:val="000000" w:themeColor="text1"/>
          <w:highlight w:val="none"/>
          <w14:textFill>
            <w14:solidFill>
              <w14:schemeClr w14:val="tx1"/>
            </w14:solidFill>
          </w14:textFill>
        </w:rPr>
      </w:pPr>
    </w:p>
    <w:p>
      <w:pPr>
        <w:shd w:val="clear"/>
        <w:ind w:left="780"/>
        <w:rPr>
          <w:b/>
          <w:color w:val="000000" w:themeColor="text1"/>
          <w:sz w:val="24"/>
          <w:highlight w:val="none"/>
          <w14:textFill>
            <w14:solidFill>
              <w14:schemeClr w14:val="tx1"/>
            </w14:solidFill>
          </w14:textFill>
        </w:rPr>
      </w:pPr>
      <w:r>
        <w:rPr>
          <w:b/>
          <w:color w:val="000000" w:themeColor="text1"/>
          <w:spacing w:val="-2"/>
          <w:sz w:val="24"/>
          <w:highlight w:val="none"/>
          <w14:textFill>
            <w14:solidFill>
              <w14:schemeClr w14:val="tx1"/>
            </w14:solidFill>
          </w14:textFill>
        </w:rPr>
        <w:t>（二）</w:t>
      </w:r>
      <w:r>
        <w:rPr>
          <w:b/>
          <w:color w:val="000000" w:themeColor="text1"/>
          <w:spacing w:val="-3"/>
          <w:sz w:val="24"/>
          <w:highlight w:val="none"/>
          <w14:textFill>
            <w14:solidFill>
              <w14:schemeClr w14:val="tx1"/>
            </w14:solidFill>
          </w14:textFill>
        </w:rPr>
        <w:t>投标人认为需要提供的其它商务、技术资料和说明。</w:t>
      </w:r>
    </w:p>
    <w:sectPr>
      <w:pgSz w:w="11910" w:h="16840"/>
      <w:pgMar w:top="1380" w:right="1020" w:bottom="1420" w:left="1020" w:header="878" w:footer="122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ind w:left="0"/>
      <w:rPr>
        <w:sz w:val="20"/>
      </w:rPr>
    </w:pPr>
    <w:r>
      <mc:AlternateContent>
        <mc:Choice Requires="wps">
          <w:drawing>
            <wp:anchor distT="0" distB="0" distL="0" distR="0" simplePos="0" relativeHeight="251661312" behindDoc="1" locked="0" layoutInCell="1" allowOverlap="1">
              <wp:simplePos x="0" y="0"/>
              <wp:positionH relativeFrom="page">
                <wp:posOffset>3566795</wp:posOffset>
              </wp:positionH>
              <wp:positionV relativeFrom="page">
                <wp:posOffset>9919970</wp:posOffset>
              </wp:positionV>
              <wp:extent cx="426085" cy="158115"/>
              <wp:effectExtent l="0" t="0" r="0" b="0"/>
              <wp:wrapNone/>
              <wp:docPr id="5" name="Textbox 5"/>
              <wp:cNvGraphicFramePr/>
              <a:graphic xmlns:a="http://schemas.openxmlformats.org/drawingml/2006/main">
                <a:graphicData uri="http://schemas.microsoft.com/office/word/2010/wordprocessingShape">
                  <wps:wsp>
                    <wps:cNvSpPr txBox="1"/>
                    <wps:spPr>
                      <a:xfrm>
                        <a:off x="0" y="0"/>
                        <a:ext cx="426084" cy="158115"/>
                      </a:xfrm>
                      <a:prstGeom prst="rect">
                        <a:avLst/>
                      </a:prstGeom>
                    </wps:spPr>
                    <wps:txbx>
                      <w:txbxContent>
                        <w:p>
                          <w:pPr>
                            <w:spacing w:line="249" w:lineRule="exact"/>
                            <w:ind w:left="20"/>
                            <w:rPr>
                              <w:sz w:val="21"/>
                            </w:rPr>
                          </w:pPr>
                          <w:r>
                            <w:rPr>
                              <w:sz w:val="21"/>
                            </w:rPr>
                            <w:t>-</w:t>
                          </w:r>
                          <w:r>
                            <w:rPr>
                              <w:spacing w:val="-1"/>
                              <w:sz w:val="21"/>
                            </w:rPr>
                            <w:t xml:space="preserve"> </w:t>
                          </w:r>
                          <w:r>
                            <w:rPr>
                              <w:sz w:val="21"/>
                            </w:rPr>
                            <w:fldChar w:fldCharType="begin"/>
                          </w:r>
                          <w:r>
                            <w:rPr>
                              <w:sz w:val="21"/>
                            </w:rPr>
                            <w:instrText xml:space="preserve"> PAGE </w:instrText>
                          </w:r>
                          <w:r>
                            <w:rPr>
                              <w:sz w:val="21"/>
                            </w:rPr>
                            <w:fldChar w:fldCharType="separate"/>
                          </w:r>
                          <w:r>
                            <w:rPr>
                              <w:sz w:val="21"/>
                            </w:rPr>
                            <w:t>56</w:t>
                          </w:r>
                          <w:r>
                            <w:rPr>
                              <w:sz w:val="21"/>
                            </w:rPr>
                            <w:fldChar w:fldCharType="end"/>
                          </w:r>
                          <w:r>
                            <w:rPr>
                              <w:spacing w:val="-3"/>
                              <w:sz w:val="21"/>
                            </w:rPr>
                            <w:t xml:space="preserve"> </w:t>
                          </w:r>
                          <w:r>
                            <w:rPr>
                              <w:spacing w:val="-10"/>
                              <w:sz w:val="21"/>
                            </w:rPr>
                            <w:t>-</w:t>
                          </w:r>
                        </w:p>
                      </w:txbxContent>
                    </wps:txbx>
                    <wps:bodyPr wrap="square" lIns="0" tIns="0" rIns="0" bIns="0" rtlCol="0">
                      <a:noAutofit/>
                    </wps:bodyPr>
                  </wps:wsp>
                </a:graphicData>
              </a:graphic>
            </wp:anchor>
          </w:drawing>
        </mc:Choice>
        <mc:Fallback>
          <w:pict>
            <v:shape id="Textbox 5" o:spid="_x0000_s1026" o:spt="202" type="#_x0000_t202" style="position:absolute;left:0pt;margin-left:280.85pt;margin-top:781.1pt;height:12.45pt;width:33.55pt;mso-position-horizontal-relative:page;mso-position-vertical-relative:page;z-index:-251655168;mso-width-relative:page;mso-height-relative:page;" filled="f" stroked="f" coordsize="21600,21600" o:gfxdata="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CtjLbaAAAADQEAAA8AAAAAAAAAAQAgAAAAIgAAAGRycy9kb3ducmV2LnhtbFBLAQIUABQAAAAI&#10;AIdO4kBwHrN2sgEAAHMDAAAOAAAAAAAAAAEAIAAAACkBAABkcnMvZTJvRG9jLnhtbFBLBQYAAAAA&#10;BgAGAFkBAABNBQAAAAA=&#10;">
              <v:fill on="f" focussize="0,0"/>
              <v:stroke on="f"/>
              <v:imagedata o:title=""/>
              <o:lock v:ext="edit" aspectratio="f"/>
              <v:textbox inset="0mm,0mm,0mm,0mm">
                <w:txbxContent>
                  <w:p>
                    <w:pPr>
                      <w:spacing w:line="249" w:lineRule="exact"/>
                      <w:ind w:left="20"/>
                      <w:rPr>
                        <w:sz w:val="21"/>
                      </w:rPr>
                    </w:pPr>
                    <w:r>
                      <w:rPr>
                        <w:sz w:val="21"/>
                      </w:rPr>
                      <w:t>-</w:t>
                    </w:r>
                    <w:r>
                      <w:rPr>
                        <w:spacing w:val="-1"/>
                        <w:sz w:val="21"/>
                      </w:rPr>
                      <w:t xml:space="preserve"> </w:t>
                    </w:r>
                    <w:r>
                      <w:rPr>
                        <w:sz w:val="21"/>
                      </w:rPr>
                      <w:fldChar w:fldCharType="begin"/>
                    </w:r>
                    <w:r>
                      <w:rPr>
                        <w:sz w:val="21"/>
                      </w:rPr>
                      <w:instrText xml:space="preserve"> PAGE </w:instrText>
                    </w:r>
                    <w:r>
                      <w:rPr>
                        <w:sz w:val="21"/>
                      </w:rPr>
                      <w:fldChar w:fldCharType="separate"/>
                    </w:r>
                    <w:r>
                      <w:rPr>
                        <w:sz w:val="21"/>
                      </w:rPr>
                      <w:t>56</w:t>
                    </w:r>
                    <w:r>
                      <w:rPr>
                        <w:sz w:val="21"/>
                      </w:rPr>
                      <w:fldChar w:fldCharType="end"/>
                    </w:r>
                    <w:r>
                      <w:rPr>
                        <w:spacing w:val="-3"/>
                        <w:sz w:val="21"/>
                      </w:rPr>
                      <w:t xml:space="preserve"> </w:t>
                    </w:r>
                    <w:r>
                      <w:rPr>
                        <w:spacing w:val="-10"/>
                        <w:sz w:val="21"/>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ind w:left="0"/>
      <w:rPr>
        <w:sz w:val="20"/>
      </w:rPr>
    </w:pPr>
    <w:r>
      <mc:AlternateContent>
        <mc:Choice Requires="wps">
          <w:drawing>
            <wp:anchor distT="0" distB="0" distL="0" distR="0" simplePos="0" relativeHeight="251663360" behindDoc="1" locked="0" layoutInCell="1" allowOverlap="1">
              <wp:simplePos x="0" y="0"/>
              <wp:positionH relativeFrom="page">
                <wp:posOffset>3594100</wp:posOffset>
              </wp:positionH>
              <wp:positionV relativeFrom="page">
                <wp:posOffset>10012045</wp:posOffset>
              </wp:positionV>
              <wp:extent cx="369570" cy="139700"/>
              <wp:effectExtent l="0" t="0" r="0" b="0"/>
              <wp:wrapNone/>
              <wp:docPr id="13" name="Textbox 13"/>
              <wp:cNvGraphicFramePr/>
              <a:graphic xmlns:a="http://schemas.openxmlformats.org/drawingml/2006/main">
                <a:graphicData uri="http://schemas.microsoft.com/office/word/2010/wordprocessingShape">
                  <wps:wsp>
                    <wps:cNvSpPr txBox="1"/>
                    <wps:spPr>
                      <a:xfrm>
                        <a:off x="0" y="0"/>
                        <a:ext cx="369570" cy="139700"/>
                      </a:xfrm>
                      <a:prstGeom prst="rect">
                        <a:avLst/>
                      </a:prstGeom>
                    </wps:spPr>
                    <wps:txbx>
                      <w:txbxContent>
                        <w:p>
                          <w:pPr>
                            <w:spacing w:line="220" w:lineRule="exact"/>
                            <w:ind w:left="20"/>
                            <w:rPr>
                              <w:sz w:val="18"/>
                            </w:rPr>
                          </w:pPr>
                          <w:r>
                            <w:rPr>
                              <w:sz w:val="18"/>
                            </w:rPr>
                            <w:t xml:space="preserve">- </w:t>
                          </w:r>
                          <w:r>
                            <w:rPr>
                              <w:sz w:val="18"/>
                            </w:rPr>
                            <w:fldChar w:fldCharType="begin"/>
                          </w:r>
                          <w:r>
                            <w:rPr>
                              <w:sz w:val="18"/>
                            </w:rPr>
                            <w:instrText xml:space="preserve"> PAGE </w:instrText>
                          </w:r>
                          <w:r>
                            <w:rPr>
                              <w:sz w:val="18"/>
                            </w:rPr>
                            <w:fldChar w:fldCharType="separate"/>
                          </w:r>
                          <w:r>
                            <w:rPr>
                              <w:sz w:val="18"/>
                            </w:rPr>
                            <w:t>64</w:t>
                          </w:r>
                          <w:r>
                            <w:rPr>
                              <w:sz w:val="18"/>
                            </w:rPr>
                            <w:fldChar w:fldCharType="end"/>
                          </w:r>
                          <w:r>
                            <w:rPr>
                              <w:sz w:val="18"/>
                            </w:rPr>
                            <w:t xml:space="preserve"> </w:t>
                          </w:r>
                          <w:r>
                            <w:rPr>
                              <w:spacing w:val="-10"/>
                              <w:sz w:val="18"/>
                            </w:rPr>
                            <w:t>-</w:t>
                          </w:r>
                        </w:p>
                      </w:txbxContent>
                    </wps:txbx>
                    <wps:bodyPr wrap="square" lIns="0" tIns="0" rIns="0" bIns="0" rtlCol="0">
                      <a:noAutofit/>
                    </wps:bodyPr>
                  </wps:wsp>
                </a:graphicData>
              </a:graphic>
            </wp:anchor>
          </w:drawing>
        </mc:Choice>
        <mc:Fallback>
          <w:pict>
            <v:shape id="Textbox 13" o:spid="_x0000_s1026" o:spt="202" type="#_x0000_t202" style="position:absolute;left:0pt;margin-left:283pt;margin-top:788.35pt;height:11pt;width:29.1pt;mso-position-horizontal-relative:page;mso-position-vertical-relative:page;z-index:-251653120;mso-width-relative:page;mso-height-relative:page;" filled="f" stroked="f" coordsize="21600,21600" o:gfxdata="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01lW9sAAAANAQAADwAAAAAAAAABACAAAAAiAAAAZHJzL2Rvd25yZXYueG1sUEsBAhQAFAAA&#10;AAgAh07iQHvJ4OGzAQAAdQMAAA4AAAAAAAAAAQAgAAAAKgEAAGRycy9lMm9Eb2MueG1sUEsFBgAA&#10;AAAGAAYAWQEAAE8FAAAAAA==&#10;">
              <v:fill on="f" focussize="0,0"/>
              <v:stroke on="f"/>
              <v:imagedata o:title=""/>
              <o:lock v:ext="edit" aspectratio="f"/>
              <v:textbox inset="0mm,0mm,0mm,0mm">
                <w:txbxContent>
                  <w:p>
                    <w:pPr>
                      <w:spacing w:line="220" w:lineRule="exact"/>
                      <w:ind w:left="20"/>
                      <w:rPr>
                        <w:sz w:val="18"/>
                      </w:rPr>
                    </w:pPr>
                    <w:r>
                      <w:rPr>
                        <w:sz w:val="18"/>
                      </w:rPr>
                      <w:t xml:space="preserve">- </w:t>
                    </w:r>
                    <w:r>
                      <w:rPr>
                        <w:sz w:val="18"/>
                      </w:rPr>
                      <w:fldChar w:fldCharType="begin"/>
                    </w:r>
                    <w:r>
                      <w:rPr>
                        <w:sz w:val="18"/>
                      </w:rPr>
                      <w:instrText xml:space="preserve"> PAGE </w:instrText>
                    </w:r>
                    <w:r>
                      <w:rPr>
                        <w:sz w:val="18"/>
                      </w:rPr>
                      <w:fldChar w:fldCharType="separate"/>
                    </w:r>
                    <w:r>
                      <w:rPr>
                        <w:sz w:val="18"/>
                      </w:rPr>
                      <w:t>64</w:t>
                    </w:r>
                    <w:r>
                      <w:rPr>
                        <w:sz w:val="18"/>
                      </w:rPr>
                      <w:fldChar w:fldCharType="end"/>
                    </w:r>
                    <w:r>
                      <w:rPr>
                        <w:sz w:val="18"/>
                      </w:rPr>
                      <w:t xml:space="preserve"> </w:t>
                    </w:r>
                    <w:r>
                      <w:rPr>
                        <w:spacing w:val="-10"/>
                        <w:sz w:val="1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ind w:left="0"/>
      <w:rPr>
        <w:sz w:val="20"/>
      </w:rPr>
    </w:pPr>
    <w:r>
      <mc:AlternateContent>
        <mc:Choice Requires="wps">
          <w:drawing>
            <wp:anchor distT="0" distB="0" distL="0" distR="0" simplePos="0" relativeHeight="251664384" behindDoc="1" locked="0" layoutInCell="1" allowOverlap="1">
              <wp:simplePos x="0" y="0"/>
              <wp:positionH relativeFrom="page">
                <wp:posOffset>3566795</wp:posOffset>
              </wp:positionH>
              <wp:positionV relativeFrom="page">
                <wp:posOffset>9775190</wp:posOffset>
              </wp:positionV>
              <wp:extent cx="426085" cy="158115"/>
              <wp:effectExtent l="0" t="0" r="0" b="0"/>
              <wp:wrapNone/>
              <wp:docPr id="27" name="Textbox 27"/>
              <wp:cNvGraphicFramePr/>
              <a:graphic xmlns:a="http://schemas.openxmlformats.org/drawingml/2006/main">
                <a:graphicData uri="http://schemas.microsoft.com/office/word/2010/wordprocessingShape">
                  <wps:wsp>
                    <wps:cNvSpPr txBox="1"/>
                    <wps:spPr>
                      <a:xfrm>
                        <a:off x="0" y="0"/>
                        <a:ext cx="426084" cy="158115"/>
                      </a:xfrm>
                      <a:prstGeom prst="rect">
                        <a:avLst/>
                      </a:prstGeom>
                    </wps:spPr>
                    <wps:txbx>
                      <w:txbxContent>
                        <w:p>
                          <w:pPr>
                            <w:spacing w:line="249" w:lineRule="exact"/>
                            <w:ind w:left="20"/>
                            <w:rPr>
                              <w:sz w:val="21"/>
                            </w:rPr>
                          </w:pPr>
                          <w:r>
                            <w:rPr>
                              <w:sz w:val="21"/>
                            </w:rPr>
                            <w:t>-</w:t>
                          </w:r>
                          <w:r>
                            <w:rPr>
                              <w:spacing w:val="-1"/>
                              <w:sz w:val="21"/>
                            </w:rPr>
                            <w:t xml:space="preserve"> </w:t>
                          </w:r>
                          <w:r>
                            <w:rPr>
                              <w:sz w:val="21"/>
                            </w:rPr>
                            <w:fldChar w:fldCharType="begin"/>
                          </w:r>
                          <w:r>
                            <w:rPr>
                              <w:sz w:val="21"/>
                            </w:rPr>
                            <w:instrText xml:space="preserve"> PAGE </w:instrText>
                          </w:r>
                          <w:r>
                            <w:rPr>
                              <w:sz w:val="21"/>
                            </w:rPr>
                            <w:fldChar w:fldCharType="separate"/>
                          </w:r>
                          <w:r>
                            <w:rPr>
                              <w:sz w:val="21"/>
                            </w:rPr>
                            <w:t>89</w:t>
                          </w:r>
                          <w:r>
                            <w:rPr>
                              <w:sz w:val="21"/>
                            </w:rPr>
                            <w:fldChar w:fldCharType="end"/>
                          </w:r>
                          <w:r>
                            <w:rPr>
                              <w:spacing w:val="-3"/>
                              <w:sz w:val="21"/>
                            </w:rPr>
                            <w:t xml:space="preserve"> </w:t>
                          </w:r>
                          <w:r>
                            <w:rPr>
                              <w:spacing w:val="-10"/>
                              <w:sz w:val="21"/>
                            </w:rPr>
                            <w:t>-</w:t>
                          </w:r>
                        </w:p>
                      </w:txbxContent>
                    </wps:txbx>
                    <wps:bodyPr wrap="square" lIns="0" tIns="0" rIns="0" bIns="0" rtlCol="0">
                      <a:noAutofit/>
                    </wps:bodyPr>
                  </wps:wsp>
                </a:graphicData>
              </a:graphic>
            </wp:anchor>
          </w:drawing>
        </mc:Choice>
        <mc:Fallback>
          <w:pict>
            <v:shape id="Textbox 27" o:spid="_x0000_s1026" o:spt="202" type="#_x0000_t202" style="position:absolute;left:0pt;margin-left:280.85pt;margin-top:769.7pt;height:12.45pt;width:33.55pt;mso-position-horizontal-relative:page;mso-position-vertical-relative:page;z-index:-251652096;mso-width-relative:page;mso-height-relative:page;" filled="f" stroked="f" coordsize="21600,21600" o:gfxdata="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XALkNsAAAANAQAADwAAAAAAAAABACAAAAAiAAAAZHJzL2Rvd25yZXYueG1sUEsBAhQAFAAA&#10;AAgAh07iQOEoI8CzAQAAdQMAAA4AAAAAAAAAAQAgAAAAKgEAAGRycy9lMm9Eb2MueG1sUEsFBgAA&#10;AAAGAAYAWQEAAE8FAAAAAA==&#10;">
              <v:fill on="f" focussize="0,0"/>
              <v:stroke on="f"/>
              <v:imagedata o:title=""/>
              <o:lock v:ext="edit" aspectratio="f"/>
              <v:textbox inset="0mm,0mm,0mm,0mm">
                <w:txbxContent>
                  <w:p>
                    <w:pPr>
                      <w:spacing w:line="249" w:lineRule="exact"/>
                      <w:ind w:left="20"/>
                      <w:rPr>
                        <w:sz w:val="21"/>
                      </w:rPr>
                    </w:pPr>
                    <w:r>
                      <w:rPr>
                        <w:sz w:val="21"/>
                      </w:rPr>
                      <w:t>-</w:t>
                    </w:r>
                    <w:r>
                      <w:rPr>
                        <w:spacing w:val="-1"/>
                        <w:sz w:val="21"/>
                      </w:rPr>
                      <w:t xml:space="preserve"> </w:t>
                    </w:r>
                    <w:r>
                      <w:rPr>
                        <w:sz w:val="21"/>
                      </w:rPr>
                      <w:fldChar w:fldCharType="begin"/>
                    </w:r>
                    <w:r>
                      <w:rPr>
                        <w:sz w:val="21"/>
                      </w:rPr>
                      <w:instrText xml:space="preserve"> PAGE </w:instrText>
                    </w:r>
                    <w:r>
                      <w:rPr>
                        <w:sz w:val="21"/>
                      </w:rPr>
                      <w:fldChar w:fldCharType="separate"/>
                    </w:r>
                    <w:r>
                      <w:rPr>
                        <w:sz w:val="21"/>
                      </w:rPr>
                      <w:t>89</w:t>
                    </w:r>
                    <w:r>
                      <w:rPr>
                        <w:sz w:val="21"/>
                      </w:rPr>
                      <w:fldChar w:fldCharType="end"/>
                    </w:r>
                    <w:r>
                      <w:rPr>
                        <w:spacing w:val="-3"/>
                        <w:sz w:val="21"/>
                      </w:rPr>
                      <w:t xml:space="preserve"> </w:t>
                    </w:r>
                    <w:r>
                      <w:rPr>
                        <w:spacing w:val="-10"/>
                        <w:sz w:val="21"/>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ind w:left="0"/>
      <w:rPr>
        <w:sz w:val="20"/>
      </w:rPr>
    </w:pPr>
    <w:r>
      <mc:AlternateContent>
        <mc:Choice Requires="wps">
          <w:drawing>
            <wp:anchor distT="0" distB="0" distL="0" distR="0" simplePos="0" relativeHeight="251666432" behindDoc="1" locked="0" layoutInCell="1" allowOverlap="1">
              <wp:simplePos x="0" y="0"/>
              <wp:positionH relativeFrom="page">
                <wp:posOffset>3533140</wp:posOffset>
              </wp:positionH>
              <wp:positionV relativeFrom="page">
                <wp:posOffset>9775190</wp:posOffset>
              </wp:positionV>
              <wp:extent cx="492760" cy="158115"/>
              <wp:effectExtent l="0" t="0" r="0" b="0"/>
              <wp:wrapNone/>
              <wp:docPr id="33" name="Textbox 33"/>
              <wp:cNvGraphicFramePr/>
              <a:graphic xmlns:a="http://schemas.openxmlformats.org/drawingml/2006/main">
                <a:graphicData uri="http://schemas.microsoft.com/office/word/2010/wordprocessingShape">
                  <wps:wsp>
                    <wps:cNvSpPr txBox="1"/>
                    <wps:spPr>
                      <a:xfrm>
                        <a:off x="0" y="0"/>
                        <a:ext cx="492759" cy="158115"/>
                      </a:xfrm>
                      <a:prstGeom prst="rect">
                        <a:avLst/>
                      </a:prstGeom>
                    </wps:spPr>
                    <wps:txbx>
                      <w:txbxContent>
                        <w:p>
                          <w:pPr>
                            <w:spacing w:line="249" w:lineRule="exact"/>
                            <w:ind w:left="20"/>
                            <w:rPr>
                              <w:sz w:val="21"/>
                            </w:rPr>
                          </w:pPr>
                          <w:r>
                            <w:rPr>
                              <w:sz w:val="21"/>
                            </w:rPr>
                            <w:t>-</w:t>
                          </w:r>
                          <w:r>
                            <w:rPr>
                              <w:spacing w:val="-1"/>
                              <w:sz w:val="21"/>
                            </w:rPr>
                            <w:t xml:space="preserve"> </w:t>
                          </w:r>
                          <w:r>
                            <w:rPr>
                              <w:sz w:val="21"/>
                            </w:rPr>
                            <w:t>100</w:t>
                          </w:r>
                          <w:r>
                            <w:rPr>
                              <w:spacing w:val="-2"/>
                              <w:sz w:val="21"/>
                            </w:rPr>
                            <w:t xml:space="preserve"> </w:t>
                          </w:r>
                          <w:r>
                            <w:rPr>
                              <w:spacing w:val="-10"/>
                              <w:sz w:val="21"/>
                            </w:rPr>
                            <w:t>-</w:t>
                          </w:r>
                        </w:p>
                      </w:txbxContent>
                    </wps:txbx>
                    <wps:bodyPr wrap="square" lIns="0" tIns="0" rIns="0" bIns="0" rtlCol="0">
                      <a:noAutofit/>
                    </wps:bodyPr>
                  </wps:wsp>
                </a:graphicData>
              </a:graphic>
            </wp:anchor>
          </w:drawing>
        </mc:Choice>
        <mc:Fallback>
          <w:pict>
            <v:shape id="Textbox 33" o:spid="_x0000_s1026" o:spt="202" type="#_x0000_t202" style="position:absolute;left:0pt;margin-left:278.2pt;margin-top:769.7pt;height:12.45pt;width:38.8pt;mso-position-horizontal-relative:page;mso-position-vertical-relative:page;z-index:-251650048;mso-width-relative:page;mso-height-relative:page;" filled="f" stroked="f" coordsize="21600,21600" o:gfxdata="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hdf8toAAAANAQAADwAAAAAAAAABACAAAAAiAAAAZHJzL2Rvd25yZXYueG1sUEsBAhQAFAAA&#10;AAgAh07iQDhs4CC0AQAAdQMAAA4AAAAAAAAAAQAgAAAAKQEAAGRycy9lMm9Eb2MueG1sUEsFBgAA&#10;AAAGAAYAWQEAAE8FAAAAAA==&#10;">
              <v:fill on="f" focussize="0,0"/>
              <v:stroke on="f"/>
              <v:imagedata o:title=""/>
              <o:lock v:ext="edit" aspectratio="f"/>
              <v:textbox inset="0mm,0mm,0mm,0mm">
                <w:txbxContent>
                  <w:p>
                    <w:pPr>
                      <w:spacing w:line="249" w:lineRule="exact"/>
                      <w:ind w:left="20"/>
                      <w:rPr>
                        <w:sz w:val="21"/>
                      </w:rPr>
                    </w:pPr>
                    <w:r>
                      <w:rPr>
                        <w:sz w:val="21"/>
                      </w:rPr>
                      <w:t>-</w:t>
                    </w:r>
                    <w:r>
                      <w:rPr>
                        <w:spacing w:val="-1"/>
                        <w:sz w:val="21"/>
                      </w:rPr>
                      <w:t xml:space="preserve"> </w:t>
                    </w:r>
                    <w:r>
                      <w:rPr>
                        <w:sz w:val="21"/>
                      </w:rPr>
                      <w:t>100</w:t>
                    </w:r>
                    <w:r>
                      <w:rPr>
                        <w:spacing w:val="-2"/>
                        <w:sz w:val="21"/>
                      </w:rPr>
                      <w:t xml:space="preserve"> </w:t>
                    </w:r>
                    <w:r>
                      <w:rPr>
                        <w:spacing w:val="-10"/>
                        <w:sz w:val="21"/>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ind w:left="0"/>
      <w:rPr>
        <w:sz w:val="20"/>
      </w:rPr>
    </w:pPr>
    <w:r>
      <mc:AlternateContent>
        <mc:Choice Requires="wps">
          <w:drawing>
            <wp:anchor distT="0" distB="0" distL="0" distR="0" simplePos="0" relativeHeight="251668480" behindDoc="1" locked="0" layoutInCell="1" allowOverlap="1">
              <wp:simplePos x="0" y="0"/>
              <wp:positionH relativeFrom="page">
                <wp:posOffset>3533140</wp:posOffset>
              </wp:positionH>
              <wp:positionV relativeFrom="page">
                <wp:posOffset>9775190</wp:posOffset>
              </wp:positionV>
              <wp:extent cx="492760" cy="158115"/>
              <wp:effectExtent l="0" t="0" r="0" b="0"/>
              <wp:wrapNone/>
              <wp:docPr id="36" name="Textbox 36"/>
              <wp:cNvGraphicFramePr/>
              <a:graphic xmlns:a="http://schemas.openxmlformats.org/drawingml/2006/main">
                <a:graphicData uri="http://schemas.microsoft.com/office/word/2010/wordprocessingShape">
                  <wps:wsp>
                    <wps:cNvSpPr txBox="1"/>
                    <wps:spPr>
                      <a:xfrm>
                        <a:off x="0" y="0"/>
                        <a:ext cx="492759" cy="158115"/>
                      </a:xfrm>
                      <a:prstGeom prst="rect">
                        <a:avLst/>
                      </a:prstGeom>
                    </wps:spPr>
                    <wps:txbx>
                      <w:txbxContent>
                        <w:p>
                          <w:pPr>
                            <w:spacing w:line="249" w:lineRule="exact"/>
                            <w:ind w:left="20"/>
                            <w:rPr>
                              <w:sz w:val="21"/>
                            </w:rPr>
                          </w:pPr>
                          <w:r>
                            <w:rPr>
                              <w:sz w:val="21"/>
                            </w:rPr>
                            <w:t>-</w:t>
                          </w:r>
                          <w:r>
                            <w:rPr>
                              <w:spacing w:val="-2"/>
                              <w:sz w:val="21"/>
                            </w:rPr>
                            <w:t xml:space="preserve"> </w:t>
                          </w:r>
                          <w:r>
                            <w:rPr>
                              <w:sz w:val="21"/>
                            </w:rPr>
                            <w:fldChar w:fldCharType="begin"/>
                          </w:r>
                          <w:r>
                            <w:rPr>
                              <w:sz w:val="21"/>
                            </w:rPr>
                            <w:instrText xml:space="preserve"> PAGE </w:instrText>
                          </w:r>
                          <w:r>
                            <w:rPr>
                              <w:sz w:val="21"/>
                            </w:rPr>
                            <w:fldChar w:fldCharType="separate"/>
                          </w:r>
                          <w:r>
                            <w:rPr>
                              <w:sz w:val="21"/>
                            </w:rPr>
                            <w:t>105</w:t>
                          </w:r>
                          <w:r>
                            <w:rPr>
                              <w:sz w:val="21"/>
                            </w:rPr>
                            <w:fldChar w:fldCharType="end"/>
                          </w:r>
                          <w:r>
                            <w:rPr>
                              <w:spacing w:val="-3"/>
                              <w:sz w:val="21"/>
                            </w:rPr>
                            <w:t xml:space="preserve"> </w:t>
                          </w:r>
                          <w:r>
                            <w:rPr>
                              <w:spacing w:val="-10"/>
                              <w:sz w:val="21"/>
                            </w:rPr>
                            <w:t>-</w:t>
                          </w:r>
                        </w:p>
                      </w:txbxContent>
                    </wps:txbx>
                    <wps:bodyPr wrap="square" lIns="0" tIns="0" rIns="0" bIns="0" rtlCol="0">
                      <a:noAutofit/>
                    </wps:bodyPr>
                  </wps:wsp>
                </a:graphicData>
              </a:graphic>
            </wp:anchor>
          </w:drawing>
        </mc:Choice>
        <mc:Fallback>
          <w:pict>
            <v:shape id="Textbox 36" o:spid="_x0000_s1026" o:spt="202" type="#_x0000_t202" style="position:absolute;left:0pt;margin-left:278.2pt;margin-top:769.7pt;height:12.45pt;width:38.8pt;mso-position-horizontal-relative:page;mso-position-vertical-relative:page;z-index:-251648000;mso-width-relative:page;mso-height-relative:page;" filled="f" stroked="f" coordsize="21600,21600" o:gfxdata="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hdf8toAAAANAQAADwAAAAAAAAABACAAAAAiAAAAZHJzL2Rvd25yZXYueG1sUEsBAhQAFAAA&#10;AAgAh07iQF0rmpm0AQAAdQMAAA4AAAAAAAAAAQAgAAAAKQEAAGRycy9lMm9Eb2MueG1sUEsFBgAA&#10;AAAGAAYAWQEAAE8FAAAAAA==&#10;">
              <v:fill on="f" focussize="0,0"/>
              <v:stroke on="f"/>
              <v:imagedata o:title=""/>
              <o:lock v:ext="edit" aspectratio="f"/>
              <v:textbox inset="0mm,0mm,0mm,0mm">
                <w:txbxContent>
                  <w:p>
                    <w:pPr>
                      <w:spacing w:line="249" w:lineRule="exact"/>
                      <w:ind w:left="20"/>
                      <w:rPr>
                        <w:sz w:val="21"/>
                      </w:rPr>
                    </w:pPr>
                    <w:r>
                      <w:rPr>
                        <w:sz w:val="21"/>
                      </w:rPr>
                      <w:t>-</w:t>
                    </w:r>
                    <w:r>
                      <w:rPr>
                        <w:spacing w:val="-2"/>
                        <w:sz w:val="21"/>
                      </w:rPr>
                      <w:t xml:space="preserve"> </w:t>
                    </w:r>
                    <w:r>
                      <w:rPr>
                        <w:sz w:val="21"/>
                      </w:rPr>
                      <w:fldChar w:fldCharType="begin"/>
                    </w:r>
                    <w:r>
                      <w:rPr>
                        <w:sz w:val="21"/>
                      </w:rPr>
                      <w:instrText xml:space="preserve"> PAGE </w:instrText>
                    </w:r>
                    <w:r>
                      <w:rPr>
                        <w:sz w:val="21"/>
                      </w:rPr>
                      <w:fldChar w:fldCharType="separate"/>
                    </w:r>
                    <w:r>
                      <w:rPr>
                        <w:sz w:val="21"/>
                      </w:rPr>
                      <w:t>105</w:t>
                    </w:r>
                    <w:r>
                      <w:rPr>
                        <w:sz w:val="21"/>
                      </w:rPr>
                      <w:fldChar w:fldCharType="end"/>
                    </w:r>
                    <w:r>
                      <w:rPr>
                        <w:spacing w:val="-3"/>
                        <w:sz w:val="21"/>
                      </w:rPr>
                      <w:t xml:space="preserve"> </w:t>
                    </w:r>
                    <w:r>
                      <w:rPr>
                        <w:spacing w:val="-10"/>
                        <w:sz w:val="21"/>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ind w:left="0"/>
      <w:rPr>
        <w:sz w:val="20"/>
      </w:rPr>
    </w:pPr>
    <w:r>
      <mc:AlternateContent>
        <mc:Choice Requires="wps">
          <w:drawing>
            <wp:anchor distT="0" distB="0" distL="0" distR="0" simplePos="0" relativeHeight="251659264" behindDoc="1" locked="0" layoutInCell="1" allowOverlap="1">
              <wp:simplePos x="0" y="0"/>
              <wp:positionH relativeFrom="page">
                <wp:posOffset>1143000</wp:posOffset>
              </wp:positionH>
              <wp:positionV relativeFrom="page">
                <wp:posOffset>701040</wp:posOffset>
              </wp:positionV>
              <wp:extent cx="5274310" cy="9525"/>
              <wp:effectExtent l="0" t="0" r="0" b="0"/>
              <wp:wrapNone/>
              <wp:docPr id="1" name="Graphic 1"/>
              <wp:cNvGraphicFramePr/>
              <a:graphic xmlns:a="http://schemas.openxmlformats.org/drawingml/2006/main">
                <a:graphicData uri="http://schemas.microsoft.com/office/word/2010/wordprocessingShape">
                  <wps:wsp>
                    <wps:cNvSpPr/>
                    <wps:spPr>
                      <a:xfrm>
                        <a:off x="0" y="0"/>
                        <a:ext cx="5274310" cy="9525"/>
                      </a:xfrm>
                      <a:custGeom>
                        <a:avLst/>
                        <a:gdLst/>
                        <a:ahLst/>
                        <a:cxnLst/>
                        <a:rect l="l" t="t" r="r" b="b"/>
                        <a:pathLst>
                          <a:path w="5274310" h="9525">
                            <a:moveTo>
                              <a:pt x="5274310" y="9143"/>
                            </a:moveTo>
                            <a:lnTo>
                              <a:pt x="0" y="9143"/>
                            </a:lnTo>
                            <a:lnTo>
                              <a:pt x="0" y="0"/>
                            </a:lnTo>
                            <a:lnTo>
                              <a:pt x="5274310" y="0"/>
                            </a:lnTo>
                            <a:lnTo>
                              <a:pt x="5274310" y="9143"/>
                            </a:lnTo>
                            <a:close/>
                          </a:path>
                        </a:pathLst>
                      </a:custGeom>
                      <a:solidFill>
                        <a:srgbClr val="000000"/>
                      </a:solidFill>
                    </wps:spPr>
                    <wps:bodyPr wrap="square" lIns="0" tIns="0" rIns="0" bIns="0" rtlCol="0">
                      <a:noAutofit/>
                    </wps:bodyPr>
                  </wps:wsp>
                </a:graphicData>
              </a:graphic>
            </wp:anchor>
          </w:drawing>
        </mc:Choice>
        <mc:Fallback>
          <w:pict>
            <v:shape id="Graphic 1" o:spid="_x0000_s1026" o:spt="100" style="position:absolute;left:0pt;margin-left:90pt;margin-top:55.2pt;height:0.75pt;width:415.3pt;mso-position-horizontal-relative:page;mso-position-vertical-relative:page;z-index:-251657216;mso-width-relative:page;mso-height-relative:page;" fillcolor="#000000" filled="t" stroked="f" coordsize="5274310,9525" o:gfxdata="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UUjlv2QAA&#10;AAwBAAAPAAAAAAAAAAEAIAAAACIAAABkcnMvZG93bnJldi54bWxQSwECFAAUAAAACACHTuJAd/ds&#10;qB0CAADfBAAADgAAAAAAAAABACAAAAAoAQAAZHJzL2Uyb0RvYy54bWxQSwUGAAAAAAYABgBZAQAA&#10;twUAAAAA&#10;" path="m5274310,9143l0,9143,0,0,5274310,0,5274310,9143xe">
              <v:fill on="t" focussize="0,0"/>
              <v:stroke on="f"/>
              <v:imagedata o:title=""/>
              <o:lock v:ext="edit" aspectratio="f"/>
              <v:textbox inset="0mm,0mm,0mm,0mm"/>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ind w:left="0"/>
      <w:rPr>
        <w:sz w:val="20"/>
      </w:rPr>
    </w:pPr>
    <w:r>
      <mc:AlternateContent>
        <mc:Choice Requires="wps">
          <w:drawing>
            <wp:anchor distT="0" distB="0" distL="0" distR="0" simplePos="0" relativeHeight="251660288" behindDoc="1" locked="0" layoutInCell="1" allowOverlap="1">
              <wp:simplePos x="0" y="0"/>
              <wp:positionH relativeFrom="page">
                <wp:posOffset>1143000</wp:posOffset>
              </wp:positionH>
              <wp:positionV relativeFrom="page">
                <wp:posOffset>701040</wp:posOffset>
              </wp:positionV>
              <wp:extent cx="5274310" cy="9525"/>
              <wp:effectExtent l="0" t="0" r="0" b="0"/>
              <wp:wrapNone/>
              <wp:docPr id="3" name="Graphic 3"/>
              <wp:cNvGraphicFramePr/>
              <a:graphic xmlns:a="http://schemas.openxmlformats.org/drawingml/2006/main">
                <a:graphicData uri="http://schemas.microsoft.com/office/word/2010/wordprocessingShape">
                  <wps:wsp>
                    <wps:cNvSpPr/>
                    <wps:spPr>
                      <a:xfrm>
                        <a:off x="0" y="0"/>
                        <a:ext cx="5274310" cy="9525"/>
                      </a:xfrm>
                      <a:custGeom>
                        <a:avLst/>
                        <a:gdLst/>
                        <a:ahLst/>
                        <a:cxnLst/>
                        <a:rect l="l" t="t" r="r" b="b"/>
                        <a:pathLst>
                          <a:path w="5274310" h="9525">
                            <a:moveTo>
                              <a:pt x="5274310" y="9143"/>
                            </a:moveTo>
                            <a:lnTo>
                              <a:pt x="0" y="9143"/>
                            </a:lnTo>
                            <a:lnTo>
                              <a:pt x="0" y="0"/>
                            </a:lnTo>
                            <a:lnTo>
                              <a:pt x="5274310" y="0"/>
                            </a:lnTo>
                            <a:lnTo>
                              <a:pt x="5274310" y="9143"/>
                            </a:lnTo>
                            <a:close/>
                          </a:path>
                        </a:pathLst>
                      </a:custGeom>
                      <a:solidFill>
                        <a:srgbClr val="000000"/>
                      </a:solidFill>
                    </wps:spPr>
                    <wps:bodyPr wrap="square" lIns="0" tIns="0" rIns="0" bIns="0" rtlCol="0">
                      <a:noAutofit/>
                    </wps:bodyPr>
                  </wps:wsp>
                </a:graphicData>
              </a:graphic>
            </wp:anchor>
          </w:drawing>
        </mc:Choice>
        <mc:Fallback>
          <w:pict>
            <v:shape id="Graphic 3" o:spid="_x0000_s1026" o:spt="100" style="position:absolute;left:0pt;margin-left:90pt;margin-top:55.2pt;height:0.75pt;width:415.3pt;mso-position-horizontal-relative:page;mso-position-vertical-relative:page;z-index:-251656192;mso-width-relative:page;mso-height-relative:page;" fillcolor="#000000" filled="t" stroked="f" coordsize="5274310,9525" o:gfxdata="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VFI5b9kA&#10;AAAMAQAADwAAAAAAAAABACAAAAAiAAAAZHJzL2Rvd25yZXYueG1sUEsBAhQAFAAAAAgAh07iQPpq&#10;M8EeAgAA3wQAAA4AAAAAAAAAAQAgAAAAKAEAAGRycy9lMm9Eb2MueG1sUEsFBgAAAAAGAAYAWQEA&#10;ALgFAAAAAA==&#10;" path="m5274310,9143l0,9143,0,0,5274310,0,5274310,9143xe">
              <v:fill on="t" focussize="0,0"/>
              <v:stroke on="f"/>
              <v:imagedata o:title=""/>
              <o:lock v:ext="edit" aspectratio="f"/>
              <v:textbox inset="0mm,0mm,0mm,0mm"/>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ind w:left="0"/>
      <w:rPr>
        <w:sz w:val="20"/>
      </w:rPr>
    </w:pPr>
    <w:r>
      <mc:AlternateContent>
        <mc:Choice Requires="wps">
          <w:drawing>
            <wp:anchor distT="0" distB="0" distL="0" distR="0" simplePos="0" relativeHeight="251662336" behindDoc="1" locked="0" layoutInCell="1" allowOverlap="1">
              <wp:simplePos x="0" y="0"/>
              <wp:positionH relativeFrom="page">
                <wp:posOffset>1140460</wp:posOffset>
              </wp:positionH>
              <wp:positionV relativeFrom="page">
                <wp:posOffset>701040</wp:posOffset>
              </wp:positionV>
              <wp:extent cx="5277485" cy="9525"/>
              <wp:effectExtent l="0" t="0" r="0" b="0"/>
              <wp:wrapNone/>
              <wp:docPr id="11" name="Graphic 11"/>
              <wp:cNvGraphicFramePr/>
              <a:graphic xmlns:a="http://schemas.openxmlformats.org/drawingml/2006/main">
                <a:graphicData uri="http://schemas.microsoft.com/office/word/2010/wordprocessingShape">
                  <wps:wsp>
                    <wps:cNvSpPr/>
                    <wps:spPr>
                      <a:xfrm>
                        <a:off x="0" y="0"/>
                        <a:ext cx="5277485" cy="9525"/>
                      </a:xfrm>
                      <a:custGeom>
                        <a:avLst/>
                        <a:gdLst/>
                        <a:ahLst/>
                        <a:cxnLst/>
                        <a:rect l="l" t="t" r="r" b="b"/>
                        <a:pathLst>
                          <a:path w="5277485" h="9525">
                            <a:moveTo>
                              <a:pt x="5277484" y="9143"/>
                            </a:moveTo>
                            <a:lnTo>
                              <a:pt x="0" y="9143"/>
                            </a:lnTo>
                            <a:lnTo>
                              <a:pt x="0" y="0"/>
                            </a:lnTo>
                            <a:lnTo>
                              <a:pt x="5277484" y="0"/>
                            </a:lnTo>
                            <a:lnTo>
                              <a:pt x="5277484" y="9143"/>
                            </a:lnTo>
                            <a:close/>
                          </a:path>
                        </a:pathLst>
                      </a:custGeom>
                      <a:solidFill>
                        <a:srgbClr val="000000"/>
                      </a:solidFill>
                    </wps:spPr>
                    <wps:bodyPr wrap="square" lIns="0" tIns="0" rIns="0" bIns="0" rtlCol="0">
                      <a:noAutofit/>
                    </wps:bodyPr>
                  </wps:wsp>
                </a:graphicData>
              </a:graphic>
            </wp:anchor>
          </w:drawing>
        </mc:Choice>
        <mc:Fallback>
          <w:pict>
            <v:shape id="Graphic 11" o:spid="_x0000_s1026" o:spt="100" style="position:absolute;left:0pt;margin-left:89.8pt;margin-top:55.2pt;height:0.75pt;width:415.55pt;mso-position-horizontal-relative:page;mso-position-vertical-relative:page;z-index:-251654144;mso-width-relative:page;mso-height-relative:page;" fillcolor="#000000" filled="t" stroked="f" coordsize="5277485,9525" o:gfxdata="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yxKr7&#10;2AAAAAwBAAAPAAAAAAAAAAEAIAAAACIAAABkcnMvZG93bnJldi54bWxQSwECFAAUAAAACACHTuJA&#10;dHj6ICECAADhBAAADgAAAAAAAAABACAAAAAnAQAAZHJzL2Uyb0RvYy54bWxQSwUGAAAAAAYABgBZ&#10;AQAAugUAAAAA&#10;" path="m5277484,9143l0,9143,0,0,5277484,0,5277484,9143xe">
              <v:fill on="t" focussize="0,0"/>
              <v:stroke on="f"/>
              <v:imagedata o:title=""/>
              <o:lock v:ext="edit" aspectratio="f"/>
              <v:textbox inset="0mm,0mm,0mm,0mm"/>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ind w:left="0"/>
      <w:rPr>
        <w:sz w:val="20"/>
      </w:rPr>
    </w:pPr>
    <w:r>
      <mc:AlternateContent>
        <mc:Choice Requires="wps">
          <w:drawing>
            <wp:anchor distT="0" distB="0" distL="0" distR="0" simplePos="0" relativeHeight="251664384" behindDoc="1" locked="0" layoutInCell="1" allowOverlap="1">
              <wp:simplePos x="0" y="0"/>
              <wp:positionH relativeFrom="page">
                <wp:posOffset>1143000</wp:posOffset>
              </wp:positionH>
              <wp:positionV relativeFrom="page">
                <wp:posOffset>701040</wp:posOffset>
              </wp:positionV>
              <wp:extent cx="5274310" cy="9525"/>
              <wp:effectExtent l="0" t="0" r="0" b="0"/>
              <wp:wrapNone/>
              <wp:docPr id="25" name="Graphic 25"/>
              <wp:cNvGraphicFramePr/>
              <a:graphic xmlns:a="http://schemas.openxmlformats.org/drawingml/2006/main">
                <a:graphicData uri="http://schemas.microsoft.com/office/word/2010/wordprocessingShape">
                  <wps:wsp>
                    <wps:cNvSpPr/>
                    <wps:spPr>
                      <a:xfrm>
                        <a:off x="0" y="0"/>
                        <a:ext cx="5274310" cy="9525"/>
                      </a:xfrm>
                      <a:custGeom>
                        <a:avLst/>
                        <a:gdLst/>
                        <a:ahLst/>
                        <a:cxnLst/>
                        <a:rect l="l" t="t" r="r" b="b"/>
                        <a:pathLst>
                          <a:path w="5274310" h="9525">
                            <a:moveTo>
                              <a:pt x="5274310" y="9143"/>
                            </a:moveTo>
                            <a:lnTo>
                              <a:pt x="0" y="9143"/>
                            </a:lnTo>
                            <a:lnTo>
                              <a:pt x="0" y="0"/>
                            </a:lnTo>
                            <a:lnTo>
                              <a:pt x="5274310" y="0"/>
                            </a:lnTo>
                            <a:lnTo>
                              <a:pt x="5274310" y="9143"/>
                            </a:lnTo>
                            <a:close/>
                          </a:path>
                        </a:pathLst>
                      </a:custGeom>
                      <a:solidFill>
                        <a:srgbClr val="000000"/>
                      </a:solidFill>
                    </wps:spPr>
                    <wps:bodyPr wrap="square" lIns="0" tIns="0" rIns="0" bIns="0" rtlCol="0">
                      <a:noAutofit/>
                    </wps:bodyPr>
                  </wps:wsp>
                </a:graphicData>
              </a:graphic>
            </wp:anchor>
          </w:drawing>
        </mc:Choice>
        <mc:Fallback>
          <w:pict>
            <v:shape id="Graphic 25" o:spid="_x0000_s1026" o:spt="100" style="position:absolute;left:0pt;margin-left:90pt;margin-top:55.2pt;height:0.75pt;width:415.3pt;mso-position-horizontal-relative:page;mso-position-vertical-relative:page;z-index:-251652096;mso-width-relative:page;mso-height-relative:page;" fillcolor="#000000" filled="t" stroked="f" coordsize="5274310,9525" o:gfxdata="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VFI5b9kA&#10;AAAMAQAADwAAAAAAAAABACAAAAAiAAAAZHJzL2Rvd25yZXYueG1sUEsBAhQAFAAAAAgAh07iQJjh&#10;tRYeAgAA4QQAAA4AAAAAAAAAAQAgAAAAKAEAAGRycy9lMm9Eb2MueG1sUEsFBgAAAAAGAAYAWQEA&#10;ALgFAAAAAA==&#10;" path="m5274310,9143l0,9143,0,0,5274310,0,5274310,9143xe">
              <v:fill on="t" focussize="0,0"/>
              <v:stroke on="f"/>
              <v:imagedata o:title=""/>
              <o:lock v:ext="edit" aspectratio="f"/>
              <v:textbox inset="0mm,0mm,0mm,0mm"/>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ind w:left="0"/>
      <w:rPr>
        <w:sz w:val="20"/>
      </w:rPr>
    </w:pPr>
    <w:r>
      <mc:AlternateContent>
        <mc:Choice Requires="wps">
          <w:drawing>
            <wp:anchor distT="0" distB="0" distL="0" distR="0" simplePos="0" relativeHeight="251665408" behindDoc="1" locked="0" layoutInCell="1" allowOverlap="1">
              <wp:simplePos x="0" y="0"/>
              <wp:positionH relativeFrom="page">
                <wp:posOffset>1143000</wp:posOffset>
              </wp:positionH>
              <wp:positionV relativeFrom="page">
                <wp:posOffset>701040</wp:posOffset>
              </wp:positionV>
              <wp:extent cx="5274310" cy="9525"/>
              <wp:effectExtent l="0" t="0" r="0" b="0"/>
              <wp:wrapNone/>
              <wp:docPr id="31" name="Graphic 31"/>
              <wp:cNvGraphicFramePr/>
              <a:graphic xmlns:a="http://schemas.openxmlformats.org/drawingml/2006/main">
                <a:graphicData uri="http://schemas.microsoft.com/office/word/2010/wordprocessingShape">
                  <wps:wsp>
                    <wps:cNvSpPr/>
                    <wps:spPr>
                      <a:xfrm>
                        <a:off x="0" y="0"/>
                        <a:ext cx="5274310" cy="9525"/>
                      </a:xfrm>
                      <a:custGeom>
                        <a:avLst/>
                        <a:gdLst/>
                        <a:ahLst/>
                        <a:cxnLst/>
                        <a:rect l="l" t="t" r="r" b="b"/>
                        <a:pathLst>
                          <a:path w="5274310" h="9525">
                            <a:moveTo>
                              <a:pt x="5274310" y="9143"/>
                            </a:moveTo>
                            <a:lnTo>
                              <a:pt x="0" y="9143"/>
                            </a:lnTo>
                            <a:lnTo>
                              <a:pt x="0" y="0"/>
                            </a:lnTo>
                            <a:lnTo>
                              <a:pt x="5274310" y="0"/>
                            </a:lnTo>
                            <a:lnTo>
                              <a:pt x="5274310" y="9143"/>
                            </a:lnTo>
                            <a:close/>
                          </a:path>
                        </a:pathLst>
                      </a:custGeom>
                      <a:solidFill>
                        <a:srgbClr val="000000"/>
                      </a:solidFill>
                    </wps:spPr>
                    <wps:bodyPr wrap="square" lIns="0" tIns="0" rIns="0" bIns="0" rtlCol="0">
                      <a:noAutofit/>
                    </wps:bodyPr>
                  </wps:wsp>
                </a:graphicData>
              </a:graphic>
            </wp:anchor>
          </w:drawing>
        </mc:Choice>
        <mc:Fallback>
          <w:pict>
            <v:shape id="Graphic 31" o:spid="_x0000_s1026" o:spt="100" style="position:absolute;left:0pt;margin-left:90pt;margin-top:55.2pt;height:0.75pt;width:415.3pt;mso-position-horizontal-relative:page;mso-position-vertical-relative:page;z-index:-251651072;mso-width-relative:page;mso-height-relative:page;" fillcolor="#000000" filled="t" stroked="f" coordsize="5274310,9525" o:gfxdata="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RSOW/Z&#10;AAAADAEAAA8AAAAAAAAAAQAgAAAAIgAAAGRycy9kb3ducmV2LnhtbFBLAQIUABQAAAAIAIdO4kAC&#10;bqOwHwIAAOEEAAAOAAAAAAAAAAEAIAAAACgBAABkcnMvZTJvRG9jLnhtbFBLBQYAAAAABgAGAFkB&#10;AAC5BQAAAAA=&#10;" path="m5274310,9143l0,9143,0,0,5274310,0,5274310,9143xe">
              <v:fill on="t" focussize="0,0"/>
              <v:stroke on="f"/>
              <v:imagedata o:title=""/>
              <o:lock v:ext="edit" aspectratio="f"/>
              <v:textbox inset="0mm,0mm,0mm,0mm"/>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ind w:left="0"/>
      <w:rPr>
        <w:sz w:val="20"/>
      </w:rPr>
    </w:pPr>
    <w:r>
      <mc:AlternateContent>
        <mc:Choice Requires="wps">
          <w:drawing>
            <wp:anchor distT="0" distB="0" distL="0" distR="0" simplePos="0" relativeHeight="251667456" behindDoc="1" locked="0" layoutInCell="1" allowOverlap="1">
              <wp:simplePos x="0" y="0"/>
              <wp:positionH relativeFrom="page">
                <wp:posOffset>1143000</wp:posOffset>
              </wp:positionH>
              <wp:positionV relativeFrom="page">
                <wp:posOffset>701040</wp:posOffset>
              </wp:positionV>
              <wp:extent cx="5274310" cy="9525"/>
              <wp:effectExtent l="0" t="0" r="0" b="0"/>
              <wp:wrapNone/>
              <wp:docPr id="34" name="Graphic 34"/>
              <wp:cNvGraphicFramePr/>
              <a:graphic xmlns:a="http://schemas.openxmlformats.org/drawingml/2006/main">
                <a:graphicData uri="http://schemas.microsoft.com/office/word/2010/wordprocessingShape">
                  <wps:wsp>
                    <wps:cNvSpPr/>
                    <wps:spPr>
                      <a:xfrm>
                        <a:off x="0" y="0"/>
                        <a:ext cx="5274310" cy="9525"/>
                      </a:xfrm>
                      <a:custGeom>
                        <a:avLst/>
                        <a:gdLst/>
                        <a:ahLst/>
                        <a:cxnLst/>
                        <a:rect l="l" t="t" r="r" b="b"/>
                        <a:pathLst>
                          <a:path w="5274310" h="9525">
                            <a:moveTo>
                              <a:pt x="5274310" y="9143"/>
                            </a:moveTo>
                            <a:lnTo>
                              <a:pt x="0" y="9143"/>
                            </a:lnTo>
                            <a:lnTo>
                              <a:pt x="0" y="0"/>
                            </a:lnTo>
                            <a:lnTo>
                              <a:pt x="5274310" y="0"/>
                            </a:lnTo>
                            <a:lnTo>
                              <a:pt x="5274310" y="9143"/>
                            </a:lnTo>
                            <a:close/>
                          </a:path>
                        </a:pathLst>
                      </a:custGeom>
                      <a:solidFill>
                        <a:srgbClr val="000000"/>
                      </a:solidFill>
                    </wps:spPr>
                    <wps:bodyPr wrap="square" lIns="0" tIns="0" rIns="0" bIns="0" rtlCol="0">
                      <a:noAutofit/>
                    </wps:bodyPr>
                  </wps:wsp>
                </a:graphicData>
              </a:graphic>
            </wp:anchor>
          </w:drawing>
        </mc:Choice>
        <mc:Fallback>
          <w:pict>
            <v:shape id="Graphic 34" o:spid="_x0000_s1026" o:spt="100" style="position:absolute;left:0pt;margin-left:90pt;margin-top:55.2pt;height:0.75pt;width:415.3pt;mso-position-horizontal-relative:page;mso-position-vertical-relative:page;z-index:-251649024;mso-width-relative:page;mso-height-relative:page;" fillcolor="#000000" filled="t" stroked="f" coordsize="5274310,9525" o:gfxdata="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VFI5b9kA&#10;AAAMAQAADwAAAAAAAAABACAAAAAiAAAAZHJzL2Rvd25yZXYueG1sUEsBAhQAFAAAAAgAh07iQJJb&#10;XZgeAgAA4QQAAA4AAAAAAAAAAQAgAAAAKAEAAGRycy9lMm9Eb2MueG1sUEsFBgAAAAAGAAYAWQEA&#10;ALgFAAAAAA==&#10;" path="m5274310,9143l0,9143,0,0,5274310,0,5274310,9143xe">
              <v:fill on="t" focussize="0,0"/>
              <v:stroke on="f"/>
              <v:imagedata o:title=""/>
              <o:lock v:ext="edit" aspectratio="f"/>
              <v:textbox inset="0mm,0mm,0mm,0mm"/>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29"/>
      <w:numFmt w:val="decimal"/>
      <w:lvlText w:val="%1"/>
      <w:lvlJc w:val="left"/>
      <w:pPr>
        <w:ind w:left="1860" w:hanging="600"/>
      </w:pPr>
      <w:rPr>
        <w:rFonts w:hint="default"/>
        <w:lang w:val="en-US" w:eastAsia="zh-CN" w:bidi="ar-SA"/>
      </w:rPr>
    </w:lvl>
    <w:lvl w:ilvl="1" w:tentative="0">
      <w:start w:val="1"/>
      <w:numFmt w:val="decimal"/>
      <w:lvlText w:val="%1.%2"/>
      <w:lvlJc w:val="left"/>
      <w:pPr>
        <w:ind w:left="1860" w:hanging="600"/>
      </w:pPr>
      <w:rPr>
        <w:rFonts w:hint="default" w:ascii="宋体" w:hAnsi="宋体" w:eastAsia="宋体" w:cs="宋体"/>
        <w:b w:val="0"/>
        <w:bCs w:val="0"/>
        <w:i w:val="0"/>
        <w:iCs w:val="0"/>
        <w:spacing w:val="0"/>
        <w:w w:val="100"/>
        <w:sz w:val="24"/>
        <w:szCs w:val="24"/>
        <w:lang w:val="en-US" w:eastAsia="zh-CN" w:bidi="ar-SA"/>
      </w:rPr>
    </w:lvl>
    <w:lvl w:ilvl="2" w:tentative="0">
      <w:start w:val="1"/>
      <w:numFmt w:val="decimal"/>
      <w:lvlText w:val="%1.%2.%3"/>
      <w:lvlJc w:val="left"/>
      <w:pPr>
        <w:ind w:left="780" w:hanging="780"/>
      </w:pPr>
      <w:rPr>
        <w:rFonts w:hint="default" w:ascii="宋体" w:hAnsi="宋体" w:eastAsia="宋体" w:cs="宋体"/>
        <w:b w:val="0"/>
        <w:bCs w:val="0"/>
        <w:i w:val="0"/>
        <w:iCs w:val="0"/>
        <w:spacing w:val="0"/>
        <w:w w:val="100"/>
        <w:sz w:val="24"/>
        <w:szCs w:val="24"/>
        <w:lang w:val="en-US" w:eastAsia="zh-CN" w:bidi="ar-SA"/>
      </w:rPr>
    </w:lvl>
    <w:lvl w:ilvl="3" w:tentative="0">
      <w:start w:val="0"/>
      <w:numFmt w:val="bullet"/>
      <w:lvlText w:val="•"/>
      <w:lvlJc w:val="left"/>
      <w:pPr>
        <w:ind w:left="3639" w:hanging="780"/>
      </w:pPr>
      <w:rPr>
        <w:rFonts w:hint="default"/>
        <w:lang w:val="en-US" w:eastAsia="zh-CN" w:bidi="ar-SA"/>
      </w:rPr>
    </w:lvl>
    <w:lvl w:ilvl="4" w:tentative="0">
      <w:start w:val="0"/>
      <w:numFmt w:val="bullet"/>
      <w:lvlText w:val="•"/>
      <w:lvlJc w:val="left"/>
      <w:pPr>
        <w:ind w:left="4528" w:hanging="780"/>
      </w:pPr>
      <w:rPr>
        <w:rFonts w:hint="default"/>
        <w:lang w:val="en-US" w:eastAsia="zh-CN" w:bidi="ar-SA"/>
      </w:rPr>
    </w:lvl>
    <w:lvl w:ilvl="5" w:tentative="0">
      <w:start w:val="0"/>
      <w:numFmt w:val="bullet"/>
      <w:lvlText w:val="•"/>
      <w:lvlJc w:val="left"/>
      <w:pPr>
        <w:ind w:left="5418" w:hanging="780"/>
      </w:pPr>
      <w:rPr>
        <w:rFonts w:hint="default"/>
        <w:lang w:val="en-US" w:eastAsia="zh-CN" w:bidi="ar-SA"/>
      </w:rPr>
    </w:lvl>
    <w:lvl w:ilvl="6" w:tentative="0">
      <w:start w:val="0"/>
      <w:numFmt w:val="bullet"/>
      <w:lvlText w:val="•"/>
      <w:lvlJc w:val="left"/>
      <w:pPr>
        <w:ind w:left="6307" w:hanging="780"/>
      </w:pPr>
      <w:rPr>
        <w:rFonts w:hint="default"/>
        <w:lang w:val="en-US" w:eastAsia="zh-CN" w:bidi="ar-SA"/>
      </w:rPr>
    </w:lvl>
    <w:lvl w:ilvl="7" w:tentative="0">
      <w:start w:val="0"/>
      <w:numFmt w:val="bullet"/>
      <w:lvlText w:val="•"/>
      <w:lvlJc w:val="left"/>
      <w:pPr>
        <w:ind w:left="7197" w:hanging="780"/>
      </w:pPr>
      <w:rPr>
        <w:rFonts w:hint="default"/>
        <w:lang w:val="en-US" w:eastAsia="zh-CN" w:bidi="ar-SA"/>
      </w:rPr>
    </w:lvl>
    <w:lvl w:ilvl="8" w:tentative="0">
      <w:start w:val="0"/>
      <w:numFmt w:val="bullet"/>
      <w:lvlText w:val="•"/>
      <w:lvlJc w:val="left"/>
      <w:pPr>
        <w:ind w:left="8086" w:hanging="780"/>
      </w:pPr>
      <w:rPr>
        <w:rFonts w:hint="default"/>
        <w:lang w:val="en-US" w:eastAsia="zh-CN" w:bidi="ar-SA"/>
      </w:rPr>
    </w:lvl>
  </w:abstractNum>
  <w:abstractNum w:abstractNumId="1">
    <w:nsid w:val="845B5372"/>
    <w:multiLevelType w:val="multilevel"/>
    <w:tmpl w:val="845B5372"/>
    <w:lvl w:ilvl="0" w:tentative="0">
      <w:start w:val="1"/>
      <w:numFmt w:val="decimal"/>
      <w:lvlText w:val="（%1）"/>
      <w:lvlJc w:val="left"/>
      <w:pPr>
        <w:ind w:left="780" w:hanging="601"/>
      </w:pPr>
      <w:rPr>
        <w:rFonts w:hint="default" w:ascii="宋体" w:hAnsi="宋体" w:eastAsia="宋体" w:cs="宋体"/>
        <w:b w:val="0"/>
        <w:bCs w:val="0"/>
        <w:i w:val="0"/>
        <w:iCs w:val="0"/>
        <w:spacing w:val="0"/>
        <w:w w:val="100"/>
        <w:sz w:val="22"/>
        <w:szCs w:val="22"/>
        <w:lang w:val="en-US" w:eastAsia="zh-CN" w:bidi="ar-SA"/>
      </w:rPr>
    </w:lvl>
    <w:lvl w:ilvl="1" w:tentative="0">
      <w:start w:val="0"/>
      <w:numFmt w:val="bullet"/>
      <w:lvlText w:val="•"/>
      <w:lvlJc w:val="left"/>
      <w:pPr>
        <w:ind w:left="1688" w:hanging="601"/>
      </w:pPr>
      <w:rPr>
        <w:rFonts w:hint="default"/>
        <w:lang w:val="en-US" w:eastAsia="zh-CN" w:bidi="ar-SA"/>
      </w:rPr>
    </w:lvl>
    <w:lvl w:ilvl="2" w:tentative="0">
      <w:start w:val="0"/>
      <w:numFmt w:val="bullet"/>
      <w:lvlText w:val="•"/>
      <w:lvlJc w:val="left"/>
      <w:pPr>
        <w:ind w:left="2597" w:hanging="601"/>
      </w:pPr>
      <w:rPr>
        <w:rFonts w:hint="default"/>
        <w:lang w:val="en-US" w:eastAsia="zh-CN" w:bidi="ar-SA"/>
      </w:rPr>
    </w:lvl>
    <w:lvl w:ilvl="3" w:tentative="0">
      <w:start w:val="0"/>
      <w:numFmt w:val="bullet"/>
      <w:lvlText w:val="•"/>
      <w:lvlJc w:val="left"/>
      <w:pPr>
        <w:ind w:left="3505" w:hanging="601"/>
      </w:pPr>
      <w:rPr>
        <w:rFonts w:hint="default"/>
        <w:lang w:val="en-US" w:eastAsia="zh-CN" w:bidi="ar-SA"/>
      </w:rPr>
    </w:lvl>
    <w:lvl w:ilvl="4" w:tentative="0">
      <w:start w:val="0"/>
      <w:numFmt w:val="bullet"/>
      <w:lvlText w:val="•"/>
      <w:lvlJc w:val="left"/>
      <w:pPr>
        <w:ind w:left="4414" w:hanging="601"/>
      </w:pPr>
      <w:rPr>
        <w:rFonts w:hint="default"/>
        <w:lang w:val="en-US" w:eastAsia="zh-CN" w:bidi="ar-SA"/>
      </w:rPr>
    </w:lvl>
    <w:lvl w:ilvl="5" w:tentative="0">
      <w:start w:val="0"/>
      <w:numFmt w:val="bullet"/>
      <w:lvlText w:val="•"/>
      <w:lvlJc w:val="left"/>
      <w:pPr>
        <w:ind w:left="5323" w:hanging="601"/>
      </w:pPr>
      <w:rPr>
        <w:rFonts w:hint="default"/>
        <w:lang w:val="en-US" w:eastAsia="zh-CN" w:bidi="ar-SA"/>
      </w:rPr>
    </w:lvl>
    <w:lvl w:ilvl="6" w:tentative="0">
      <w:start w:val="0"/>
      <w:numFmt w:val="bullet"/>
      <w:lvlText w:val="•"/>
      <w:lvlJc w:val="left"/>
      <w:pPr>
        <w:ind w:left="6231" w:hanging="601"/>
      </w:pPr>
      <w:rPr>
        <w:rFonts w:hint="default"/>
        <w:lang w:val="en-US" w:eastAsia="zh-CN" w:bidi="ar-SA"/>
      </w:rPr>
    </w:lvl>
    <w:lvl w:ilvl="7" w:tentative="0">
      <w:start w:val="0"/>
      <w:numFmt w:val="bullet"/>
      <w:lvlText w:val="•"/>
      <w:lvlJc w:val="left"/>
      <w:pPr>
        <w:ind w:left="7140" w:hanging="601"/>
      </w:pPr>
      <w:rPr>
        <w:rFonts w:hint="default"/>
        <w:lang w:val="en-US" w:eastAsia="zh-CN" w:bidi="ar-SA"/>
      </w:rPr>
    </w:lvl>
    <w:lvl w:ilvl="8" w:tentative="0">
      <w:start w:val="0"/>
      <w:numFmt w:val="bullet"/>
      <w:lvlText w:val="•"/>
      <w:lvlJc w:val="left"/>
      <w:pPr>
        <w:ind w:left="8048" w:hanging="601"/>
      </w:pPr>
      <w:rPr>
        <w:rFonts w:hint="default"/>
        <w:lang w:val="en-US" w:eastAsia="zh-CN" w:bidi="ar-SA"/>
      </w:rPr>
    </w:lvl>
  </w:abstractNum>
  <w:abstractNum w:abstractNumId="2">
    <w:nsid w:val="8461FADE"/>
    <w:multiLevelType w:val="multilevel"/>
    <w:tmpl w:val="8461FADE"/>
    <w:lvl w:ilvl="0" w:tentative="0">
      <w:start w:val="28"/>
      <w:numFmt w:val="decimal"/>
      <w:lvlText w:val="%1"/>
      <w:lvlJc w:val="left"/>
      <w:pPr>
        <w:ind w:left="1860" w:hanging="600"/>
      </w:pPr>
      <w:rPr>
        <w:rFonts w:hint="default"/>
        <w:lang w:val="en-US" w:eastAsia="zh-CN" w:bidi="ar-SA"/>
      </w:rPr>
    </w:lvl>
    <w:lvl w:ilvl="1" w:tentative="0">
      <w:start w:val="1"/>
      <w:numFmt w:val="decimal"/>
      <w:lvlText w:val="%1.%2"/>
      <w:lvlJc w:val="left"/>
      <w:pPr>
        <w:ind w:left="1860" w:hanging="600"/>
      </w:pPr>
      <w:rPr>
        <w:rFonts w:hint="default" w:ascii="宋体" w:hAnsi="宋体" w:eastAsia="宋体" w:cs="宋体"/>
        <w:b w:val="0"/>
        <w:bCs w:val="0"/>
        <w:i w:val="0"/>
        <w:iCs w:val="0"/>
        <w:spacing w:val="0"/>
        <w:w w:val="100"/>
        <w:sz w:val="24"/>
        <w:szCs w:val="24"/>
        <w:lang w:val="en-US" w:eastAsia="zh-CN" w:bidi="ar-SA"/>
      </w:rPr>
    </w:lvl>
    <w:lvl w:ilvl="2" w:tentative="0">
      <w:start w:val="0"/>
      <w:numFmt w:val="bullet"/>
      <w:lvlText w:val="•"/>
      <w:lvlJc w:val="left"/>
      <w:pPr>
        <w:ind w:left="3461" w:hanging="600"/>
      </w:pPr>
      <w:rPr>
        <w:rFonts w:hint="default"/>
        <w:lang w:val="en-US" w:eastAsia="zh-CN" w:bidi="ar-SA"/>
      </w:rPr>
    </w:lvl>
    <w:lvl w:ilvl="3" w:tentative="0">
      <w:start w:val="0"/>
      <w:numFmt w:val="bullet"/>
      <w:lvlText w:val="•"/>
      <w:lvlJc w:val="left"/>
      <w:pPr>
        <w:ind w:left="4261" w:hanging="600"/>
      </w:pPr>
      <w:rPr>
        <w:rFonts w:hint="default"/>
        <w:lang w:val="en-US" w:eastAsia="zh-CN" w:bidi="ar-SA"/>
      </w:rPr>
    </w:lvl>
    <w:lvl w:ilvl="4" w:tentative="0">
      <w:start w:val="0"/>
      <w:numFmt w:val="bullet"/>
      <w:lvlText w:val="•"/>
      <w:lvlJc w:val="left"/>
      <w:pPr>
        <w:ind w:left="5062" w:hanging="600"/>
      </w:pPr>
      <w:rPr>
        <w:rFonts w:hint="default"/>
        <w:lang w:val="en-US" w:eastAsia="zh-CN" w:bidi="ar-SA"/>
      </w:rPr>
    </w:lvl>
    <w:lvl w:ilvl="5" w:tentative="0">
      <w:start w:val="0"/>
      <w:numFmt w:val="bullet"/>
      <w:lvlText w:val="•"/>
      <w:lvlJc w:val="left"/>
      <w:pPr>
        <w:ind w:left="5863" w:hanging="600"/>
      </w:pPr>
      <w:rPr>
        <w:rFonts w:hint="default"/>
        <w:lang w:val="en-US" w:eastAsia="zh-CN" w:bidi="ar-SA"/>
      </w:rPr>
    </w:lvl>
    <w:lvl w:ilvl="6" w:tentative="0">
      <w:start w:val="0"/>
      <w:numFmt w:val="bullet"/>
      <w:lvlText w:val="•"/>
      <w:lvlJc w:val="left"/>
      <w:pPr>
        <w:ind w:left="6663" w:hanging="600"/>
      </w:pPr>
      <w:rPr>
        <w:rFonts w:hint="default"/>
        <w:lang w:val="en-US" w:eastAsia="zh-CN" w:bidi="ar-SA"/>
      </w:rPr>
    </w:lvl>
    <w:lvl w:ilvl="7" w:tentative="0">
      <w:start w:val="0"/>
      <w:numFmt w:val="bullet"/>
      <w:lvlText w:val="•"/>
      <w:lvlJc w:val="left"/>
      <w:pPr>
        <w:ind w:left="7464" w:hanging="600"/>
      </w:pPr>
      <w:rPr>
        <w:rFonts w:hint="default"/>
        <w:lang w:val="en-US" w:eastAsia="zh-CN" w:bidi="ar-SA"/>
      </w:rPr>
    </w:lvl>
    <w:lvl w:ilvl="8" w:tentative="0">
      <w:start w:val="0"/>
      <w:numFmt w:val="bullet"/>
      <w:lvlText w:val="•"/>
      <w:lvlJc w:val="left"/>
      <w:pPr>
        <w:ind w:left="8264" w:hanging="600"/>
      </w:pPr>
      <w:rPr>
        <w:rFonts w:hint="default"/>
        <w:lang w:val="en-US" w:eastAsia="zh-CN" w:bidi="ar-SA"/>
      </w:rPr>
    </w:lvl>
  </w:abstractNum>
  <w:abstractNum w:abstractNumId="3">
    <w:nsid w:val="8CAEB125"/>
    <w:multiLevelType w:val="multilevel"/>
    <w:tmpl w:val="8CAEB125"/>
    <w:lvl w:ilvl="0" w:tentative="0">
      <w:start w:val="39"/>
      <w:numFmt w:val="decimal"/>
      <w:lvlText w:val="%1"/>
      <w:lvlJc w:val="left"/>
      <w:pPr>
        <w:ind w:left="780" w:hanging="540"/>
      </w:pPr>
      <w:rPr>
        <w:rFonts w:hint="default"/>
        <w:lang w:val="en-US" w:eastAsia="zh-CN" w:bidi="ar-SA"/>
      </w:rPr>
    </w:lvl>
    <w:lvl w:ilvl="1" w:tentative="0">
      <w:start w:val="1"/>
      <w:numFmt w:val="decimal"/>
      <w:lvlText w:val="%1.%2"/>
      <w:lvlJc w:val="left"/>
      <w:pPr>
        <w:ind w:left="780" w:hanging="540"/>
      </w:pPr>
      <w:rPr>
        <w:rFonts w:hint="default" w:ascii="宋体" w:hAnsi="宋体" w:eastAsia="宋体" w:cs="宋体"/>
        <w:b w:val="0"/>
        <w:bCs w:val="0"/>
        <w:i w:val="0"/>
        <w:iCs w:val="0"/>
        <w:spacing w:val="0"/>
        <w:w w:val="100"/>
        <w:sz w:val="24"/>
        <w:szCs w:val="24"/>
        <w:lang w:val="en-US" w:eastAsia="zh-CN" w:bidi="ar-SA"/>
      </w:rPr>
    </w:lvl>
    <w:lvl w:ilvl="2" w:tentative="0">
      <w:start w:val="0"/>
      <w:numFmt w:val="bullet"/>
      <w:lvlText w:val="•"/>
      <w:lvlJc w:val="left"/>
      <w:pPr>
        <w:ind w:left="2597" w:hanging="540"/>
      </w:pPr>
      <w:rPr>
        <w:rFonts w:hint="default"/>
        <w:lang w:val="en-US" w:eastAsia="zh-CN" w:bidi="ar-SA"/>
      </w:rPr>
    </w:lvl>
    <w:lvl w:ilvl="3" w:tentative="0">
      <w:start w:val="0"/>
      <w:numFmt w:val="bullet"/>
      <w:lvlText w:val="•"/>
      <w:lvlJc w:val="left"/>
      <w:pPr>
        <w:ind w:left="3505" w:hanging="540"/>
      </w:pPr>
      <w:rPr>
        <w:rFonts w:hint="default"/>
        <w:lang w:val="en-US" w:eastAsia="zh-CN" w:bidi="ar-SA"/>
      </w:rPr>
    </w:lvl>
    <w:lvl w:ilvl="4" w:tentative="0">
      <w:start w:val="0"/>
      <w:numFmt w:val="bullet"/>
      <w:lvlText w:val="•"/>
      <w:lvlJc w:val="left"/>
      <w:pPr>
        <w:ind w:left="4414" w:hanging="540"/>
      </w:pPr>
      <w:rPr>
        <w:rFonts w:hint="default"/>
        <w:lang w:val="en-US" w:eastAsia="zh-CN" w:bidi="ar-SA"/>
      </w:rPr>
    </w:lvl>
    <w:lvl w:ilvl="5" w:tentative="0">
      <w:start w:val="0"/>
      <w:numFmt w:val="bullet"/>
      <w:lvlText w:val="•"/>
      <w:lvlJc w:val="left"/>
      <w:pPr>
        <w:ind w:left="5323" w:hanging="540"/>
      </w:pPr>
      <w:rPr>
        <w:rFonts w:hint="default"/>
        <w:lang w:val="en-US" w:eastAsia="zh-CN" w:bidi="ar-SA"/>
      </w:rPr>
    </w:lvl>
    <w:lvl w:ilvl="6" w:tentative="0">
      <w:start w:val="0"/>
      <w:numFmt w:val="bullet"/>
      <w:lvlText w:val="•"/>
      <w:lvlJc w:val="left"/>
      <w:pPr>
        <w:ind w:left="6231" w:hanging="540"/>
      </w:pPr>
      <w:rPr>
        <w:rFonts w:hint="default"/>
        <w:lang w:val="en-US" w:eastAsia="zh-CN" w:bidi="ar-SA"/>
      </w:rPr>
    </w:lvl>
    <w:lvl w:ilvl="7" w:tentative="0">
      <w:start w:val="0"/>
      <w:numFmt w:val="bullet"/>
      <w:lvlText w:val="•"/>
      <w:lvlJc w:val="left"/>
      <w:pPr>
        <w:ind w:left="7140" w:hanging="540"/>
      </w:pPr>
      <w:rPr>
        <w:rFonts w:hint="default"/>
        <w:lang w:val="en-US" w:eastAsia="zh-CN" w:bidi="ar-SA"/>
      </w:rPr>
    </w:lvl>
    <w:lvl w:ilvl="8" w:tentative="0">
      <w:start w:val="0"/>
      <w:numFmt w:val="bullet"/>
      <w:lvlText w:val="•"/>
      <w:lvlJc w:val="left"/>
      <w:pPr>
        <w:ind w:left="8048" w:hanging="540"/>
      </w:pPr>
      <w:rPr>
        <w:rFonts w:hint="default"/>
        <w:lang w:val="en-US" w:eastAsia="zh-CN" w:bidi="ar-SA"/>
      </w:rPr>
    </w:lvl>
  </w:abstractNum>
  <w:abstractNum w:abstractNumId="4">
    <w:nsid w:val="91995D4F"/>
    <w:multiLevelType w:val="multilevel"/>
    <w:tmpl w:val="91995D4F"/>
    <w:lvl w:ilvl="0" w:tentative="0">
      <w:start w:val="36"/>
      <w:numFmt w:val="decimal"/>
      <w:lvlText w:val="%1."/>
      <w:lvlJc w:val="left"/>
      <w:pPr>
        <w:ind w:left="1143" w:hanging="364"/>
      </w:pPr>
      <w:rPr>
        <w:rFonts w:hint="default" w:ascii="宋体" w:hAnsi="宋体" w:eastAsia="宋体" w:cs="宋体"/>
        <w:b/>
        <w:bCs/>
        <w:i w:val="0"/>
        <w:iCs w:val="0"/>
        <w:spacing w:val="0"/>
        <w:w w:val="99"/>
        <w:sz w:val="22"/>
        <w:szCs w:val="22"/>
        <w:lang w:val="en-US" w:eastAsia="zh-CN" w:bidi="ar-SA"/>
      </w:rPr>
    </w:lvl>
    <w:lvl w:ilvl="1" w:tentative="0">
      <w:start w:val="1"/>
      <w:numFmt w:val="decimal"/>
      <w:lvlText w:val="%1.%2"/>
      <w:lvlJc w:val="left"/>
      <w:pPr>
        <w:ind w:left="1800" w:hanging="540"/>
      </w:pPr>
      <w:rPr>
        <w:rFonts w:hint="default" w:ascii="宋体" w:hAnsi="宋体" w:eastAsia="宋体" w:cs="宋体"/>
        <w:b w:val="0"/>
        <w:bCs w:val="0"/>
        <w:i w:val="0"/>
        <w:iCs w:val="0"/>
        <w:spacing w:val="0"/>
        <w:w w:val="100"/>
        <w:sz w:val="24"/>
        <w:szCs w:val="24"/>
        <w:lang w:val="en-US" w:eastAsia="zh-CN" w:bidi="ar-SA"/>
      </w:rPr>
    </w:lvl>
    <w:lvl w:ilvl="2" w:tentative="0">
      <w:start w:val="0"/>
      <w:numFmt w:val="bullet"/>
      <w:lvlText w:val="•"/>
      <w:lvlJc w:val="left"/>
      <w:pPr>
        <w:ind w:left="2696" w:hanging="540"/>
      </w:pPr>
      <w:rPr>
        <w:rFonts w:hint="default"/>
        <w:lang w:val="en-US" w:eastAsia="zh-CN" w:bidi="ar-SA"/>
      </w:rPr>
    </w:lvl>
    <w:lvl w:ilvl="3" w:tentative="0">
      <w:start w:val="0"/>
      <w:numFmt w:val="bullet"/>
      <w:lvlText w:val="•"/>
      <w:lvlJc w:val="left"/>
      <w:pPr>
        <w:ind w:left="3592" w:hanging="540"/>
      </w:pPr>
      <w:rPr>
        <w:rFonts w:hint="default"/>
        <w:lang w:val="en-US" w:eastAsia="zh-CN" w:bidi="ar-SA"/>
      </w:rPr>
    </w:lvl>
    <w:lvl w:ilvl="4" w:tentative="0">
      <w:start w:val="0"/>
      <w:numFmt w:val="bullet"/>
      <w:lvlText w:val="•"/>
      <w:lvlJc w:val="left"/>
      <w:pPr>
        <w:ind w:left="4488" w:hanging="540"/>
      </w:pPr>
      <w:rPr>
        <w:rFonts w:hint="default"/>
        <w:lang w:val="en-US" w:eastAsia="zh-CN" w:bidi="ar-SA"/>
      </w:rPr>
    </w:lvl>
    <w:lvl w:ilvl="5" w:tentative="0">
      <w:start w:val="0"/>
      <w:numFmt w:val="bullet"/>
      <w:lvlText w:val="•"/>
      <w:lvlJc w:val="left"/>
      <w:pPr>
        <w:ind w:left="5384" w:hanging="540"/>
      </w:pPr>
      <w:rPr>
        <w:rFonts w:hint="default"/>
        <w:lang w:val="en-US" w:eastAsia="zh-CN" w:bidi="ar-SA"/>
      </w:rPr>
    </w:lvl>
    <w:lvl w:ilvl="6" w:tentative="0">
      <w:start w:val="0"/>
      <w:numFmt w:val="bullet"/>
      <w:lvlText w:val="•"/>
      <w:lvlJc w:val="left"/>
      <w:pPr>
        <w:ind w:left="6281" w:hanging="540"/>
      </w:pPr>
      <w:rPr>
        <w:rFonts w:hint="default"/>
        <w:lang w:val="en-US" w:eastAsia="zh-CN" w:bidi="ar-SA"/>
      </w:rPr>
    </w:lvl>
    <w:lvl w:ilvl="7" w:tentative="0">
      <w:start w:val="0"/>
      <w:numFmt w:val="bullet"/>
      <w:lvlText w:val="•"/>
      <w:lvlJc w:val="left"/>
      <w:pPr>
        <w:ind w:left="7177" w:hanging="540"/>
      </w:pPr>
      <w:rPr>
        <w:rFonts w:hint="default"/>
        <w:lang w:val="en-US" w:eastAsia="zh-CN" w:bidi="ar-SA"/>
      </w:rPr>
    </w:lvl>
    <w:lvl w:ilvl="8" w:tentative="0">
      <w:start w:val="0"/>
      <w:numFmt w:val="bullet"/>
      <w:lvlText w:val="•"/>
      <w:lvlJc w:val="left"/>
      <w:pPr>
        <w:ind w:left="8073" w:hanging="540"/>
      </w:pPr>
      <w:rPr>
        <w:rFonts w:hint="default"/>
        <w:lang w:val="en-US" w:eastAsia="zh-CN" w:bidi="ar-SA"/>
      </w:rPr>
    </w:lvl>
  </w:abstractNum>
  <w:abstractNum w:abstractNumId="5">
    <w:nsid w:val="9239341B"/>
    <w:multiLevelType w:val="multilevel"/>
    <w:tmpl w:val="9239341B"/>
    <w:lvl w:ilvl="0" w:tentative="0">
      <w:start w:val="1"/>
      <w:numFmt w:val="decimal"/>
      <w:lvlText w:val="%1."/>
      <w:lvlJc w:val="left"/>
      <w:pPr>
        <w:ind w:left="352" w:hanging="241"/>
      </w:pPr>
      <w:rPr>
        <w:rFonts w:hint="default" w:ascii="宋体" w:hAnsi="宋体" w:eastAsia="宋体" w:cs="宋体"/>
        <w:b w:val="0"/>
        <w:bCs w:val="0"/>
        <w:i w:val="0"/>
        <w:iCs w:val="0"/>
        <w:spacing w:val="0"/>
        <w:w w:val="99"/>
        <w:sz w:val="22"/>
        <w:szCs w:val="22"/>
        <w:lang w:val="en-US" w:eastAsia="zh-CN" w:bidi="ar-SA"/>
      </w:rPr>
    </w:lvl>
    <w:lvl w:ilvl="1" w:tentative="0">
      <w:start w:val="0"/>
      <w:numFmt w:val="bullet"/>
      <w:lvlText w:val="•"/>
      <w:lvlJc w:val="left"/>
      <w:pPr>
        <w:ind w:left="993" w:hanging="241"/>
      </w:pPr>
      <w:rPr>
        <w:rFonts w:hint="default"/>
        <w:lang w:val="en-US" w:eastAsia="zh-CN" w:bidi="ar-SA"/>
      </w:rPr>
    </w:lvl>
    <w:lvl w:ilvl="2" w:tentative="0">
      <w:start w:val="0"/>
      <w:numFmt w:val="bullet"/>
      <w:lvlText w:val="•"/>
      <w:lvlJc w:val="left"/>
      <w:pPr>
        <w:ind w:left="1627" w:hanging="241"/>
      </w:pPr>
      <w:rPr>
        <w:rFonts w:hint="default"/>
        <w:lang w:val="en-US" w:eastAsia="zh-CN" w:bidi="ar-SA"/>
      </w:rPr>
    </w:lvl>
    <w:lvl w:ilvl="3" w:tentative="0">
      <w:start w:val="0"/>
      <w:numFmt w:val="bullet"/>
      <w:lvlText w:val="•"/>
      <w:lvlJc w:val="left"/>
      <w:pPr>
        <w:ind w:left="2260" w:hanging="241"/>
      </w:pPr>
      <w:rPr>
        <w:rFonts w:hint="default"/>
        <w:lang w:val="en-US" w:eastAsia="zh-CN" w:bidi="ar-SA"/>
      </w:rPr>
    </w:lvl>
    <w:lvl w:ilvl="4" w:tentative="0">
      <w:start w:val="0"/>
      <w:numFmt w:val="bullet"/>
      <w:lvlText w:val="•"/>
      <w:lvlJc w:val="left"/>
      <w:pPr>
        <w:ind w:left="2894" w:hanging="241"/>
      </w:pPr>
      <w:rPr>
        <w:rFonts w:hint="default"/>
        <w:lang w:val="en-US" w:eastAsia="zh-CN" w:bidi="ar-SA"/>
      </w:rPr>
    </w:lvl>
    <w:lvl w:ilvl="5" w:tentative="0">
      <w:start w:val="0"/>
      <w:numFmt w:val="bullet"/>
      <w:lvlText w:val="•"/>
      <w:lvlJc w:val="left"/>
      <w:pPr>
        <w:ind w:left="3527" w:hanging="241"/>
      </w:pPr>
      <w:rPr>
        <w:rFonts w:hint="default"/>
        <w:lang w:val="en-US" w:eastAsia="zh-CN" w:bidi="ar-SA"/>
      </w:rPr>
    </w:lvl>
    <w:lvl w:ilvl="6" w:tentative="0">
      <w:start w:val="0"/>
      <w:numFmt w:val="bullet"/>
      <w:lvlText w:val="•"/>
      <w:lvlJc w:val="left"/>
      <w:pPr>
        <w:ind w:left="4161" w:hanging="241"/>
      </w:pPr>
      <w:rPr>
        <w:rFonts w:hint="default"/>
        <w:lang w:val="en-US" w:eastAsia="zh-CN" w:bidi="ar-SA"/>
      </w:rPr>
    </w:lvl>
    <w:lvl w:ilvl="7" w:tentative="0">
      <w:start w:val="0"/>
      <w:numFmt w:val="bullet"/>
      <w:lvlText w:val="•"/>
      <w:lvlJc w:val="left"/>
      <w:pPr>
        <w:ind w:left="4794" w:hanging="241"/>
      </w:pPr>
      <w:rPr>
        <w:rFonts w:hint="default"/>
        <w:lang w:val="en-US" w:eastAsia="zh-CN" w:bidi="ar-SA"/>
      </w:rPr>
    </w:lvl>
    <w:lvl w:ilvl="8" w:tentative="0">
      <w:start w:val="0"/>
      <w:numFmt w:val="bullet"/>
      <w:lvlText w:val="•"/>
      <w:lvlJc w:val="left"/>
      <w:pPr>
        <w:ind w:left="5428" w:hanging="241"/>
      </w:pPr>
      <w:rPr>
        <w:rFonts w:hint="default"/>
        <w:lang w:val="en-US" w:eastAsia="zh-CN" w:bidi="ar-SA"/>
      </w:rPr>
    </w:lvl>
  </w:abstractNum>
  <w:abstractNum w:abstractNumId="6">
    <w:nsid w:val="9288B902"/>
    <w:multiLevelType w:val="multilevel"/>
    <w:tmpl w:val="9288B902"/>
    <w:lvl w:ilvl="0" w:tentative="0">
      <w:start w:val="26"/>
      <w:numFmt w:val="decimal"/>
      <w:lvlText w:val="%1"/>
      <w:lvlJc w:val="left"/>
      <w:pPr>
        <w:ind w:left="1800" w:hanging="540"/>
      </w:pPr>
      <w:rPr>
        <w:rFonts w:hint="default"/>
        <w:lang w:val="en-US" w:eastAsia="zh-CN" w:bidi="ar-SA"/>
      </w:rPr>
    </w:lvl>
    <w:lvl w:ilvl="1" w:tentative="0">
      <w:start w:val="1"/>
      <w:numFmt w:val="decimal"/>
      <w:lvlText w:val="%1.%2"/>
      <w:lvlJc w:val="left"/>
      <w:pPr>
        <w:ind w:left="1800" w:hanging="540"/>
      </w:pPr>
      <w:rPr>
        <w:rFonts w:hint="default" w:ascii="宋体" w:hAnsi="宋体" w:eastAsia="宋体" w:cs="宋体"/>
        <w:b w:val="0"/>
        <w:bCs w:val="0"/>
        <w:i w:val="0"/>
        <w:iCs w:val="0"/>
        <w:spacing w:val="0"/>
        <w:w w:val="100"/>
        <w:sz w:val="24"/>
        <w:szCs w:val="24"/>
        <w:lang w:val="en-US" w:eastAsia="zh-CN" w:bidi="ar-SA"/>
      </w:rPr>
    </w:lvl>
    <w:lvl w:ilvl="2" w:tentative="0">
      <w:start w:val="0"/>
      <w:numFmt w:val="bullet"/>
      <w:lvlText w:val="•"/>
      <w:lvlJc w:val="left"/>
      <w:pPr>
        <w:ind w:left="3413" w:hanging="540"/>
      </w:pPr>
      <w:rPr>
        <w:rFonts w:hint="default"/>
        <w:lang w:val="en-US" w:eastAsia="zh-CN" w:bidi="ar-SA"/>
      </w:rPr>
    </w:lvl>
    <w:lvl w:ilvl="3" w:tentative="0">
      <w:start w:val="0"/>
      <w:numFmt w:val="bullet"/>
      <w:lvlText w:val="•"/>
      <w:lvlJc w:val="left"/>
      <w:pPr>
        <w:ind w:left="4219" w:hanging="540"/>
      </w:pPr>
      <w:rPr>
        <w:rFonts w:hint="default"/>
        <w:lang w:val="en-US" w:eastAsia="zh-CN" w:bidi="ar-SA"/>
      </w:rPr>
    </w:lvl>
    <w:lvl w:ilvl="4" w:tentative="0">
      <w:start w:val="0"/>
      <w:numFmt w:val="bullet"/>
      <w:lvlText w:val="•"/>
      <w:lvlJc w:val="left"/>
      <w:pPr>
        <w:ind w:left="5026" w:hanging="540"/>
      </w:pPr>
      <w:rPr>
        <w:rFonts w:hint="default"/>
        <w:lang w:val="en-US" w:eastAsia="zh-CN" w:bidi="ar-SA"/>
      </w:rPr>
    </w:lvl>
    <w:lvl w:ilvl="5" w:tentative="0">
      <w:start w:val="0"/>
      <w:numFmt w:val="bullet"/>
      <w:lvlText w:val="•"/>
      <w:lvlJc w:val="left"/>
      <w:pPr>
        <w:ind w:left="5833" w:hanging="540"/>
      </w:pPr>
      <w:rPr>
        <w:rFonts w:hint="default"/>
        <w:lang w:val="en-US" w:eastAsia="zh-CN" w:bidi="ar-SA"/>
      </w:rPr>
    </w:lvl>
    <w:lvl w:ilvl="6" w:tentative="0">
      <w:start w:val="0"/>
      <w:numFmt w:val="bullet"/>
      <w:lvlText w:val="•"/>
      <w:lvlJc w:val="left"/>
      <w:pPr>
        <w:ind w:left="6639" w:hanging="540"/>
      </w:pPr>
      <w:rPr>
        <w:rFonts w:hint="default"/>
        <w:lang w:val="en-US" w:eastAsia="zh-CN" w:bidi="ar-SA"/>
      </w:rPr>
    </w:lvl>
    <w:lvl w:ilvl="7" w:tentative="0">
      <w:start w:val="0"/>
      <w:numFmt w:val="bullet"/>
      <w:lvlText w:val="•"/>
      <w:lvlJc w:val="left"/>
      <w:pPr>
        <w:ind w:left="7446" w:hanging="540"/>
      </w:pPr>
      <w:rPr>
        <w:rFonts w:hint="default"/>
        <w:lang w:val="en-US" w:eastAsia="zh-CN" w:bidi="ar-SA"/>
      </w:rPr>
    </w:lvl>
    <w:lvl w:ilvl="8" w:tentative="0">
      <w:start w:val="0"/>
      <w:numFmt w:val="bullet"/>
      <w:lvlText w:val="•"/>
      <w:lvlJc w:val="left"/>
      <w:pPr>
        <w:ind w:left="8252" w:hanging="540"/>
      </w:pPr>
      <w:rPr>
        <w:rFonts w:hint="default"/>
        <w:lang w:val="en-US" w:eastAsia="zh-CN" w:bidi="ar-SA"/>
      </w:rPr>
    </w:lvl>
  </w:abstractNum>
  <w:abstractNum w:abstractNumId="7">
    <w:nsid w:val="94226F74"/>
    <w:multiLevelType w:val="multilevel"/>
    <w:tmpl w:val="94226F74"/>
    <w:lvl w:ilvl="0" w:tentative="0">
      <w:start w:val="1"/>
      <w:numFmt w:val="decimal"/>
      <w:lvlText w:val="（%1）"/>
      <w:lvlJc w:val="left"/>
      <w:pPr>
        <w:ind w:left="780" w:hanging="601"/>
      </w:pPr>
      <w:rPr>
        <w:rFonts w:hint="default" w:ascii="宋体" w:hAnsi="宋体" w:eastAsia="宋体" w:cs="宋体"/>
        <w:b w:val="0"/>
        <w:bCs w:val="0"/>
        <w:i w:val="0"/>
        <w:iCs w:val="0"/>
        <w:spacing w:val="0"/>
        <w:w w:val="100"/>
        <w:sz w:val="22"/>
        <w:szCs w:val="22"/>
        <w:lang w:val="en-US" w:eastAsia="zh-CN" w:bidi="ar-SA"/>
      </w:rPr>
    </w:lvl>
    <w:lvl w:ilvl="1" w:tentative="0">
      <w:start w:val="0"/>
      <w:numFmt w:val="bullet"/>
      <w:lvlText w:val="•"/>
      <w:lvlJc w:val="left"/>
      <w:pPr>
        <w:ind w:left="1688" w:hanging="601"/>
      </w:pPr>
      <w:rPr>
        <w:rFonts w:hint="default"/>
        <w:lang w:val="en-US" w:eastAsia="zh-CN" w:bidi="ar-SA"/>
      </w:rPr>
    </w:lvl>
    <w:lvl w:ilvl="2" w:tentative="0">
      <w:start w:val="0"/>
      <w:numFmt w:val="bullet"/>
      <w:lvlText w:val="•"/>
      <w:lvlJc w:val="left"/>
      <w:pPr>
        <w:ind w:left="2597" w:hanging="601"/>
      </w:pPr>
      <w:rPr>
        <w:rFonts w:hint="default"/>
        <w:lang w:val="en-US" w:eastAsia="zh-CN" w:bidi="ar-SA"/>
      </w:rPr>
    </w:lvl>
    <w:lvl w:ilvl="3" w:tentative="0">
      <w:start w:val="0"/>
      <w:numFmt w:val="bullet"/>
      <w:lvlText w:val="•"/>
      <w:lvlJc w:val="left"/>
      <w:pPr>
        <w:ind w:left="3505" w:hanging="601"/>
      </w:pPr>
      <w:rPr>
        <w:rFonts w:hint="default"/>
        <w:lang w:val="en-US" w:eastAsia="zh-CN" w:bidi="ar-SA"/>
      </w:rPr>
    </w:lvl>
    <w:lvl w:ilvl="4" w:tentative="0">
      <w:start w:val="0"/>
      <w:numFmt w:val="bullet"/>
      <w:lvlText w:val="•"/>
      <w:lvlJc w:val="left"/>
      <w:pPr>
        <w:ind w:left="4414" w:hanging="601"/>
      </w:pPr>
      <w:rPr>
        <w:rFonts w:hint="default"/>
        <w:lang w:val="en-US" w:eastAsia="zh-CN" w:bidi="ar-SA"/>
      </w:rPr>
    </w:lvl>
    <w:lvl w:ilvl="5" w:tentative="0">
      <w:start w:val="0"/>
      <w:numFmt w:val="bullet"/>
      <w:lvlText w:val="•"/>
      <w:lvlJc w:val="left"/>
      <w:pPr>
        <w:ind w:left="5323" w:hanging="601"/>
      </w:pPr>
      <w:rPr>
        <w:rFonts w:hint="default"/>
        <w:lang w:val="en-US" w:eastAsia="zh-CN" w:bidi="ar-SA"/>
      </w:rPr>
    </w:lvl>
    <w:lvl w:ilvl="6" w:tentative="0">
      <w:start w:val="0"/>
      <w:numFmt w:val="bullet"/>
      <w:lvlText w:val="•"/>
      <w:lvlJc w:val="left"/>
      <w:pPr>
        <w:ind w:left="6231" w:hanging="601"/>
      </w:pPr>
      <w:rPr>
        <w:rFonts w:hint="default"/>
        <w:lang w:val="en-US" w:eastAsia="zh-CN" w:bidi="ar-SA"/>
      </w:rPr>
    </w:lvl>
    <w:lvl w:ilvl="7" w:tentative="0">
      <w:start w:val="0"/>
      <w:numFmt w:val="bullet"/>
      <w:lvlText w:val="•"/>
      <w:lvlJc w:val="left"/>
      <w:pPr>
        <w:ind w:left="7140" w:hanging="601"/>
      </w:pPr>
      <w:rPr>
        <w:rFonts w:hint="default"/>
        <w:lang w:val="en-US" w:eastAsia="zh-CN" w:bidi="ar-SA"/>
      </w:rPr>
    </w:lvl>
    <w:lvl w:ilvl="8" w:tentative="0">
      <w:start w:val="0"/>
      <w:numFmt w:val="bullet"/>
      <w:lvlText w:val="•"/>
      <w:lvlJc w:val="left"/>
      <w:pPr>
        <w:ind w:left="8048" w:hanging="601"/>
      </w:pPr>
      <w:rPr>
        <w:rFonts w:hint="default"/>
        <w:lang w:val="en-US" w:eastAsia="zh-CN" w:bidi="ar-SA"/>
      </w:rPr>
    </w:lvl>
  </w:abstractNum>
  <w:abstractNum w:abstractNumId="8">
    <w:nsid w:val="9C8AC8EF"/>
    <w:multiLevelType w:val="multilevel"/>
    <w:tmpl w:val="9C8AC8EF"/>
    <w:lvl w:ilvl="0" w:tentative="0">
      <w:start w:val="11"/>
      <w:numFmt w:val="decimal"/>
      <w:lvlText w:val="%1"/>
      <w:lvlJc w:val="left"/>
      <w:pPr>
        <w:ind w:left="780" w:hanging="540"/>
      </w:pPr>
      <w:rPr>
        <w:rFonts w:hint="default"/>
        <w:lang w:val="en-US" w:eastAsia="zh-CN" w:bidi="ar-SA"/>
      </w:rPr>
    </w:lvl>
    <w:lvl w:ilvl="1" w:tentative="0">
      <w:start w:val="1"/>
      <w:numFmt w:val="decimal"/>
      <w:lvlText w:val="%1.%2"/>
      <w:lvlJc w:val="left"/>
      <w:pPr>
        <w:ind w:left="780" w:hanging="540"/>
      </w:pPr>
      <w:rPr>
        <w:rFonts w:hint="default" w:ascii="宋体" w:hAnsi="宋体" w:eastAsia="宋体" w:cs="宋体"/>
        <w:b w:val="0"/>
        <w:bCs w:val="0"/>
        <w:i w:val="0"/>
        <w:iCs w:val="0"/>
        <w:spacing w:val="0"/>
        <w:w w:val="100"/>
        <w:sz w:val="24"/>
        <w:szCs w:val="24"/>
        <w:lang w:val="en-US" w:eastAsia="zh-CN" w:bidi="ar-SA"/>
      </w:rPr>
    </w:lvl>
    <w:lvl w:ilvl="2" w:tentative="0">
      <w:start w:val="0"/>
      <w:numFmt w:val="bullet"/>
      <w:lvlText w:val="•"/>
      <w:lvlJc w:val="left"/>
      <w:pPr>
        <w:ind w:left="2597" w:hanging="540"/>
      </w:pPr>
      <w:rPr>
        <w:rFonts w:hint="default"/>
        <w:lang w:val="en-US" w:eastAsia="zh-CN" w:bidi="ar-SA"/>
      </w:rPr>
    </w:lvl>
    <w:lvl w:ilvl="3" w:tentative="0">
      <w:start w:val="0"/>
      <w:numFmt w:val="bullet"/>
      <w:lvlText w:val="•"/>
      <w:lvlJc w:val="left"/>
      <w:pPr>
        <w:ind w:left="3505" w:hanging="540"/>
      </w:pPr>
      <w:rPr>
        <w:rFonts w:hint="default"/>
        <w:lang w:val="en-US" w:eastAsia="zh-CN" w:bidi="ar-SA"/>
      </w:rPr>
    </w:lvl>
    <w:lvl w:ilvl="4" w:tentative="0">
      <w:start w:val="0"/>
      <w:numFmt w:val="bullet"/>
      <w:lvlText w:val="•"/>
      <w:lvlJc w:val="left"/>
      <w:pPr>
        <w:ind w:left="4414" w:hanging="540"/>
      </w:pPr>
      <w:rPr>
        <w:rFonts w:hint="default"/>
        <w:lang w:val="en-US" w:eastAsia="zh-CN" w:bidi="ar-SA"/>
      </w:rPr>
    </w:lvl>
    <w:lvl w:ilvl="5" w:tentative="0">
      <w:start w:val="0"/>
      <w:numFmt w:val="bullet"/>
      <w:lvlText w:val="•"/>
      <w:lvlJc w:val="left"/>
      <w:pPr>
        <w:ind w:left="5323" w:hanging="540"/>
      </w:pPr>
      <w:rPr>
        <w:rFonts w:hint="default"/>
        <w:lang w:val="en-US" w:eastAsia="zh-CN" w:bidi="ar-SA"/>
      </w:rPr>
    </w:lvl>
    <w:lvl w:ilvl="6" w:tentative="0">
      <w:start w:val="0"/>
      <w:numFmt w:val="bullet"/>
      <w:lvlText w:val="•"/>
      <w:lvlJc w:val="left"/>
      <w:pPr>
        <w:ind w:left="6231" w:hanging="540"/>
      </w:pPr>
      <w:rPr>
        <w:rFonts w:hint="default"/>
        <w:lang w:val="en-US" w:eastAsia="zh-CN" w:bidi="ar-SA"/>
      </w:rPr>
    </w:lvl>
    <w:lvl w:ilvl="7" w:tentative="0">
      <w:start w:val="0"/>
      <w:numFmt w:val="bullet"/>
      <w:lvlText w:val="•"/>
      <w:lvlJc w:val="left"/>
      <w:pPr>
        <w:ind w:left="7140" w:hanging="540"/>
      </w:pPr>
      <w:rPr>
        <w:rFonts w:hint="default"/>
        <w:lang w:val="en-US" w:eastAsia="zh-CN" w:bidi="ar-SA"/>
      </w:rPr>
    </w:lvl>
    <w:lvl w:ilvl="8" w:tentative="0">
      <w:start w:val="0"/>
      <w:numFmt w:val="bullet"/>
      <w:lvlText w:val="•"/>
      <w:lvlJc w:val="left"/>
      <w:pPr>
        <w:ind w:left="8048" w:hanging="540"/>
      </w:pPr>
      <w:rPr>
        <w:rFonts w:hint="default"/>
        <w:lang w:val="en-US" w:eastAsia="zh-CN" w:bidi="ar-SA"/>
      </w:rPr>
    </w:lvl>
  </w:abstractNum>
  <w:abstractNum w:abstractNumId="9">
    <w:nsid w:val="A0C93552"/>
    <w:multiLevelType w:val="multilevel"/>
    <w:tmpl w:val="A0C93552"/>
    <w:lvl w:ilvl="0" w:tentative="0">
      <w:start w:val="2"/>
      <w:numFmt w:val="decimal"/>
      <w:lvlText w:val="%1."/>
      <w:lvlJc w:val="left"/>
      <w:pPr>
        <w:ind w:left="780" w:hanging="212"/>
      </w:pPr>
      <w:rPr>
        <w:rFonts w:hint="default" w:ascii="宋体" w:hAnsi="宋体" w:eastAsia="宋体" w:cs="宋体"/>
        <w:b w:val="0"/>
        <w:bCs w:val="0"/>
        <w:i w:val="0"/>
        <w:iCs w:val="0"/>
        <w:spacing w:val="-14"/>
        <w:w w:val="99"/>
        <w:sz w:val="19"/>
        <w:szCs w:val="19"/>
        <w:lang w:val="en-US" w:eastAsia="zh-CN" w:bidi="ar-SA"/>
      </w:rPr>
    </w:lvl>
    <w:lvl w:ilvl="1" w:tentative="0">
      <w:start w:val="0"/>
      <w:numFmt w:val="bullet"/>
      <w:lvlText w:val="•"/>
      <w:lvlJc w:val="left"/>
      <w:pPr>
        <w:ind w:left="1688" w:hanging="212"/>
      </w:pPr>
      <w:rPr>
        <w:rFonts w:hint="default"/>
        <w:lang w:val="en-US" w:eastAsia="zh-CN" w:bidi="ar-SA"/>
      </w:rPr>
    </w:lvl>
    <w:lvl w:ilvl="2" w:tentative="0">
      <w:start w:val="0"/>
      <w:numFmt w:val="bullet"/>
      <w:lvlText w:val="•"/>
      <w:lvlJc w:val="left"/>
      <w:pPr>
        <w:ind w:left="2597" w:hanging="212"/>
      </w:pPr>
      <w:rPr>
        <w:rFonts w:hint="default"/>
        <w:lang w:val="en-US" w:eastAsia="zh-CN" w:bidi="ar-SA"/>
      </w:rPr>
    </w:lvl>
    <w:lvl w:ilvl="3" w:tentative="0">
      <w:start w:val="0"/>
      <w:numFmt w:val="bullet"/>
      <w:lvlText w:val="•"/>
      <w:lvlJc w:val="left"/>
      <w:pPr>
        <w:ind w:left="3505" w:hanging="212"/>
      </w:pPr>
      <w:rPr>
        <w:rFonts w:hint="default"/>
        <w:lang w:val="en-US" w:eastAsia="zh-CN" w:bidi="ar-SA"/>
      </w:rPr>
    </w:lvl>
    <w:lvl w:ilvl="4" w:tentative="0">
      <w:start w:val="0"/>
      <w:numFmt w:val="bullet"/>
      <w:lvlText w:val="•"/>
      <w:lvlJc w:val="left"/>
      <w:pPr>
        <w:ind w:left="4414" w:hanging="212"/>
      </w:pPr>
      <w:rPr>
        <w:rFonts w:hint="default"/>
        <w:lang w:val="en-US" w:eastAsia="zh-CN" w:bidi="ar-SA"/>
      </w:rPr>
    </w:lvl>
    <w:lvl w:ilvl="5" w:tentative="0">
      <w:start w:val="0"/>
      <w:numFmt w:val="bullet"/>
      <w:lvlText w:val="•"/>
      <w:lvlJc w:val="left"/>
      <w:pPr>
        <w:ind w:left="5323" w:hanging="212"/>
      </w:pPr>
      <w:rPr>
        <w:rFonts w:hint="default"/>
        <w:lang w:val="en-US" w:eastAsia="zh-CN" w:bidi="ar-SA"/>
      </w:rPr>
    </w:lvl>
    <w:lvl w:ilvl="6" w:tentative="0">
      <w:start w:val="0"/>
      <w:numFmt w:val="bullet"/>
      <w:lvlText w:val="•"/>
      <w:lvlJc w:val="left"/>
      <w:pPr>
        <w:ind w:left="6231" w:hanging="212"/>
      </w:pPr>
      <w:rPr>
        <w:rFonts w:hint="default"/>
        <w:lang w:val="en-US" w:eastAsia="zh-CN" w:bidi="ar-SA"/>
      </w:rPr>
    </w:lvl>
    <w:lvl w:ilvl="7" w:tentative="0">
      <w:start w:val="0"/>
      <w:numFmt w:val="bullet"/>
      <w:lvlText w:val="•"/>
      <w:lvlJc w:val="left"/>
      <w:pPr>
        <w:ind w:left="7140" w:hanging="212"/>
      </w:pPr>
      <w:rPr>
        <w:rFonts w:hint="default"/>
        <w:lang w:val="en-US" w:eastAsia="zh-CN" w:bidi="ar-SA"/>
      </w:rPr>
    </w:lvl>
    <w:lvl w:ilvl="8" w:tentative="0">
      <w:start w:val="0"/>
      <w:numFmt w:val="bullet"/>
      <w:lvlText w:val="•"/>
      <w:lvlJc w:val="left"/>
      <w:pPr>
        <w:ind w:left="8048" w:hanging="212"/>
      </w:pPr>
      <w:rPr>
        <w:rFonts w:hint="default"/>
        <w:lang w:val="en-US" w:eastAsia="zh-CN" w:bidi="ar-SA"/>
      </w:rPr>
    </w:lvl>
  </w:abstractNum>
  <w:abstractNum w:abstractNumId="10">
    <w:nsid w:val="A0F05207"/>
    <w:multiLevelType w:val="multilevel"/>
    <w:tmpl w:val="A0F05207"/>
    <w:lvl w:ilvl="0" w:tentative="0">
      <w:start w:val="1"/>
      <w:numFmt w:val="decimal"/>
      <w:lvlText w:val="%1."/>
      <w:lvlJc w:val="left"/>
      <w:pPr>
        <w:ind w:left="1498" w:hanging="241"/>
      </w:pPr>
      <w:rPr>
        <w:rFonts w:hint="default" w:ascii="宋体" w:hAnsi="宋体" w:eastAsia="宋体" w:cs="宋体"/>
        <w:b w:val="0"/>
        <w:bCs w:val="0"/>
        <w:i w:val="0"/>
        <w:iCs w:val="0"/>
        <w:spacing w:val="-1"/>
        <w:w w:val="100"/>
        <w:sz w:val="22"/>
        <w:szCs w:val="22"/>
        <w:lang w:val="en-US" w:eastAsia="zh-CN" w:bidi="ar-SA"/>
      </w:rPr>
    </w:lvl>
    <w:lvl w:ilvl="1" w:tentative="0">
      <w:start w:val="0"/>
      <w:numFmt w:val="bullet"/>
      <w:lvlText w:val="•"/>
      <w:lvlJc w:val="left"/>
      <w:pPr>
        <w:ind w:left="2336" w:hanging="241"/>
      </w:pPr>
      <w:rPr>
        <w:rFonts w:hint="default"/>
        <w:lang w:val="en-US" w:eastAsia="zh-CN" w:bidi="ar-SA"/>
      </w:rPr>
    </w:lvl>
    <w:lvl w:ilvl="2" w:tentative="0">
      <w:start w:val="0"/>
      <w:numFmt w:val="bullet"/>
      <w:lvlText w:val="•"/>
      <w:lvlJc w:val="left"/>
      <w:pPr>
        <w:ind w:left="3173" w:hanging="241"/>
      </w:pPr>
      <w:rPr>
        <w:rFonts w:hint="default"/>
        <w:lang w:val="en-US" w:eastAsia="zh-CN" w:bidi="ar-SA"/>
      </w:rPr>
    </w:lvl>
    <w:lvl w:ilvl="3" w:tentative="0">
      <w:start w:val="0"/>
      <w:numFmt w:val="bullet"/>
      <w:lvlText w:val="•"/>
      <w:lvlJc w:val="left"/>
      <w:pPr>
        <w:ind w:left="4009" w:hanging="241"/>
      </w:pPr>
      <w:rPr>
        <w:rFonts w:hint="default"/>
        <w:lang w:val="en-US" w:eastAsia="zh-CN" w:bidi="ar-SA"/>
      </w:rPr>
    </w:lvl>
    <w:lvl w:ilvl="4" w:tentative="0">
      <w:start w:val="0"/>
      <w:numFmt w:val="bullet"/>
      <w:lvlText w:val="•"/>
      <w:lvlJc w:val="left"/>
      <w:pPr>
        <w:ind w:left="4846" w:hanging="241"/>
      </w:pPr>
      <w:rPr>
        <w:rFonts w:hint="default"/>
        <w:lang w:val="en-US" w:eastAsia="zh-CN" w:bidi="ar-SA"/>
      </w:rPr>
    </w:lvl>
    <w:lvl w:ilvl="5" w:tentative="0">
      <w:start w:val="0"/>
      <w:numFmt w:val="bullet"/>
      <w:lvlText w:val="•"/>
      <w:lvlJc w:val="left"/>
      <w:pPr>
        <w:ind w:left="5683" w:hanging="241"/>
      </w:pPr>
      <w:rPr>
        <w:rFonts w:hint="default"/>
        <w:lang w:val="en-US" w:eastAsia="zh-CN" w:bidi="ar-SA"/>
      </w:rPr>
    </w:lvl>
    <w:lvl w:ilvl="6" w:tentative="0">
      <w:start w:val="0"/>
      <w:numFmt w:val="bullet"/>
      <w:lvlText w:val="•"/>
      <w:lvlJc w:val="left"/>
      <w:pPr>
        <w:ind w:left="6519" w:hanging="241"/>
      </w:pPr>
      <w:rPr>
        <w:rFonts w:hint="default"/>
        <w:lang w:val="en-US" w:eastAsia="zh-CN" w:bidi="ar-SA"/>
      </w:rPr>
    </w:lvl>
    <w:lvl w:ilvl="7" w:tentative="0">
      <w:start w:val="0"/>
      <w:numFmt w:val="bullet"/>
      <w:lvlText w:val="•"/>
      <w:lvlJc w:val="left"/>
      <w:pPr>
        <w:ind w:left="7356" w:hanging="241"/>
      </w:pPr>
      <w:rPr>
        <w:rFonts w:hint="default"/>
        <w:lang w:val="en-US" w:eastAsia="zh-CN" w:bidi="ar-SA"/>
      </w:rPr>
    </w:lvl>
    <w:lvl w:ilvl="8" w:tentative="0">
      <w:start w:val="0"/>
      <w:numFmt w:val="bullet"/>
      <w:lvlText w:val="•"/>
      <w:lvlJc w:val="left"/>
      <w:pPr>
        <w:ind w:left="8192" w:hanging="241"/>
      </w:pPr>
      <w:rPr>
        <w:rFonts w:hint="default"/>
        <w:lang w:val="en-US" w:eastAsia="zh-CN" w:bidi="ar-SA"/>
      </w:rPr>
    </w:lvl>
  </w:abstractNum>
  <w:abstractNum w:abstractNumId="11">
    <w:nsid w:val="B0F1ACD9"/>
    <w:multiLevelType w:val="multilevel"/>
    <w:tmpl w:val="B0F1ACD9"/>
    <w:lvl w:ilvl="0" w:tentative="0">
      <w:start w:val="18"/>
      <w:numFmt w:val="decimal"/>
      <w:lvlText w:val="%1"/>
      <w:lvlJc w:val="left"/>
      <w:pPr>
        <w:ind w:left="1800" w:hanging="540"/>
      </w:pPr>
      <w:rPr>
        <w:rFonts w:hint="default"/>
        <w:lang w:val="en-US" w:eastAsia="zh-CN" w:bidi="ar-SA"/>
      </w:rPr>
    </w:lvl>
    <w:lvl w:ilvl="1" w:tentative="0">
      <w:start w:val="1"/>
      <w:numFmt w:val="decimal"/>
      <w:lvlText w:val="%1.%2"/>
      <w:lvlJc w:val="left"/>
      <w:pPr>
        <w:ind w:left="1800" w:hanging="540"/>
      </w:pPr>
      <w:rPr>
        <w:rFonts w:hint="default" w:ascii="宋体" w:hAnsi="宋体" w:eastAsia="宋体" w:cs="宋体"/>
        <w:b w:val="0"/>
        <w:bCs w:val="0"/>
        <w:i w:val="0"/>
        <w:iCs w:val="0"/>
        <w:spacing w:val="0"/>
        <w:w w:val="100"/>
        <w:sz w:val="24"/>
        <w:szCs w:val="24"/>
        <w:lang w:val="en-US" w:eastAsia="zh-CN" w:bidi="ar-SA"/>
      </w:rPr>
    </w:lvl>
    <w:lvl w:ilvl="2" w:tentative="0">
      <w:start w:val="0"/>
      <w:numFmt w:val="bullet"/>
      <w:lvlText w:val="•"/>
      <w:lvlJc w:val="left"/>
      <w:pPr>
        <w:ind w:left="3413" w:hanging="540"/>
      </w:pPr>
      <w:rPr>
        <w:rFonts w:hint="default"/>
        <w:lang w:val="en-US" w:eastAsia="zh-CN" w:bidi="ar-SA"/>
      </w:rPr>
    </w:lvl>
    <w:lvl w:ilvl="3" w:tentative="0">
      <w:start w:val="0"/>
      <w:numFmt w:val="bullet"/>
      <w:lvlText w:val="•"/>
      <w:lvlJc w:val="left"/>
      <w:pPr>
        <w:ind w:left="4219" w:hanging="540"/>
      </w:pPr>
      <w:rPr>
        <w:rFonts w:hint="default"/>
        <w:lang w:val="en-US" w:eastAsia="zh-CN" w:bidi="ar-SA"/>
      </w:rPr>
    </w:lvl>
    <w:lvl w:ilvl="4" w:tentative="0">
      <w:start w:val="0"/>
      <w:numFmt w:val="bullet"/>
      <w:lvlText w:val="•"/>
      <w:lvlJc w:val="left"/>
      <w:pPr>
        <w:ind w:left="5026" w:hanging="540"/>
      </w:pPr>
      <w:rPr>
        <w:rFonts w:hint="default"/>
        <w:lang w:val="en-US" w:eastAsia="zh-CN" w:bidi="ar-SA"/>
      </w:rPr>
    </w:lvl>
    <w:lvl w:ilvl="5" w:tentative="0">
      <w:start w:val="0"/>
      <w:numFmt w:val="bullet"/>
      <w:lvlText w:val="•"/>
      <w:lvlJc w:val="left"/>
      <w:pPr>
        <w:ind w:left="5833" w:hanging="540"/>
      </w:pPr>
      <w:rPr>
        <w:rFonts w:hint="default"/>
        <w:lang w:val="en-US" w:eastAsia="zh-CN" w:bidi="ar-SA"/>
      </w:rPr>
    </w:lvl>
    <w:lvl w:ilvl="6" w:tentative="0">
      <w:start w:val="0"/>
      <w:numFmt w:val="bullet"/>
      <w:lvlText w:val="•"/>
      <w:lvlJc w:val="left"/>
      <w:pPr>
        <w:ind w:left="6639" w:hanging="540"/>
      </w:pPr>
      <w:rPr>
        <w:rFonts w:hint="default"/>
        <w:lang w:val="en-US" w:eastAsia="zh-CN" w:bidi="ar-SA"/>
      </w:rPr>
    </w:lvl>
    <w:lvl w:ilvl="7" w:tentative="0">
      <w:start w:val="0"/>
      <w:numFmt w:val="bullet"/>
      <w:lvlText w:val="•"/>
      <w:lvlJc w:val="left"/>
      <w:pPr>
        <w:ind w:left="7446" w:hanging="540"/>
      </w:pPr>
      <w:rPr>
        <w:rFonts w:hint="default"/>
        <w:lang w:val="en-US" w:eastAsia="zh-CN" w:bidi="ar-SA"/>
      </w:rPr>
    </w:lvl>
    <w:lvl w:ilvl="8" w:tentative="0">
      <w:start w:val="0"/>
      <w:numFmt w:val="bullet"/>
      <w:lvlText w:val="•"/>
      <w:lvlJc w:val="left"/>
      <w:pPr>
        <w:ind w:left="8252" w:hanging="540"/>
      </w:pPr>
      <w:rPr>
        <w:rFonts w:hint="default"/>
        <w:lang w:val="en-US" w:eastAsia="zh-CN" w:bidi="ar-SA"/>
      </w:rPr>
    </w:lvl>
  </w:abstractNum>
  <w:abstractNum w:abstractNumId="12">
    <w:nsid w:val="B23A94A9"/>
    <w:multiLevelType w:val="multilevel"/>
    <w:tmpl w:val="B23A94A9"/>
    <w:lvl w:ilvl="0" w:tentative="0">
      <w:start w:val="2"/>
      <w:numFmt w:val="decimal"/>
      <w:lvlText w:val="%1."/>
      <w:lvlJc w:val="left"/>
      <w:pPr>
        <w:ind w:left="777" w:hanging="241"/>
      </w:pPr>
      <w:rPr>
        <w:rFonts w:hint="default" w:ascii="宋体" w:hAnsi="宋体" w:eastAsia="宋体" w:cs="宋体"/>
        <w:b w:val="0"/>
        <w:bCs w:val="0"/>
        <w:i w:val="0"/>
        <w:iCs w:val="0"/>
        <w:spacing w:val="-29"/>
        <w:w w:val="100"/>
        <w:sz w:val="22"/>
        <w:szCs w:val="22"/>
        <w:lang w:val="en-US" w:eastAsia="zh-CN" w:bidi="ar-SA"/>
      </w:rPr>
    </w:lvl>
    <w:lvl w:ilvl="1" w:tentative="0">
      <w:start w:val="0"/>
      <w:numFmt w:val="bullet"/>
      <w:lvlText w:val="•"/>
      <w:lvlJc w:val="left"/>
      <w:pPr>
        <w:ind w:left="1688" w:hanging="241"/>
      </w:pPr>
      <w:rPr>
        <w:rFonts w:hint="default"/>
        <w:lang w:val="en-US" w:eastAsia="zh-CN" w:bidi="ar-SA"/>
      </w:rPr>
    </w:lvl>
    <w:lvl w:ilvl="2" w:tentative="0">
      <w:start w:val="0"/>
      <w:numFmt w:val="bullet"/>
      <w:lvlText w:val="•"/>
      <w:lvlJc w:val="left"/>
      <w:pPr>
        <w:ind w:left="2597" w:hanging="241"/>
      </w:pPr>
      <w:rPr>
        <w:rFonts w:hint="default"/>
        <w:lang w:val="en-US" w:eastAsia="zh-CN" w:bidi="ar-SA"/>
      </w:rPr>
    </w:lvl>
    <w:lvl w:ilvl="3" w:tentative="0">
      <w:start w:val="0"/>
      <w:numFmt w:val="bullet"/>
      <w:lvlText w:val="•"/>
      <w:lvlJc w:val="left"/>
      <w:pPr>
        <w:ind w:left="3505" w:hanging="241"/>
      </w:pPr>
      <w:rPr>
        <w:rFonts w:hint="default"/>
        <w:lang w:val="en-US" w:eastAsia="zh-CN" w:bidi="ar-SA"/>
      </w:rPr>
    </w:lvl>
    <w:lvl w:ilvl="4" w:tentative="0">
      <w:start w:val="0"/>
      <w:numFmt w:val="bullet"/>
      <w:lvlText w:val="•"/>
      <w:lvlJc w:val="left"/>
      <w:pPr>
        <w:ind w:left="4414" w:hanging="241"/>
      </w:pPr>
      <w:rPr>
        <w:rFonts w:hint="default"/>
        <w:lang w:val="en-US" w:eastAsia="zh-CN" w:bidi="ar-SA"/>
      </w:rPr>
    </w:lvl>
    <w:lvl w:ilvl="5" w:tentative="0">
      <w:start w:val="0"/>
      <w:numFmt w:val="bullet"/>
      <w:lvlText w:val="•"/>
      <w:lvlJc w:val="left"/>
      <w:pPr>
        <w:ind w:left="5323" w:hanging="241"/>
      </w:pPr>
      <w:rPr>
        <w:rFonts w:hint="default"/>
        <w:lang w:val="en-US" w:eastAsia="zh-CN" w:bidi="ar-SA"/>
      </w:rPr>
    </w:lvl>
    <w:lvl w:ilvl="6" w:tentative="0">
      <w:start w:val="0"/>
      <w:numFmt w:val="bullet"/>
      <w:lvlText w:val="•"/>
      <w:lvlJc w:val="left"/>
      <w:pPr>
        <w:ind w:left="6231" w:hanging="241"/>
      </w:pPr>
      <w:rPr>
        <w:rFonts w:hint="default"/>
        <w:lang w:val="en-US" w:eastAsia="zh-CN" w:bidi="ar-SA"/>
      </w:rPr>
    </w:lvl>
    <w:lvl w:ilvl="7" w:tentative="0">
      <w:start w:val="0"/>
      <w:numFmt w:val="bullet"/>
      <w:lvlText w:val="•"/>
      <w:lvlJc w:val="left"/>
      <w:pPr>
        <w:ind w:left="7140" w:hanging="241"/>
      </w:pPr>
      <w:rPr>
        <w:rFonts w:hint="default"/>
        <w:lang w:val="en-US" w:eastAsia="zh-CN" w:bidi="ar-SA"/>
      </w:rPr>
    </w:lvl>
    <w:lvl w:ilvl="8" w:tentative="0">
      <w:start w:val="0"/>
      <w:numFmt w:val="bullet"/>
      <w:lvlText w:val="•"/>
      <w:lvlJc w:val="left"/>
      <w:pPr>
        <w:ind w:left="8048" w:hanging="241"/>
      </w:pPr>
      <w:rPr>
        <w:rFonts w:hint="default"/>
        <w:lang w:val="en-US" w:eastAsia="zh-CN" w:bidi="ar-SA"/>
      </w:rPr>
    </w:lvl>
  </w:abstractNum>
  <w:abstractNum w:abstractNumId="13">
    <w:nsid w:val="B53F3350"/>
    <w:multiLevelType w:val="multilevel"/>
    <w:tmpl w:val="B53F3350"/>
    <w:lvl w:ilvl="0" w:tentative="0">
      <w:start w:val="1"/>
      <w:numFmt w:val="decimal"/>
      <w:lvlText w:val="%1"/>
      <w:lvlJc w:val="left"/>
      <w:pPr>
        <w:ind w:left="780" w:hanging="240"/>
      </w:pPr>
      <w:rPr>
        <w:rFonts w:hint="default" w:ascii="宋体" w:hAnsi="宋体" w:eastAsia="宋体" w:cs="宋体"/>
        <w:b w:val="0"/>
        <w:bCs w:val="0"/>
        <w:i w:val="0"/>
        <w:iCs w:val="0"/>
        <w:spacing w:val="0"/>
        <w:w w:val="100"/>
        <w:sz w:val="24"/>
        <w:szCs w:val="24"/>
        <w:lang w:val="en-US" w:eastAsia="zh-CN" w:bidi="ar-SA"/>
      </w:rPr>
    </w:lvl>
    <w:lvl w:ilvl="1" w:tentative="0">
      <w:start w:val="0"/>
      <w:numFmt w:val="bullet"/>
      <w:lvlText w:val="•"/>
      <w:lvlJc w:val="left"/>
      <w:pPr>
        <w:ind w:left="1688" w:hanging="240"/>
      </w:pPr>
      <w:rPr>
        <w:rFonts w:hint="default"/>
        <w:lang w:val="en-US" w:eastAsia="zh-CN" w:bidi="ar-SA"/>
      </w:rPr>
    </w:lvl>
    <w:lvl w:ilvl="2" w:tentative="0">
      <w:start w:val="0"/>
      <w:numFmt w:val="bullet"/>
      <w:lvlText w:val="•"/>
      <w:lvlJc w:val="left"/>
      <w:pPr>
        <w:ind w:left="2597" w:hanging="240"/>
      </w:pPr>
      <w:rPr>
        <w:rFonts w:hint="default"/>
        <w:lang w:val="en-US" w:eastAsia="zh-CN" w:bidi="ar-SA"/>
      </w:rPr>
    </w:lvl>
    <w:lvl w:ilvl="3" w:tentative="0">
      <w:start w:val="0"/>
      <w:numFmt w:val="bullet"/>
      <w:lvlText w:val="•"/>
      <w:lvlJc w:val="left"/>
      <w:pPr>
        <w:ind w:left="3505" w:hanging="240"/>
      </w:pPr>
      <w:rPr>
        <w:rFonts w:hint="default"/>
        <w:lang w:val="en-US" w:eastAsia="zh-CN" w:bidi="ar-SA"/>
      </w:rPr>
    </w:lvl>
    <w:lvl w:ilvl="4" w:tentative="0">
      <w:start w:val="0"/>
      <w:numFmt w:val="bullet"/>
      <w:lvlText w:val="•"/>
      <w:lvlJc w:val="left"/>
      <w:pPr>
        <w:ind w:left="4414" w:hanging="240"/>
      </w:pPr>
      <w:rPr>
        <w:rFonts w:hint="default"/>
        <w:lang w:val="en-US" w:eastAsia="zh-CN" w:bidi="ar-SA"/>
      </w:rPr>
    </w:lvl>
    <w:lvl w:ilvl="5" w:tentative="0">
      <w:start w:val="0"/>
      <w:numFmt w:val="bullet"/>
      <w:lvlText w:val="•"/>
      <w:lvlJc w:val="left"/>
      <w:pPr>
        <w:ind w:left="5323" w:hanging="240"/>
      </w:pPr>
      <w:rPr>
        <w:rFonts w:hint="default"/>
        <w:lang w:val="en-US" w:eastAsia="zh-CN" w:bidi="ar-SA"/>
      </w:rPr>
    </w:lvl>
    <w:lvl w:ilvl="6" w:tentative="0">
      <w:start w:val="0"/>
      <w:numFmt w:val="bullet"/>
      <w:lvlText w:val="•"/>
      <w:lvlJc w:val="left"/>
      <w:pPr>
        <w:ind w:left="6231" w:hanging="240"/>
      </w:pPr>
      <w:rPr>
        <w:rFonts w:hint="default"/>
        <w:lang w:val="en-US" w:eastAsia="zh-CN" w:bidi="ar-SA"/>
      </w:rPr>
    </w:lvl>
    <w:lvl w:ilvl="7" w:tentative="0">
      <w:start w:val="0"/>
      <w:numFmt w:val="bullet"/>
      <w:lvlText w:val="•"/>
      <w:lvlJc w:val="left"/>
      <w:pPr>
        <w:ind w:left="7140" w:hanging="240"/>
      </w:pPr>
      <w:rPr>
        <w:rFonts w:hint="default"/>
        <w:lang w:val="en-US" w:eastAsia="zh-CN" w:bidi="ar-SA"/>
      </w:rPr>
    </w:lvl>
    <w:lvl w:ilvl="8" w:tentative="0">
      <w:start w:val="0"/>
      <w:numFmt w:val="bullet"/>
      <w:lvlText w:val="•"/>
      <w:lvlJc w:val="left"/>
      <w:pPr>
        <w:ind w:left="8048" w:hanging="240"/>
      </w:pPr>
      <w:rPr>
        <w:rFonts w:hint="default"/>
        <w:lang w:val="en-US" w:eastAsia="zh-CN" w:bidi="ar-SA"/>
      </w:rPr>
    </w:lvl>
  </w:abstractNum>
  <w:abstractNum w:abstractNumId="14">
    <w:nsid w:val="B5E306ED"/>
    <w:multiLevelType w:val="multilevel"/>
    <w:tmpl w:val="B5E306ED"/>
    <w:lvl w:ilvl="0" w:tentative="0">
      <w:start w:val="1"/>
      <w:numFmt w:val="decimal"/>
      <w:lvlText w:val="%1."/>
      <w:lvlJc w:val="left"/>
      <w:pPr>
        <w:ind w:left="1501" w:hanging="241"/>
      </w:pPr>
      <w:rPr>
        <w:rFonts w:hint="default" w:ascii="宋体" w:hAnsi="宋体" w:eastAsia="宋体" w:cs="宋体"/>
        <w:b w:val="0"/>
        <w:bCs w:val="0"/>
        <w:i w:val="0"/>
        <w:iCs w:val="0"/>
        <w:spacing w:val="0"/>
        <w:w w:val="99"/>
        <w:sz w:val="22"/>
        <w:szCs w:val="22"/>
        <w:lang w:val="en-US" w:eastAsia="zh-CN" w:bidi="ar-SA"/>
      </w:rPr>
    </w:lvl>
    <w:lvl w:ilvl="1" w:tentative="0">
      <w:start w:val="0"/>
      <w:numFmt w:val="bullet"/>
      <w:lvlText w:val="•"/>
      <w:lvlJc w:val="left"/>
      <w:pPr>
        <w:ind w:left="2336" w:hanging="241"/>
      </w:pPr>
      <w:rPr>
        <w:rFonts w:hint="default"/>
        <w:lang w:val="en-US" w:eastAsia="zh-CN" w:bidi="ar-SA"/>
      </w:rPr>
    </w:lvl>
    <w:lvl w:ilvl="2" w:tentative="0">
      <w:start w:val="0"/>
      <w:numFmt w:val="bullet"/>
      <w:lvlText w:val="•"/>
      <w:lvlJc w:val="left"/>
      <w:pPr>
        <w:ind w:left="3173" w:hanging="241"/>
      </w:pPr>
      <w:rPr>
        <w:rFonts w:hint="default"/>
        <w:lang w:val="en-US" w:eastAsia="zh-CN" w:bidi="ar-SA"/>
      </w:rPr>
    </w:lvl>
    <w:lvl w:ilvl="3" w:tentative="0">
      <w:start w:val="0"/>
      <w:numFmt w:val="bullet"/>
      <w:lvlText w:val="•"/>
      <w:lvlJc w:val="left"/>
      <w:pPr>
        <w:ind w:left="4009" w:hanging="241"/>
      </w:pPr>
      <w:rPr>
        <w:rFonts w:hint="default"/>
        <w:lang w:val="en-US" w:eastAsia="zh-CN" w:bidi="ar-SA"/>
      </w:rPr>
    </w:lvl>
    <w:lvl w:ilvl="4" w:tentative="0">
      <w:start w:val="0"/>
      <w:numFmt w:val="bullet"/>
      <w:lvlText w:val="•"/>
      <w:lvlJc w:val="left"/>
      <w:pPr>
        <w:ind w:left="4846" w:hanging="241"/>
      </w:pPr>
      <w:rPr>
        <w:rFonts w:hint="default"/>
        <w:lang w:val="en-US" w:eastAsia="zh-CN" w:bidi="ar-SA"/>
      </w:rPr>
    </w:lvl>
    <w:lvl w:ilvl="5" w:tentative="0">
      <w:start w:val="0"/>
      <w:numFmt w:val="bullet"/>
      <w:lvlText w:val="•"/>
      <w:lvlJc w:val="left"/>
      <w:pPr>
        <w:ind w:left="5683" w:hanging="241"/>
      </w:pPr>
      <w:rPr>
        <w:rFonts w:hint="default"/>
        <w:lang w:val="en-US" w:eastAsia="zh-CN" w:bidi="ar-SA"/>
      </w:rPr>
    </w:lvl>
    <w:lvl w:ilvl="6" w:tentative="0">
      <w:start w:val="0"/>
      <w:numFmt w:val="bullet"/>
      <w:lvlText w:val="•"/>
      <w:lvlJc w:val="left"/>
      <w:pPr>
        <w:ind w:left="6519" w:hanging="241"/>
      </w:pPr>
      <w:rPr>
        <w:rFonts w:hint="default"/>
        <w:lang w:val="en-US" w:eastAsia="zh-CN" w:bidi="ar-SA"/>
      </w:rPr>
    </w:lvl>
    <w:lvl w:ilvl="7" w:tentative="0">
      <w:start w:val="0"/>
      <w:numFmt w:val="bullet"/>
      <w:lvlText w:val="•"/>
      <w:lvlJc w:val="left"/>
      <w:pPr>
        <w:ind w:left="7356" w:hanging="241"/>
      </w:pPr>
      <w:rPr>
        <w:rFonts w:hint="default"/>
        <w:lang w:val="en-US" w:eastAsia="zh-CN" w:bidi="ar-SA"/>
      </w:rPr>
    </w:lvl>
    <w:lvl w:ilvl="8" w:tentative="0">
      <w:start w:val="0"/>
      <w:numFmt w:val="bullet"/>
      <w:lvlText w:val="•"/>
      <w:lvlJc w:val="left"/>
      <w:pPr>
        <w:ind w:left="8192" w:hanging="241"/>
      </w:pPr>
      <w:rPr>
        <w:rFonts w:hint="default"/>
        <w:lang w:val="en-US" w:eastAsia="zh-CN" w:bidi="ar-SA"/>
      </w:rPr>
    </w:lvl>
  </w:abstractNum>
  <w:abstractNum w:abstractNumId="15">
    <w:nsid w:val="B8CEF35B"/>
    <w:multiLevelType w:val="multilevel"/>
    <w:tmpl w:val="B8CEF35B"/>
    <w:lvl w:ilvl="0" w:tentative="0">
      <w:start w:val="1"/>
      <w:numFmt w:val="decimal"/>
      <w:lvlText w:val="（%1）"/>
      <w:lvlJc w:val="left"/>
      <w:pPr>
        <w:ind w:left="1861" w:hanging="601"/>
      </w:pPr>
      <w:rPr>
        <w:rFonts w:hint="default" w:ascii="宋体" w:hAnsi="宋体" w:eastAsia="宋体" w:cs="宋体"/>
        <w:b w:val="0"/>
        <w:bCs w:val="0"/>
        <w:i w:val="0"/>
        <w:iCs w:val="0"/>
        <w:spacing w:val="0"/>
        <w:w w:val="100"/>
        <w:sz w:val="22"/>
        <w:szCs w:val="22"/>
        <w:lang w:val="en-US" w:eastAsia="zh-CN" w:bidi="ar-SA"/>
      </w:rPr>
    </w:lvl>
    <w:lvl w:ilvl="1" w:tentative="0">
      <w:start w:val="0"/>
      <w:numFmt w:val="bullet"/>
      <w:lvlText w:val="•"/>
      <w:lvlJc w:val="left"/>
      <w:pPr>
        <w:ind w:left="2660" w:hanging="601"/>
      </w:pPr>
      <w:rPr>
        <w:rFonts w:hint="default"/>
        <w:lang w:val="en-US" w:eastAsia="zh-CN" w:bidi="ar-SA"/>
      </w:rPr>
    </w:lvl>
    <w:lvl w:ilvl="2" w:tentative="0">
      <w:start w:val="0"/>
      <w:numFmt w:val="bullet"/>
      <w:lvlText w:val="•"/>
      <w:lvlJc w:val="left"/>
      <w:pPr>
        <w:ind w:left="3461" w:hanging="601"/>
      </w:pPr>
      <w:rPr>
        <w:rFonts w:hint="default"/>
        <w:lang w:val="en-US" w:eastAsia="zh-CN" w:bidi="ar-SA"/>
      </w:rPr>
    </w:lvl>
    <w:lvl w:ilvl="3" w:tentative="0">
      <w:start w:val="0"/>
      <w:numFmt w:val="bullet"/>
      <w:lvlText w:val="•"/>
      <w:lvlJc w:val="left"/>
      <w:pPr>
        <w:ind w:left="4261" w:hanging="601"/>
      </w:pPr>
      <w:rPr>
        <w:rFonts w:hint="default"/>
        <w:lang w:val="en-US" w:eastAsia="zh-CN" w:bidi="ar-SA"/>
      </w:rPr>
    </w:lvl>
    <w:lvl w:ilvl="4" w:tentative="0">
      <w:start w:val="0"/>
      <w:numFmt w:val="bullet"/>
      <w:lvlText w:val="•"/>
      <w:lvlJc w:val="left"/>
      <w:pPr>
        <w:ind w:left="5062" w:hanging="601"/>
      </w:pPr>
      <w:rPr>
        <w:rFonts w:hint="default"/>
        <w:lang w:val="en-US" w:eastAsia="zh-CN" w:bidi="ar-SA"/>
      </w:rPr>
    </w:lvl>
    <w:lvl w:ilvl="5" w:tentative="0">
      <w:start w:val="0"/>
      <w:numFmt w:val="bullet"/>
      <w:lvlText w:val="•"/>
      <w:lvlJc w:val="left"/>
      <w:pPr>
        <w:ind w:left="5863" w:hanging="601"/>
      </w:pPr>
      <w:rPr>
        <w:rFonts w:hint="default"/>
        <w:lang w:val="en-US" w:eastAsia="zh-CN" w:bidi="ar-SA"/>
      </w:rPr>
    </w:lvl>
    <w:lvl w:ilvl="6" w:tentative="0">
      <w:start w:val="0"/>
      <w:numFmt w:val="bullet"/>
      <w:lvlText w:val="•"/>
      <w:lvlJc w:val="left"/>
      <w:pPr>
        <w:ind w:left="6663" w:hanging="601"/>
      </w:pPr>
      <w:rPr>
        <w:rFonts w:hint="default"/>
        <w:lang w:val="en-US" w:eastAsia="zh-CN" w:bidi="ar-SA"/>
      </w:rPr>
    </w:lvl>
    <w:lvl w:ilvl="7" w:tentative="0">
      <w:start w:val="0"/>
      <w:numFmt w:val="bullet"/>
      <w:lvlText w:val="•"/>
      <w:lvlJc w:val="left"/>
      <w:pPr>
        <w:ind w:left="7464" w:hanging="601"/>
      </w:pPr>
      <w:rPr>
        <w:rFonts w:hint="default"/>
        <w:lang w:val="en-US" w:eastAsia="zh-CN" w:bidi="ar-SA"/>
      </w:rPr>
    </w:lvl>
    <w:lvl w:ilvl="8" w:tentative="0">
      <w:start w:val="0"/>
      <w:numFmt w:val="bullet"/>
      <w:lvlText w:val="•"/>
      <w:lvlJc w:val="left"/>
      <w:pPr>
        <w:ind w:left="8264" w:hanging="601"/>
      </w:pPr>
      <w:rPr>
        <w:rFonts w:hint="default"/>
        <w:lang w:val="en-US" w:eastAsia="zh-CN" w:bidi="ar-SA"/>
      </w:rPr>
    </w:lvl>
  </w:abstractNum>
  <w:abstractNum w:abstractNumId="16">
    <w:nsid w:val="BB64CFA9"/>
    <w:multiLevelType w:val="multilevel"/>
    <w:tmpl w:val="BB64CFA9"/>
    <w:lvl w:ilvl="0" w:tentative="0">
      <w:start w:val="1"/>
      <w:numFmt w:val="decimal"/>
      <w:lvlText w:val="（%1）"/>
      <w:lvlJc w:val="left"/>
      <w:pPr>
        <w:ind w:left="1861" w:hanging="601"/>
      </w:pPr>
      <w:rPr>
        <w:rFonts w:hint="default" w:ascii="宋体" w:hAnsi="宋体" w:eastAsia="宋体" w:cs="宋体"/>
        <w:b w:val="0"/>
        <w:bCs w:val="0"/>
        <w:i w:val="0"/>
        <w:iCs w:val="0"/>
        <w:spacing w:val="0"/>
        <w:w w:val="100"/>
        <w:sz w:val="22"/>
        <w:szCs w:val="22"/>
        <w:lang w:val="en-US" w:eastAsia="zh-CN" w:bidi="ar-SA"/>
      </w:rPr>
    </w:lvl>
    <w:lvl w:ilvl="1" w:tentative="0">
      <w:start w:val="0"/>
      <w:numFmt w:val="bullet"/>
      <w:lvlText w:val="•"/>
      <w:lvlJc w:val="left"/>
      <w:pPr>
        <w:ind w:left="2660" w:hanging="601"/>
      </w:pPr>
      <w:rPr>
        <w:rFonts w:hint="default"/>
        <w:lang w:val="en-US" w:eastAsia="zh-CN" w:bidi="ar-SA"/>
      </w:rPr>
    </w:lvl>
    <w:lvl w:ilvl="2" w:tentative="0">
      <w:start w:val="0"/>
      <w:numFmt w:val="bullet"/>
      <w:lvlText w:val="•"/>
      <w:lvlJc w:val="left"/>
      <w:pPr>
        <w:ind w:left="3461" w:hanging="601"/>
      </w:pPr>
      <w:rPr>
        <w:rFonts w:hint="default"/>
        <w:lang w:val="en-US" w:eastAsia="zh-CN" w:bidi="ar-SA"/>
      </w:rPr>
    </w:lvl>
    <w:lvl w:ilvl="3" w:tentative="0">
      <w:start w:val="0"/>
      <w:numFmt w:val="bullet"/>
      <w:lvlText w:val="•"/>
      <w:lvlJc w:val="left"/>
      <w:pPr>
        <w:ind w:left="4261" w:hanging="601"/>
      </w:pPr>
      <w:rPr>
        <w:rFonts w:hint="default"/>
        <w:lang w:val="en-US" w:eastAsia="zh-CN" w:bidi="ar-SA"/>
      </w:rPr>
    </w:lvl>
    <w:lvl w:ilvl="4" w:tentative="0">
      <w:start w:val="0"/>
      <w:numFmt w:val="bullet"/>
      <w:lvlText w:val="•"/>
      <w:lvlJc w:val="left"/>
      <w:pPr>
        <w:ind w:left="5062" w:hanging="601"/>
      </w:pPr>
      <w:rPr>
        <w:rFonts w:hint="default"/>
        <w:lang w:val="en-US" w:eastAsia="zh-CN" w:bidi="ar-SA"/>
      </w:rPr>
    </w:lvl>
    <w:lvl w:ilvl="5" w:tentative="0">
      <w:start w:val="0"/>
      <w:numFmt w:val="bullet"/>
      <w:lvlText w:val="•"/>
      <w:lvlJc w:val="left"/>
      <w:pPr>
        <w:ind w:left="5863" w:hanging="601"/>
      </w:pPr>
      <w:rPr>
        <w:rFonts w:hint="default"/>
        <w:lang w:val="en-US" w:eastAsia="zh-CN" w:bidi="ar-SA"/>
      </w:rPr>
    </w:lvl>
    <w:lvl w:ilvl="6" w:tentative="0">
      <w:start w:val="0"/>
      <w:numFmt w:val="bullet"/>
      <w:lvlText w:val="•"/>
      <w:lvlJc w:val="left"/>
      <w:pPr>
        <w:ind w:left="6663" w:hanging="601"/>
      </w:pPr>
      <w:rPr>
        <w:rFonts w:hint="default"/>
        <w:lang w:val="en-US" w:eastAsia="zh-CN" w:bidi="ar-SA"/>
      </w:rPr>
    </w:lvl>
    <w:lvl w:ilvl="7" w:tentative="0">
      <w:start w:val="0"/>
      <w:numFmt w:val="bullet"/>
      <w:lvlText w:val="•"/>
      <w:lvlJc w:val="left"/>
      <w:pPr>
        <w:ind w:left="7464" w:hanging="601"/>
      </w:pPr>
      <w:rPr>
        <w:rFonts w:hint="default"/>
        <w:lang w:val="en-US" w:eastAsia="zh-CN" w:bidi="ar-SA"/>
      </w:rPr>
    </w:lvl>
    <w:lvl w:ilvl="8" w:tentative="0">
      <w:start w:val="0"/>
      <w:numFmt w:val="bullet"/>
      <w:lvlText w:val="•"/>
      <w:lvlJc w:val="left"/>
      <w:pPr>
        <w:ind w:left="8264" w:hanging="601"/>
      </w:pPr>
      <w:rPr>
        <w:rFonts w:hint="default"/>
        <w:lang w:val="en-US" w:eastAsia="zh-CN" w:bidi="ar-SA"/>
      </w:rPr>
    </w:lvl>
  </w:abstractNum>
  <w:abstractNum w:abstractNumId="17">
    <w:nsid w:val="BE923771"/>
    <w:multiLevelType w:val="multilevel"/>
    <w:tmpl w:val="BE923771"/>
    <w:lvl w:ilvl="0" w:tentative="0">
      <w:start w:val="25"/>
      <w:numFmt w:val="decimal"/>
      <w:lvlText w:val="%1."/>
      <w:lvlJc w:val="left"/>
      <w:pPr>
        <w:ind w:left="1143" w:hanging="364"/>
      </w:pPr>
      <w:rPr>
        <w:rFonts w:hint="default" w:ascii="宋体" w:hAnsi="宋体" w:eastAsia="宋体" w:cs="宋体"/>
        <w:b/>
        <w:bCs/>
        <w:i w:val="0"/>
        <w:iCs w:val="0"/>
        <w:spacing w:val="0"/>
        <w:w w:val="99"/>
        <w:sz w:val="22"/>
        <w:szCs w:val="22"/>
        <w:lang w:val="en-US" w:eastAsia="zh-CN" w:bidi="ar-SA"/>
      </w:rPr>
    </w:lvl>
    <w:lvl w:ilvl="1" w:tentative="0">
      <w:start w:val="1"/>
      <w:numFmt w:val="decimal"/>
      <w:lvlText w:val="%1.%2"/>
      <w:lvlJc w:val="left"/>
      <w:pPr>
        <w:ind w:left="1860" w:hanging="600"/>
      </w:pPr>
      <w:rPr>
        <w:rFonts w:hint="default" w:ascii="宋体" w:hAnsi="宋体" w:eastAsia="宋体" w:cs="宋体"/>
        <w:b w:val="0"/>
        <w:bCs w:val="0"/>
        <w:i w:val="0"/>
        <w:iCs w:val="0"/>
        <w:spacing w:val="0"/>
        <w:w w:val="100"/>
        <w:sz w:val="24"/>
        <w:szCs w:val="24"/>
        <w:lang w:val="en-US" w:eastAsia="zh-CN" w:bidi="ar-SA"/>
      </w:rPr>
    </w:lvl>
    <w:lvl w:ilvl="2" w:tentative="0">
      <w:start w:val="0"/>
      <w:numFmt w:val="bullet"/>
      <w:lvlText w:val="•"/>
      <w:lvlJc w:val="left"/>
      <w:pPr>
        <w:ind w:left="2749" w:hanging="600"/>
      </w:pPr>
      <w:rPr>
        <w:rFonts w:hint="default"/>
        <w:lang w:val="en-US" w:eastAsia="zh-CN" w:bidi="ar-SA"/>
      </w:rPr>
    </w:lvl>
    <w:lvl w:ilvl="3" w:tentative="0">
      <w:start w:val="0"/>
      <w:numFmt w:val="bullet"/>
      <w:lvlText w:val="•"/>
      <w:lvlJc w:val="left"/>
      <w:pPr>
        <w:ind w:left="3639" w:hanging="600"/>
      </w:pPr>
      <w:rPr>
        <w:rFonts w:hint="default"/>
        <w:lang w:val="en-US" w:eastAsia="zh-CN" w:bidi="ar-SA"/>
      </w:rPr>
    </w:lvl>
    <w:lvl w:ilvl="4" w:tentative="0">
      <w:start w:val="0"/>
      <w:numFmt w:val="bullet"/>
      <w:lvlText w:val="•"/>
      <w:lvlJc w:val="left"/>
      <w:pPr>
        <w:ind w:left="4528" w:hanging="600"/>
      </w:pPr>
      <w:rPr>
        <w:rFonts w:hint="default"/>
        <w:lang w:val="en-US" w:eastAsia="zh-CN" w:bidi="ar-SA"/>
      </w:rPr>
    </w:lvl>
    <w:lvl w:ilvl="5" w:tentative="0">
      <w:start w:val="0"/>
      <w:numFmt w:val="bullet"/>
      <w:lvlText w:val="•"/>
      <w:lvlJc w:val="left"/>
      <w:pPr>
        <w:ind w:left="5418" w:hanging="600"/>
      </w:pPr>
      <w:rPr>
        <w:rFonts w:hint="default"/>
        <w:lang w:val="en-US" w:eastAsia="zh-CN" w:bidi="ar-SA"/>
      </w:rPr>
    </w:lvl>
    <w:lvl w:ilvl="6" w:tentative="0">
      <w:start w:val="0"/>
      <w:numFmt w:val="bullet"/>
      <w:lvlText w:val="•"/>
      <w:lvlJc w:val="left"/>
      <w:pPr>
        <w:ind w:left="6307" w:hanging="600"/>
      </w:pPr>
      <w:rPr>
        <w:rFonts w:hint="default"/>
        <w:lang w:val="en-US" w:eastAsia="zh-CN" w:bidi="ar-SA"/>
      </w:rPr>
    </w:lvl>
    <w:lvl w:ilvl="7" w:tentative="0">
      <w:start w:val="0"/>
      <w:numFmt w:val="bullet"/>
      <w:lvlText w:val="•"/>
      <w:lvlJc w:val="left"/>
      <w:pPr>
        <w:ind w:left="7197" w:hanging="600"/>
      </w:pPr>
      <w:rPr>
        <w:rFonts w:hint="default"/>
        <w:lang w:val="en-US" w:eastAsia="zh-CN" w:bidi="ar-SA"/>
      </w:rPr>
    </w:lvl>
    <w:lvl w:ilvl="8" w:tentative="0">
      <w:start w:val="0"/>
      <w:numFmt w:val="bullet"/>
      <w:lvlText w:val="•"/>
      <w:lvlJc w:val="left"/>
      <w:pPr>
        <w:ind w:left="8086" w:hanging="600"/>
      </w:pPr>
      <w:rPr>
        <w:rFonts w:hint="default"/>
        <w:lang w:val="en-US" w:eastAsia="zh-CN" w:bidi="ar-SA"/>
      </w:rPr>
    </w:lvl>
  </w:abstractNum>
  <w:abstractNum w:abstractNumId="18">
    <w:nsid w:val="C0915F4F"/>
    <w:multiLevelType w:val="multilevel"/>
    <w:tmpl w:val="C0915F4F"/>
    <w:lvl w:ilvl="0" w:tentative="0">
      <w:start w:val="2"/>
      <w:numFmt w:val="decimal"/>
      <w:lvlText w:val="%1"/>
      <w:lvlJc w:val="left"/>
      <w:pPr>
        <w:ind w:left="1696" w:hanging="483"/>
      </w:pPr>
      <w:rPr>
        <w:rFonts w:hint="default"/>
        <w:lang w:val="en-US" w:eastAsia="zh-CN" w:bidi="ar-SA"/>
      </w:rPr>
    </w:lvl>
    <w:lvl w:ilvl="1" w:tentative="0">
      <w:start w:val="1"/>
      <w:numFmt w:val="decimal"/>
      <w:lvlText w:val="%1.%2"/>
      <w:lvlJc w:val="left"/>
      <w:pPr>
        <w:ind w:left="1696" w:hanging="483"/>
      </w:pPr>
      <w:rPr>
        <w:rFonts w:hint="default" w:ascii="宋体" w:hAnsi="宋体" w:eastAsia="宋体" w:cs="宋体"/>
        <w:b/>
        <w:bCs/>
        <w:i w:val="0"/>
        <w:iCs w:val="0"/>
        <w:spacing w:val="0"/>
        <w:w w:val="99"/>
        <w:sz w:val="24"/>
        <w:szCs w:val="24"/>
        <w:lang w:val="en-US" w:eastAsia="zh-CN" w:bidi="ar-SA"/>
      </w:rPr>
    </w:lvl>
    <w:lvl w:ilvl="2" w:tentative="0">
      <w:start w:val="1"/>
      <w:numFmt w:val="decimal"/>
      <w:lvlText w:val="%1.%2.%3"/>
      <w:lvlJc w:val="left"/>
      <w:pPr>
        <w:ind w:left="777" w:hanging="601"/>
      </w:pPr>
      <w:rPr>
        <w:rFonts w:hint="default" w:ascii="宋体" w:hAnsi="宋体" w:eastAsia="宋体" w:cs="宋体"/>
        <w:b w:val="0"/>
        <w:bCs w:val="0"/>
        <w:i w:val="0"/>
        <w:iCs w:val="0"/>
        <w:spacing w:val="0"/>
        <w:w w:val="100"/>
        <w:sz w:val="22"/>
        <w:szCs w:val="22"/>
        <w:lang w:val="en-US" w:eastAsia="zh-CN" w:bidi="ar-SA"/>
      </w:rPr>
    </w:lvl>
    <w:lvl w:ilvl="3" w:tentative="0">
      <w:start w:val="0"/>
      <w:numFmt w:val="bullet"/>
      <w:lvlText w:val="•"/>
      <w:lvlJc w:val="left"/>
      <w:pPr>
        <w:ind w:left="2983" w:hanging="601"/>
      </w:pPr>
      <w:rPr>
        <w:rFonts w:hint="default"/>
        <w:lang w:val="en-US" w:eastAsia="zh-CN" w:bidi="ar-SA"/>
      </w:rPr>
    </w:lvl>
    <w:lvl w:ilvl="4" w:tentative="0">
      <w:start w:val="0"/>
      <w:numFmt w:val="bullet"/>
      <w:lvlText w:val="•"/>
      <w:lvlJc w:val="left"/>
      <w:pPr>
        <w:ind w:left="3966" w:hanging="601"/>
      </w:pPr>
      <w:rPr>
        <w:rFonts w:hint="default"/>
        <w:lang w:val="en-US" w:eastAsia="zh-CN" w:bidi="ar-SA"/>
      </w:rPr>
    </w:lvl>
    <w:lvl w:ilvl="5" w:tentative="0">
      <w:start w:val="0"/>
      <w:numFmt w:val="bullet"/>
      <w:lvlText w:val="•"/>
      <w:lvlJc w:val="left"/>
      <w:pPr>
        <w:ind w:left="4949" w:hanging="601"/>
      </w:pPr>
      <w:rPr>
        <w:rFonts w:hint="default"/>
        <w:lang w:val="en-US" w:eastAsia="zh-CN" w:bidi="ar-SA"/>
      </w:rPr>
    </w:lvl>
    <w:lvl w:ilvl="6" w:tentative="0">
      <w:start w:val="0"/>
      <w:numFmt w:val="bullet"/>
      <w:lvlText w:val="•"/>
      <w:lvlJc w:val="left"/>
      <w:pPr>
        <w:ind w:left="5933" w:hanging="601"/>
      </w:pPr>
      <w:rPr>
        <w:rFonts w:hint="default"/>
        <w:lang w:val="en-US" w:eastAsia="zh-CN" w:bidi="ar-SA"/>
      </w:rPr>
    </w:lvl>
    <w:lvl w:ilvl="7" w:tentative="0">
      <w:start w:val="0"/>
      <w:numFmt w:val="bullet"/>
      <w:lvlText w:val="•"/>
      <w:lvlJc w:val="left"/>
      <w:pPr>
        <w:ind w:left="6916" w:hanging="601"/>
      </w:pPr>
      <w:rPr>
        <w:rFonts w:hint="default"/>
        <w:lang w:val="en-US" w:eastAsia="zh-CN" w:bidi="ar-SA"/>
      </w:rPr>
    </w:lvl>
    <w:lvl w:ilvl="8" w:tentative="0">
      <w:start w:val="0"/>
      <w:numFmt w:val="bullet"/>
      <w:lvlText w:val="•"/>
      <w:lvlJc w:val="left"/>
      <w:pPr>
        <w:ind w:left="7899" w:hanging="601"/>
      </w:pPr>
      <w:rPr>
        <w:rFonts w:hint="default"/>
        <w:lang w:val="en-US" w:eastAsia="zh-CN" w:bidi="ar-SA"/>
      </w:rPr>
    </w:lvl>
  </w:abstractNum>
  <w:abstractNum w:abstractNumId="19">
    <w:nsid w:val="C4E0D24A"/>
    <w:multiLevelType w:val="multilevel"/>
    <w:tmpl w:val="C4E0D24A"/>
    <w:lvl w:ilvl="0" w:tentative="0">
      <w:start w:val="1"/>
      <w:numFmt w:val="decimal"/>
      <w:lvlText w:val="%1."/>
      <w:lvlJc w:val="left"/>
      <w:pPr>
        <w:ind w:left="780" w:hanging="241"/>
      </w:pPr>
      <w:rPr>
        <w:rFonts w:hint="default" w:ascii="宋体" w:hAnsi="宋体" w:eastAsia="宋体" w:cs="宋体"/>
        <w:b w:val="0"/>
        <w:bCs w:val="0"/>
        <w:i w:val="0"/>
        <w:iCs w:val="0"/>
        <w:spacing w:val="0"/>
        <w:w w:val="99"/>
        <w:sz w:val="22"/>
        <w:szCs w:val="22"/>
        <w:lang w:val="en-US" w:eastAsia="zh-CN" w:bidi="ar-SA"/>
      </w:rPr>
    </w:lvl>
    <w:lvl w:ilvl="1" w:tentative="0">
      <w:start w:val="0"/>
      <w:numFmt w:val="bullet"/>
      <w:lvlText w:val="•"/>
      <w:lvlJc w:val="left"/>
      <w:pPr>
        <w:ind w:left="1688" w:hanging="241"/>
      </w:pPr>
      <w:rPr>
        <w:rFonts w:hint="default"/>
        <w:lang w:val="en-US" w:eastAsia="zh-CN" w:bidi="ar-SA"/>
      </w:rPr>
    </w:lvl>
    <w:lvl w:ilvl="2" w:tentative="0">
      <w:start w:val="0"/>
      <w:numFmt w:val="bullet"/>
      <w:lvlText w:val="•"/>
      <w:lvlJc w:val="left"/>
      <w:pPr>
        <w:ind w:left="2597" w:hanging="241"/>
      </w:pPr>
      <w:rPr>
        <w:rFonts w:hint="default"/>
        <w:lang w:val="en-US" w:eastAsia="zh-CN" w:bidi="ar-SA"/>
      </w:rPr>
    </w:lvl>
    <w:lvl w:ilvl="3" w:tentative="0">
      <w:start w:val="0"/>
      <w:numFmt w:val="bullet"/>
      <w:lvlText w:val="•"/>
      <w:lvlJc w:val="left"/>
      <w:pPr>
        <w:ind w:left="3505" w:hanging="241"/>
      </w:pPr>
      <w:rPr>
        <w:rFonts w:hint="default"/>
        <w:lang w:val="en-US" w:eastAsia="zh-CN" w:bidi="ar-SA"/>
      </w:rPr>
    </w:lvl>
    <w:lvl w:ilvl="4" w:tentative="0">
      <w:start w:val="0"/>
      <w:numFmt w:val="bullet"/>
      <w:lvlText w:val="•"/>
      <w:lvlJc w:val="left"/>
      <w:pPr>
        <w:ind w:left="4414" w:hanging="241"/>
      </w:pPr>
      <w:rPr>
        <w:rFonts w:hint="default"/>
        <w:lang w:val="en-US" w:eastAsia="zh-CN" w:bidi="ar-SA"/>
      </w:rPr>
    </w:lvl>
    <w:lvl w:ilvl="5" w:tentative="0">
      <w:start w:val="0"/>
      <w:numFmt w:val="bullet"/>
      <w:lvlText w:val="•"/>
      <w:lvlJc w:val="left"/>
      <w:pPr>
        <w:ind w:left="5323" w:hanging="241"/>
      </w:pPr>
      <w:rPr>
        <w:rFonts w:hint="default"/>
        <w:lang w:val="en-US" w:eastAsia="zh-CN" w:bidi="ar-SA"/>
      </w:rPr>
    </w:lvl>
    <w:lvl w:ilvl="6" w:tentative="0">
      <w:start w:val="0"/>
      <w:numFmt w:val="bullet"/>
      <w:lvlText w:val="•"/>
      <w:lvlJc w:val="left"/>
      <w:pPr>
        <w:ind w:left="6231" w:hanging="241"/>
      </w:pPr>
      <w:rPr>
        <w:rFonts w:hint="default"/>
        <w:lang w:val="en-US" w:eastAsia="zh-CN" w:bidi="ar-SA"/>
      </w:rPr>
    </w:lvl>
    <w:lvl w:ilvl="7" w:tentative="0">
      <w:start w:val="0"/>
      <w:numFmt w:val="bullet"/>
      <w:lvlText w:val="•"/>
      <w:lvlJc w:val="left"/>
      <w:pPr>
        <w:ind w:left="7140" w:hanging="241"/>
      </w:pPr>
      <w:rPr>
        <w:rFonts w:hint="default"/>
        <w:lang w:val="en-US" w:eastAsia="zh-CN" w:bidi="ar-SA"/>
      </w:rPr>
    </w:lvl>
    <w:lvl w:ilvl="8" w:tentative="0">
      <w:start w:val="0"/>
      <w:numFmt w:val="bullet"/>
      <w:lvlText w:val="•"/>
      <w:lvlJc w:val="left"/>
      <w:pPr>
        <w:ind w:left="8048" w:hanging="241"/>
      </w:pPr>
      <w:rPr>
        <w:rFonts w:hint="default"/>
        <w:lang w:val="en-US" w:eastAsia="zh-CN" w:bidi="ar-SA"/>
      </w:rPr>
    </w:lvl>
  </w:abstractNum>
  <w:abstractNum w:abstractNumId="20">
    <w:nsid w:val="D7F9FE59"/>
    <w:multiLevelType w:val="multilevel"/>
    <w:tmpl w:val="D7F9FE59"/>
    <w:lvl w:ilvl="0" w:tentative="0">
      <w:start w:val="1"/>
      <w:numFmt w:val="decimal"/>
      <w:lvlText w:val="%1."/>
      <w:lvlJc w:val="left"/>
      <w:pPr>
        <w:ind w:left="109" w:hanging="360"/>
      </w:pPr>
      <w:rPr>
        <w:rFonts w:hint="default" w:ascii="宋体" w:hAnsi="宋体" w:eastAsia="宋体" w:cs="宋体"/>
        <w:b w:val="0"/>
        <w:bCs w:val="0"/>
        <w:i w:val="0"/>
        <w:iCs w:val="0"/>
        <w:spacing w:val="0"/>
        <w:w w:val="100"/>
        <w:sz w:val="24"/>
        <w:szCs w:val="24"/>
        <w:lang w:val="en-US" w:eastAsia="zh-CN" w:bidi="ar-SA"/>
      </w:rPr>
    </w:lvl>
    <w:lvl w:ilvl="1" w:tentative="0">
      <w:start w:val="0"/>
      <w:numFmt w:val="bullet"/>
      <w:lvlText w:val="•"/>
      <w:lvlJc w:val="left"/>
      <w:pPr>
        <w:ind w:left="1030" w:hanging="360"/>
      </w:pPr>
      <w:rPr>
        <w:rFonts w:hint="default"/>
        <w:lang w:val="en-US" w:eastAsia="zh-CN" w:bidi="ar-SA"/>
      </w:rPr>
    </w:lvl>
    <w:lvl w:ilvl="2" w:tentative="0">
      <w:start w:val="0"/>
      <w:numFmt w:val="bullet"/>
      <w:lvlText w:val="•"/>
      <w:lvlJc w:val="left"/>
      <w:pPr>
        <w:ind w:left="1960" w:hanging="360"/>
      </w:pPr>
      <w:rPr>
        <w:rFonts w:hint="default"/>
        <w:lang w:val="en-US" w:eastAsia="zh-CN" w:bidi="ar-SA"/>
      </w:rPr>
    </w:lvl>
    <w:lvl w:ilvl="3" w:tentative="0">
      <w:start w:val="0"/>
      <w:numFmt w:val="bullet"/>
      <w:lvlText w:val="•"/>
      <w:lvlJc w:val="left"/>
      <w:pPr>
        <w:ind w:left="2890" w:hanging="360"/>
      </w:pPr>
      <w:rPr>
        <w:rFonts w:hint="default"/>
        <w:lang w:val="en-US" w:eastAsia="zh-CN" w:bidi="ar-SA"/>
      </w:rPr>
    </w:lvl>
    <w:lvl w:ilvl="4" w:tentative="0">
      <w:start w:val="0"/>
      <w:numFmt w:val="bullet"/>
      <w:lvlText w:val="•"/>
      <w:lvlJc w:val="left"/>
      <w:pPr>
        <w:ind w:left="3821" w:hanging="360"/>
      </w:pPr>
      <w:rPr>
        <w:rFonts w:hint="default"/>
        <w:lang w:val="en-US" w:eastAsia="zh-CN" w:bidi="ar-SA"/>
      </w:rPr>
    </w:lvl>
    <w:lvl w:ilvl="5" w:tentative="0">
      <w:start w:val="0"/>
      <w:numFmt w:val="bullet"/>
      <w:lvlText w:val="•"/>
      <w:lvlJc w:val="left"/>
      <w:pPr>
        <w:ind w:left="4751" w:hanging="360"/>
      </w:pPr>
      <w:rPr>
        <w:rFonts w:hint="default"/>
        <w:lang w:val="en-US" w:eastAsia="zh-CN" w:bidi="ar-SA"/>
      </w:rPr>
    </w:lvl>
    <w:lvl w:ilvl="6" w:tentative="0">
      <w:start w:val="0"/>
      <w:numFmt w:val="bullet"/>
      <w:lvlText w:val="•"/>
      <w:lvlJc w:val="left"/>
      <w:pPr>
        <w:ind w:left="5681" w:hanging="360"/>
      </w:pPr>
      <w:rPr>
        <w:rFonts w:hint="default"/>
        <w:lang w:val="en-US" w:eastAsia="zh-CN" w:bidi="ar-SA"/>
      </w:rPr>
    </w:lvl>
    <w:lvl w:ilvl="7" w:tentative="0">
      <w:start w:val="0"/>
      <w:numFmt w:val="bullet"/>
      <w:lvlText w:val="•"/>
      <w:lvlJc w:val="left"/>
      <w:pPr>
        <w:ind w:left="6612" w:hanging="360"/>
      </w:pPr>
      <w:rPr>
        <w:rFonts w:hint="default"/>
        <w:lang w:val="en-US" w:eastAsia="zh-CN" w:bidi="ar-SA"/>
      </w:rPr>
    </w:lvl>
    <w:lvl w:ilvl="8" w:tentative="0">
      <w:start w:val="0"/>
      <w:numFmt w:val="bullet"/>
      <w:lvlText w:val="•"/>
      <w:lvlJc w:val="left"/>
      <w:pPr>
        <w:ind w:left="7542" w:hanging="360"/>
      </w:pPr>
      <w:rPr>
        <w:rFonts w:hint="default"/>
        <w:lang w:val="en-US" w:eastAsia="zh-CN" w:bidi="ar-SA"/>
      </w:rPr>
    </w:lvl>
  </w:abstractNum>
  <w:abstractNum w:abstractNumId="21">
    <w:nsid w:val="E093A4B0"/>
    <w:multiLevelType w:val="multilevel"/>
    <w:tmpl w:val="E093A4B0"/>
    <w:lvl w:ilvl="0" w:tentative="0">
      <w:start w:val="33"/>
      <w:numFmt w:val="decimal"/>
      <w:lvlText w:val="%1"/>
      <w:lvlJc w:val="left"/>
      <w:pPr>
        <w:ind w:left="780" w:hanging="540"/>
      </w:pPr>
      <w:rPr>
        <w:rFonts w:hint="default"/>
        <w:lang w:val="en-US" w:eastAsia="zh-CN" w:bidi="ar-SA"/>
      </w:rPr>
    </w:lvl>
    <w:lvl w:ilvl="1" w:tentative="0">
      <w:start w:val="1"/>
      <w:numFmt w:val="decimal"/>
      <w:lvlText w:val="%1.%2"/>
      <w:lvlJc w:val="left"/>
      <w:pPr>
        <w:ind w:left="780" w:hanging="540"/>
      </w:pPr>
      <w:rPr>
        <w:rFonts w:hint="default" w:ascii="宋体" w:hAnsi="宋体" w:eastAsia="宋体" w:cs="宋体"/>
        <w:b w:val="0"/>
        <w:bCs w:val="0"/>
        <w:i w:val="0"/>
        <w:iCs w:val="0"/>
        <w:spacing w:val="0"/>
        <w:w w:val="100"/>
        <w:sz w:val="24"/>
        <w:szCs w:val="24"/>
        <w:lang w:val="en-US" w:eastAsia="zh-CN" w:bidi="ar-SA"/>
      </w:rPr>
    </w:lvl>
    <w:lvl w:ilvl="2" w:tentative="0">
      <w:start w:val="0"/>
      <w:numFmt w:val="bullet"/>
      <w:lvlText w:val="•"/>
      <w:lvlJc w:val="left"/>
      <w:pPr>
        <w:ind w:left="2597" w:hanging="540"/>
      </w:pPr>
      <w:rPr>
        <w:rFonts w:hint="default"/>
        <w:lang w:val="en-US" w:eastAsia="zh-CN" w:bidi="ar-SA"/>
      </w:rPr>
    </w:lvl>
    <w:lvl w:ilvl="3" w:tentative="0">
      <w:start w:val="0"/>
      <w:numFmt w:val="bullet"/>
      <w:lvlText w:val="•"/>
      <w:lvlJc w:val="left"/>
      <w:pPr>
        <w:ind w:left="3505" w:hanging="540"/>
      </w:pPr>
      <w:rPr>
        <w:rFonts w:hint="default"/>
        <w:lang w:val="en-US" w:eastAsia="zh-CN" w:bidi="ar-SA"/>
      </w:rPr>
    </w:lvl>
    <w:lvl w:ilvl="4" w:tentative="0">
      <w:start w:val="0"/>
      <w:numFmt w:val="bullet"/>
      <w:lvlText w:val="•"/>
      <w:lvlJc w:val="left"/>
      <w:pPr>
        <w:ind w:left="4414" w:hanging="540"/>
      </w:pPr>
      <w:rPr>
        <w:rFonts w:hint="default"/>
        <w:lang w:val="en-US" w:eastAsia="zh-CN" w:bidi="ar-SA"/>
      </w:rPr>
    </w:lvl>
    <w:lvl w:ilvl="5" w:tentative="0">
      <w:start w:val="0"/>
      <w:numFmt w:val="bullet"/>
      <w:lvlText w:val="•"/>
      <w:lvlJc w:val="left"/>
      <w:pPr>
        <w:ind w:left="5323" w:hanging="540"/>
      </w:pPr>
      <w:rPr>
        <w:rFonts w:hint="default"/>
        <w:lang w:val="en-US" w:eastAsia="zh-CN" w:bidi="ar-SA"/>
      </w:rPr>
    </w:lvl>
    <w:lvl w:ilvl="6" w:tentative="0">
      <w:start w:val="0"/>
      <w:numFmt w:val="bullet"/>
      <w:lvlText w:val="•"/>
      <w:lvlJc w:val="left"/>
      <w:pPr>
        <w:ind w:left="6231" w:hanging="540"/>
      </w:pPr>
      <w:rPr>
        <w:rFonts w:hint="default"/>
        <w:lang w:val="en-US" w:eastAsia="zh-CN" w:bidi="ar-SA"/>
      </w:rPr>
    </w:lvl>
    <w:lvl w:ilvl="7" w:tentative="0">
      <w:start w:val="0"/>
      <w:numFmt w:val="bullet"/>
      <w:lvlText w:val="•"/>
      <w:lvlJc w:val="left"/>
      <w:pPr>
        <w:ind w:left="7140" w:hanging="540"/>
      </w:pPr>
      <w:rPr>
        <w:rFonts w:hint="default"/>
        <w:lang w:val="en-US" w:eastAsia="zh-CN" w:bidi="ar-SA"/>
      </w:rPr>
    </w:lvl>
    <w:lvl w:ilvl="8" w:tentative="0">
      <w:start w:val="0"/>
      <w:numFmt w:val="bullet"/>
      <w:lvlText w:val="•"/>
      <w:lvlJc w:val="left"/>
      <w:pPr>
        <w:ind w:left="8048" w:hanging="540"/>
      </w:pPr>
      <w:rPr>
        <w:rFonts w:hint="default"/>
        <w:lang w:val="en-US" w:eastAsia="zh-CN" w:bidi="ar-SA"/>
      </w:rPr>
    </w:lvl>
  </w:abstractNum>
  <w:abstractNum w:abstractNumId="22">
    <w:nsid w:val="E4EA0656"/>
    <w:multiLevelType w:val="singleLevel"/>
    <w:tmpl w:val="E4EA0656"/>
    <w:lvl w:ilvl="0" w:tentative="0">
      <w:start w:val="1"/>
      <w:numFmt w:val="decimal"/>
      <w:suff w:val="nothing"/>
      <w:lvlText w:val="%1、"/>
      <w:lvlJc w:val="left"/>
    </w:lvl>
  </w:abstractNum>
  <w:abstractNum w:abstractNumId="23">
    <w:nsid w:val="E504947C"/>
    <w:multiLevelType w:val="multilevel"/>
    <w:tmpl w:val="E504947C"/>
    <w:lvl w:ilvl="0" w:tentative="0">
      <w:start w:val="3"/>
      <w:numFmt w:val="decimal"/>
      <w:lvlText w:val="%1）"/>
      <w:lvlJc w:val="left"/>
      <w:pPr>
        <w:ind w:left="780" w:hanging="361"/>
      </w:pPr>
      <w:rPr>
        <w:rFonts w:hint="default" w:ascii="宋体" w:hAnsi="宋体" w:eastAsia="宋体" w:cs="宋体"/>
        <w:b w:val="0"/>
        <w:bCs w:val="0"/>
        <w:i w:val="0"/>
        <w:iCs w:val="0"/>
        <w:spacing w:val="0"/>
        <w:w w:val="100"/>
        <w:sz w:val="22"/>
        <w:szCs w:val="22"/>
        <w:lang w:val="en-US" w:eastAsia="zh-CN" w:bidi="ar-SA"/>
      </w:rPr>
    </w:lvl>
    <w:lvl w:ilvl="1" w:tentative="0">
      <w:start w:val="0"/>
      <w:numFmt w:val="bullet"/>
      <w:lvlText w:val="•"/>
      <w:lvlJc w:val="left"/>
      <w:pPr>
        <w:ind w:left="1688" w:hanging="361"/>
      </w:pPr>
      <w:rPr>
        <w:rFonts w:hint="default"/>
        <w:lang w:val="en-US" w:eastAsia="zh-CN" w:bidi="ar-SA"/>
      </w:rPr>
    </w:lvl>
    <w:lvl w:ilvl="2" w:tentative="0">
      <w:start w:val="0"/>
      <w:numFmt w:val="bullet"/>
      <w:lvlText w:val="•"/>
      <w:lvlJc w:val="left"/>
      <w:pPr>
        <w:ind w:left="2597" w:hanging="361"/>
      </w:pPr>
      <w:rPr>
        <w:rFonts w:hint="default"/>
        <w:lang w:val="en-US" w:eastAsia="zh-CN" w:bidi="ar-SA"/>
      </w:rPr>
    </w:lvl>
    <w:lvl w:ilvl="3" w:tentative="0">
      <w:start w:val="0"/>
      <w:numFmt w:val="bullet"/>
      <w:lvlText w:val="•"/>
      <w:lvlJc w:val="left"/>
      <w:pPr>
        <w:ind w:left="3505" w:hanging="361"/>
      </w:pPr>
      <w:rPr>
        <w:rFonts w:hint="default"/>
        <w:lang w:val="en-US" w:eastAsia="zh-CN" w:bidi="ar-SA"/>
      </w:rPr>
    </w:lvl>
    <w:lvl w:ilvl="4" w:tentative="0">
      <w:start w:val="0"/>
      <w:numFmt w:val="bullet"/>
      <w:lvlText w:val="•"/>
      <w:lvlJc w:val="left"/>
      <w:pPr>
        <w:ind w:left="4414" w:hanging="361"/>
      </w:pPr>
      <w:rPr>
        <w:rFonts w:hint="default"/>
        <w:lang w:val="en-US" w:eastAsia="zh-CN" w:bidi="ar-SA"/>
      </w:rPr>
    </w:lvl>
    <w:lvl w:ilvl="5" w:tentative="0">
      <w:start w:val="0"/>
      <w:numFmt w:val="bullet"/>
      <w:lvlText w:val="•"/>
      <w:lvlJc w:val="left"/>
      <w:pPr>
        <w:ind w:left="5323" w:hanging="361"/>
      </w:pPr>
      <w:rPr>
        <w:rFonts w:hint="default"/>
        <w:lang w:val="en-US" w:eastAsia="zh-CN" w:bidi="ar-SA"/>
      </w:rPr>
    </w:lvl>
    <w:lvl w:ilvl="6" w:tentative="0">
      <w:start w:val="0"/>
      <w:numFmt w:val="bullet"/>
      <w:lvlText w:val="•"/>
      <w:lvlJc w:val="left"/>
      <w:pPr>
        <w:ind w:left="6231" w:hanging="361"/>
      </w:pPr>
      <w:rPr>
        <w:rFonts w:hint="default"/>
        <w:lang w:val="en-US" w:eastAsia="zh-CN" w:bidi="ar-SA"/>
      </w:rPr>
    </w:lvl>
    <w:lvl w:ilvl="7" w:tentative="0">
      <w:start w:val="0"/>
      <w:numFmt w:val="bullet"/>
      <w:lvlText w:val="•"/>
      <w:lvlJc w:val="left"/>
      <w:pPr>
        <w:ind w:left="7140" w:hanging="361"/>
      </w:pPr>
      <w:rPr>
        <w:rFonts w:hint="default"/>
        <w:lang w:val="en-US" w:eastAsia="zh-CN" w:bidi="ar-SA"/>
      </w:rPr>
    </w:lvl>
    <w:lvl w:ilvl="8" w:tentative="0">
      <w:start w:val="0"/>
      <w:numFmt w:val="bullet"/>
      <w:lvlText w:val="•"/>
      <w:lvlJc w:val="left"/>
      <w:pPr>
        <w:ind w:left="8048" w:hanging="361"/>
      </w:pPr>
      <w:rPr>
        <w:rFonts w:hint="default"/>
        <w:lang w:val="en-US" w:eastAsia="zh-CN" w:bidi="ar-SA"/>
      </w:rPr>
    </w:lvl>
  </w:abstractNum>
  <w:abstractNum w:abstractNumId="24">
    <w:nsid w:val="F4B5D9F5"/>
    <w:multiLevelType w:val="multilevel"/>
    <w:tmpl w:val="F4B5D9F5"/>
    <w:lvl w:ilvl="0" w:tentative="0">
      <w:start w:val="1"/>
      <w:numFmt w:val="decimal"/>
      <w:lvlText w:val="%1."/>
      <w:lvlJc w:val="left"/>
      <w:pPr>
        <w:ind w:left="352" w:hanging="241"/>
      </w:pPr>
      <w:rPr>
        <w:rFonts w:hint="default" w:ascii="宋体" w:hAnsi="宋体" w:eastAsia="宋体" w:cs="宋体"/>
        <w:b w:val="0"/>
        <w:bCs w:val="0"/>
        <w:i w:val="0"/>
        <w:iCs w:val="0"/>
        <w:spacing w:val="0"/>
        <w:w w:val="99"/>
        <w:sz w:val="22"/>
        <w:szCs w:val="22"/>
        <w:lang w:val="en-US" w:eastAsia="zh-CN" w:bidi="ar-SA"/>
      </w:rPr>
    </w:lvl>
    <w:lvl w:ilvl="1" w:tentative="0">
      <w:start w:val="0"/>
      <w:numFmt w:val="bullet"/>
      <w:lvlText w:val="•"/>
      <w:lvlJc w:val="left"/>
      <w:pPr>
        <w:ind w:left="993" w:hanging="241"/>
      </w:pPr>
      <w:rPr>
        <w:rFonts w:hint="default"/>
        <w:lang w:val="en-US" w:eastAsia="zh-CN" w:bidi="ar-SA"/>
      </w:rPr>
    </w:lvl>
    <w:lvl w:ilvl="2" w:tentative="0">
      <w:start w:val="0"/>
      <w:numFmt w:val="bullet"/>
      <w:lvlText w:val="•"/>
      <w:lvlJc w:val="left"/>
      <w:pPr>
        <w:ind w:left="1627" w:hanging="241"/>
      </w:pPr>
      <w:rPr>
        <w:rFonts w:hint="default"/>
        <w:lang w:val="en-US" w:eastAsia="zh-CN" w:bidi="ar-SA"/>
      </w:rPr>
    </w:lvl>
    <w:lvl w:ilvl="3" w:tentative="0">
      <w:start w:val="0"/>
      <w:numFmt w:val="bullet"/>
      <w:lvlText w:val="•"/>
      <w:lvlJc w:val="left"/>
      <w:pPr>
        <w:ind w:left="2260" w:hanging="241"/>
      </w:pPr>
      <w:rPr>
        <w:rFonts w:hint="default"/>
        <w:lang w:val="en-US" w:eastAsia="zh-CN" w:bidi="ar-SA"/>
      </w:rPr>
    </w:lvl>
    <w:lvl w:ilvl="4" w:tentative="0">
      <w:start w:val="0"/>
      <w:numFmt w:val="bullet"/>
      <w:lvlText w:val="•"/>
      <w:lvlJc w:val="left"/>
      <w:pPr>
        <w:ind w:left="2894" w:hanging="241"/>
      </w:pPr>
      <w:rPr>
        <w:rFonts w:hint="default"/>
        <w:lang w:val="en-US" w:eastAsia="zh-CN" w:bidi="ar-SA"/>
      </w:rPr>
    </w:lvl>
    <w:lvl w:ilvl="5" w:tentative="0">
      <w:start w:val="0"/>
      <w:numFmt w:val="bullet"/>
      <w:lvlText w:val="•"/>
      <w:lvlJc w:val="left"/>
      <w:pPr>
        <w:ind w:left="3527" w:hanging="241"/>
      </w:pPr>
      <w:rPr>
        <w:rFonts w:hint="default"/>
        <w:lang w:val="en-US" w:eastAsia="zh-CN" w:bidi="ar-SA"/>
      </w:rPr>
    </w:lvl>
    <w:lvl w:ilvl="6" w:tentative="0">
      <w:start w:val="0"/>
      <w:numFmt w:val="bullet"/>
      <w:lvlText w:val="•"/>
      <w:lvlJc w:val="left"/>
      <w:pPr>
        <w:ind w:left="4161" w:hanging="241"/>
      </w:pPr>
      <w:rPr>
        <w:rFonts w:hint="default"/>
        <w:lang w:val="en-US" w:eastAsia="zh-CN" w:bidi="ar-SA"/>
      </w:rPr>
    </w:lvl>
    <w:lvl w:ilvl="7" w:tentative="0">
      <w:start w:val="0"/>
      <w:numFmt w:val="bullet"/>
      <w:lvlText w:val="•"/>
      <w:lvlJc w:val="left"/>
      <w:pPr>
        <w:ind w:left="4794" w:hanging="241"/>
      </w:pPr>
      <w:rPr>
        <w:rFonts w:hint="default"/>
        <w:lang w:val="en-US" w:eastAsia="zh-CN" w:bidi="ar-SA"/>
      </w:rPr>
    </w:lvl>
    <w:lvl w:ilvl="8" w:tentative="0">
      <w:start w:val="0"/>
      <w:numFmt w:val="bullet"/>
      <w:lvlText w:val="•"/>
      <w:lvlJc w:val="left"/>
      <w:pPr>
        <w:ind w:left="5428" w:hanging="241"/>
      </w:pPr>
      <w:rPr>
        <w:rFonts w:hint="default"/>
        <w:lang w:val="en-US" w:eastAsia="zh-CN" w:bidi="ar-SA"/>
      </w:rPr>
    </w:lvl>
  </w:abstractNum>
  <w:abstractNum w:abstractNumId="25">
    <w:nsid w:val="F689643B"/>
    <w:multiLevelType w:val="multilevel"/>
    <w:tmpl w:val="F689643B"/>
    <w:lvl w:ilvl="0" w:tentative="0">
      <w:start w:val="1"/>
      <w:numFmt w:val="decimal"/>
      <w:lvlText w:val="%1."/>
      <w:lvlJc w:val="left"/>
      <w:pPr>
        <w:ind w:left="1423" w:hanging="212"/>
      </w:pPr>
      <w:rPr>
        <w:rFonts w:hint="default" w:ascii="宋体" w:hAnsi="宋体" w:eastAsia="宋体" w:cs="宋体"/>
        <w:b w:val="0"/>
        <w:bCs w:val="0"/>
        <w:i w:val="0"/>
        <w:iCs w:val="0"/>
        <w:spacing w:val="-2"/>
        <w:w w:val="99"/>
        <w:sz w:val="19"/>
        <w:szCs w:val="19"/>
        <w:lang w:val="en-US" w:eastAsia="zh-CN" w:bidi="ar-SA"/>
      </w:rPr>
    </w:lvl>
    <w:lvl w:ilvl="1" w:tentative="0">
      <w:start w:val="0"/>
      <w:numFmt w:val="bullet"/>
      <w:lvlText w:val="•"/>
      <w:lvlJc w:val="left"/>
      <w:pPr>
        <w:ind w:left="2264" w:hanging="212"/>
      </w:pPr>
      <w:rPr>
        <w:rFonts w:hint="default"/>
        <w:lang w:val="en-US" w:eastAsia="zh-CN" w:bidi="ar-SA"/>
      </w:rPr>
    </w:lvl>
    <w:lvl w:ilvl="2" w:tentative="0">
      <w:start w:val="0"/>
      <w:numFmt w:val="bullet"/>
      <w:lvlText w:val="•"/>
      <w:lvlJc w:val="left"/>
      <w:pPr>
        <w:ind w:left="3109" w:hanging="212"/>
      </w:pPr>
      <w:rPr>
        <w:rFonts w:hint="default"/>
        <w:lang w:val="en-US" w:eastAsia="zh-CN" w:bidi="ar-SA"/>
      </w:rPr>
    </w:lvl>
    <w:lvl w:ilvl="3" w:tentative="0">
      <w:start w:val="0"/>
      <w:numFmt w:val="bullet"/>
      <w:lvlText w:val="•"/>
      <w:lvlJc w:val="left"/>
      <w:pPr>
        <w:ind w:left="3953" w:hanging="212"/>
      </w:pPr>
      <w:rPr>
        <w:rFonts w:hint="default"/>
        <w:lang w:val="en-US" w:eastAsia="zh-CN" w:bidi="ar-SA"/>
      </w:rPr>
    </w:lvl>
    <w:lvl w:ilvl="4" w:tentative="0">
      <w:start w:val="0"/>
      <w:numFmt w:val="bullet"/>
      <w:lvlText w:val="•"/>
      <w:lvlJc w:val="left"/>
      <w:pPr>
        <w:ind w:left="4798" w:hanging="212"/>
      </w:pPr>
      <w:rPr>
        <w:rFonts w:hint="default"/>
        <w:lang w:val="en-US" w:eastAsia="zh-CN" w:bidi="ar-SA"/>
      </w:rPr>
    </w:lvl>
    <w:lvl w:ilvl="5" w:tentative="0">
      <w:start w:val="0"/>
      <w:numFmt w:val="bullet"/>
      <w:lvlText w:val="•"/>
      <w:lvlJc w:val="left"/>
      <w:pPr>
        <w:ind w:left="5643" w:hanging="212"/>
      </w:pPr>
      <w:rPr>
        <w:rFonts w:hint="default"/>
        <w:lang w:val="en-US" w:eastAsia="zh-CN" w:bidi="ar-SA"/>
      </w:rPr>
    </w:lvl>
    <w:lvl w:ilvl="6" w:tentative="0">
      <w:start w:val="0"/>
      <w:numFmt w:val="bullet"/>
      <w:lvlText w:val="•"/>
      <w:lvlJc w:val="left"/>
      <w:pPr>
        <w:ind w:left="6487" w:hanging="212"/>
      </w:pPr>
      <w:rPr>
        <w:rFonts w:hint="default"/>
        <w:lang w:val="en-US" w:eastAsia="zh-CN" w:bidi="ar-SA"/>
      </w:rPr>
    </w:lvl>
    <w:lvl w:ilvl="7" w:tentative="0">
      <w:start w:val="0"/>
      <w:numFmt w:val="bullet"/>
      <w:lvlText w:val="•"/>
      <w:lvlJc w:val="left"/>
      <w:pPr>
        <w:ind w:left="7332" w:hanging="212"/>
      </w:pPr>
      <w:rPr>
        <w:rFonts w:hint="default"/>
        <w:lang w:val="en-US" w:eastAsia="zh-CN" w:bidi="ar-SA"/>
      </w:rPr>
    </w:lvl>
    <w:lvl w:ilvl="8" w:tentative="0">
      <w:start w:val="0"/>
      <w:numFmt w:val="bullet"/>
      <w:lvlText w:val="•"/>
      <w:lvlJc w:val="left"/>
      <w:pPr>
        <w:ind w:left="8176" w:hanging="212"/>
      </w:pPr>
      <w:rPr>
        <w:rFonts w:hint="default"/>
        <w:lang w:val="en-US" w:eastAsia="zh-CN" w:bidi="ar-SA"/>
      </w:rPr>
    </w:lvl>
  </w:abstractNum>
  <w:abstractNum w:abstractNumId="26">
    <w:nsid w:val="F7735DC9"/>
    <w:multiLevelType w:val="multilevel"/>
    <w:tmpl w:val="F7735DC9"/>
    <w:lvl w:ilvl="0" w:tentative="0">
      <w:start w:val="31"/>
      <w:numFmt w:val="decimal"/>
      <w:lvlText w:val="%1."/>
      <w:lvlJc w:val="left"/>
      <w:pPr>
        <w:ind w:left="1143" w:hanging="364"/>
      </w:pPr>
      <w:rPr>
        <w:rFonts w:hint="default" w:ascii="宋体" w:hAnsi="宋体" w:eastAsia="宋体" w:cs="宋体"/>
        <w:b/>
        <w:bCs/>
        <w:i w:val="0"/>
        <w:iCs w:val="0"/>
        <w:spacing w:val="0"/>
        <w:w w:val="99"/>
        <w:sz w:val="22"/>
        <w:szCs w:val="22"/>
        <w:lang w:val="en-US" w:eastAsia="zh-CN" w:bidi="ar-SA"/>
      </w:rPr>
    </w:lvl>
    <w:lvl w:ilvl="1" w:tentative="0">
      <w:start w:val="1"/>
      <w:numFmt w:val="decimal"/>
      <w:lvlText w:val="%1.%2"/>
      <w:lvlJc w:val="left"/>
      <w:pPr>
        <w:ind w:left="780" w:hanging="540"/>
      </w:pPr>
      <w:rPr>
        <w:rFonts w:hint="default" w:ascii="宋体" w:hAnsi="宋体" w:eastAsia="宋体" w:cs="宋体"/>
        <w:b w:val="0"/>
        <w:bCs w:val="0"/>
        <w:i w:val="0"/>
        <w:iCs w:val="0"/>
        <w:spacing w:val="0"/>
        <w:w w:val="100"/>
        <w:sz w:val="24"/>
        <w:szCs w:val="24"/>
        <w:lang w:val="en-US" w:eastAsia="zh-CN" w:bidi="ar-SA"/>
      </w:rPr>
    </w:lvl>
    <w:lvl w:ilvl="2" w:tentative="0">
      <w:start w:val="0"/>
      <w:numFmt w:val="bullet"/>
      <w:lvlText w:val="•"/>
      <w:lvlJc w:val="left"/>
      <w:pPr>
        <w:ind w:left="2109" w:hanging="540"/>
      </w:pPr>
      <w:rPr>
        <w:rFonts w:hint="default"/>
        <w:lang w:val="en-US" w:eastAsia="zh-CN" w:bidi="ar-SA"/>
      </w:rPr>
    </w:lvl>
    <w:lvl w:ilvl="3" w:tentative="0">
      <w:start w:val="0"/>
      <w:numFmt w:val="bullet"/>
      <w:lvlText w:val="•"/>
      <w:lvlJc w:val="left"/>
      <w:pPr>
        <w:ind w:left="3079" w:hanging="540"/>
      </w:pPr>
      <w:rPr>
        <w:rFonts w:hint="default"/>
        <w:lang w:val="en-US" w:eastAsia="zh-CN" w:bidi="ar-SA"/>
      </w:rPr>
    </w:lvl>
    <w:lvl w:ilvl="4" w:tentative="0">
      <w:start w:val="0"/>
      <w:numFmt w:val="bullet"/>
      <w:lvlText w:val="•"/>
      <w:lvlJc w:val="left"/>
      <w:pPr>
        <w:ind w:left="4048" w:hanging="540"/>
      </w:pPr>
      <w:rPr>
        <w:rFonts w:hint="default"/>
        <w:lang w:val="en-US" w:eastAsia="zh-CN" w:bidi="ar-SA"/>
      </w:rPr>
    </w:lvl>
    <w:lvl w:ilvl="5" w:tentative="0">
      <w:start w:val="0"/>
      <w:numFmt w:val="bullet"/>
      <w:lvlText w:val="•"/>
      <w:lvlJc w:val="left"/>
      <w:pPr>
        <w:ind w:left="5018" w:hanging="540"/>
      </w:pPr>
      <w:rPr>
        <w:rFonts w:hint="default"/>
        <w:lang w:val="en-US" w:eastAsia="zh-CN" w:bidi="ar-SA"/>
      </w:rPr>
    </w:lvl>
    <w:lvl w:ilvl="6" w:tentative="0">
      <w:start w:val="0"/>
      <w:numFmt w:val="bullet"/>
      <w:lvlText w:val="•"/>
      <w:lvlJc w:val="left"/>
      <w:pPr>
        <w:ind w:left="5987" w:hanging="540"/>
      </w:pPr>
      <w:rPr>
        <w:rFonts w:hint="default"/>
        <w:lang w:val="en-US" w:eastAsia="zh-CN" w:bidi="ar-SA"/>
      </w:rPr>
    </w:lvl>
    <w:lvl w:ilvl="7" w:tentative="0">
      <w:start w:val="0"/>
      <w:numFmt w:val="bullet"/>
      <w:lvlText w:val="•"/>
      <w:lvlJc w:val="left"/>
      <w:pPr>
        <w:ind w:left="6957" w:hanging="540"/>
      </w:pPr>
      <w:rPr>
        <w:rFonts w:hint="default"/>
        <w:lang w:val="en-US" w:eastAsia="zh-CN" w:bidi="ar-SA"/>
      </w:rPr>
    </w:lvl>
    <w:lvl w:ilvl="8" w:tentative="0">
      <w:start w:val="0"/>
      <w:numFmt w:val="bullet"/>
      <w:lvlText w:val="•"/>
      <w:lvlJc w:val="left"/>
      <w:pPr>
        <w:ind w:left="7926" w:hanging="540"/>
      </w:pPr>
      <w:rPr>
        <w:rFonts w:hint="default"/>
        <w:lang w:val="en-US" w:eastAsia="zh-CN" w:bidi="ar-SA"/>
      </w:rPr>
    </w:lvl>
  </w:abstractNum>
  <w:abstractNum w:abstractNumId="27">
    <w:nsid w:val="FEC2EA36"/>
    <w:multiLevelType w:val="multilevel"/>
    <w:tmpl w:val="FEC2EA36"/>
    <w:lvl w:ilvl="0" w:tentative="0">
      <w:start w:val="1"/>
      <w:numFmt w:val="decimal"/>
      <w:lvlText w:val="%1."/>
      <w:lvlJc w:val="left"/>
      <w:pPr>
        <w:ind w:left="1501" w:hanging="241"/>
      </w:pPr>
      <w:rPr>
        <w:rFonts w:hint="default" w:ascii="宋体" w:hAnsi="宋体" w:eastAsia="宋体" w:cs="宋体"/>
        <w:b w:val="0"/>
        <w:bCs w:val="0"/>
        <w:i w:val="0"/>
        <w:iCs w:val="0"/>
        <w:spacing w:val="0"/>
        <w:w w:val="99"/>
        <w:sz w:val="22"/>
        <w:szCs w:val="22"/>
        <w:lang w:val="en-US" w:eastAsia="zh-CN" w:bidi="ar-SA"/>
      </w:rPr>
    </w:lvl>
    <w:lvl w:ilvl="1" w:tentative="0">
      <w:start w:val="0"/>
      <w:numFmt w:val="bullet"/>
      <w:lvlText w:val="•"/>
      <w:lvlJc w:val="left"/>
      <w:pPr>
        <w:ind w:left="2336" w:hanging="241"/>
      </w:pPr>
      <w:rPr>
        <w:rFonts w:hint="default"/>
        <w:lang w:val="en-US" w:eastAsia="zh-CN" w:bidi="ar-SA"/>
      </w:rPr>
    </w:lvl>
    <w:lvl w:ilvl="2" w:tentative="0">
      <w:start w:val="0"/>
      <w:numFmt w:val="bullet"/>
      <w:lvlText w:val="•"/>
      <w:lvlJc w:val="left"/>
      <w:pPr>
        <w:ind w:left="3173" w:hanging="241"/>
      </w:pPr>
      <w:rPr>
        <w:rFonts w:hint="default"/>
        <w:lang w:val="en-US" w:eastAsia="zh-CN" w:bidi="ar-SA"/>
      </w:rPr>
    </w:lvl>
    <w:lvl w:ilvl="3" w:tentative="0">
      <w:start w:val="0"/>
      <w:numFmt w:val="bullet"/>
      <w:lvlText w:val="•"/>
      <w:lvlJc w:val="left"/>
      <w:pPr>
        <w:ind w:left="4009" w:hanging="241"/>
      </w:pPr>
      <w:rPr>
        <w:rFonts w:hint="default"/>
        <w:lang w:val="en-US" w:eastAsia="zh-CN" w:bidi="ar-SA"/>
      </w:rPr>
    </w:lvl>
    <w:lvl w:ilvl="4" w:tentative="0">
      <w:start w:val="0"/>
      <w:numFmt w:val="bullet"/>
      <w:lvlText w:val="•"/>
      <w:lvlJc w:val="left"/>
      <w:pPr>
        <w:ind w:left="4846" w:hanging="241"/>
      </w:pPr>
      <w:rPr>
        <w:rFonts w:hint="default"/>
        <w:lang w:val="en-US" w:eastAsia="zh-CN" w:bidi="ar-SA"/>
      </w:rPr>
    </w:lvl>
    <w:lvl w:ilvl="5" w:tentative="0">
      <w:start w:val="0"/>
      <w:numFmt w:val="bullet"/>
      <w:lvlText w:val="•"/>
      <w:lvlJc w:val="left"/>
      <w:pPr>
        <w:ind w:left="5683" w:hanging="241"/>
      </w:pPr>
      <w:rPr>
        <w:rFonts w:hint="default"/>
        <w:lang w:val="en-US" w:eastAsia="zh-CN" w:bidi="ar-SA"/>
      </w:rPr>
    </w:lvl>
    <w:lvl w:ilvl="6" w:tentative="0">
      <w:start w:val="0"/>
      <w:numFmt w:val="bullet"/>
      <w:lvlText w:val="•"/>
      <w:lvlJc w:val="left"/>
      <w:pPr>
        <w:ind w:left="6519" w:hanging="241"/>
      </w:pPr>
      <w:rPr>
        <w:rFonts w:hint="default"/>
        <w:lang w:val="en-US" w:eastAsia="zh-CN" w:bidi="ar-SA"/>
      </w:rPr>
    </w:lvl>
    <w:lvl w:ilvl="7" w:tentative="0">
      <w:start w:val="0"/>
      <w:numFmt w:val="bullet"/>
      <w:lvlText w:val="•"/>
      <w:lvlJc w:val="left"/>
      <w:pPr>
        <w:ind w:left="7356" w:hanging="241"/>
      </w:pPr>
      <w:rPr>
        <w:rFonts w:hint="default"/>
        <w:lang w:val="en-US" w:eastAsia="zh-CN" w:bidi="ar-SA"/>
      </w:rPr>
    </w:lvl>
    <w:lvl w:ilvl="8" w:tentative="0">
      <w:start w:val="0"/>
      <w:numFmt w:val="bullet"/>
      <w:lvlText w:val="•"/>
      <w:lvlJc w:val="left"/>
      <w:pPr>
        <w:ind w:left="8192" w:hanging="241"/>
      </w:pPr>
      <w:rPr>
        <w:rFonts w:hint="default"/>
        <w:lang w:val="en-US" w:eastAsia="zh-CN" w:bidi="ar-SA"/>
      </w:rPr>
    </w:lvl>
  </w:abstractNum>
  <w:abstractNum w:abstractNumId="28">
    <w:nsid w:val="0248C179"/>
    <w:multiLevelType w:val="multilevel"/>
    <w:tmpl w:val="0248C179"/>
    <w:lvl w:ilvl="0" w:tentative="0">
      <w:start w:val="1"/>
      <w:numFmt w:val="decimal"/>
      <w:lvlText w:val="%1."/>
      <w:lvlJc w:val="left"/>
      <w:pPr>
        <w:ind w:left="352" w:hanging="241"/>
      </w:pPr>
      <w:rPr>
        <w:rFonts w:hint="default" w:ascii="宋体" w:hAnsi="宋体" w:eastAsia="宋体" w:cs="宋体"/>
        <w:b w:val="0"/>
        <w:bCs w:val="0"/>
        <w:i w:val="0"/>
        <w:iCs w:val="0"/>
        <w:spacing w:val="0"/>
        <w:w w:val="99"/>
        <w:sz w:val="22"/>
        <w:szCs w:val="22"/>
        <w:lang w:val="en-US" w:eastAsia="zh-CN" w:bidi="ar-SA"/>
      </w:rPr>
    </w:lvl>
    <w:lvl w:ilvl="1" w:tentative="0">
      <w:start w:val="0"/>
      <w:numFmt w:val="bullet"/>
      <w:lvlText w:val="•"/>
      <w:lvlJc w:val="left"/>
      <w:pPr>
        <w:ind w:left="993" w:hanging="241"/>
      </w:pPr>
      <w:rPr>
        <w:rFonts w:hint="default"/>
        <w:lang w:val="en-US" w:eastAsia="zh-CN" w:bidi="ar-SA"/>
      </w:rPr>
    </w:lvl>
    <w:lvl w:ilvl="2" w:tentative="0">
      <w:start w:val="0"/>
      <w:numFmt w:val="bullet"/>
      <w:lvlText w:val="•"/>
      <w:lvlJc w:val="left"/>
      <w:pPr>
        <w:ind w:left="1627" w:hanging="241"/>
      </w:pPr>
      <w:rPr>
        <w:rFonts w:hint="default"/>
        <w:lang w:val="en-US" w:eastAsia="zh-CN" w:bidi="ar-SA"/>
      </w:rPr>
    </w:lvl>
    <w:lvl w:ilvl="3" w:tentative="0">
      <w:start w:val="0"/>
      <w:numFmt w:val="bullet"/>
      <w:lvlText w:val="•"/>
      <w:lvlJc w:val="left"/>
      <w:pPr>
        <w:ind w:left="2260" w:hanging="241"/>
      </w:pPr>
      <w:rPr>
        <w:rFonts w:hint="default"/>
        <w:lang w:val="en-US" w:eastAsia="zh-CN" w:bidi="ar-SA"/>
      </w:rPr>
    </w:lvl>
    <w:lvl w:ilvl="4" w:tentative="0">
      <w:start w:val="0"/>
      <w:numFmt w:val="bullet"/>
      <w:lvlText w:val="•"/>
      <w:lvlJc w:val="left"/>
      <w:pPr>
        <w:ind w:left="2894" w:hanging="241"/>
      </w:pPr>
      <w:rPr>
        <w:rFonts w:hint="default"/>
        <w:lang w:val="en-US" w:eastAsia="zh-CN" w:bidi="ar-SA"/>
      </w:rPr>
    </w:lvl>
    <w:lvl w:ilvl="5" w:tentative="0">
      <w:start w:val="0"/>
      <w:numFmt w:val="bullet"/>
      <w:lvlText w:val="•"/>
      <w:lvlJc w:val="left"/>
      <w:pPr>
        <w:ind w:left="3527" w:hanging="241"/>
      </w:pPr>
      <w:rPr>
        <w:rFonts w:hint="default"/>
        <w:lang w:val="en-US" w:eastAsia="zh-CN" w:bidi="ar-SA"/>
      </w:rPr>
    </w:lvl>
    <w:lvl w:ilvl="6" w:tentative="0">
      <w:start w:val="0"/>
      <w:numFmt w:val="bullet"/>
      <w:lvlText w:val="•"/>
      <w:lvlJc w:val="left"/>
      <w:pPr>
        <w:ind w:left="4161" w:hanging="241"/>
      </w:pPr>
      <w:rPr>
        <w:rFonts w:hint="default"/>
        <w:lang w:val="en-US" w:eastAsia="zh-CN" w:bidi="ar-SA"/>
      </w:rPr>
    </w:lvl>
    <w:lvl w:ilvl="7" w:tentative="0">
      <w:start w:val="0"/>
      <w:numFmt w:val="bullet"/>
      <w:lvlText w:val="•"/>
      <w:lvlJc w:val="left"/>
      <w:pPr>
        <w:ind w:left="4794" w:hanging="241"/>
      </w:pPr>
      <w:rPr>
        <w:rFonts w:hint="default"/>
        <w:lang w:val="en-US" w:eastAsia="zh-CN" w:bidi="ar-SA"/>
      </w:rPr>
    </w:lvl>
    <w:lvl w:ilvl="8" w:tentative="0">
      <w:start w:val="0"/>
      <w:numFmt w:val="bullet"/>
      <w:lvlText w:val="•"/>
      <w:lvlJc w:val="left"/>
      <w:pPr>
        <w:ind w:left="5428" w:hanging="241"/>
      </w:pPr>
      <w:rPr>
        <w:rFonts w:hint="default"/>
        <w:lang w:val="en-US" w:eastAsia="zh-CN" w:bidi="ar-SA"/>
      </w:rPr>
    </w:lvl>
  </w:abstractNum>
  <w:abstractNum w:abstractNumId="29">
    <w:nsid w:val="03A63A41"/>
    <w:multiLevelType w:val="multilevel"/>
    <w:tmpl w:val="03A63A41"/>
    <w:lvl w:ilvl="0" w:tentative="0">
      <w:start w:val="1"/>
      <w:numFmt w:val="decimal"/>
      <w:lvlText w:val="%1"/>
      <w:lvlJc w:val="left"/>
      <w:pPr>
        <w:ind w:left="1696" w:hanging="483"/>
      </w:pPr>
      <w:rPr>
        <w:rFonts w:hint="default"/>
        <w:lang w:val="en-US" w:eastAsia="zh-CN" w:bidi="ar-SA"/>
      </w:rPr>
    </w:lvl>
    <w:lvl w:ilvl="1" w:tentative="0">
      <w:start w:val="1"/>
      <w:numFmt w:val="decimal"/>
      <w:lvlText w:val="%1.%2"/>
      <w:lvlJc w:val="left"/>
      <w:pPr>
        <w:ind w:left="1696" w:hanging="483"/>
      </w:pPr>
      <w:rPr>
        <w:rFonts w:hint="default" w:ascii="宋体" w:hAnsi="宋体" w:eastAsia="宋体" w:cs="宋体"/>
        <w:b/>
        <w:bCs/>
        <w:i w:val="0"/>
        <w:iCs w:val="0"/>
        <w:spacing w:val="0"/>
        <w:w w:val="99"/>
        <w:sz w:val="24"/>
        <w:szCs w:val="24"/>
        <w:lang w:val="en-US" w:eastAsia="zh-CN" w:bidi="ar-SA"/>
      </w:rPr>
    </w:lvl>
    <w:lvl w:ilvl="2" w:tentative="0">
      <w:start w:val="1"/>
      <w:numFmt w:val="decimal"/>
      <w:lvlText w:val="%1.%2.%3"/>
      <w:lvlJc w:val="left"/>
      <w:pPr>
        <w:ind w:left="1872" w:hanging="660"/>
      </w:pPr>
      <w:rPr>
        <w:rFonts w:hint="default" w:ascii="宋体" w:hAnsi="宋体" w:eastAsia="宋体" w:cs="宋体"/>
        <w:b w:val="0"/>
        <w:bCs w:val="0"/>
        <w:i w:val="0"/>
        <w:iCs w:val="0"/>
        <w:spacing w:val="0"/>
        <w:w w:val="100"/>
        <w:sz w:val="24"/>
        <w:szCs w:val="24"/>
        <w:lang w:val="en-US" w:eastAsia="zh-CN" w:bidi="ar-SA"/>
      </w:rPr>
    </w:lvl>
    <w:lvl w:ilvl="3" w:tentative="0">
      <w:start w:val="0"/>
      <w:numFmt w:val="bullet"/>
      <w:lvlText w:val="•"/>
      <w:lvlJc w:val="left"/>
      <w:pPr>
        <w:ind w:left="2878" w:hanging="660"/>
      </w:pPr>
      <w:rPr>
        <w:rFonts w:hint="default"/>
        <w:lang w:val="en-US" w:eastAsia="zh-CN" w:bidi="ar-SA"/>
      </w:rPr>
    </w:lvl>
    <w:lvl w:ilvl="4" w:tentative="0">
      <w:start w:val="0"/>
      <w:numFmt w:val="bullet"/>
      <w:lvlText w:val="•"/>
      <w:lvlJc w:val="left"/>
      <w:pPr>
        <w:ind w:left="3876" w:hanging="660"/>
      </w:pPr>
      <w:rPr>
        <w:rFonts w:hint="default"/>
        <w:lang w:val="en-US" w:eastAsia="zh-CN" w:bidi="ar-SA"/>
      </w:rPr>
    </w:lvl>
    <w:lvl w:ilvl="5" w:tentative="0">
      <w:start w:val="0"/>
      <w:numFmt w:val="bullet"/>
      <w:lvlText w:val="•"/>
      <w:lvlJc w:val="left"/>
      <w:pPr>
        <w:ind w:left="4874" w:hanging="660"/>
      </w:pPr>
      <w:rPr>
        <w:rFonts w:hint="default"/>
        <w:lang w:val="en-US" w:eastAsia="zh-CN" w:bidi="ar-SA"/>
      </w:rPr>
    </w:lvl>
    <w:lvl w:ilvl="6" w:tentative="0">
      <w:start w:val="0"/>
      <w:numFmt w:val="bullet"/>
      <w:lvlText w:val="•"/>
      <w:lvlJc w:val="left"/>
      <w:pPr>
        <w:ind w:left="5873" w:hanging="660"/>
      </w:pPr>
      <w:rPr>
        <w:rFonts w:hint="default"/>
        <w:lang w:val="en-US" w:eastAsia="zh-CN" w:bidi="ar-SA"/>
      </w:rPr>
    </w:lvl>
    <w:lvl w:ilvl="7" w:tentative="0">
      <w:start w:val="0"/>
      <w:numFmt w:val="bullet"/>
      <w:lvlText w:val="•"/>
      <w:lvlJc w:val="left"/>
      <w:pPr>
        <w:ind w:left="6871" w:hanging="660"/>
      </w:pPr>
      <w:rPr>
        <w:rFonts w:hint="default"/>
        <w:lang w:val="en-US" w:eastAsia="zh-CN" w:bidi="ar-SA"/>
      </w:rPr>
    </w:lvl>
    <w:lvl w:ilvl="8" w:tentative="0">
      <w:start w:val="0"/>
      <w:numFmt w:val="bullet"/>
      <w:lvlText w:val="•"/>
      <w:lvlJc w:val="left"/>
      <w:pPr>
        <w:ind w:left="7869" w:hanging="660"/>
      </w:pPr>
      <w:rPr>
        <w:rFonts w:hint="default"/>
        <w:lang w:val="en-US" w:eastAsia="zh-CN" w:bidi="ar-SA"/>
      </w:rPr>
    </w:lvl>
  </w:abstractNum>
  <w:abstractNum w:abstractNumId="30">
    <w:nsid w:val="03D62ECE"/>
    <w:multiLevelType w:val="multilevel"/>
    <w:tmpl w:val="03D62ECE"/>
    <w:lvl w:ilvl="0" w:tentative="0">
      <w:start w:val="1"/>
      <w:numFmt w:val="decimal"/>
      <w:lvlText w:val="%1."/>
      <w:lvlJc w:val="left"/>
      <w:pPr>
        <w:ind w:left="1501" w:hanging="241"/>
      </w:pPr>
      <w:rPr>
        <w:rFonts w:hint="default" w:ascii="宋体" w:hAnsi="宋体" w:eastAsia="宋体" w:cs="宋体"/>
        <w:b w:val="0"/>
        <w:bCs w:val="0"/>
        <w:i w:val="0"/>
        <w:iCs w:val="0"/>
        <w:spacing w:val="0"/>
        <w:w w:val="99"/>
        <w:sz w:val="22"/>
        <w:szCs w:val="22"/>
        <w:lang w:val="en-US" w:eastAsia="zh-CN" w:bidi="ar-SA"/>
      </w:rPr>
    </w:lvl>
    <w:lvl w:ilvl="1" w:tentative="0">
      <w:start w:val="0"/>
      <w:numFmt w:val="bullet"/>
      <w:lvlText w:val="•"/>
      <w:lvlJc w:val="left"/>
      <w:pPr>
        <w:ind w:left="2336" w:hanging="241"/>
      </w:pPr>
      <w:rPr>
        <w:rFonts w:hint="default"/>
        <w:lang w:val="en-US" w:eastAsia="zh-CN" w:bidi="ar-SA"/>
      </w:rPr>
    </w:lvl>
    <w:lvl w:ilvl="2" w:tentative="0">
      <w:start w:val="0"/>
      <w:numFmt w:val="bullet"/>
      <w:lvlText w:val="•"/>
      <w:lvlJc w:val="left"/>
      <w:pPr>
        <w:ind w:left="3173" w:hanging="241"/>
      </w:pPr>
      <w:rPr>
        <w:rFonts w:hint="default"/>
        <w:lang w:val="en-US" w:eastAsia="zh-CN" w:bidi="ar-SA"/>
      </w:rPr>
    </w:lvl>
    <w:lvl w:ilvl="3" w:tentative="0">
      <w:start w:val="0"/>
      <w:numFmt w:val="bullet"/>
      <w:lvlText w:val="•"/>
      <w:lvlJc w:val="left"/>
      <w:pPr>
        <w:ind w:left="4009" w:hanging="241"/>
      </w:pPr>
      <w:rPr>
        <w:rFonts w:hint="default"/>
        <w:lang w:val="en-US" w:eastAsia="zh-CN" w:bidi="ar-SA"/>
      </w:rPr>
    </w:lvl>
    <w:lvl w:ilvl="4" w:tentative="0">
      <w:start w:val="0"/>
      <w:numFmt w:val="bullet"/>
      <w:lvlText w:val="•"/>
      <w:lvlJc w:val="left"/>
      <w:pPr>
        <w:ind w:left="4846" w:hanging="241"/>
      </w:pPr>
      <w:rPr>
        <w:rFonts w:hint="default"/>
        <w:lang w:val="en-US" w:eastAsia="zh-CN" w:bidi="ar-SA"/>
      </w:rPr>
    </w:lvl>
    <w:lvl w:ilvl="5" w:tentative="0">
      <w:start w:val="0"/>
      <w:numFmt w:val="bullet"/>
      <w:lvlText w:val="•"/>
      <w:lvlJc w:val="left"/>
      <w:pPr>
        <w:ind w:left="5683" w:hanging="241"/>
      </w:pPr>
      <w:rPr>
        <w:rFonts w:hint="default"/>
        <w:lang w:val="en-US" w:eastAsia="zh-CN" w:bidi="ar-SA"/>
      </w:rPr>
    </w:lvl>
    <w:lvl w:ilvl="6" w:tentative="0">
      <w:start w:val="0"/>
      <w:numFmt w:val="bullet"/>
      <w:lvlText w:val="•"/>
      <w:lvlJc w:val="left"/>
      <w:pPr>
        <w:ind w:left="6519" w:hanging="241"/>
      </w:pPr>
      <w:rPr>
        <w:rFonts w:hint="default"/>
        <w:lang w:val="en-US" w:eastAsia="zh-CN" w:bidi="ar-SA"/>
      </w:rPr>
    </w:lvl>
    <w:lvl w:ilvl="7" w:tentative="0">
      <w:start w:val="0"/>
      <w:numFmt w:val="bullet"/>
      <w:lvlText w:val="•"/>
      <w:lvlJc w:val="left"/>
      <w:pPr>
        <w:ind w:left="7356" w:hanging="241"/>
      </w:pPr>
      <w:rPr>
        <w:rFonts w:hint="default"/>
        <w:lang w:val="en-US" w:eastAsia="zh-CN" w:bidi="ar-SA"/>
      </w:rPr>
    </w:lvl>
    <w:lvl w:ilvl="8" w:tentative="0">
      <w:start w:val="0"/>
      <w:numFmt w:val="bullet"/>
      <w:lvlText w:val="•"/>
      <w:lvlJc w:val="left"/>
      <w:pPr>
        <w:ind w:left="8192" w:hanging="241"/>
      </w:pPr>
      <w:rPr>
        <w:rFonts w:hint="default"/>
        <w:lang w:val="en-US" w:eastAsia="zh-CN" w:bidi="ar-SA"/>
      </w:rPr>
    </w:lvl>
  </w:abstractNum>
  <w:abstractNum w:abstractNumId="31">
    <w:nsid w:val="0E640482"/>
    <w:multiLevelType w:val="multilevel"/>
    <w:tmpl w:val="0E640482"/>
    <w:lvl w:ilvl="0" w:tentative="0">
      <w:start w:val="14"/>
      <w:numFmt w:val="decimal"/>
      <w:lvlText w:val="%1."/>
      <w:lvlJc w:val="left"/>
      <w:pPr>
        <w:ind w:left="1023" w:hanging="364"/>
      </w:pPr>
      <w:rPr>
        <w:rFonts w:hint="default" w:ascii="宋体" w:hAnsi="宋体" w:eastAsia="宋体" w:cs="宋体"/>
        <w:b/>
        <w:bCs/>
        <w:i w:val="0"/>
        <w:iCs w:val="0"/>
        <w:spacing w:val="0"/>
        <w:w w:val="99"/>
        <w:sz w:val="22"/>
        <w:szCs w:val="22"/>
        <w:lang w:val="en-US" w:eastAsia="zh-CN" w:bidi="ar-SA"/>
      </w:rPr>
    </w:lvl>
    <w:lvl w:ilvl="1" w:tentative="0">
      <w:start w:val="1"/>
      <w:numFmt w:val="decimal"/>
      <w:lvlText w:val="%1.%2"/>
      <w:lvlJc w:val="left"/>
      <w:pPr>
        <w:ind w:left="1860" w:hanging="600"/>
      </w:pPr>
      <w:rPr>
        <w:rFonts w:hint="default" w:ascii="宋体" w:hAnsi="宋体" w:eastAsia="宋体" w:cs="宋体"/>
        <w:b w:val="0"/>
        <w:bCs w:val="0"/>
        <w:i w:val="0"/>
        <w:iCs w:val="0"/>
        <w:spacing w:val="0"/>
        <w:w w:val="100"/>
        <w:sz w:val="24"/>
        <w:szCs w:val="24"/>
        <w:lang w:val="en-US" w:eastAsia="zh-CN" w:bidi="ar-SA"/>
      </w:rPr>
    </w:lvl>
    <w:lvl w:ilvl="2" w:tentative="0">
      <w:start w:val="1"/>
      <w:numFmt w:val="decimal"/>
      <w:lvlText w:val="%1.%2.%3"/>
      <w:lvlJc w:val="left"/>
      <w:pPr>
        <w:ind w:left="780" w:hanging="783"/>
      </w:pPr>
      <w:rPr>
        <w:rFonts w:hint="default" w:ascii="宋体" w:hAnsi="宋体" w:eastAsia="宋体" w:cs="宋体"/>
        <w:b w:val="0"/>
        <w:bCs w:val="0"/>
        <w:i w:val="0"/>
        <w:iCs w:val="0"/>
        <w:spacing w:val="0"/>
        <w:w w:val="100"/>
        <w:sz w:val="24"/>
        <w:szCs w:val="24"/>
        <w:lang w:val="en-US" w:eastAsia="zh-CN" w:bidi="ar-SA"/>
      </w:rPr>
    </w:lvl>
    <w:lvl w:ilvl="3" w:tentative="0">
      <w:start w:val="0"/>
      <w:numFmt w:val="bullet"/>
      <w:lvlText w:val="•"/>
      <w:lvlJc w:val="left"/>
      <w:pPr>
        <w:ind w:left="2860" w:hanging="783"/>
      </w:pPr>
      <w:rPr>
        <w:rFonts w:hint="default"/>
        <w:lang w:val="en-US" w:eastAsia="zh-CN" w:bidi="ar-SA"/>
      </w:rPr>
    </w:lvl>
    <w:lvl w:ilvl="4" w:tentative="0">
      <w:start w:val="0"/>
      <w:numFmt w:val="bullet"/>
      <w:lvlText w:val="•"/>
      <w:lvlJc w:val="left"/>
      <w:pPr>
        <w:ind w:left="3861" w:hanging="783"/>
      </w:pPr>
      <w:rPr>
        <w:rFonts w:hint="default"/>
        <w:lang w:val="en-US" w:eastAsia="zh-CN" w:bidi="ar-SA"/>
      </w:rPr>
    </w:lvl>
    <w:lvl w:ilvl="5" w:tentative="0">
      <w:start w:val="0"/>
      <w:numFmt w:val="bullet"/>
      <w:lvlText w:val="•"/>
      <w:lvlJc w:val="left"/>
      <w:pPr>
        <w:ind w:left="4862" w:hanging="783"/>
      </w:pPr>
      <w:rPr>
        <w:rFonts w:hint="default"/>
        <w:lang w:val="en-US" w:eastAsia="zh-CN" w:bidi="ar-SA"/>
      </w:rPr>
    </w:lvl>
    <w:lvl w:ilvl="6" w:tentative="0">
      <w:start w:val="0"/>
      <w:numFmt w:val="bullet"/>
      <w:lvlText w:val="•"/>
      <w:lvlJc w:val="left"/>
      <w:pPr>
        <w:ind w:left="5863" w:hanging="783"/>
      </w:pPr>
      <w:rPr>
        <w:rFonts w:hint="default"/>
        <w:lang w:val="en-US" w:eastAsia="zh-CN" w:bidi="ar-SA"/>
      </w:rPr>
    </w:lvl>
    <w:lvl w:ilvl="7" w:tentative="0">
      <w:start w:val="0"/>
      <w:numFmt w:val="bullet"/>
      <w:lvlText w:val="•"/>
      <w:lvlJc w:val="left"/>
      <w:pPr>
        <w:ind w:left="6863" w:hanging="783"/>
      </w:pPr>
      <w:rPr>
        <w:rFonts w:hint="default"/>
        <w:lang w:val="en-US" w:eastAsia="zh-CN" w:bidi="ar-SA"/>
      </w:rPr>
    </w:lvl>
    <w:lvl w:ilvl="8" w:tentative="0">
      <w:start w:val="0"/>
      <w:numFmt w:val="bullet"/>
      <w:lvlText w:val="•"/>
      <w:lvlJc w:val="left"/>
      <w:pPr>
        <w:ind w:left="7864" w:hanging="783"/>
      </w:pPr>
      <w:rPr>
        <w:rFonts w:hint="default"/>
        <w:lang w:val="en-US" w:eastAsia="zh-CN" w:bidi="ar-SA"/>
      </w:rPr>
    </w:lvl>
  </w:abstractNum>
  <w:abstractNum w:abstractNumId="32">
    <w:nsid w:val="0F9F9CCA"/>
    <w:multiLevelType w:val="multilevel"/>
    <w:tmpl w:val="0F9F9CCA"/>
    <w:lvl w:ilvl="0" w:tentative="0">
      <w:start w:val="1"/>
      <w:numFmt w:val="decimal"/>
      <w:lvlText w:val="%1."/>
      <w:lvlJc w:val="left"/>
      <w:pPr>
        <w:ind w:left="780" w:hanging="241"/>
      </w:pPr>
      <w:rPr>
        <w:rFonts w:hint="default" w:ascii="宋体" w:hAnsi="宋体" w:eastAsia="宋体" w:cs="宋体"/>
        <w:b w:val="0"/>
        <w:bCs w:val="0"/>
        <w:i w:val="0"/>
        <w:iCs w:val="0"/>
        <w:spacing w:val="0"/>
        <w:w w:val="99"/>
        <w:sz w:val="22"/>
        <w:szCs w:val="22"/>
        <w:lang w:val="en-US" w:eastAsia="zh-CN" w:bidi="ar-SA"/>
      </w:rPr>
    </w:lvl>
    <w:lvl w:ilvl="1" w:tentative="0">
      <w:start w:val="1"/>
      <w:numFmt w:val="decimal"/>
      <w:lvlText w:val="%1.%2"/>
      <w:lvlJc w:val="left"/>
      <w:pPr>
        <w:ind w:left="780" w:hanging="420"/>
      </w:pPr>
      <w:rPr>
        <w:rFonts w:hint="default" w:ascii="宋体" w:hAnsi="宋体" w:eastAsia="宋体" w:cs="宋体"/>
        <w:b w:val="0"/>
        <w:bCs w:val="0"/>
        <w:i w:val="0"/>
        <w:iCs w:val="0"/>
        <w:spacing w:val="0"/>
        <w:w w:val="100"/>
        <w:sz w:val="24"/>
        <w:szCs w:val="24"/>
        <w:lang w:val="en-US" w:eastAsia="zh-CN" w:bidi="ar-SA"/>
      </w:rPr>
    </w:lvl>
    <w:lvl w:ilvl="2" w:tentative="0">
      <w:start w:val="0"/>
      <w:numFmt w:val="bullet"/>
      <w:lvlText w:val="•"/>
      <w:lvlJc w:val="left"/>
      <w:pPr>
        <w:ind w:left="2696" w:hanging="420"/>
      </w:pPr>
      <w:rPr>
        <w:rFonts w:hint="default"/>
        <w:lang w:val="en-US" w:eastAsia="zh-CN" w:bidi="ar-SA"/>
      </w:rPr>
    </w:lvl>
    <w:lvl w:ilvl="3" w:tentative="0">
      <w:start w:val="0"/>
      <w:numFmt w:val="bullet"/>
      <w:lvlText w:val="•"/>
      <w:lvlJc w:val="left"/>
      <w:pPr>
        <w:ind w:left="3592" w:hanging="420"/>
      </w:pPr>
      <w:rPr>
        <w:rFonts w:hint="default"/>
        <w:lang w:val="en-US" w:eastAsia="zh-CN" w:bidi="ar-SA"/>
      </w:rPr>
    </w:lvl>
    <w:lvl w:ilvl="4" w:tentative="0">
      <w:start w:val="0"/>
      <w:numFmt w:val="bullet"/>
      <w:lvlText w:val="•"/>
      <w:lvlJc w:val="left"/>
      <w:pPr>
        <w:ind w:left="4488" w:hanging="420"/>
      </w:pPr>
      <w:rPr>
        <w:rFonts w:hint="default"/>
        <w:lang w:val="en-US" w:eastAsia="zh-CN" w:bidi="ar-SA"/>
      </w:rPr>
    </w:lvl>
    <w:lvl w:ilvl="5" w:tentative="0">
      <w:start w:val="0"/>
      <w:numFmt w:val="bullet"/>
      <w:lvlText w:val="•"/>
      <w:lvlJc w:val="left"/>
      <w:pPr>
        <w:ind w:left="5384" w:hanging="420"/>
      </w:pPr>
      <w:rPr>
        <w:rFonts w:hint="default"/>
        <w:lang w:val="en-US" w:eastAsia="zh-CN" w:bidi="ar-SA"/>
      </w:rPr>
    </w:lvl>
    <w:lvl w:ilvl="6" w:tentative="0">
      <w:start w:val="0"/>
      <w:numFmt w:val="bullet"/>
      <w:lvlText w:val="•"/>
      <w:lvlJc w:val="left"/>
      <w:pPr>
        <w:ind w:left="6281" w:hanging="420"/>
      </w:pPr>
      <w:rPr>
        <w:rFonts w:hint="default"/>
        <w:lang w:val="en-US" w:eastAsia="zh-CN" w:bidi="ar-SA"/>
      </w:rPr>
    </w:lvl>
    <w:lvl w:ilvl="7" w:tentative="0">
      <w:start w:val="0"/>
      <w:numFmt w:val="bullet"/>
      <w:lvlText w:val="•"/>
      <w:lvlJc w:val="left"/>
      <w:pPr>
        <w:ind w:left="7177" w:hanging="420"/>
      </w:pPr>
      <w:rPr>
        <w:rFonts w:hint="default"/>
        <w:lang w:val="en-US" w:eastAsia="zh-CN" w:bidi="ar-SA"/>
      </w:rPr>
    </w:lvl>
    <w:lvl w:ilvl="8" w:tentative="0">
      <w:start w:val="0"/>
      <w:numFmt w:val="bullet"/>
      <w:lvlText w:val="•"/>
      <w:lvlJc w:val="left"/>
      <w:pPr>
        <w:ind w:left="8073" w:hanging="420"/>
      </w:pPr>
      <w:rPr>
        <w:rFonts w:hint="default"/>
        <w:lang w:val="en-US" w:eastAsia="zh-CN" w:bidi="ar-SA"/>
      </w:rPr>
    </w:lvl>
  </w:abstractNum>
  <w:abstractNum w:abstractNumId="33">
    <w:nsid w:val="12EADF99"/>
    <w:multiLevelType w:val="multilevel"/>
    <w:tmpl w:val="12EADF99"/>
    <w:lvl w:ilvl="0" w:tentative="0">
      <w:start w:val="1"/>
      <w:numFmt w:val="decimal"/>
      <w:lvlText w:val="%1."/>
      <w:lvlJc w:val="left"/>
      <w:pPr>
        <w:ind w:left="777" w:hanging="380"/>
      </w:pPr>
      <w:rPr>
        <w:rFonts w:hint="default" w:ascii="宋体" w:hAnsi="宋体" w:eastAsia="宋体" w:cs="宋体"/>
        <w:b w:val="0"/>
        <w:bCs w:val="0"/>
        <w:i w:val="0"/>
        <w:iCs w:val="0"/>
        <w:spacing w:val="0"/>
        <w:w w:val="96"/>
        <w:sz w:val="24"/>
        <w:szCs w:val="24"/>
        <w:lang w:val="en-US" w:eastAsia="zh-CN" w:bidi="ar-SA"/>
      </w:rPr>
    </w:lvl>
    <w:lvl w:ilvl="1" w:tentative="0">
      <w:start w:val="0"/>
      <w:numFmt w:val="bullet"/>
      <w:lvlText w:val="•"/>
      <w:lvlJc w:val="left"/>
      <w:pPr>
        <w:ind w:left="1688" w:hanging="380"/>
      </w:pPr>
      <w:rPr>
        <w:rFonts w:hint="default"/>
        <w:lang w:val="en-US" w:eastAsia="zh-CN" w:bidi="ar-SA"/>
      </w:rPr>
    </w:lvl>
    <w:lvl w:ilvl="2" w:tentative="0">
      <w:start w:val="0"/>
      <w:numFmt w:val="bullet"/>
      <w:lvlText w:val="•"/>
      <w:lvlJc w:val="left"/>
      <w:pPr>
        <w:ind w:left="2597" w:hanging="380"/>
      </w:pPr>
      <w:rPr>
        <w:rFonts w:hint="default"/>
        <w:lang w:val="en-US" w:eastAsia="zh-CN" w:bidi="ar-SA"/>
      </w:rPr>
    </w:lvl>
    <w:lvl w:ilvl="3" w:tentative="0">
      <w:start w:val="0"/>
      <w:numFmt w:val="bullet"/>
      <w:lvlText w:val="•"/>
      <w:lvlJc w:val="left"/>
      <w:pPr>
        <w:ind w:left="3505" w:hanging="380"/>
      </w:pPr>
      <w:rPr>
        <w:rFonts w:hint="default"/>
        <w:lang w:val="en-US" w:eastAsia="zh-CN" w:bidi="ar-SA"/>
      </w:rPr>
    </w:lvl>
    <w:lvl w:ilvl="4" w:tentative="0">
      <w:start w:val="0"/>
      <w:numFmt w:val="bullet"/>
      <w:lvlText w:val="•"/>
      <w:lvlJc w:val="left"/>
      <w:pPr>
        <w:ind w:left="4414" w:hanging="380"/>
      </w:pPr>
      <w:rPr>
        <w:rFonts w:hint="default"/>
        <w:lang w:val="en-US" w:eastAsia="zh-CN" w:bidi="ar-SA"/>
      </w:rPr>
    </w:lvl>
    <w:lvl w:ilvl="5" w:tentative="0">
      <w:start w:val="0"/>
      <w:numFmt w:val="bullet"/>
      <w:lvlText w:val="•"/>
      <w:lvlJc w:val="left"/>
      <w:pPr>
        <w:ind w:left="5323" w:hanging="380"/>
      </w:pPr>
      <w:rPr>
        <w:rFonts w:hint="default"/>
        <w:lang w:val="en-US" w:eastAsia="zh-CN" w:bidi="ar-SA"/>
      </w:rPr>
    </w:lvl>
    <w:lvl w:ilvl="6" w:tentative="0">
      <w:start w:val="0"/>
      <w:numFmt w:val="bullet"/>
      <w:lvlText w:val="•"/>
      <w:lvlJc w:val="left"/>
      <w:pPr>
        <w:ind w:left="6231" w:hanging="380"/>
      </w:pPr>
      <w:rPr>
        <w:rFonts w:hint="default"/>
        <w:lang w:val="en-US" w:eastAsia="zh-CN" w:bidi="ar-SA"/>
      </w:rPr>
    </w:lvl>
    <w:lvl w:ilvl="7" w:tentative="0">
      <w:start w:val="0"/>
      <w:numFmt w:val="bullet"/>
      <w:lvlText w:val="•"/>
      <w:lvlJc w:val="left"/>
      <w:pPr>
        <w:ind w:left="7140" w:hanging="380"/>
      </w:pPr>
      <w:rPr>
        <w:rFonts w:hint="default"/>
        <w:lang w:val="en-US" w:eastAsia="zh-CN" w:bidi="ar-SA"/>
      </w:rPr>
    </w:lvl>
    <w:lvl w:ilvl="8" w:tentative="0">
      <w:start w:val="0"/>
      <w:numFmt w:val="bullet"/>
      <w:lvlText w:val="•"/>
      <w:lvlJc w:val="left"/>
      <w:pPr>
        <w:ind w:left="8048" w:hanging="380"/>
      </w:pPr>
      <w:rPr>
        <w:rFonts w:hint="default"/>
        <w:lang w:val="en-US" w:eastAsia="zh-CN" w:bidi="ar-SA"/>
      </w:rPr>
    </w:lvl>
  </w:abstractNum>
  <w:abstractNum w:abstractNumId="34">
    <w:nsid w:val="17DC0B8C"/>
    <w:multiLevelType w:val="multilevel"/>
    <w:tmpl w:val="17DC0B8C"/>
    <w:lvl w:ilvl="0" w:tentative="0">
      <w:start w:val="1"/>
      <w:numFmt w:val="decimal"/>
      <w:lvlText w:val="（%1）"/>
      <w:lvlJc w:val="left"/>
      <w:pPr>
        <w:ind w:left="840" w:hanging="601"/>
      </w:pPr>
      <w:rPr>
        <w:rFonts w:hint="default" w:ascii="宋体" w:hAnsi="宋体" w:eastAsia="宋体" w:cs="宋体"/>
        <w:b w:val="0"/>
        <w:bCs w:val="0"/>
        <w:i w:val="0"/>
        <w:iCs w:val="0"/>
        <w:spacing w:val="0"/>
        <w:w w:val="100"/>
        <w:sz w:val="22"/>
        <w:szCs w:val="22"/>
        <w:lang w:val="en-US" w:eastAsia="zh-CN" w:bidi="ar-SA"/>
      </w:rPr>
    </w:lvl>
    <w:lvl w:ilvl="1" w:tentative="0">
      <w:start w:val="0"/>
      <w:numFmt w:val="bullet"/>
      <w:lvlText w:val="•"/>
      <w:lvlJc w:val="left"/>
      <w:pPr>
        <w:ind w:left="1748" w:hanging="601"/>
      </w:pPr>
      <w:rPr>
        <w:rFonts w:hint="default"/>
        <w:lang w:val="en-US" w:eastAsia="zh-CN" w:bidi="ar-SA"/>
      </w:rPr>
    </w:lvl>
    <w:lvl w:ilvl="2" w:tentative="0">
      <w:start w:val="0"/>
      <w:numFmt w:val="bullet"/>
      <w:lvlText w:val="•"/>
      <w:lvlJc w:val="left"/>
      <w:pPr>
        <w:ind w:left="2657" w:hanging="601"/>
      </w:pPr>
      <w:rPr>
        <w:rFonts w:hint="default"/>
        <w:lang w:val="en-US" w:eastAsia="zh-CN" w:bidi="ar-SA"/>
      </w:rPr>
    </w:lvl>
    <w:lvl w:ilvl="3" w:tentative="0">
      <w:start w:val="0"/>
      <w:numFmt w:val="bullet"/>
      <w:lvlText w:val="•"/>
      <w:lvlJc w:val="left"/>
      <w:pPr>
        <w:ind w:left="3565" w:hanging="601"/>
      </w:pPr>
      <w:rPr>
        <w:rFonts w:hint="default"/>
        <w:lang w:val="en-US" w:eastAsia="zh-CN" w:bidi="ar-SA"/>
      </w:rPr>
    </w:lvl>
    <w:lvl w:ilvl="4" w:tentative="0">
      <w:start w:val="0"/>
      <w:numFmt w:val="bullet"/>
      <w:lvlText w:val="•"/>
      <w:lvlJc w:val="left"/>
      <w:pPr>
        <w:ind w:left="4474" w:hanging="601"/>
      </w:pPr>
      <w:rPr>
        <w:rFonts w:hint="default"/>
        <w:lang w:val="en-US" w:eastAsia="zh-CN" w:bidi="ar-SA"/>
      </w:rPr>
    </w:lvl>
    <w:lvl w:ilvl="5" w:tentative="0">
      <w:start w:val="0"/>
      <w:numFmt w:val="bullet"/>
      <w:lvlText w:val="•"/>
      <w:lvlJc w:val="left"/>
      <w:pPr>
        <w:ind w:left="5383" w:hanging="601"/>
      </w:pPr>
      <w:rPr>
        <w:rFonts w:hint="default"/>
        <w:lang w:val="en-US" w:eastAsia="zh-CN" w:bidi="ar-SA"/>
      </w:rPr>
    </w:lvl>
    <w:lvl w:ilvl="6" w:tentative="0">
      <w:start w:val="0"/>
      <w:numFmt w:val="bullet"/>
      <w:lvlText w:val="•"/>
      <w:lvlJc w:val="left"/>
      <w:pPr>
        <w:ind w:left="6291" w:hanging="601"/>
      </w:pPr>
      <w:rPr>
        <w:rFonts w:hint="default"/>
        <w:lang w:val="en-US" w:eastAsia="zh-CN" w:bidi="ar-SA"/>
      </w:rPr>
    </w:lvl>
    <w:lvl w:ilvl="7" w:tentative="0">
      <w:start w:val="0"/>
      <w:numFmt w:val="bullet"/>
      <w:lvlText w:val="•"/>
      <w:lvlJc w:val="left"/>
      <w:pPr>
        <w:ind w:left="7200" w:hanging="601"/>
      </w:pPr>
      <w:rPr>
        <w:rFonts w:hint="default"/>
        <w:lang w:val="en-US" w:eastAsia="zh-CN" w:bidi="ar-SA"/>
      </w:rPr>
    </w:lvl>
    <w:lvl w:ilvl="8" w:tentative="0">
      <w:start w:val="0"/>
      <w:numFmt w:val="bullet"/>
      <w:lvlText w:val="•"/>
      <w:lvlJc w:val="left"/>
      <w:pPr>
        <w:ind w:left="8108" w:hanging="601"/>
      </w:pPr>
      <w:rPr>
        <w:rFonts w:hint="default"/>
        <w:lang w:val="en-US" w:eastAsia="zh-CN" w:bidi="ar-SA"/>
      </w:rPr>
    </w:lvl>
  </w:abstractNum>
  <w:abstractNum w:abstractNumId="35">
    <w:nsid w:val="18F74015"/>
    <w:multiLevelType w:val="multilevel"/>
    <w:tmpl w:val="18F74015"/>
    <w:lvl w:ilvl="0" w:tentative="0">
      <w:start w:val="1"/>
      <w:numFmt w:val="decimal"/>
      <w:lvlText w:val="%1."/>
      <w:lvlJc w:val="left"/>
      <w:pPr>
        <w:ind w:left="780" w:hanging="241"/>
      </w:pPr>
      <w:rPr>
        <w:rFonts w:hint="default" w:ascii="宋体" w:hAnsi="宋体" w:eastAsia="宋体" w:cs="宋体"/>
        <w:b w:val="0"/>
        <w:bCs w:val="0"/>
        <w:i w:val="0"/>
        <w:iCs w:val="0"/>
        <w:spacing w:val="0"/>
        <w:w w:val="99"/>
        <w:sz w:val="22"/>
        <w:szCs w:val="22"/>
        <w:lang w:val="en-US" w:eastAsia="zh-CN" w:bidi="ar-SA"/>
      </w:rPr>
    </w:lvl>
    <w:lvl w:ilvl="1" w:tentative="0">
      <w:start w:val="0"/>
      <w:numFmt w:val="bullet"/>
      <w:lvlText w:val="•"/>
      <w:lvlJc w:val="left"/>
      <w:pPr>
        <w:ind w:left="1688" w:hanging="241"/>
      </w:pPr>
      <w:rPr>
        <w:rFonts w:hint="default"/>
        <w:lang w:val="en-US" w:eastAsia="zh-CN" w:bidi="ar-SA"/>
      </w:rPr>
    </w:lvl>
    <w:lvl w:ilvl="2" w:tentative="0">
      <w:start w:val="0"/>
      <w:numFmt w:val="bullet"/>
      <w:lvlText w:val="•"/>
      <w:lvlJc w:val="left"/>
      <w:pPr>
        <w:ind w:left="2597" w:hanging="241"/>
      </w:pPr>
      <w:rPr>
        <w:rFonts w:hint="default"/>
        <w:lang w:val="en-US" w:eastAsia="zh-CN" w:bidi="ar-SA"/>
      </w:rPr>
    </w:lvl>
    <w:lvl w:ilvl="3" w:tentative="0">
      <w:start w:val="0"/>
      <w:numFmt w:val="bullet"/>
      <w:lvlText w:val="•"/>
      <w:lvlJc w:val="left"/>
      <w:pPr>
        <w:ind w:left="3505" w:hanging="241"/>
      </w:pPr>
      <w:rPr>
        <w:rFonts w:hint="default"/>
        <w:lang w:val="en-US" w:eastAsia="zh-CN" w:bidi="ar-SA"/>
      </w:rPr>
    </w:lvl>
    <w:lvl w:ilvl="4" w:tentative="0">
      <w:start w:val="0"/>
      <w:numFmt w:val="bullet"/>
      <w:lvlText w:val="•"/>
      <w:lvlJc w:val="left"/>
      <w:pPr>
        <w:ind w:left="4414" w:hanging="241"/>
      </w:pPr>
      <w:rPr>
        <w:rFonts w:hint="default"/>
        <w:lang w:val="en-US" w:eastAsia="zh-CN" w:bidi="ar-SA"/>
      </w:rPr>
    </w:lvl>
    <w:lvl w:ilvl="5" w:tentative="0">
      <w:start w:val="0"/>
      <w:numFmt w:val="bullet"/>
      <w:lvlText w:val="•"/>
      <w:lvlJc w:val="left"/>
      <w:pPr>
        <w:ind w:left="5323" w:hanging="241"/>
      </w:pPr>
      <w:rPr>
        <w:rFonts w:hint="default"/>
        <w:lang w:val="en-US" w:eastAsia="zh-CN" w:bidi="ar-SA"/>
      </w:rPr>
    </w:lvl>
    <w:lvl w:ilvl="6" w:tentative="0">
      <w:start w:val="0"/>
      <w:numFmt w:val="bullet"/>
      <w:lvlText w:val="•"/>
      <w:lvlJc w:val="left"/>
      <w:pPr>
        <w:ind w:left="6231" w:hanging="241"/>
      </w:pPr>
      <w:rPr>
        <w:rFonts w:hint="default"/>
        <w:lang w:val="en-US" w:eastAsia="zh-CN" w:bidi="ar-SA"/>
      </w:rPr>
    </w:lvl>
    <w:lvl w:ilvl="7" w:tentative="0">
      <w:start w:val="0"/>
      <w:numFmt w:val="bullet"/>
      <w:lvlText w:val="•"/>
      <w:lvlJc w:val="left"/>
      <w:pPr>
        <w:ind w:left="7140" w:hanging="241"/>
      </w:pPr>
      <w:rPr>
        <w:rFonts w:hint="default"/>
        <w:lang w:val="en-US" w:eastAsia="zh-CN" w:bidi="ar-SA"/>
      </w:rPr>
    </w:lvl>
    <w:lvl w:ilvl="8" w:tentative="0">
      <w:start w:val="0"/>
      <w:numFmt w:val="bullet"/>
      <w:lvlText w:val="•"/>
      <w:lvlJc w:val="left"/>
      <w:pPr>
        <w:ind w:left="8048" w:hanging="241"/>
      </w:pPr>
      <w:rPr>
        <w:rFonts w:hint="default"/>
        <w:lang w:val="en-US" w:eastAsia="zh-CN" w:bidi="ar-SA"/>
      </w:rPr>
    </w:lvl>
  </w:abstractNum>
  <w:abstractNum w:abstractNumId="36">
    <w:nsid w:val="19BCD94D"/>
    <w:multiLevelType w:val="singleLevel"/>
    <w:tmpl w:val="19BCD94D"/>
    <w:lvl w:ilvl="0" w:tentative="0">
      <w:start w:val="7"/>
      <w:numFmt w:val="chineseCounting"/>
      <w:suff w:val="nothing"/>
      <w:lvlText w:val="（%1）"/>
      <w:lvlJc w:val="left"/>
      <w:rPr>
        <w:rFonts w:hint="eastAsia"/>
      </w:rPr>
    </w:lvl>
  </w:abstractNum>
  <w:abstractNum w:abstractNumId="37">
    <w:nsid w:val="1ACDE60F"/>
    <w:multiLevelType w:val="multilevel"/>
    <w:tmpl w:val="1ACDE60F"/>
    <w:lvl w:ilvl="0" w:tentative="0">
      <w:start w:val="38"/>
      <w:numFmt w:val="decimal"/>
      <w:lvlText w:val="%1"/>
      <w:lvlJc w:val="left"/>
      <w:pPr>
        <w:ind w:left="780" w:hanging="540"/>
      </w:pPr>
      <w:rPr>
        <w:rFonts w:hint="default"/>
        <w:lang w:val="en-US" w:eastAsia="zh-CN" w:bidi="ar-SA"/>
      </w:rPr>
    </w:lvl>
    <w:lvl w:ilvl="1" w:tentative="0">
      <w:start w:val="1"/>
      <w:numFmt w:val="decimal"/>
      <w:lvlText w:val="%1.%2"/>
      <w:lvlJc w:val="left"/>
      <w:pPr>
        <w:ind w:left="780" w:hanging="540"/>
      </w:pPr>
      <w:rPr>
        <w:rFonts w:hint="default" w:ascii="宋体" w:hAnsi="宋体" w:eastAsia="宋体" w:cs="宋体"/>
        <w:b w:val="0"/>
        <w:bCs w:val="0"/>
        <w:i w:val="0"/>
        <w:iCs w:val="0"/>
        <w:spacing w:val="0"/>
        <w:w w:val="100"/>
        <w:sz w:val="24"/>
        <w:szCs w:val="24"/>
        <w:lang w:val="en-US" w:eastAsia="zh-CN" w:bidi="ar-SA"/>
      </w:rPr>
    </w:lvl>
    <w:lvl w:ilvl="2" w:tentative="0">
      <w:start w:val="0"/>
      <w:numFmt w:val="bullet"/>
      <w:lvlText w:val="•"/>
      <w:lvlJc w:val="left"/>
      <w:pPr>
        <w:ind w:left="2597" w:hanging="540"/>
      </w:pPr>
      <w:rPr>
        <w:rFonts w:hint="default"/>
        <w:lang w:val="en-US" w:eastAsia="zh-CN" w:bidi="ar-SA"/>
      </w:rPr>
    </w:lvl>
    <w:lvl w:ilvl="3" w:tentative="0">
      <w:start w:val="0"/>
      <w:numFmt w:val="bullet"/>
      <w:lvlText w:val="•"/>
      <w:lvlJc w:val="left"/>
      <w:pPr>
        <w:ind w:left="3505" w:hanging="540"/>
      </w:pPr>
      <w:rPr>
        <w:rFonts w:hint="default"/>
        <w:lang w:val="en-US" w:eastAsia="zh-CN" w:bidi="ar-SA"/>
      </w:rPr>
    </w:lvl>
    <w:lvl w:ilvl="4" w:tentative="0">
      <w:start w:val="0"/>
      <w:numFmt w:val="bullet"/>
      <w:lvlText w:val="•"/>
      <w:lvlJc w:val="left"/>
      <w:pPr>
        <w:ind w:left="4414" w:hanging="540"/>
      </w:pPr>
      <w:rPr>
        <w:rFonts w:hint="default"/>
        <w:lang w:val="en-US" w:eastAsia="zh-CN" w:bidi="ar-SA"/>
      </w:rPr>
    </w:lvl>
    <w:lvl w:ilvl="5" w:tentative="0">
      <w:start w:val="0"/>
      <w:numFmt w:val="bullet"/>
      <w:lvlText w:val="•"/>
      <w:lvlJc w:val="left"/>
      <w:pPr>
        <w:ind w:left="5323" w:hanging="540"/>
      </w:pPr>
      <w:rPr>
        <w:rFonts w:hint="default"/>
        <w:lang w:val="en-US" w:eastAsia="zh-CN" w:bidi="ar-SA"/>
      </w:rPr>
    </w:lvl>
    <w:lvl w:ilvl="6" w:tentative="0">
      <w:start w:val="0"/>
      <w:numFmt w:val="bullet"/>
      <w:lvlText w:val="•"/>
      <w:lvlJc w:val="left"/>
      <w:pPr>
        <w:ind w:left="6231" w:hanging="540"/>
      </w:pPr>
      <w:rPr>
        <w:rFonts w:hint="default"/>
        <w:lang w:val="en-US" w:eastAsia="zh-CN" w:bidi="ar-SA"/>
      </w:rPr>
    </w:lvl>
    <w:lvl w:ilvl="7" w:tentative="0">
      <w:start w:val="0"/>
      <w:numFmt w:val="bullet"/>
      <w:lvlText w:val="•"/>
      <w:lvlJc w:val="left"/>
      <w:pPr>
        <w:ind w:left="7140" w:hanging="540"/>
      </w:pPr>
      <w:rPr>
        <w:rFonts w:hint="default"/>
        <w:lang w:val="en-US" w:eastAsia="zh-CN" w:bidi="ar-SA"/>
      </w:rPr>
    </w:lvl>
    <w:lvl w:ilvl="8" w:tentative="0">
      <w:start w:val="0"/>
      <w:numFmt w:val="bullet"/>
      <w:lvlText w:val="•"/>
      <w:lvlJc w:val="left"/>
      <w:pPr>
        <w:ind w:left="8048" w:hanging="540"/>
      </w:pPr>
      <w:rPr>
        <w:rFonts w:hint="default"/>
        <w:lang w:val="en-US" w:eastAsia="zh-CN" w:bidi="ar-SA"/>
      </w:rPr>
    </w:lvl>
  </w:abstractNum>
  <w:abstractNum w:abstractNumId="38">
    <w:nsid w:val="243FCF68"/>
    <w:multiLevelType w:val="multilevel"/>
    <w:tmpl w:val="243FCF68"/>
    <w:lvl w:ilvl="0" w:tentative="0">
      <w:start w:val="1"/>
      <w:numFmt w:val="decimal"/>
      <w:lvlText w:val="（%1）"/>
      <w:lvlJc w:val="left"/>
      <w:pPr>
        <w:ind w:left="1861" w:hanging="601"/>
      </w:pPr>
      <w:rPr>
        <w:rFonts w:hint="default" w:ascii="宋体" w:hAnsi="宋体" w:eastAsia="宋体" w:cs="宋体"/>
        <w:b w:val="0"/>
        <w:bCs w:val="0"/>
        <w:i w:val="0"/>
        <w:iCs w:val="0"/>
        <w:spacing w:val="0"/>
        <w:w w:val="100"/>
        <w:sz w:val="22"/>
        <w:szCs w:val="22"/>
        <w:lang w:val="en-US" w:eastAsia="zh-CN" w:bidi="ar-SA"/>
      </w:rPr>
    </w:lvl>
    <w:lvl w:ilvl="1" w:tentative="0">
      <w:start w:val="0"/>
      <w:numFmt w:val="bullet"/>
      <w:lvlText w:val="•"/>
      <w:lvlJc w:val="left"/>
      <w:pPr>
        <w:ind w:left="2660" w:hanging="601"/>
      </w:pPr>
      <w:rPr>
        <w:rFonts w:hint="default"/>
        <w:lang w:val="en-US" w:eastAsia="zh-CN" w:bidi="ar-SA"/>
      </w:rPr>
    </w:lvl>
    <w:lvl w:ilvl="2" w:tentative="0">
      <w:start w:val="0"/>
      <w:numFmt w:val="bullet"/>
      <w:lvlText w:val="•"/>
      <w:lvlJc w:val="left"/>
      <w:pPr>
        <w:ind w:left="3461" w:hanging="601"/>
      </w:pPr>
      <w:rPr>
        <w:rFonts w:hint="default"/>
        <w:lang w:val="en-US" w:eastAsia="zh-CN" w:bidi="ar-SA"/>
      </w:rPr>
    </w:lvl>
    <w:lvl w:ilvl="3" w:tentative="0">
      <w:start w:val="0"/>
      <w:numFmt w:val="bullet"/>
      <w:lvlText w:val="•"/>
      <w:lvlJc w:val="left"/>
      <w:pPr>
        <w:ind w:left="4261" w:hanging="601"/>
      </w:pPr>
      <w:rPr>
        <w:rFonts w:hint="default"/>
        <w:lang w:val="en-US" w:eastAsia="zh-CN" w:bidi="ar-SA"/>
      </w:rPr>
    </w:lvl>
    <w:lvl w:ilvl="4" w:tentative="0">
      <w:start w:val="0"/>
      <w:numFmt w:val="bullet"/>
      <w:lvlText w:val="•"/>
      <w:lvlJc w:val="left"/>
      <w:pPr>
        <w:ind w:left="5062" w:hanging="601"/>
      </w:pPr>
      <w:rPr>
        <w:rFonts w:hint="default"/>
        <w:lang w:val="en-US" w:eastAsia="zh-CN" w:bidi="ar-SA"/>
      </w:rPr>
    </w:lvl>
    <w:lvl w:ilvl="5" w:tentative="0">
      <w:start w:val="0"/>
      <w:numFmt w:val="bullet"/>
      <w:lvlText w:val="•"/>
      <w:lvlJc w:val="left"/>
      <w:pPr>
        <w:ind w:left="5863" w:hanging="601"/>
      </w:pPr>
      <w:rPr>
        <w:rFonts w:hint="default"/>
        <w:lang w:val="en-US" w:eastAsia="zh-CN" w:bidi="ar-SA"/>
      </w:rPr>
    </w:lvl>
    <w:lvl w:ilvl="6" w:tentative="0">
      <w:start w:val="0"/>
      <w:numFmt w:val="bullet"/>
      <w:lvlText w:val="•"/>
      <w:lvlJc w:val="left"/>
      <w:pPr>
        <w:ind w:left="6663" w:hanging="601"/>
      </w:pPr>
      <w:rPr>
        <w:rFonts w:hint="default"/>
        <w:lang w:val="en-US" w:eastAsia="zh-CN" w:bidi="ar-SA"/>
      </w:rPr>
    </w:lvl>
    <w:lvl w:ilvl="7" w:tentative="0">
      <w:start w:val="0"/>
      <w:numFmt w:val="bullet"/>
      <w:lvlText w:val="•"/>
      <w:lvlJc w:val="left"/>
      <w:pPr>
        <w:ind w:left="7464" w:hanging="601"/>
      </w:pPr>
      <w:rPr>
        <w:rFonts w:hint="default"/>
        <w:lang w:val="en-US" w:eastAsia="zh-CN" w:bidi="ar-SA"/>
      </w:rPr>
    </w:lvl>
    <w:lvl w:ilvl="8" w:tentative="0">
      <w:start w:val="0"/>
      <w:numFmt w:val="bullet"/>
      <w:lvlText w:val="•"/>
      <w:lvlJc w:val="left"/>
      <w:pPr>
        <w:ind w:left="8264" w:hanging="601"/>
      </w:pPr>
      <w:rPr>
        <w:rFonts w:hint="default"/>
        <w:lang w:val="en-US" w:eastAsia="zh-CN" w:bidi="ar-SA"/>
      </w:rPr>
    </w:lvl>
  </w:abstractNum>
  <w:abstractNum w:abstractNumId="39">
    <w:nsid w:val="25B654F3"/>
    <w:multiLevelType w:val="multilevel"/>
    <w:tmpl w:val="25B654F3"/>
    <w:lvl w:ilvl="0" w:tentative="0">
      <w:start w:val="1"/>
      <w:numFmt w:val="decimal"/>
      <w:lvlText w:val="（%1）"/>
      <w:lvlJc w:val="left"/>
      <w:pPr>
        <w:ind w:left="840" w:hanging="601"/>
      </w:pPr>
      <w:rPr>
        <w:rFonts w:hint="default" w:ascii="宋体" w:hAnsi="宋体" w:eastAsia="宋体" w:cs="宋体"/>
        <w:b w:val="0"/>
        <w:bCs w:val="0"/>
        <w:i w:val="0"/>
        <w:iCs w:val="0"/>
        <w:spacing w:val="0"/>
        <w:w w:val="100"/>
        <w:sz w:val="22"/>
        <w:szCs w:val="22"/>
        <w:lang w:val="en-US" w:eastAsia="zh-CN" w:bidi="ar-SA"/>
      </w:rPr>
    </w:lvl>
    <w:lvl w:ilvl="1" w:tentative="0">
      <w:start w:val="0"/>
      <w:numFmt w:val="bullet"/>
      <w:lvlText w:val="•"/>
      <w:lvlJc w:val="left"/>
      <w:pPr>
        <w:ind w:left="1748" w:hanging="601"/>
      </w:pPr>
      <w:rPr>
        <w:rFonts w:hint="default"/>
        <w:lang w:val="en-US" w:eastAsia="zh-CN" w:bidi="ar-SA"/>
      </w:rPr>
    </w:lvl>
    <w:lvl w:ilvl="2" w:tentative="0">
      <w:start w:val="0"/>
      <w:numFmt w:val="bullet"/>
      <w:lvlText w:val="•"/>
      <w:lvlJc w:val="left"/>
      <w:pPr>
        <w:ind w:left="2657" w:hanging="601"/>
      </w:pPr>
      <w:rPr>
        <w:rFonts w:hint="default"/>
        <w:lang w:val="en-US" w:eastAsia="zh-CN" w:bidi="ar-SA"/>
      </w:rPr>
    </w:lvl>
    <w:lvl w:ilvl="3" w:tentative="0">
      <w:start w:val="0"/>
      <w:numFmt w:val="bullet"/>
      <w:lvlText w:val="•"/>
      <w:lvlJc w:val="left"/>
      <w:pPr>
        <w:ind w:left="3565" w:hanging="601"/>
      </w:pPr>
      <w:rPr>
        <w:rFonts w:hint="default"/>
        <w:lang w:val="en-US" w:eastAsia="zh-CN" w:bidi="ar-SA"/>
      </w:rPr>
    </w:lvl>
    <w:lvl w:ilvl="4" w:tentative="0">
      <w:start w:val="0"/>
      <w:numFmt w:val="bullet"/>
      <w:lvlText w:val="•"/>
      <w:lvlJc w:val="left"/>
      <w:pPr>
        <w:ind w:left="4474" w:hanging="601"/>
      </w:pPr>
      <w:rPr>
        <w:rFonts w:hint="default"/>
        <w:lang w:val="en-US" w:eastAsia="zh-CN" w:bidi="ar-SA"/>
      </w:rPr>
    </w:lvl>
    <w:lvl w:ilvl="5" w:tentative="0">
      <w:start w:val="0"/>
      <w:numFmt w:val="bullet"/>
      <w:lvlText w:val="•"/>
      <w:lvlJc w:val="left"/>
      <w:pPr>
        <w:ind w:left="5383" w:hanging="601"/>
      </w:pPr>
      <w:rPr>
        <w:rFonts w:hint="default"/>
        <w:lang w:val="en-US" w:eastAsia="zh-CN" w:bidi="ar-SA"/>
      </w:rPr>
    </w:lvl>
    <w:lvl w:ilvl="6" w:tentative="0">
      <w:start w:val="0"/>
      <w:numFmt w:val="bullet"/>
      <w:lvlText w:val="•"/>
      <w:lvlJc w:val="left"/>
      <w:pPr>
        <w:ind w:left="6291" w:hanging="601"/>
      </w:pPr>
      <w:rPr>
        <w:rFonts w:hint="default"/>
        <w:lang w:val="en-US" w:eastAsia="zh-CN" w:bidi="ar-SA"/>
      </w:rPr>
    </w:lvl>
    <w:lvl w:ilvl="7" w:tentative="0">
      <w:start w:val="0"/>
      <w:numFmt w:val="bullet"/>
      <w:lvlText w:val="•"/>
      <w:lvlJc w:val="left"/>
      <w:pPr>
        <w:ind w:left="7200" w:hanging="601"/>
      </w:pPr>
      <w:rPr>
        <w:rFonts w:hint="default"/>
        <w:lang w:val="en-US" w:eastAsia="zh-CN" w:bidi="ar-SA"/>
      </w:rPr>
    </w:lvl>
    <w:lvl w:ilvl="8" w:tentative="0">
      <w:start w:val="0"/>
      <w:numFmt w:val="bullet"/>
      <w:lvlText w:val="•"/>
      <w:lvlJc w:val="left"/>
      <w:pPr>
        <w:ind w:left="8108" w:hanging="601"/>
      </w:pPr>
      <w:rPr>
        <w:rFonts w:hint="default"/>
        <w:lang w:val="en-US" w:eastAsia="zh-CN" w:bidi="ar-SA"/>
      </w:rPr>
    </w:lvl>
  </w:abstractNum>
  <w:abstractNum w:abstractNumId="40">
    <w:nsid w:val="30FC5B15"/>
    <w:multiLevelType w:val="multilevel"/>
    <w:tmpl w:val="30FC5B15"/>
    <w:lvl w:ilvl="0" w:tentative="0">
      <w:start w:val="34"/>
      <w:numFmt w:val="decimal"/>
      <w:lvlText w:val="%1."/>
      <w:lvlJc w:val="left"/>
      <w:pPr>
        <w:ind w:left="1143" w:hanging="364"/>
      </w:pPr>
      <w:rPr>
        <w:rFonts w:hint="default" w:ascii="宋体" w:hAnsi="宋体" w:eastAsia="宋体" w:cs="宋体"/>
        <w:b/>
        <w:bCs/>
        <w:i w:val="0"/>
        <w:iCs w:val="0"/>
        <w:spacing w:val="0"/>
        <w:w w:val="99"/>
        <w:sz w:val="22"/>
        <w:szCs w:val="22"/>
        <w:lang w:val="en-US" w:eastAsia="zh-CN" w:bidi="ar-SA"/>
      </w:rPr>
    </w:lvl>
    <w:lvl w:ilvl="1" w:tentative="0">
      <w:start w:val="1"/>
      <w:numFmt w:val="decimal"/>
      <w:lvlText w:val="%1.%2"/>
      <w:lvlJc w:val="left"/>
      <w:pPr>
        <w:ind w:left="780" w:hanging="600"/>
      </w:pPr>
      <w:rPr>
        <w:rFonts w:hint="default" w:ascii="宋体" w:hAnsi="宋体" w:eastAsia="宋体" w:cs="宋体"/>
        <w:b w:val="0"/>
        <w:bCs w:val="0"/>
        <w:i w:val="0"/>
        <w:iCs w:val="0"/>
        <w:spacing w:val="0"/>
        <w:w w:val="100"/>
        <w:sz w:val="24"/>
        <w:szCs w:val="24"/>
        <w:lang w:val="en-US" w:eastAsia="zh-CN" w:bidi="ar-SA"/>
      </w:rPr>
    </w:lvl>
    <w:lvl w:ilvl="2" w:tentative="0">
      <w:start w:val="0"/>
      <w:numFmt w:val="bullet"/>
      <w:lvlText w:val="•"/>
      <w:lvlJc w:val="left"/>
      <w:pPr>
        <w:ind w:left="2109" w:hanging="600"/>
      </w:pPr>
      <w:rPr>
        <w:rFonts w:hint="default"/>
        <w:lang w:val="en-US" w:eastAsia="zh-CN" w:bidi="ar-SA"/>
      </w:rPr>
    </w:lvl>
    <w:lvl w:ilvl="3" w:tentative="0">
      <w:start w:val="0"/>
      <w:numFmt w:val="bullet"/>
      <w:lvlText w:val="•"/>
      <w:lvlJc w:val="left"/>
      <w:pPr>
        <w:ind w:left="3079" w:hanging="600"/>
      </w:pPr>
      <w:rPr>
        <w:rFonts w:hint="default"/>
        <w:lang w:val="en-US" w:eastAsia="zh-CN" w:bidi="ar-SA"/>
      </w:rPr>
    </w:lvl>
    <w:lvl w:ilvl="4" w:tentative="0">
      <w:start w:val="0"/>
      <w:numFmt w:val="bullet"/>
      <w:lvlText w:val="•"/>
      <w:lvlJc w:val="left"/>
      <w:pPr>
        <w:ind w:left="4048" w:hanging="600"/>
      </w:pPr>
      <w:rPr>
        <w:rFonts w:hint="default"/>
        <w:lang w:val="en-US" w:eastAsia="zh-CN" w:bidi="ar-SA"/>
      </w:rPr>
    </w:lvl>
    <w:lvl w:ilvl="5" w:tentative="0">
      <w:start w:val="0"/>
      <w:numFmt w:val="bullet"/>
      <w:lvlText w:val="•"/>
      <w:lvlJc w:val="left"/>
      <w:pPr>
        <w:ind w:left="5018" w:hanging="600"/>
      </w:pPr>
      <w:rPr>
        <w:rFonts w:hint="default"/>
        <w:lang w:val="en-US" w:eastAsia="zh-CN" w:bidi="ar-SA"/>
      </w:rPr>
    </w:lvl>
    <w:lvl w:ilvl="6" w:tentative="0">
      <w:start w:val="0"/>
      <w:numFmt w:val="bullet"/>
      <w:lvlText w:val="•"/>
      <w:lvlJc w:val="left"/>
      <w:pPr>
        <w:ind w:left="5987" w:hanging="600"/>
      </w:pPr>
      <w:rPr>
        <w:rFonts w:hint="default"/>
        <w:lang w:val="en-US" w:eastAsia="zh-CN" w:bidi="ar-SA"/>
      </w:rPr>
    </w:lvl>
    <w:lvl w:ilvl="7" w:tentative="0">
      <w:start w:val="0"/>
      <w:numFmt w:val="bullet"/>
      <w:lvlText w:val="•"/>
      <w:lvlJc w:val="left"/>
      <w:pPr>
        <w:ind w:left="6957" w:hanging="600"/>
      </w:pPr>
      <w:rPr>
        <w:rFonts w:hint="default"/>
        <w:lang w:val="en-US" w:eastAsia="zh-CN" w:bidi="ar-SA"/>
      </w:rPr>
    </w:lvl>
    <w:lvl w:ilvl="8" w:tentative="0">
      <w:start w:val="0"/>
      <w:numFmt w:val="bullet"/>
      <w:lvlText w:val="•"/>
      <w:lvlJc w:val="left"/>
      <w:pPr>
        <w:ind w:left="7926" w:hanging="600"/>
      </w:pPr>
      <w:rPr>
        <w:rFonts w:hint="default"/>
        <w:lang w:val="en-US" w:eastAsia="zh-CN" w:bidi="ar-SA"/>
      </w:rPr>
    </w:lvl>
  </w:abstractNum>
  <w:abstractNum w:abstractNumId="41">
    <w:nsid w:val="322D85CA"/>
    <w:multiLevelType w:val="multilevel"/>
    <w:tmpl w:val="322D85CA"/>
    <w:lvl w:ilvl="0" w:tentative="0">
      <w:start w:val="1"/>
      <w:numFmt w:val="decimal"/>
      <w:lvlText w:val="（%1）"/>
      <w:lvlJc w:val="left"/>
      <w:pPr>
        <w:ind w:left="780" w:hanging="601"/>
      </w:pPr>
      <w:rPr>
        <w:rFonts w:hint="default" w:ascii="宋体" w:hAnsi="宋体" w:eastAsia="宋体" w:cs="宋体"/>
        <w:b w:val="0"/>
        <w:bCs w:val="0"/>
        <w:i w:val="0"/>
        <w:iCs w:val="0"/>
        <w:spacing w:val="0"/>
        <w:w w:val="100"/>
        <w:sz w:val="22"/>
        <w:szCs w:val="22"/>
        <w:lang w:val="en-US" w:eastAsia="zh-CN" w:bidi="ar-SA"/>
      </w:rPr>
    </w:lvl>
    <w:lvl w:ilvl="1" w:tentative="0">
      <w:start w:val="0"/>
      <w:numFmt w:val="bullet"/>
      <w:lvlText w:val="•"/>
      <w:lvlJc w:val="left"/>
      <w:pPr>
        <w:ind w:left="1688" w:hanging="601"/>
      </w:pPr>
      <w:rPr>
        <w:rFonts w:hint="default"/>
        <w:lang w:val="en-US" w:eastAsia="zh-CN" w:bidi="ar-SA"/>
      </w:rPr>
    </w:lvl>
    <w:lvl w:ilvl="2" w:tentative="0">
      <w:start w:val="0"/>
      <w:numFmt w:val="bullet"/>
      <w:lvlText w:val="•"/>
      <w:lvlJc w:val="left"/>
      <w:pPr>
        <w:ind w:left="2597" w:hanging="601"/>
      </w:pPr>
      <w:rPr>
        <w:rFonts w:hint="default"/>
        <w:lang w:val="en-US" w:eastAsia="zh-CN" w:bidi="ar-SA"/>
      </w:rPr>
    </w:lvl>
    <w:lvl w:ilvl="3" w:tentative="0">
      <w:start w:val="0"/>
      <w:numFmt w:val="bullet"/>
      <w:lvlText w:val="•"/>
      <w:lvlJc w:val="left"/>
      <w:pPr>
        <w:ind w:left="3505" w:hanging="601"/>
      </w:pPr>
      <w:rPr>
        <w:rFonts w:hint="default"/>
        <w:lang w:val="en-US" w:eastAsia="zh-CN" w:bidi="ar-SA"/>
      </w:rPr>
    </w:lvl>
    <w:lvl w:ilvl="4" w:tentative="0">
      <w:start w:val="0"/>
      <w:numFmt w:val="bullet"/>
      <w:lvlText w:val="•"/>
      <w:lvlJc w:val="left"/>
      <w:pPr>
        <w:ind w:left="4414" w:hanging="601"/>
      </w:pPr>
      <w:rPr>
        <w:rFonts w:hint="default"/>
        <w:lang w:val="en-US" w:eastAsia="zh-CN" w:bidi="ar-SA"/>
      </w:rPr>
    </w:lvl>
    <w:lvl w:ilvl="5" w:tentative="0">
      <w:start w:val="0"/>
      <w:numFmt w:val="bullet"/>
      <w:lvlText w:val="•"/>
      <w:lvlJc w:val="left"/>
      <w:pPr>
        <w:ind w:left="5323" w:hanging="601"/>
      </w:pPr>
      <w:rPr>
        <w:rFonts w:hint="default"/>
        <w:lang w:val="en-US" w:eastAsia="zh-CN" w:bidi="ar-SA"/>
      </w:rPr>
    </w:lvl>
    <w:lvl w:ilvl="6" w:tentative="0">
      <w:start w:val="0"/>
      <w:numFmt w:val="bullet"/>
      <w:lvlText w:val="•"/>
      <w:lvlJc w:val="left"/>
      <w:pPr>
        <w:ind w:left="6231" w:hanging="601"/>
      </w:pPr>
      <w:rPr>
        <w:rFonts w:hint="default"/>
        <w:lang w:val="en-US" w:eastAsia="zh-CN" w:bidi="ar-SA"/>
      </w:rPr>
    </w:lvl>
    <w:lvl w:ilvl="7" w:tentative="0">
      <w:start w:val="0"/>
      <w:numFmt w:val="bullet"/>
      <w:lvlText w:val="•"/>
      <w:lvlJc w:val="left"/>
      <w:pPr>
        <w:ind w:left="7140" w:hanging="601"/>
      </w:pPr>
      <w:rPr>
        <w:rFonts w:hint="default"/>
        <w:lang w:val="en-US" w:eastAsia="zh-CN" w:bidi="ar-SA"/>
      </w:rPr>
    </w:lvl>
    <w:lvl w:ilvl="8" w:tentative="0">
      <w:start w:val="0"/>
      <w:numFmt w:val="bullet"/>
      <w:lvlText w:val="•"/>
      <w:lvlJc w:val="left"/>
      <w:pPr>
        <w:ind w:left="8048" w:hanging="601"/>
      </w:pPr>
      <w:rPr>
        <w:rFonts w:hint="default"/>
        <w:lang w:val="en-US" w:eastAsia="zh-CN" w:bidi="ar-SA"/>
      </w:rPr>
    </w:lvl>
  </w:abstractNum>
  <w:abstractNum w:abstractNumId="42">
    <w:nsid w:val="39A0D9AC"/>
    <w:multiLevelType w:val="multilevel"/>
    <w:tmpl w:val="39A0D9AC"/>
    <w:lvl w:ilvl="0" w:tentative="0">
      <w:start w:val="27"/>
      <w:numFmt w:val="decimal"/>
      <w:lvlText w:val="%1."/>
      <w:lvlJc w:val="left"/>
      <w:pPr>
        <w:ind w:left="1143" w:hanging="364"/>
      </w:pPr>
      <w:rPr>
        <w:rFonts w:hint="default" w:ascii="宋体" w:hAnsi="宋体" w:eastAsia="宋体" w:cs="宋体"/>
        <w:b/>
        <w:bCs/>
        <w:i w:val="0"/>
        <w:iCs w:val="0"/>
        <w:spacing w:val="0"/>
        <w:w w:val="99"/>
        <w:sz w:val="22"/>
        <w:szCs w:val="22"/>
        <w:lang w:val="en-US" w:eastAsia="zh-CN" w:bidi="ar-SA"/>
      </w:rPr>
    </w:lvl>
    <w:lvl w:ilvl="1" w:tentative="0">
      <w:start w:val="1"/>
      <w:numFmt w:val="decimal"/>
      <w:lvlText w:val="%1.%2"/>
      <w:lvlJc w:val="left"/>
      <w:pPr>
        <w:ind w:left="780" w:hanging="540"/>
      </w:pPr>
      <w:rPr>
        <w:rFonts w:hint="default" w:ascii="宋体" w:hAnsi="宋体" w:eastAsia="宋体" w:cs="宋体"/>
        <w:b w:val="0"/>
        <w:bCs w:val="0"/>
        <w:i w:val="0"/>
        <w:iCs w:val="0"/>
        <w:spacing w:val="0"/>
        <w:w w:val="100"/>
        <w:sz w:val="24"/>
        <w:szCs w:val="24"/>
        <w:lang w:val="en-US" w:eastAsia="zh-CN" w:bidi="ar-SA"/>
      </w:rPr>
    </w:lvl>
    <w:lvl w:ilvl="2" w:tentative="0">
      <w:start w:val="0"/>
      <w:numFmt w:val="bullet"/>
      <w:lvlText w:val="•"/>
      <w:lvlJc w:val="left"/>
      <w:pPr>
        <w:ind w:left="2109" w:hanging="540"/>
      </w:pPr>
      <w:rPr>
        <w:rFonts w:hint="default"/>
        <w:lang w:val="en-US" w:eastAsia="zh-CN" w:bidi="ar-SA"/>
      </w:rPr>
    </w:lvl>
    <w:lvl w:ilvl="3" w:tentative="0">
      <w:start w:val="0"/>
      <w:numFmt w:val="bullet"/>
      <w:lvlText w:val="•"/>
      <w:lvlJc w:val="left"/>
      <w:pPr>
        <w:ind w:left="3079" w:hanging="540"/>
      </w:pPr>
      <w:rPr>
        <w:rFonts w:hint="default"/>
        <w:lang w:val="en-US" w:eastAsia="zh-CN" w:bidi="ar-SA"/>
      </w:rPr>
    </w:lvl>
    <w:lvl w:ilvl="4" w:tentative="0">
      <w:start w:val="0"/>
      <w:numFmt w:val="bullet"/>
      <w:lvlText w:val="•"/>
      <w:lvlJc w:val="left"/>
      <w:pPr>
        <w:ind w:left="4048" w:hanging="540"/>
      </w:pPr>
      <w:rPr>
        <w:rFonts w:hint="default"/>
        <w:lang w:val="en-US" w:eastAsia="zh-CN" w:bidi="ar-SA"/>
      </w:rPr>
    </w:lvl>
    <w:lvl w:ilvl="5" w:tentative="0">
      <w:start w:val="0"/>
      <w:numFmt w:val="bullet"/>
      <w:lvlText w:val="•"/>
      <w:lvlJc w:val="left"/>
      <w:pPr>
        <w:ind w:left="5018" w:hanging="540"/>
      </w:pPr>
      <w:rPr>
        <w:rFonts w:hint="default"/>
        <w:lang w:val="en-US" w:eastAsia="zh-CN" w:bidi="ar-SA"/>
      </w:rPr>
    </w:lvl>
    <w:lvl w:ilvl="6" w:tentative="0">
      <w:start w:val="0"/>
      <w:numFmt w:val="bullet"/>
      <w:lvlText w:val="•"/>
      <w:lvlJc w:val="left"/>
      <w:pPr>
        <w:ind w:left="5987" w:hanging="540"/>
      </w:pPr>
      <w:rPr>
        <w:rFonts w:hint="default"/>
        <w:lang w:val="en-US" w:eastAsia="zh-CN" w:bidi="ar-SA"/>
      </w:rPr>
    </w:lvl>
    <w:lvl w:ilvl="7" w:tentative="0">
      <w:start w:val="0"/>
      <w:numFmt w:val="bullet"/>
      <w:lvlText w:val="•"/>
      <w:lvlJc w:val="left"/>
      <w:pPr>
        <w:ind w:left="6957" w:hanging="540"/>
      </w:pPr>
      <w:rPr>
        <w:rFonts w:hint="default"/>
        <w:lang w:val="en-US" w:eastAsia="zh-CN" w:bidi="ar-SA"/>
      </w:rPr>
    </w:lvl>
    <w:lvl w:ilvl="8" w:tentative="0">
      <w:start w:val="0"/>
      <w:numFmt w:val="bullet"/>
      <w:lvlText w:val="•"/>
      <w:lvlJc w:val="left"/>
      <w:pPr>
        <w:ind w:left="7926" w:hanging="540"/>
      </w:pPr>
      <w:rPr>
        <w:rFonts w:hint="default"/>
        <w:lang w:val="en-US" w:eastAsia="zh-CN" w:bidi="ar-SA"/>
      </w:rPr>
    </w:lvl>
  </w:abstractNum>
  <w:abstractNum w:abstractNumId="43">
    <w:nsid w:val="3B8127DF"/>
    <w:multiLevelType w:val="multilevel"/>
    <w:tmpl w:val="3B8127DF"/>
    <w:lvl w:ilvl="0" w:tentative="0">
      <w:start w:val="1"/>
      <w:numFmt w:val="decimal"/>
      <w:lvlText w:val="%1."/>
      <w:lvlJc w:val="left"/>
      <w:pPr>
        <w:ind w:left="777" w:hanging="241"/>
      </w:pPr>
      <w:rPr>
        <w:rFonts w:hint="default" w:ascii="宋体" w:hAnsi="宋体" w:eastAsia="宋体" w:cs="宋体"/>
        <w:b w:val="0"/>
        <w:bCs w:val="0"/>
        <w:i w:val="0"/>
        <w:iCs w:val="0"/>
        <w:spacing w:val="0"/>
        <w:w w:val="99"/>
        <w:sz w:val="22"/>
        <w:szCs w:val="22"/>
        <w:lang w:val="en-US" w:eastAsia="zh-CN" w:bidi="ar-SA"/>
      </w:rPr>
    </w:lvl>
    <w:lvl w:ilvl="1" w:tentative="0">
      <w:start w:val="0"/>
      <w:numFmt w:val="bullet"/>
      <w:lvlText w:val="•"/>
      <w:lvlJc w:val="left"/>
      <w:pPr>
        <w:ind w:left="1688" w:hanging="241"/>
      </w:pPr>
      <w:rPr>
        <w:rFonts w:hint="default"/>
        <w:lang w:val="en-US" w:eastAsia="zh-CN" w:bidi="ar-SA"/>
      </w:rPr>
    </w:lvl>
    <w:lvl w:ilvl="2" w:tentative="0">
      <w:start w:val="0"/>
      <w:numFmt w:val="bullet"/>
      <w:lvlText w:val="•"/>
      <w:lvlJc w:val="left"/>
      <w:pPr>
        <w:ind w:left="2597" w:hanging="241"/>
      </w:pPr>
      <w:rPr>
        <w:rFonts w:hint="default"/>
        <w:lang w:val="en-US" w:eastAsia="zh-CN" w:bidi="ar-SA"/>
      </w:rPr>
    </w:lvl>
    <w:lvl w:ilvl="3" w:tentative="0">
      <w:start w:val="0"/>
      <w:numFmt w:val="bullet"/>
      <w:lvlText w:val="•"/>
      <w:lvlJc w:val="left"/>
      <w:pPr>
        <w:ind w:left="3505" w:hanging="241"/>
      </w:pPr>
      <w:rPr>
        <w:rFonts w:hint="default"/>
        <w:lang w:val="en-US" w:eastAsia="zh-CN" w:bidi="ar-SA"/>
      </w:rPr>
    </w:lvl>
    <w:lvl w:ilvl="4" w:tentative="0">
      <w:start w:val="0"/>
      <w:numFmt w:val="bullet"/>
      <w:lvlText w:val="•"/>
      <w:lvlJc w:val="left"/>
      <w:pPr>
        <w:ind w:left="4414" w:hanging="241"/>
      </w:pPr>
      <w:rPr>
        <w:rFonts w:hint="default"/>
        <w:lang w:val="en-US" w:eastAsia="zh-CN" w:bidi="ar-SA"/>
      </w:rPr>
    </w:lvl>
    <w:lvl w:ilvl="5" w:tentative="0">
      <w:start w:val="0"/>
      <w:numFmt w:val="bullet"/>
      <w:lvlText w:val="•"/>
      <w:lvlJc w:val="left"/>
      <w:pPr>
        <w:ind w:left="5323" w:hanging="241"/>
      </w:pPr>
      <w:rPr>
        <w:rFonts w:hint="default"/>
        <w:lang w:val="en-US" w:eastAsia="zh-CN" w:bidi="ar-SA"/>
      </w:rPr>
    </w:lvl>
    <w:lvl w:ilvl="6" w:tentative="0">
      <w:start w:val="0"/>
      <w:numFmt w:val="bullet"/>
      <w:lvlText w:val="•"/>
      <w:lvlJc w:val="left"/>
      <w:pPr>
        <w:ind w:left="6231" w:hanging="241"/>
      </w:pPr>
      <w:rPr>
        <w:rFonts w:hint="default"/>
        <w:lang w:val="en-US" w:eastAsia="zh-CN" w:bidi="ar-SA"/>
      </w:rPr>
    </w:lvl>
    <w:lvl w:ilvl="7" w:tentative="0">
      <w:start w:val="0"/>
      <w:numFmt w:val="bullet"/>
      <w:lvlText w:val="•"/>
      <w:lvlJc w:val="left"/>
      <w:pPr>
        <w:ind w:left="7140" w:hanging="241"/>
      </w:pPr>
      <w:rPr>
        <w:rFonts w:hint="default"/>
        <w:lang w:val="en-US" w:eastAsia="zh-CN" w:bidi="ar-SA"/>
      </w:rPr>
    </w:lvl>
    <w:lvl w:ilvl="8" w:tentative="0">
      <w:start w:val="0"/>
      <w:numFmt w:val="bullet"/>
      <w:lvlText w:val="•"/>
      <w:lvlJc w:val="left"/>
      <w:pPr>
        <w:ind w:left="8048" w:hanging="241"/>
      </w:pPr>
      <w:rPr>
        <w:rFonts w:hint="default"/>
        <w:lang w:val="en-US" w:eastAsia="zh-CN" w:bidi="ar-SA"/>
      </w:rPr>
    </w:lvl>
  </w:abstractNum>
  <w:abstractNum w:abstractNumId="44">
    <w:nsid w:val="46A08BB8"/>
    <w:multiLevelType w:val="multilevel"/>
    <w:tmpl w:val="46A08BB8"/>
    <w:lvl w:ilvl="0" w:tentative="0">
      <w:start w:val="17"/>
      <w:numFmt w:val="decimal"/>
      <w:lvlText w:val="%1"/>
      <w:lvlJc w:val="left"/>
      <w:pPr>
        <w:ind w:left="780" w:hanging="540"/>
      </w:pPr>
      <w:rPr>
        <w:rFonts w:hint="default"/>
        <w:lang w:val="en-US" w:eastAsia="zh-CN" w:bidi="ar-SA"/>
      </w:rPr>
    </w:lvl>
    <w:lvl w:ilvl="1" w:tentative="0">
      <w:start w:val="1"/>
      <w:numFmt w:val="decimal"/>
      <w:lvlText w:val="%1.%2"/>
      <w:lvlJc w:val="left"/>
      <w:pPr>
        <w:ind w:left="780" w:hanging="540"/>
        <w:jc w:val="right"/>
      </w:pPr>
      <w:rPr>
        <w:rFonts w:hint="default" w:ascii="宋体" w:hAnsi="宋体" w:eastAsia="宋体" w:cs="宋体"/>
        <w:b w:val="0"/>
        <w:bCs w:val="0"/>
        <w:i w:val="0"/>
        <w:iCs w:val="0"/>
        <w:spacing w:val="0"/>
        <w:w w:val="100"/>
        <w:sz w:val="24"/>
        <w:szCs w:val="24"/>
        <w:lang w:val="en-US" w:eastAsia="zh-CN" w:bidi="ar-SA"/>
      </w:rPr>
    </w:lvl>
    <w:lvl w:ilvl="2" w:tentative="0">
      <w:start w:val="1"/>
      <w:numFmt w:val="decimal"/>
      <w:lvlText w:val="%1.%2.%3"/>
      <w:lvlJc w:val="left"/>
      <w:pPr>
        <w:ind w:left="2100" w:hanging="840"/>
      </w:pPr>
      <w:rPr>
        <w:rFonts w:hint="default" w:ascii="宋体" w:hAnsi="宋体" w:eastAsia="宋体" w:cs="宋体"/>
        <w:b w:val="0"/>
        <w:bCs w:val="0"/>
        <w:i w:val="0"/>
        <w:iCs w:val="0"/>
        <w:spacing w:val="0"/>
        <w:w w:val="100"/>
        <w:sz w:val="24"/>
        <w:szCs w:val="24"/>
        <w:lang w:val="en-US" w:eastAsia="zh-CN" w:bidi="ar-SA"/>
      </w:rPr>
    </w:lvl>
    <w:lvl w:ilvl="3" w:tentative="0">
      <w:start w:val="0"/>
      <w:numFmt w:val="bullet"/>
      <w:lvlText w:val="•"/>
      <w:lvlJc w:val="left"/>
      <w:pPr>
        <w:ind w:left="3825" w:hanging="840"/>
      </w:pPr>
      <w:rPr>
        <w:rFonts w:hint="default"/>
        <w:lang w:val="en-US" w:eastAsia="zh-CN" w:bidi="ar-SA"/>
      </w:rPr>
    </w:lvl>
    <w:lvl w:ilvl="4" w:tentative="0">
      <w:start w:val="0"/>
      <w:numFmt w:val="bullet"/>
      <w:lvlText w:val="•"/>
      <w:lvlJc w:val="left"/>
      <w:pPr>
        <w:ind w:left="4688" w:hanging="840"/>
      </w:pPr>
      <w:rPr>
        <w:rFonts w:hint="default"/>
        <w:lang w:val="en-US" w:eastAsia="zh-CN" w:bidi="ar-SA"/>
      </w:rPr>
    </w:lvl>
    <w:lvl w:ilvl="5" w:tentative="0">
      <w:start w:val="0"/>
      <w:numFmt w:val="bullet"/>
      <w:lvlText w:val="•"/>
      <w:lvlJc w:val="left"/>
      <w:pPr>
        <w:ind w:left="5551" w:hanging="840"/>
      </w:pPr>
      <w:rPr>
        <w:rFonts w:hint="default"/>
        <w:lang w:val="en-US" w:eastAsia="zh-CN" w:bidi="ar-SA"/>
      </w:rPr>
    </w:lvl>
    <w:lvl w:ilvl="6" w:tentative="0">
      <w:start w:val="0"/>
      <w:numFmt w:val="bullet"/>
      <w:lvlText w:val="•"/>
      <w:lvlJc w:val="left"/>
      <w:pPr>
        <w:ind w:left="6414" w:hanging="840"/>
      </w:pPr>
      <w:rPr>
        <w:rFonts w:hint="default"/>
        <w:lang w:val="en-US" w:eastAsia="zh-CN" w:bidi="ar-SA"/>
      </w:rPr>
    </w:lvl>
    <w:lvl w:ilvl="7" w:tentative="0">
      <w:start w:val="0"/>
      <w:numFmt w:val="bullet"/>
      <w:lvlText w:val="•"/>
      <w:lvlJc w:val="left"/>
      <w:pPr>
        <w:ind w:left="7277" w:hanging="840"/>
      </w:pPr>
      <w:rPr>
        <w:rFonts w:hint="default"/>
        <w:lang w:val="en-US" w:eastAsia="zh-CN" w:bidi="ar-SA"/>
      </w:rPr>
    </w:lvl>
    <w:lvl w:ilvl="8" w:tentative="0">
      <w:start w:val="0"/>
      <w:numFmt w:val="bullet"/>
      <w:lvlText w:val="•"/>
      <w:lvlJc w:val="left"/>
      <w:pPr>
        <w:ind w:left="8140" w:hanging="840"/>
      </w:pPr>
      <w:rPr>
        <w:rFonts w:hint="default"/>
        <w:lang w:val="en-US" w:eastAsia="zh-CN" w:bidi="ar-SA"/>
      </w:rPr>
    </w:lvl>
  </w:abstractNum>
  <w:abstractNum w:abstractNumId="45">
    <w:nsid w:val="4C1BAE26"/>
    <w:multiLevelType w:val="multilevel"/>
    <w:tmpl w:val="4C1BAE26"/>
    <w:lvl w:ilvl="0" w:tentative="0">
      <w:start w:val="12"/>
      <w:numFmt w:val="decimal"/>
      <w:lvlText w:val="%1."/>
      <w:lvlJc w:val="left"/>
      <w:pPr>
        <w:ind w:left="1143" w:hanging="364"/>
      </w:pPr>
      <w:rPr>
        <w:rFonts w:hint="default" w:ascii="宋体" w:hAnsi="宋体" w:eastAsia="宋体" w:cs="宋体"/>
        <w:b/>
        <w:bCs/>
        <w:i w:val="0"/>
        <w:iCs w:val="0"/>
        <w:spacing w:val="0"/>
        <w:w w:val="99"/>
        <w:sz w:val="22"/>
        <w:szCs w:val="22"/>
        <w:lang w:val="en-US" w:eastAsia="zh-CN" w:bidi="ar-SA"/>
      </w:rPr>
    </w:lvl>
    <w:lvl w:ilvl="1" w:tentative="0">
      <w:start w:val="1"/>
      <w:numFmt w:val="decimal"/>
      <w:lvlText w:val="%1.%2"/>
      <w:lvlJc w:val="left"/>
      <w:pPr>
        <w:ind w:left="780" w:hanging="600"/>
      </w:pPr>
      <w:rPr>
        <w:rFonts w:hint="default" w:ascii="宋体" w:hAnsi="宋体" w:eastAsia="宋体" w:cs="宋体"/>
        <w:b w:val="0"/>
        <w:bCs w:val="0"/>
        <w:i w:val="0"/>
        <w:iCs w:val="0"/>
        <w:spacing w:val="0"/>
        <w:w w:val="100"/>
        <w:sz w:val="24"/>
        <w:szCs w:val="24"/>
        <w:lang w:val="en-US" w:eastAsia="zh-CN" w:bidi="ar-SA"/>
      </w:rPr>
    </w:lvl>
    <w:lvl w:ilvl="2" w:tentative="0">
      <w:start w:val="0"/>
      <w:numFmt w:val="bullet"/>
      <w:lvlText w:val="•"/>
      <w:lvlJc w:val="left"/>
      <w:pPr>
        <w:ind w:left="2109" w:hanging="600"/>
      </w:pPr>
      <w:rPr>
        <w:rFonts w:hint="default"/>
        <w:lang w:val="en-US" w:eastAsia="zh-CN" w:bidi="ar-SA"/>
      </w:rPr>
    </w:lvl>
    <w:lvl w:ilvl="3" w:tentative="0">
      <w:start w:val="0"/>
      <w:numFmt w:val="bullet"/>
      <w:lvlText w:val="•"/>
      <w:lvlJc w:val="left"/>
      <w:pPr>
        <w:ind w:left="3079" w:hanging="600"/>
      </w:pPr>
      <w:rPr>
        <w:rFonts w:hint="default"/>
        <w:lang w:val="en-US" w:eastAsia="zh-CN" w:bidi="ar-SA"/>
      </w:rPr>
    </w:lvl>
    <w:lvl w:ilvl="4" w:tentative="0">
      <w:start w:val="0"/>
      <w:numFmt w:val="bullet"/>
      <w:lvlText w:val="•"/>
      <w:lvlJc w:val="left"/>
      <w:pPr>
        <w:ind w:left="4048" w:hanging="600"/>
      </w:pPr>
      <w:rPr>
        <w:rFonts w:hint="default"/>
        <w:lang w:val="en-US" w:eastAsia="zh-CN" w:bidi="ar-SA"/>
      </w:rPr>
    </w:lvl>
    <w:lvl w:ilvl="5" w:tentative="0">
      <w:start w:val="0"/>
      <w:numFmt w:val="bullet"/>
      <w:lvlText w:val="•"/>
      <w:lvlJc w:val="left"/>
      <w:pPr>
        <w:ind w:left="5018" w:hanging="600"/>
      </w:pPr>
      <w:rPr>
        <w:rFonts w:hint="default"/>
        <w:lang w:val="en-US" w:eastAsia="zh-CN" w:bidi="ar-SA"/>
      </w:rPr>
    </w:lvl>
    <w:lvl w:ilvl="6" w:tentative="0">
      <w:start w:val="0"/>
      <w:numFmt w:val="bullet"/>
      <w:lvlText w:val="•"/>
      <w:lvlJc w:val="left"/>
      <w:pPr>
        <w:ind w:left="5987" w:hanging="600"/>
      </w:pPr>
      <w:rPr>
        <w:rFonts w:hint="default"/>
        <w:lang w:val="en-US" w:eastAsia="zh-CN" w:bidi="ar-SA"/>
      </w:rPr>
    </w:lvl>
    <w:lvl w:ilvl="7" w:tentative="0">
      <w:start w:val="0"/>
      <w:numFmt w:val="bullet"/>
      <w:lvlText w:val="•"/>
      <w:lvlJc w:val="left"/>
      <w:pPr>
        <w:ind w:left="6957" w:hanging="600"/>
      </w:pPr>
      <w:rPr>
        <w:rFonts w:hint="default"/>
        <w:lang w:val="en-US" w:eastAsia="zh-CN" w:bidi="ar-SA"/>
      </w:rPr>
    </w:lvl>
    <w:lvl w:ilvl="8" w:tentative="0">
      <w:start w:val="0"/>
      <w:numFmt w:val="bullet"/>
      <w:lvlText w:val="•"/>
      <w:lvlJc w:val="left"/>
      <w:pPr>
        <w:ind w:left="7926" w:hanging="600"/>
      </w:pPr>
      <w:rPr>
        <w:rFonts w:hint="default"/>
        <w:lang w:val="en-US" w:eastAsia="zh-CN" w:bidi="ar-SA"/>
      </w:rPr>
    </w:lvl>
  </w:abstractNum>
  <w:abstractNum w:abstractNumId="46">
    <w:nsid w:val="4C3D7A74"/>
    <w:multiLevelType w:val="multilevel"/>
    <w:tmpl w:val="4C3D7A74"/>
    <w:lvl w:ilvl="0" w:tentative="0">
      <w:start w:val="42"/>
      <w:numFmt w:val="decimal"/>
      <w:lvlText w:val="%1."/>
      <w:lvlJc w:val="left"/>
      <w:pPr>
        <w:ind w:left="1143" w:hanging="364"/>
      </w:pPr>
      <w:rPr>
        <w:rFonts w:hint="default" w:ascii="宋体" w:hAnsi="宋体" w:eastAsia="宋体" w:cs="宋体"/>
        <w:b/>
        <w:bCs/>
        <w:i w:val="0"/>
        <w:iCs w:val="0"/>
        <w:spacing w:val="0"/>
        <w:w w:val="99"/>
        <w:sz w:val="22"/>
        <w:szCs w:val="22"/>
        <w:lang w:val="en-US" w:eastAsia="zh-CN" w:bidi="ar-SA"/>
      </w:rPr>
    </w:lvl>
    <w:lvl w:ilvl="1" w:tentative="0">
      <w:start w:val="1"/>
      <w:numFmt w:val="decimal"/>
      <w:lvlText w:val="%1.%2"/>
      <w:lvlJc w:val="left"/>
      <w:pPr>
        <w:ind w:left="780" w:hanging="540"/>
      </w:pPr>
      <w:rPr>
        <w:rFonts w:hint="default" w:ascii="宋体" w:hAnsi="宋体" w:eastAsia="宋体" w:cs="宋体"/>
        <w:b w:val="0"/>
        <w:bCs w:val="0"/>
        <w:i w:val="0"/>
        <w:iCs w:val="0"/>
        <w:spacing w:val="0"/>
        <w:w w:val="100"/>
        <w:sz w:val="24"/>
        <w:szCs w:val="24"/>
        <w:lang w:val="en-US" w:eastAsia="zh-CN" w:bidi="ar-SA"/>
      </w:rPr>
    </w:lvl>
    <w:lvl w:ilvl="2" w:tentative="0">
      <w:start w:val="1"/>
      <w:numFmt w:val="decimal"/>
      <w:lvlText w:val="%1.%2.%3"/>
      <w:lvlJc w:val="left"/>
      <w:pPr>
        <w:ind w:left="780" w:hanging="840"/>
      </w:pPr>
      <w:rPr>
        <w:rFonts w:hint="default" w:ascii="宋体" w:hAnsi="宋体" w:eastAsia="宋体" w:cs="宋体"/>
        <w:b w:val="0"/>
        <w:bCs w:val="0"/>
        <w:i w:val="0"/>
        <w:iCs w:val="0"/>
        <w:spacing w:val="0"/>
        <w:w w:val="100"/>
        <w:sz w:val="24"/>
        <w:szCs w:val="24"/>
        <w:lang w:val="en-US" w:eastAsia="zh-CN" w:bidi="ar-SA"/>
      </w:rPr>
    </w:lvl>
    <w:lvl w:ilvl="3" w:tentative="0">
      <w:start w:val="0"/>
      <w:numFmt w:val="bullet"/>
      <w:lvlText w:val="•"/>
      <w:lvlJc w:val="left"/>
      <w:pPr>
        <w:ind w:left="3079" w:hanging="840"/>
      </w:pPr>
      <w:rPr>
        <w:rFonts w:hint="default"/>
        <w:lang w:val="en-US" w:eastAsia="zh-CN" w:bidi="ar-SA"/>
      </w:rPr>
    </w:lvl>
    <w:lvl w:ilvl="4" w:tentative="0">
      <w:start w:val="0"/>
      <w:numFmt w:val="bullet"/>
      <w:lvlText w:val="•"/>
      <w:lvlJc w:val="left"/>
      <w:pPr>
        <w:ind w:left="4048" w:hanging="840"/>
      </w:pPr>
      <w:rPr>
        <w:rFonts w:hint="default"/>
        <w:lang w:val="en-US" w:eastAsia="zh-CN" w:bidi="ar-SA"/>
      </w:rPr>
    </w:lvl>
    <w:lvl w:ilvl="5" w:tentative="0">
      <w:start w:val="0"/>
      <w:numFmt w:val="bullet"/>
      <w:lvlText w:val="•"/>
      <w:lvlJc w:val="left"/>
      <w:pPr>
        <w:ind w:left="5018" w:hanging="840"/>
      </w:pPr>
      <w:rPr>
        <w:rFonts w:hint="default"/>
        <w:lang w:val="en-US" w:eastAsia="zh-CN" w:bidi="ar-SA"/>
      </w:rPr>
    </w:lvl>
    <w:lvl w:ilvl="6" w:tentative="0">
      <w:start w:val="0"/>
      <w:numFmt w:val="bullet"/>
      <w:lvlText w:val="•"/>
      <w:lvlJc w:val="left"/>
      <w:pPr>
        <w:ind w:left="5987" w:hanging="840"/>
      </w:pPr>
      <w:rPr>
        <w:rFonts w:hint="default"/>
        <w:lang w:val="en-US" w:eastAsia="zh-CN" w:bidi="ar-SA"/>
      </w:rPr>
    </w:lvl>
    <w:lvl w:ilvl="7" w:tentative="0">
      <w:start w:val="0"/>
      <w:numFmt w:val="bullet"/>
      <w:lvlText w:val="•"/>
      <w:lvlJc w:val="left"/>
      <w:pPr>
        <w:ind w:left="6957" w:hanging="840"/>
      </w:pPr>
      <w:rPr>
        <w:rFonts w:hint="default"/>
        <w:lang w:val="en-US" w:eastAsia="zh-CN" w:bidi="ar-SA"/>
      </w:rPr>
    </w:lvl>
    <w:lvl w:ilvl="8" w:tentative="0">
      <w:start w:val="0"/>
      <w:numFmt w:val="bullet"/>
      <w:lvlText w:val="•"/>
      <w:lvlJc w:val="left"/>
      <w:pPr>
        <w:ind w:left="7926" w:hanging="840"/>
      </w:pPr>
      <w:rPr>
        <w:rFonts w:hint="default"/>
        <w:lang w:val="en-US" w:eastAsia="zh-CN" w:bidi="ar-SA"/>
      </w:rPr>
    </w:lvl>
  </w:abstractNum>
  <w:abstractNum w:abstractNumId="47">
    <w:nsid w:val="4D4DC07F"/>
    <w:multiLevelType w:val="multilevel"/>
    <w:tmpl w:val="4D4DC07F"/>
    <w:lvl w:ilvl="0" w:tentative="0">
      <w:start w:val="1"/>
      <w:numFmt w:val="decimal"/>
      <w:lvlText w:val="%1."/>
      <w:lvlJc w:val="left"/>
      <w:pPr>
        <w:ind w:left="952" w:hanging="241"/>
      </w:pPr>
      <w:rPr>
        <w:rFonts w:hint="default" w:ascii="宋体" w:hAnsi="宋体" w:eastAsia="宋体" w:cs="宋体"/>
        <w:b w:val="0"/>
        <w:bCs w:val="0"/>
        <w:i w:val="0"/>
        <w:iCs w:val="0"/>
        <w:spacing w:val="0"/>
        <w:w w:val="99"/>
        <w:sz w:val="22"/>
        <w:szCs w:val="22"/>
        <w:lang w:val="en-US" w:eastAsia="zh-CN" w:bidi="ar-SA"/>
      </w:rPr>
    </w:lvl>
    <w:lvl w:ilvl="1" w:tentative="0">
      <w:start w:val="0"/>
      <w:numFmt w:val="bullet"/>
      <w:lvlText w:val="•"/>
      <w:lvlJc w:val="left"/>
      <w:pPr>
        <w:ind w:left="1533" w:hanging="241"/>
      </w:pPr>
      <w:rPr>
        <w:rFonts w:hint="default"/>
        <w:lang w:val="en-US" w:eastAsia="zh-CN" w:bidi="ar-SA"/>
      </w:rPr>
    </w:lvl>
    <w:lvl w:ilvl="2" w:tentative="0">
      <w:start w:val="0"/>
      <w:numFmt w:val="bullet"/>
      <w:lvlText w:val="•"/>
      <w:lvlJc w:val="left"/>
      <w:pPr>
        <w:ind w:left="2107" w:hanging="241"/>
      </w:pPr>
      <w:rPr>
        <w:rFonts w:hint="default"/>
        <w:lang w:val="en-US" w:eastAsia="zh-CN" w:bidi="ar-SA"/>
      </w:rPr>
    </w:lvl>
    <w:lvl w:ilvl="3" w:tentative="0">
      <w:start w:val="0"/>
      <w:numFmt w:val="bullet"/>
      <w:lvlText w:val="•"/>
      <w:lvlJc w:val="left"/>
      <w:pPr>
        <w:ind w:left="2680" w:hanging="241"/>
      </w:pPr>
      <w:rPr>
        <w:rFonts w:hint="default"/>
        <w:lang w:val="en-US" w:eastAsia="zh-CN" w:bidi="ar-SA"/>
      </w:rPr>
    </w:lvl>
    <w:lvl w:ilvl="4" w:tentative="0">
      <w:start w:val="0"/>
      <w:numFmt w:val="bullet"/>
      <w:lvlText w:val="•"/>
      <w:lvlJc w:val="left"/>
      <w:pPr>
        <w:ind w:left="3254" w:hanging="241"/>
      </w:pPr>
      <w:rPr>
        <w:rFonts w:hint="default"/>
        <w:lang w:val="en-US" w:eastAsia="zh-CN" w:bidi="ar-SA"/>
      </w:rPr>
    </w:lvl>
    <w:lvl w:ilvl="5" w:tentative="0">
      <w:start w:val="0"/>
      <w:numFmt w:val="bullet"/>
      <w:lvlText w:val="•"/>
      <w:lvlJc w:val="left"/>
      <w:pPr>
        <w:ind w:left="3827" w:hanging="241"/>
      </w:pPr>
      <w:rPr>
        <w:rFonts w:hint="default"/>
        <w:lang w:val="en-US" w:eastAsia="zh-CN" w:bidi="ar-SA"/>
      </w:rPr>
    </w:lvl>
    <w:lvl w:ilvl="6" w:tentative="0">
      <w:start w:val="0"/>
      <w:numFmt w:val="bullet"/>
      <w:lvlText w:val="•"/>
      <w:lvlJc w:val="left"/>
      <w:pPr>
        <w:ind w:left="4401" w:hanging="241"/>
      </w:pPr>
      <w:rPr>
        <w:rFonts w:hint="default"/>
        <w:lang w:val="en-US" w:eastAsia="zh-CN" w:bidi="ar-SA"/>
      </w:rPr>
    </w:lvl>
    <w:lvl w:ilvl="7" w:tentative="0">
      <w:start w:val="0"/>
      <w:numFmt w:val="bullet"/>
      <w:lvlText w:val="•"/>
      <w:lvlJc w:val="left"/>
      <w:pPr>
        <w:ind w:left="4974" w:hanging="241"/>
      </w:pPr>
      <w:rPr>
        <w:rFonts w:hint="default"/>
        <w:lang w:val="en-US" w:eastAsia="zh-CN" w:bidi="ar-SA"/>
      </w:rPr>
    </w:lvl>
    <w:lvl w:ilvl="8" w:tentative="0">
      <w:start w:val="0"/>
      <w:numFmt w:val="bullet"/>
      <w:lvlText w:val="•"/>
      <w:lvlJc w:val="left"/>
      <w:pPr>
        <w:ind w:left="5548" w:hanging="241"/>
      </w:pPr>
      <w:rPr>
        <w:rFonts w:hint="default"/>
        <w:lang w:val="en-US" w:eastAsia="zh-CN" w:bidi="ar-SA"/>
      </w:rPr>
    </w:lvl>
  </w:abstractNum>
  <w:abstractNum w:abstractNumId="48">
    <w:nsid w:val="4D94DA66"/>
    <w:multiLevelType w:val="multilevel"/>
    <w:tmpl w:val="4D94DA66"/>
    <w:lvl w:ilvl="0" w:tentative="0">
      <w:start w:val="30"/>
      <w:numFmt w:val="decimal"/>
      <w:lvlText w:val="%1"/>
      <w:lvlJc w:val="left"/>
      <w:pPr>
        <w:ind w:left="1800" w:hanging="540"/>
      </w:pPr>
      <w:rPr>
        <w:rFonts w:hint="default"/>
        <w:lang w:val="en-US" w:eastAsia="zh-CN" w:bidi="ar-SA"/>
      </w:rPr>
    </w:lvl>
    <w:lvl w:ilvl="1" w:tentative="0">
      <w:start w:val="1"/>
      <w:numFmt w:val="decimal"/>
      <w:lvlText w:val="%1.%2"/>
      <w:lvlJc w:val="left"/>
      <w:pPr>
        <w:ind w:left="1800" w:hanging="540"/>
      </w:pPr>
      <w:rPr>
        <w:rFonts w:hint="default" w:ascii="宋体" w:hAnsi="宋体" w:eastAsia="宋体" w:cs="宋体"/>
        <w:b w:val="0"/>
        <w:bCs w:val="0"/>
        <w:i w:val="0"/>
        <w:iCs w:val="0"/>
        <w:spacing w:val="0"/>
        <w:w w:val="100"/>
        <w:sz w:val="24"/>
        <w:szCs w:val="24"/>
        <w:lang w:val="en-US" w:eastAsia="zh-CN" w:bidi="ar-SA"/>
      </w:rPr>
    </w:lvl>
    <w:lvl w:ilvl="2" w:tentative="0">
      <w:start w:val="0"/>
      <w:numFmt w:val="bullet"/>
      <w:lvlText w:val="•"/>
      <w:lvlJc w:val="left"/>
      <w:pPr>
        <w:ind w:left="3413" w:hanging="540"/>
      </w:pPr>
      <w:rPr>
        <w:rFonts w:hint="default"/>
        <w:lang w:val="en-US" w:eastAsia="zh-CN" w:bidi="ar-SA"/>
      </w:rPr>
    </w:lvl>
    <w:lvl w:ilvl="3" w:tentative="0">
      <w:start w:val="0"/>
      <w:numFmt w:val="bullet"/>
      <w:lvlText w:val="•"/>
      <w:lvlJc w:val="left"/>
      <w:pPr>
        <w:ind w:left="4219" w:hanging="540"/>
      </w:pPr>
      <w:rPr>
        <w:rFonts w:hint="default"/>
        <w:lang w:val="en-US" w:eastAsia="zh-CN" w:bidi="ar-SA"/>
      </w:rPr>
    </w:lvl>
    <w:lvl w:ilvl="4" w:tentative="0">
      <w:start w:val="0"/>
      <w:numFmt w:val="bullet"/>
      <w:lvlText w:val="•"/>
      <w:lvlJc w:val="left"/>
      <w:pPr>
        <w:ind w:left="5026" w:hanging="540"/>
      </w:pPr>
      <w:rPr>
        <w:rFonts w:hint="default"/>
        <w:lang w:val="en-US" w:eastAsia="zh-CN" w:bidi="ar-SA"/>
      </w:rPr>
    </w:lvl>
    <w:lvl w:ilvl="5" w:tentative="0">
      <w:start w:val="0"/>
      <w:numFmt w:val="bullet"/>
      <w:lvlText w:val="•"/>
      <w:lvlJc w:val="left"/>
      <w:pPr>
        <w:ind w:left="5833" w:hanging="540"/>
      </w:pPr>
      <w:rPr>
        <w:rFonts w:hint="default"/>
        <w:lang w:val="en-US" w:eastAsia="zh-CN" w:bidi="ar-SA"/>
      </w:rPr>
    </w:lvl>
    <w:lvl w:ilvl="6" w:tentative="0">
      <w:start w:val="0"/>
      <w:numFmt w:val="bullet"/>
      <w:lvlText w:val="•"/>
      <w:lvlJc w:val="left"/>
      <w:pPr>
        <w:ind w:left="6639" w:hanging="540"/>
      </w:pPr>
      <w:rPr>
        <w:rFonts w:hint="default"/>
        <w:lang w:val="en-US" w:eastAsia="zh-CN" w:bidi="ar-SA"/>
      </w:rPr>
    </w:lvl>
    <w:lvl w:ilvl="7" w:tentative="0">
      <w:start w:val="0"/>
      <w:numFmt w:val="bullet"/>
      <w:lvlText w:val="•"/>
      <w:lvlJc w:val="left"/>
      <w:pPr>
        <w:ind w:left="7446" w:hanging="540"/>
      </w:pPr>
      <w:rPr>
        <w:rFonts w:hint="default"/>
        <w:lang w:val="en-US" w:eastAsia="zh-CN" w:bidi="ar-SA"/>
      </w:rPr>
    </w:lvl>
    <w:lvl w:ilvl="8" w:tentative="0">
      <w:start w:val="0"/>
      <w:numFmt w:val="bullet"/>
      <w:lvlText w:val="•"/>
      <w:lvlJc w:val="left"/>
      <w:pPr>
        <w:ind w:left="8252" w:hanging="540"/>
      </w:pPr>
      <w:rPr>
        <w:rFonts w:hint="default"/>
        <w:lang w:val="en-US" w:eastAsia="zh-CN" w:bidi="ar-SA"/>
      </w:rPr>
    </w:lvl>
  </w:abstractNum>
  <w:abstractNum w:abstractNumId="49">
    <w:nsid w:val="58765686"/>
    <w:multiLevelType w:val="multilevel"/>
    <w:tmpl w:val="58765686"/>
    <w:lvl w:ilvl="0" w:tentative="0">
      <w:start w:val="1"/>
      <w:numFmt w:val="decimal"/>
      <w:lvlText w:val="（%1）"/>
      <w:lvlJc w:val="left"/>
      <w:pPr>
        <w:ind w:left="1861" w:hanging="601"/>
      </w:pPr>
      <w:rPr>
        <w:rFonts w:hint="default" w:ascii="宋体" w:hAnsi="宋体" w:eastAsia="宋体" w:cs="宋体"/>
        <w:b w:val="0"/>
        <w:bCs w:val="0"/>
        <w:i w:val="0"/>
        <w:iCs w:val="0"/>
        <w:spacing w:val="0"/>
        <w:w w:val="100"/>
        <w:sz w:val="22"/>
        <w:szCs w:val="22"/>
        <w:lang w:val="en-US" w:eastAsia="zh-CN" w:bidi="ar-SA"/>
      </w:rPr>
    </w:lvl>
    <w:lvl w:ilvl="1" w:tentative="0">
      <w:start w:val="0"/>
      <w:numFmt w:val="bullet"/>
      <w:lvlText w:val="•"/>
      <w:lvlJc w:val="left"/>
      <w:pPr>
        <w:ind w:left="2660" w:hanging="601"/>
      </w:pPr>
      <w:rPr>
        <w:rFonts w:hint="default"/>
        <w:lang w:val="en-US" w:eastAsia="zh-CN" w:bidi="ar-SA"/>
      </w:rPr>
    </w:lvl>
    <w:lvl w:ilvl="2" w:tentative="0">
      <w:start w:val="0"/>
      <w:numFmt w:val="bullet"/>
      <w:lvlText w:val="•"/>
      <w:lvlJc w:val="left"/>
      <w:pPr>
        <w:ind w:left="3461" w:hanging="601"/>
      </w:pPr>
      <w:rPr>
        <w:rFonts w:hint="default"/>
        <w:lang w:val="en-US" w:eastAsia="zh-CN" w:bidi="ar-SA"/>
      </w:rPr>
    </w:lvl>
    <w:lvl w:ilvl="3" w:tentative="0">
      <w:start w:val="0"/>
      <w:numFmt w:val="bullet"/>
      <w:lvlText w:val="•"/>
      <w:lvlJc w:val="left"/>
      <w:pPr>
        <w:ind w:left="4261" w:hanging="601"/>
      </w:pPr>
      <w:rPr>
        <w:rFonts w:hint="default"/>
        <w:lang w:val="en-US" w:eastAsia="zh-CN" w:bidi="ar-SA"/>
      </w:rPr>
    </w:lvl>
    <w:lvl w:ilvl="4" w:tentative="0">
      <w:start w:val="0"/>
      <w:numFmt w:val="bullet"/>
      <w:lvlText w:val="•"/>
      <w:lvlJc w:val="left"/>
      <w:pPr>
        <w:ind w:left="5062" w:hanging="601"/>
      </w:pPr>
      <w:rPr>
        <w:rFonts w:hint="default"/>
        <w:lang w:val="en-US" w:eastAsia="zh-CN" w:bidi="ar-SA"/>
      </w:rPr>
    </w:lvl>
    <w:lvl w:ilvl="5" w:tentative="0">
      <w:start w:val="0"/>
      <w:numFmt w:val="bullet"/>
      <w:lvlText w:val="•"/>
      <w:lvlJc w:val="left"/>
      <w:pPr>
        <w:ind w:left="5863" w:hanging="601"/>
      </w:pPr>
      <w:rPr>
        <w:rFonts w:hint="default"/>
        <w:lang w:val="en-US" w:eastAsia="zh-CN" w:bidi="ar-SA"/>
      </w:rPr>
    </w:lvl>
    <w:lvl w:ilvl="6" w:tentative="0">
      <w:start w:val="0"/>
      <w:numFmt w:val="bullet"/>
      <w:lvlText w:val="•"/>
      <w:lvlJc w:val="left"/>
      <w:pPr>
        <w:ind w:left="6663" w:hanging="601"/>
      </w:pPr>
      <w:rPr>
        <w:rFonts w:hint="default"/>
        <w:lang w:val="en-US" w:eastAsia="zh-CN" w:bidi="ar-SA"/>
      </w:rPr>
    </w:lvl>
    <w:lvl w:ilvl="7" w:tentative="0">
      <w:start w:val="0"/>
      <w:numFmt w:val="bullet"/>
      <w:lvlText w:val="•"/>
      <w:lvlJc w:val="left"/>
      <w:pPr>
        <w:ind w:left="7464" w:hanging="601"/>
      </w:pPr>
      <w:rPr>
        <w:rFonts w:hint="default"/>
        <w:lang w:val="en-US" w:eastAsia="zh-CN" w:bidi="ar-SA"/>
      </w:rPr>
    </w:lvl>
    <w:lvl w:ilvl="8" w:tentative="0">
      <w:start w:val="0"/>
      <w:numFmt w:val="bullet"/>
      <w:lvlText w:val="•"/>
      <w:lvlJc w:val="left"/>
      <w:pPr>
        <w:ind w:left="8264" w:hanging="601"/>
      </w:pPr>
      <w:rPr>
        <w:rFonts w:hint="default"/>
        <w:lang w:val="en-US" w:eastAsia="zh-CN" w:bidi="ar-SA"/>
      </w:rPr>
    </w:lvl>
  </w:abstractNum>
  <w:abstractNum w:abstractNumId="50">
    <w:nsid w:val="5D67A1EC"/>
    <w:multiLevelType w:val="multilevel"/>
    <w:tmpl w:val="5D67A1EC"/>
    <w:lvl w:ilvl="0" w:tentative="0">
      <w:start w:val="1"/>
      <w:numFmt w:val="decimal"/>
      <w:lvlText w:val="%1."/>
      <w:lvlJc w:val="left"/>
      <w:pPr>
        <w:ind w:left="241" w:hanging="241"/>
      </w:pPr>
      <w:rPr>
        <w:rFonts w:hint="default" w:ascii="宋体" w:hAnsi="宋体" w:eastAsia="宋体" w:cs="宋体"/>
        <w:b w:val="0"/>
        <w:bCs w:val="0"/>
        <w:i w:val="0"/>
        <w:iCs w:val="0"/>
        <w:spacing w:val="0"/>
        <w:w w:val="99"/>
        <w:sz w:val="22"/>
        <w:szCs w:val="22"/>
        <w:lang w:val="en-US" w:eastAsia="zh-CN" w:bidi="ar-SA"/>
      </w:rPr>
    </w:lvl>
    <w:lvl w:ilvl="1" w:tentative="0">
      <w:start w:val="0"/>
      <w:numFmt w:val="bullet"/>
      <w:lvlText w:val="•"/>
      <w:lvlJc w:val="left"/>
      <w:pPr>
        <w:ind w:left="882" w:hanging="241"/>
      </w:pPr>
      <w:rPr>
        <w:rFonts w:hint="default"/>
        <w:lang w:val="en-US" w:eastAsia="zh-CN" w:bidi="ar-SA"/>
      </w:rPr>
    </w:lvl>
    <w:lvl w:ilvl="2" w:tentative="0">
      <w:start w:val="0"/>
      <w:numFmt w:val="bullet"/>
      <w:lvlText w:val="•"/>
      <w:lvlJc w:val="left"/>
      <w:pPr>
        <w:ind w:left="1516" w:hanging="241"/>
      </w:pPr>
      <w:rPr>
        <w:rFonts w:hint="default"/>
        <w:lang w:val="en-US" w:eastAsia="zh-CN" w:bidi="ar-SA"/>
      </w:rPr>
    </w:lvl>
    <w:lvl w:ilvl="3" w:tentative="0">
      <w:start w:val="0"/>
      <w:numFmt w:val="bullet"/>
      <w:lvlText w:val="•"/>
      <w:lvlJc w:val="left"/>
      <w:pPr>
        <w:ind w:left="2149" w:hanging="241"/>
      </w:pPr>
      <w:rPr>
        <w:rFonts w:hint="default"/>
        <w:lang w:val="en-US" w:eastAsia="zh-CN" w:bidi="ar-SA"/>
      </w:rPr>
    </w:lvl>
    <w:lvl w:ilvl="4" w:tentative="0">
      <w:start w:val="0"/>
      <w:numFmt w:val="bullet"/>
      <w:lvlText w:val="•"/>
      <w:lvlJc w:val="left"/>
      <w:pPr>
        <w:ind w:left="2783" w:hanging="241"/>
      </w:pPr>
      <w:rPr>
        <w:rFonts w:hint="default"/>
        <w:lang w:val="en-US" w:eastAsia="zh-CN" w:bidi="ar-SA"/>
      </w:rPr>
    </w:lvl>
    <w:lvl w:ilvl="5" w:tentative="0">
      <w:start w:val="0"/>
      <w:numFmt w:val="bullet"/>
      <w:lvlText w:val="•"/>
      <w:lvlJc w:val="left"/>
      <w:pPr>
        <w:ind w:left="3416" w:hanging="241"/>
      </w:pPr>
      <w:rPr>
        <w:rFonts w:hint="default"/>
        <w:lang w:val="en-US" w:eastAsia="zh-CN" w:bidi="ar-SA"/>
      </w:rPr>
    </w:lvl>
    <w:lvl w:ilvl="6" w:tentative="0">
      <w:start w:val="0"/>
      <w:numFmt w:val="bullet"/>
      <w:lvlText w:val="•"/>
      <w:lvlJc w:val="left"/>
      <w:pPr>
        <w:ind w:left="4050" w:hanging="241"/>
      </w:pPr>
      <w:rPr>
        <w:rFonts w:hint="default"/>
        <w:lang w:val="en-US" w:eastAsia="zh-CN" w:bidi="ar-SA"/>
      </w:rPr>
    </w:lvl>
    <w:lvl w:ilvl="7" w:tentative="0">
      <w:start w:val="0"/>
      <w:numFmt w:val="bullet"/>
      <w:lvlText w:val="•"/>
      <w:lvlJc w:val="left"/>
      <w:pPr>
        <w:ind w:left="4683" w:hanging="241"/>
      </w:pPr>
      <w:rPr>
        <w:rFonts w:hint="default"/>
        <w:lang w:val="en-US" w:eastAsia="zh-CN" w:bidi="ar-SA"/>
      </w:rPr>
    </w:lvl>
    <w:lvl w:ilvl="8" w:tentative="0">
      <w:start w:val="0"/>
      <w:numFmt w:val="bullet"/>
      <w:lvlText w:val="•"/>
      <w:lvlJc w:val="left"/>
      <w:pPr>
        <w:ind w:left="5317" w:hanging="241"/>
      </w:pPr>
      <w:rPr>
        <w:rFonts w:hint="default"/>
        <w:lang w:val="en-US" w:eastAsia="zh-CN" w:bidi="ar-SA"/>
      </w:rPr>
    </w:lvl>
  </w:abstractNum>
  <w:abstractNum w:abstractNumId="51">
    <w:nsid w:val="5E29AB5A"/>
    <w:multiLevelType w:val="multilevel"/>
    <w:tmpl w:val="5E29AB5A"/>
    <w:lvl w:ilvl="0" w:tentative="0">
      <w:start w:val="37"/>
      <w:numFmt w:val="decimal"/>
      <w:lvlText w:val="%1"/>
      <w:lvlJc w:val="left"/>
      <w:pPr>
        <w:ind w:left="1800" w:hanging="540"/>
      </w:pPr>
      <w:rPr>
        <w:rFonts w:hint="default"/>
        <w:lang w:val="en-US" w:eastAsia="zh-CN" w:bidi="ar-SA"/>
      </w:rPr>
    </w:lvl>
    <w:lvl w:ilvl="1" w:tentative="0">
      <w:start w:val="1"/>
      <w:numFmt w:val="decimal"/>
      <w:lvlText w:val="%1.%2"/>
      <w:lvlJc w:val="left"/>
      <w:pPr>
        <w:ind w:left="1800" w:hanging="540"/>
      </w:pPr>
      <w:rPr>
        <w:rFonts w:hint="default" w:ascii="宋体" w:hAnsi="宋体" w:eastAsia="宋体" w:cs="宋体"/>
        <w:b w:val="0"/>
        <w:bCs w:val="0"/>
        <w:i w:val="0"/>
        <w:iCs w:val="0"/>
        <w:spacing w:val="0"/>
        <w:w w:val="100"/>
        <w:sz w:val="24"/>
        <w:szCs w:val="24"/>
        <w:lang w:val="en-US" w:eastAsia="zh-CN" w:bidi="ar-SA"/>
      </w:rPr>
    </w:lvl>
    <w:lvl w:ilvl="2" w:tentative="0">
      <w:start w:val="0"/>
      <w:numFmt w:val="bullet"/>
      <w:lvlText w:val="•"/>
      <w:lvlJc w:val="left"/>
      <w:pPr>
        <w:ind w:left="3413" w:hanging="540"/>
      </w:pPr>
      <w:rPr>
        <w:rFonts w:hint="default"/>
        <w:lang w:val="en-US" w:eastAsia="zh-CN" w:bidi="ar-SA"/>
      </w:rPr>
    </w:lvl>
    <w:lvl w:ilvl="3" w:tentative="0">
      <w:start w:val="0"/>
      <w:numFmt w:val="bullet"/>
      <w:lvlText w:val="•"/>
      <w:lvlJc w:val="left"/>
      <w:pPr>
        <w:ind w:left="4219" w:hanging="540"/>
      </w:pPr>
      <w:rPr>
        <w:rFonts w:hint="default"/>
        <w:lang w:val="en-US" w:eastAsia="zh-CN" w:bidi="ar-SA"/>
      </w:rPr>
    </w:lvl>
    <w:lvl w:ilvl="4" w:tentative="0">
      <w:start w:val="0"/>
      <w:numFmt w:val="bullet"/>
      <w:lvlText w:val="•"/>
      <w:lvlJc w:val="left"/>
      <w:pPr>
        <w:ind w:left="5026" w:hanging="540"/>
      </w:pPr>
      <w:rPr>
        <w:rFonts w:hint="default"/>
        <w:lang w:val="en-US" w:eastAsia="zh-CN" w:bidi="ar-SA"/>
      </w:rPr>
    </w:lvl>
    <w:lvl w:ilvl="5" w:tentative="0">
      <w:start w:val="0"/>
      <w:numFmt w:val="bullet"/>
      <w:lvlText w:val="•"/>
      <w:lvlJc w:val="left"/>
      <w:pPr>
        <w:ind w:left="5833" w:hanging="540"/>
      </w:pPr>
      <w:rPr>
        <w:rFonts w:hint="default"/>
        <w:lang w:val="en-US" w:eastAsia="zh-CN" w:bidi="ar-SA"/>
      </w:rPr>
    </w:lvl>
    <w:lvl w:ilvl="6" w:tentative="0">
      <w:start w:val="0"/>
      <w:numFmt w:val="bullet"/>
      <w:lvlText w:val="•"/>
      <w:lvlJc w:val="left"/>
      <w:pPr>
        <w:ind w:left="6639" w:hanging="540"/>
      </w:pPr>
      <w:rPr>
        <w:rFonts w:hint="default"/>
        <w:lang w:val="en-US" w:eastAsia="zh-CN" w:bidi="ar-SA"/>
      </w:rPr>
    </w:lvl>
    <w:lvl w:ilvl="7" w:tentative="0">
      <w:start w:val="0"/>
      <w:numFmt w:val="bullet"/>
      <w:lvlText w:val="•"/>
      <w:lvlJc w:val="left"/>
      <w:pPr>
        <w:ind w:left="7446" w:hanging="540"/>
      </w:pPr>
      <w:rPr>
        <w:rFonts w:hint="default"/>
        <w:lang w:val="en-US" w:eastAsia="zh-CN" w:bidi="ar-SA"/>
      </w:rPr>
    </w:lvl>
    <w:lvl w:ilvl="8" w:tentative="0">
      <w:start w:val="0"/>
      <w:numFmt w:val="bullet"/>
      <w:lvlText w:val="•"/>
      <w:lvlJc w:val="left"/>
      <w:pPr>
        <w:ind w:left="8252" w:hanging="540"/>
      </w:pPr>
      <w:rPr>
        <w:rFonts w:hint="default"/>
        <w:lang w:val="en-US" w:eastAsia="zh-CN" w:bidi="ar-SA"/>
      </w:rPr>
    </w:lvl>
  </w:abstractNum>
  <w:abstractNum w:abstractNumId="52">
    <w:nsid w:val="5FFFB1A7"/>
    <w:multiLevelType w:val="multilevel"/>
    <w:tmpl w:val="5FFFB1A7"/>
    <w:lvl w:ilvl="0" w:tentative="0">
      <w:start w:val="40"/>
      <w:numFmt w:val="decimal"/>
      <w:lvlText w:val="%1."/>
      <w:lvlJc w:val="left"/>
      <w:pPr>
        <w:ind w:left="1143" w:hanging="364"/>
      </w:pPr>
      <w:rPr>
        <w:rFonts w:hint="default" w:ascii="宋体" w:hAnsi="宋体" w:eastAsia="宋体" w:cs="宋体"/>
        <w:b/>
        <w:bCs/>
        <w:i w:val="0"/>
        <w:iCs w:val="0"/>
        <w:spacing w:val="0"/>
        <w:w w:val="99"/>
        <w:sz w:val="22"/>
        <w:szCs w:val="22"/>
        <w:lang w:val="en-US" w:eastAsia="zh-CN" w:bidi="ar-SA"/>
      </w:rPr>
    </w:lvl>
    <w:lvl w:ilvl="1" w:tentative="0">
      <w:start w:val="1"/>
      <w:numFmt w:val="decimal"/>
      <w:lvlText w:val="%1.%2"/>
      <w:lvlJc w:val="left"/>
      <w:pPr>
        <w:ind w:left="780" w:hanging="540"/>
      </w:pPr>
      <w:rPr>
        <w:rFonts w:hint="default" w:ascii="宋体" w:hAnsi="宋体" w:eastAsia="宋体" w:cs="宋体"/>
        <w:b w:val="0"/>
        <w:bCs w:val="0"/>
        <w:i w:val="0"/>
        <w:iCs w:val="0"/>
        <w:spacing w:val="0"/>
        <w:w w:val="100"/>
        <w:sz w:val="24"/>
        <w:szCs w:val="24"/>
        <w:lang w:val="en-US" w:eastAsia="zh-CN" w:bidi="ar-SA"/>
      </w:rPr>
    </w:lvl>
    <w:lvl w:ilvl="2" w:tentative="0">
      <w:start w:val="0"/>
      <w:numFmt w:val="bullet"/>
      <w:lvlText w:val="•"/>
      <w:lvlJc w:val="left"/>
      <w:pPr>
        <w:ind w:left="2109" w:hanging="540"/>
      </w:pPr>
      <w:rPr>
        <w:rFonts w:hint="default"/>
        <w:lang w:val="en-US" w:eastAsia="zh-CN" w:bidi="ar-SA"/>
      </w:rPr>
    </w:lvl>
    <w:lvl w:ilvl="3" w:tentative="0">
      <w:start w:val="0"/>
      <w:numFmt w:val="bullet"/>
      <w:lvlText w:val="•"/>
      <w:lvlJc w:val="left"/>
      <w:pPr>
        <w:ind w:left="3079" w:hanging="540"/>
      </w:pPr>
      <w:rPr>
        <w:rFonts w:hint="default"/>
        <w:lang w:val="en-US" w:eastAsia="zh-CN" w:bidi="ar-SA"/>
      </w:rPr>
    </w:lvl>
    <w:lvl w:ilvl="4" w:tentative="0">
      <w:start w:val="0"/>
      <w:numFmt w:val="bullet"/>
      <w:lvlText w:val="•"/>
      <w:lvlJc w:val="left"/>
      <w:pPr>
        <w:ind w:left="4048" w:hanging="540"/>
      </w:pPr>
      <w:rPr>
        <w:rFonts w:hint="default"/>
        <w:lang w:val="en-US" w:eastAsia="zh-CN" w:bidi="ar-SA"/>
      </w:rPr>
    </w:lvl>
    <w:lvl w:ilvl="5" w:tentative="0">
      <w:start w:val="0"/>
      <w:numFmt w:val="bullet"/>
      <w:lvlText w:val="•"/>
      <w:lvlJc w:val="left"/>
      <w:pPr>
        <w:ind w:left="5018" w:hanging="540"/>
      </w:pPr>
      <w:rPr>
        <w:rFonts w:hint="default"/>
        <w:lang w:val="en-US" w:eastAsia="zh-CN" w:bidi="ar-SA"/>
      </w:rPr>
    </w:lvl>
    <w:lvl w:ilvl="6" w:tentative="0">
      <w:start w:val="0"/>
      <w:numFmt w:val="bullet"/>
      <w:lvlText w:val="•"/>
      <w:lvlJc w:val="left"/>
      <w:pPr>
        <w:ind w:left="5987" w:hanging="540"/>
      </w:pPr>
      <w:rPr>
        <w:rFonts w:hint="default"/>
        <w:lang w:val="en-US" w:eastAsia="zh-CN" w:bidi="ar-SA"/>
      </w:rPr>
    </w:lvl>
    <w:lvl w:ilvl="7" w:tentative="0">
      <w:start w:val="0"/>
      <w:numFmt w:val="bullet"/>
      <w:lvlText w:val="•"/>
      <w:lvlJc w:val="left"/>
      <w:pPr>
        <w:ind w:left="6957" w:hanging="540"/>
      </w:pPr>
      <w:rPr>
        <w:rFonts w:hint="default"/>
        <w:lang w:val="en-US" w:eastAsia="zh-CN" w:bidi="ar-SA"/>
      </w:rPr>
    </w:lvl>
    <w:lvl w:ilvl="8" w:tentative="0">
      <w:start w:val="0"/>
      <w:numFmt w:val="bullet"/>
      <w:lvlText w:val="•"/>
      <w:lvlJc w:val="left"/>
      <w:pPr>
        <w:ind w:left="7926" w:hanging="540"/>
      </w:pPr>
      <w:rPr>
        <w:rFonts w:hint="default"/>
        <w:lang w:val="en-US" w:eastAsia="zh-CN" w:bidi="ar-SA"/>
      </w:rPr>
    </w:lvl>
  </w:abstractNum>
  <w:abstractNum w:abstractNumId="53">
    <w:nsid w:val="60382F6E"/>
    <w:multiLevelType w:val="multilevel"/>
    <w:tmpl w:val="60382F6E"/>
    <w:lvl w:ilvl="0" w:tentative="0">
      <w:start w:val="13"/>
      <w:numFmt w:val="decimal"/>
      <w:lvlText w:val="%1"/>
      <w:lvlJc w:val="left"/>
      <w:pPr>
        <w:ind w:left="780" w:hanging="540"/>
      </w:pPr>
      <w:rPr>
        <w:rFonts w:hint="default"/>
        <w:lang w:val="en-US" w:eastAsia="zh-CN" w:bidi="ar-SA"/>
      </w:rPr>
    </w:lvl>
    <w:lvl w:ilvl="1" w:tentative="0">
      <w:start w:val="1"/>
      <w:numFmt w:val="decimal"/>
      <w:lvlText w:val="%1.%2"/>
      <w:lvlJc w:val="left"/>
      <w:pPr>
        <w:ind w:left="780" w:hanging="540"/>
      </w:pPr>
      <w:rPr>
        <w:rFonts w:hint="default" w:ascii="宋体" w:hAnsi="宋体" w:eastAsia="宋体" w:cs="宋体"/>
        <w:b w:val="0"/>
        <w:bCs w:val="0"/>
        <w:i w:val="0"/>
        <w:iCs w:val="0"/>
        <w:spacing w:val="0"/>
        <w:w w:val="100"/>
        <w:sz w:val="24"/>
        <w:szCs w:val="24"/>
        <w:lang w:val="en-US" w:eastAsia="zh-CN" w:bidi="ar-SA"/>
      </w:rPr>
    </w:lvl>
    <w:lvl w:ilvl="2" w:tentative="0">
      <w:start w:val="0"/>
      <w:numFmt w:val="bullet"/>
      <w:lvlText w:val="•"/>
      <w:lvlJc w:val="left"/>
      <w:pPr>
        <w:ind w:left="2597" w:hanging="540"/>
      </w:pPr>
      <w:rPr>
        <w:rFonts w:hint="default"/>
        <w:lang w:val="en-US" w:eastAsia="zh-CN" w:bidi="ar-SA"/>
      </w:rPr>
    </w:lvl>
    <w:lvl w:ilvl="3" w:tentative="0">
      <w:start w:val="0"/>
      <w:numFmt w:val="bullet"/>
      <w:lvlText w:val="•"/>
      <w:lvlJc w:val="left"/>
      <w:pPr>
        <w:ind w:left="3505" w:hanging="540"/>
      </w:pPr>
      <w:rPr>
        <w:rFonts w:hint="default"/>
        <w:lang w:val="en-US" w:eastAsia="zh-CN" w:bidi="ar-SA"/>
      </w:rPr>
    </w:lvl>
    <w:lvl w:ilvl="4" w:tentative="0">
      <w:start w:val="0"/>
      <w:numFmt w:val="bullet"/>
      <w:lvlText w:val="•"/>
      <w:lvlJc w:val="left"/>
      <w:pPr>
        <w:ind w:left="4414" w:hanging="540"/>
      </w:pPr>
      <w:rPr>
        <w:rFonts w:hint="default"/>
        <w:lang w:val="en-US" w:eastAsia="zh-CN" w:bidi="ar-SA"/>
      </w:rPr>
    </w:lvl>
    <w:lvl w:ilvl="5" w:tentative="0">
      <w:start w:val="0"/>
      <w:numFmt w:val="bullet"/>
      <w:lvlText w:val="•"/>
      <w:lvlJc w:val="left"/>
      <w:pPr>
        <w:ind w:left="5323" w:hanging="540"/>
      </w:pPr>
      <w:rPr>
        <w:rFonts w:hint="default"/>
        <w:lang w:val="en-US" w:eastAsia="zh-CN" w:bidi="ar-SA"/>
      </w:rPr>
    </w:lvl>
    <w:lvl w:ilvl="6" w:tentative="0">
      <w:start w:val="0"/>
      <w:numFmt w:val="bullet"/>
      <w:lvlText w:val="•"/>
      <w:lvlJc w:val="left"/>
      <w:pPr>
        <w:ind w:left="6231" w:hanging="540"/>
      </w:pPr>
      <w:rPr>
        <w:rFonts w:hint="default"/>
        <w:lang w:val="en-US" w:eastAsia="zh-CN" w:bidi="ar-SA"/>
      </w:rPr>
    </w:lvl>
    <w:lvl w:ilvl="7" w:tentative="0">
      <w:start w:val="0"/>
      <w:numFmt w:val="bullet"/>
      <w:lvlText w:val="•"/>
      <w:lvlJc w:val="left"/>
      <w:pPr>
        <w:ind w:left="7140" w:hanging="540"/>
      </w:pPr>
      <w:rPr>
        <w:rFonts w:hint="default"/>
        <w:lang w:val="en-US" w:eastAsia="zh-CN" w:bidi="ar-SA"/>
      </w:rPr>
    </w:lvl>
    <w:lvl w:ilvl="8" w:tentative="0">
      <w:start w:val="0"/>
      <w:numFmt w:val="bullet"/>
      <w:lvlText w:val="•"/>
      <w:lvlJc w:val="left"/>
      <w:pPr>
        <w:ind w:left="8048" w:hanging="540"/>
      </w:pPr>
      <w:rPr>
        <w:rFonts w:hint="default"/>
        <w:lang w:val="en-US" w:eastAsia="zh-CN" w:bidi="ar-SA"/>
      </w:rPr>
    </w:lvl>
  </w:abstractNum>
  <w:abstractNum w:abstractNumId="54">
    <w:nsid w:val="629F7852"/>
    <w:multiLevelType w:val="multilevel"/>
    <w:tmpl w:val="629F7852"/>
    <w:lvl w:ilvl="0" w:tentative="0">
      <w:start w:val="1"/>
      <w:numFmt w:val="decimal"/>
      <w:lvlText w:val="（%1）"/>
      <w:lvlJc w:val="left"/>
      <w:pPr>
        <w:ind w:left="1779" w:hanging="601"/>
        <w:jc w:val="right"/>
      </w:pPr>
      <w:rPr>
        <w:rFonts w:hint="default" w:ascii="宋体" w:hAnsi="宋体" w:eastAsia="宋体" w:cs="宋体"/>
        <w:b w:val="0"/>
        <w:bCs w:val="0"/>
        <w:i w:val="0"/>
        <w:iCs w:val="0"/>
        <w:spacing w:val="0"/>
        <w:w w:val="100"/>
        <w:sz w:val="22"/>
        <w:szCs w:val="22"/>
        <w:lang w:val="en-US" w:eastAsia="zh-CN" w:bidi="ar-SA"/>
      </w:rPr>
    </w:lvl>
    <w:lvl w:ilvl="1" w:tentative="0">
      <w:start w:val="0"/>
      <w:numFmt w:val="bullet"/>
      <w:lvlText w:val="•"/>
      <w:lvlJc w:val="left"/>
      <w:pPr>
        <w:ind w:left="2588" w:hanging="601"/>
      </w:pPr>
      <w:rPr>
        <w:rFonts w:hint="default"/>
        <w:lang w:val="en-US" w:eastAsia="zh-CN" w:bidi="ar-SA"/>
      </w:rPr>
    </w:lvl>
    <w:lvl w:ilvl="2" w:tentative="0">
      <w:start w:val="0"/>
      <w:numFmt w:val="bullet"/>
      <w:lvlText w:val="•"/>
      <w:lvlJc w:val="left"/>
      <w:pPr>
        <w:ind w:left="3397" w:hanging="601"/>
      </w:pPr>
      <w:rPr>
        <w:rFonts w:hint="default"/>
        <w:lang w:val="en-US" w:eastAsia="zh-CN" w:bidi="ar-SA"/>
      </w:rPr>
    </w:lvl>
    <w:lvl w:ilvl="3" w:tentative="0">
      <w:start w:val="0"/>
      <w:numFmt w:val="bullet"/>
      <w:lvlText w:val="•"/>
      <w:lvlJc w:val="left"/>
      <w:pPr>
        <w:ind w:left="4205" w:hanging="601"/>
      </w:pPr>
      <w:rPr>
        <w:rFonts w:hint="default"/>
        <w:lang w:val="en-US" w:eastAsia="zh-CN" w:bidi="ar-SA"/>
      </w:rPr>
    </w:lvl>
    <w:lvl w:ilvl="4" w:tentative="0">
      <w:start w:val="0"/>
      <w:numFmt w:val="bullet"/>
      <w:lvlText w:val="•"/>
      <w:lvlJc w:val="left"/>
      <w:pPr>
        <w:ind w:left="5014" w:hanging="601"/>
      </w:pPr>
      <w:rPr>
        <w:rFonts w:hint="default"/>
        <w:lang w:val="en-US" w:eastAsia="zh-CN" w:bidi="ar-SA"/>
      </w:rPr>
    </w:lvl>
    <w:lvl w:ilvl="5" w:tentative="0">
      <w:start w:val="0"/>
      <w:numFmt w:val="bullet"/>
      <w:lvlText w:val="•"/>
      <w:lvlJc w:val="left"/>
      <w:pPr>
        <w:ind w:left="5823" w:hanging="601"/>
      </w:pPr>
      <w:rPr>
        <w:rFonts w:hint="default"/>
        <w:lang w:val="en-US" w:eastAsia="zh-CN" w:bidi="ar-SA"/>
      </w:rPr>
    </w:lvl>
    <w:lvl w:ilvl="6" w:tentative="0">
      <w:start w:val="0"/>
      <w:numFmt w:val="bullet"/>
      <w:lvlText w:val="•"/>
      <w:lvlJc w:val="left"/>
      <w:pPr>
        <w:ind w:left="6631" w:hanging="601"/>
      </w:pPr>
      <w:rPr>
        <w:rFonts w:hint="default"/>
        <w:lang w:val="en-US" w:eastAsia="zh-CN" w:bidi="ar-SA"/>
      </w:rPr>
    </w:lvl>
    <w:lvl w:ilvl="7" w:tentative="0">
      <w:start w:val="0"/>
      <w:numFmt w:val="bullet"/>
      <w:lvlText w:val="•"/>
      <w:lvlJc w:val="left"/>
      <w:pPr>
        <w:ind w:left="7440" w:hanging="601"/>
      </w:pPr>
      <w:rPr>
        <w:rFonts w:hint="default"/>
        <w:lang w:val="en-US" w:eastAsia="zh-CN" w:bidi="ar-SA"/>
      </w:rPr>
    </w:lvl>
    <w:lvl w:ilvl="8" w:tentative="0">
      <w:start w:val="0"/>
      <w:numFmt w:val="bullet"/>
      <w:lvlText w:val="•"/>
      <w:lvlJc w:val="left"/>
      <w:pPr>
        <w:ind w:left="8248" w:hanging="601"/>
      </w:pPr>
      <w:rPr>
        <w:rFonts w:hint="default"/>
        <w:lang w:val="en-US" w:eastAsia="zh-CN" w:bidi="ar-SA"/>
      </w:rPr>
    </w:lvl>
  </w:abstractNum>
  <w:abstractNum w:abstractNumId="55">
    <w:nsid w:val="700FDCEF"/>
    <w:multiLevelType w:val="multilevel"/>
    <w:tmpl w:val="700FDCEF"/>
    <w:lvl w:ilvl="0" w:tentative="0">
      <w:start w:val="1"/>
      <w:numFmt w:val="decimal"/>
      <w:lvlText w:val="%1）"/>
      <w:lvlJc w:val="left"/>
      <w:pPr>
        <w:ind w:left="1621" w:hanging="361"/>
      </w:pPr>
      <w:rPr>
        <w:rFonts w:hint="default" w:ascii="宋体" w:hAnsi="宋体" w:eastAsia="宋体" w:cs="宋体"/>
        <w:b w:val="0"/>
        <w:bCs w:val="0"/>
        <w:i w:val="0"/>
        <w:iCs w:val="0"/>
        <w:spacing w:val="0"/>
        <w:w w:val="100"/>
        <w:sz w:val="22"/>
        <w:szCs w:val="22"/>
        <w:lang w:val="en-US" w:eastAsia="zh-CN" w:bidi="ar-SA"/>
      </w:rPr>
    </w:lvl>
    <w:lvl w:ilvl="1" w:tentative="0">
      <w:start w:val="1"/>
      <w:numFmt w:val="decimal"/>
      <w:lvlText w:val="%1.%2"/>
      <w:lvlJc w:val="left"/>
      <w:pPr>
        <w:ind w:left="1680" w:hanging="420"/>
      </w:pPr>
      <w:rPr>
        <w:rFonts w:hint="default" w:ascii="宋体" w:hAnsi="宋体" w:eastAsia="宋体" w:cs="宋体"/>
        <w:b w:val="0"/>
        <w:bCs w:val="0"/>
        <w:i w:val="0"/>
        <w:iCs w:val="0"/>
        <w:spacing w:val="0"/>
        <w:w w:val="100"/>
        <w:sz w:val="24"/>
        <w:szCs w:val="24"/>
        <w:lang w:val="en-US" w:eastAsia="zh-CN" w:bidi="ar-SA"/>
      </w:rPr>
    </w:lvl>
    <w:lvl w:ilvl="2" w:tentative="0">
      <w:start w:val="0"/>
      <w:numFmt w:val="bullet"/>
      <w:lvlText w:val="•"/>
      <w:lvlJc w:val="left"/>
      <w:pPr>
        <w:ind w:left="2589" w:hanging="420"/>
      </w:pPr>
      <w:rPr>
        <w:rFonts w:hint="default"/>
        <w:lang w:val="en-US" w:eastAsia="zh-CN" w:bidi="ar-SA"/>
      </w:rPr>
    </w:lvl>
    <w:lvl w:ilvl="3" w:tentative="0">
      <w:start w:val="0"/>
      <w:numFmt w:val="bullet"/>
      <w:lvlText w:val="•"/>
      <w:lvlJc w:val="left"/>
      <w:pPr>
        <w:ind w:left="3499" w:hanging="420"/>
      </w:pPr>
      <w:rPr>
        <w:rFonts w:hint="default"/>
        <w:lang w:val="en-US" w:eastAsia="zh-CN" w:bidi="ar-SA"/>
      </w:rPr>
    </w:lvl>
    <w:lvl w:ilvl="4" w:tentative="0">
      <w:start w:val="0"/>
      <w:numFmt w:val="bullet"/>
      <w:lvlText w:val="•"/>
      <w:lvlJc w:val="left"/>
      <w:pPr>
        <w:ind w:left="4408" w:hanging="420"/>
      </w:pPr>
      <w:rPr>
        <w:rFonts w:hint="default"/>
        <w:lang w:val="en-US" w:eastAsia="zh-CN" w:bidi="ar-SA"/>
      </w:rPr>
    </w:lvl>
    <w:lvl w:ilvl="5" w:tentative="0">
      <w:start w:val="0"/>
      <w:numFmt w:val="bullet"/>
      <w:lvlText w:val="•"/>
      <w:lvlJc w:val="left"/>
      <w:pPr>
        <w:ind w:left="5318" w:hanging="420"/>
      </w:pPr>
      <w:rPr>
        <w:rFonts w:hint="default"/>
        <w:lang w:val="en-US" w:eastAsia="zh-CN" w:bidi="ar-SA"/>
      </w:rPr>
    </w:lvl>
    <w:lvl w:ilvl="6" w:tentative="0">
      <w:start w:val="0"/>
      <w:numFmt w:val="bullet"/>
      <w:lvlText w:val="•"/>
      <w:lvlJc w:val="left"/>
      <w:pPr>
        <w:ind w:left="6227" w:hanging="420"/>
      </w:pPr>
      <w:rPr>
        <w:rFonts w:hint="default"/>
        <w:lang w:val="en-US" w:eastAsia="zh-CN" w:bidi="ar-SA"/>
      </w:rPr>
    </w:lvl>
    <w:lvl w:ilvl="7" w:tentative="0">
      <w:start w:val="0"/>
      <w:numFmt w:val="bullet"/>
      <w:lvlText w:val="•"/>
      <w:lvlJc w:val="left"/>
      <w:pPr>
        <w:ind w:left="7137" w:hanging="420"/>
      </w:pPr>
      <w:rPr>
        <w:rFonts w:hint="default"/>
        <w:lang w:val="en-US" w:eastAsia="zh-CN" w:bidi="ar-SA"/>
      </w:rPr>
    </w:lvl>
    <w:lvl w:ilvl="8" w:tentative="0">
      <w:start w:val="0"/>
      <w:numFmt w:val="bullet"/>
      <w:lvlText w:val="•"/>
      <w:lvlJc w:val="left"/>
      <w:pPr>
        <w:ind w:left="8046" w:hanging="420"/>
      </w:pPr>
      <w:rPr>
        <w:rFonts w:hint="default"/>
        <w:lang w:val="en-US" w:eastAsia="zh-CN" w:bidi="ar-SA"/>
      </w:rPr>
    </w:lvl>
  </w:abstractNum>
  <w:abstractNum w:abstractNumId="56">
    <w:nsid w:val="71F29E44"/>
    <w:multiLevelType w:val="singleLevel"/>
    <w:tmpl w:val="71F29E44"/>
    <w:lvl w:ilvl="0" w:tentative="0">
      <w:start w:val="6"/>
      <w:numFmt w:val="chineseCounting"/>
      <w:suff w:val="nothing"/>
      <w:lvlText w:val="%1、"/>
      <w:lvlJc w:val="left"/>
      <w:rPr>
        <w:rFonts w:hint="eastAsia"/>
      </w:rPr>
    </w:lvl>
  </w:abstractNum>
  <w:abstractNum w:abstractNumId="57">
    <w:nsid w:val="72183CF9"/>
    <w:multiLevelType w:val="multilevel"/>
    <w:tmpl w:val="72183CF9"/>
    <w:lvl w:ilvl="0" w:tentative="0">
      <w:start w:val="1"/>
      <w:numFmt w:val="decimal"/>
      <w:lvlText w:val="%1."/>
      <w:lvlJc w:val="left"/>
      <w:pPr>
        <w:ind w:left="1260" w:hanging="241"/>
        <w:jc w:val="right"/>
      </w:pPr>
      <w:rPr>
        <w:rFonts w:hint="default"/>
        <w:spacing w:val="0"/>
        <w:w w:val="90"/>
        <w:lang w:val="en-US" w:eastAsia="zh-CN" w:bidi="ar-SA"/>
      </w:rPr>
    </w:lvl>
    <w:lvl w:ilvl="1" w:tentative="0">
      <w:start w:val="1"/>
      <w:numFmt w:val="decimal"/>
      <w:lvlText w:val="%1.%2"/>
      <w:lvlJc w:val="left"/>
      <w:pPr>
        <w:ind w:left="1680" w:hanging="420"/>
      </w:pPr>
      <w:rPr>
        <w:rFonts w:hint="default" w:ascii="宋体" w:hAnsi="宋体" w:eastAsia="宋体" w:cs="宋体"/>
        <w:b w:val="0"/>
        <w:bCs w:val="0"/>
        <w:i w:val="0"/>
        <w:iCs w:val="0"/>
        <w:spacing w:val="0"/>
        <w:w w:val="94"/>
        <w:sz w:val="24"/>
        <w:szCs w:val="24"/>
        <w:lang w:val="en-US" w:eastAsia="zh-CN" w:bidi="ar-SA"/>
      </w:rPr>
    </w:lvl>
    <w:lvl w:ilvl="2" w:tentative="0">
      <w:start w:val="1"/>
      <w:numFmt w:val="decimal"/>
      <w:lvlText w:val="%1.%2.%3"/>
      <w:lvlJc w:val="left"/>
      <w:pPr>
        <w:ind w:left="780" w:hanging="660"/>
      </w:pPr>
      <w:rPr>
        <w:rFonts w:hint="default" w:ascii="宋体" w:hAnsi="宋体" w:eastAsia="宋体" w:cs="宋体"/>
        <w:b w:val="0"/>
        <w:bCs w:val="0"/>
        <w:i w:val="0"/>
        <w:iCs w:val="0"/>
        <w:spacing w:val="0"/>
        <w:w w:val="100"/>
        <w:sz w:val="24"/>
        <w:szCs w:val="24"/>
        <w:lang w:val="en-US" w:eastAsia="zh-CN" w:bidi="ar-SA"/>
      </w:rPr>
    </w:lvl>
    <w:lvl w:ilvl="3" w:tentative="0">
      <w:start w:val="0"/>
      <w:numFmt w:val="bullet"/>
      <w:lvlText w:val="•"/>
      <w:lvlJc w:val="left"/>
      <w:pPr>
        <w:ind w:left="2703" w:hanging="660"/>
      </w:pPr>
      <w:rPr>
        <w:rFonts w:hint="default"/>
        <w:lang w:val="en-US" w:eastAsia="zh-CN" w:bidi="ar-SA"/>
      </w:rPr>
    </w:lvl>
    <w:lvl w:ilvl="4" w:tentative="0">
      <w:start w:val="0"/>
      <w:numFmt w:val="bullet"/>
      <w:lvlText w:val="•"/>
      <w:lvlJc w:val="left"/>
      <w:pPr>
        <w:ind w:left="3726" w:hanging="660"/>
      </w:pPr>
      <w:rPr>
        <w:rFonts w:hint="default"/>
        <w:lang w:val="en-US" w:eastAsia="zh-CN" w:bidi="ar-SA"/>
      </w:rPr>
    </w:lvl>
    <w:lvl w:ilvl="5" w:tentative="0">
      <w:start w:val="0"/>
      <w:numFmt w:val="bullet"/>
      <w:lvlText w:val="•"/>
      <w:lvlJc w:val="left"/>
      <w:pPr>
        <w:ind w:left="4749" w:hanging="660"/>
      </w:pPr>
      <w:rPr>
        <w:rFonts w:hint="default"/>
        <w:lang w:val="en-US" w:eastAsia="zh-CN" w:bidi="ar-SA"/>
      </w:rPr>
    </w:lvl>
    <w:lvl w:ilvl="6" w:tentative="0">
      <w:start w:val="0"/>
      <w:numFmt w:val="bullet"/>
      <w:lvlText w:val="•"/>
      <w:lvlJc w:val="left"/>
      <w:pPr>
        <w:ind w:left="5773" w:hanging="660"/>
      </w:pPr>
      <w:rPr>
        <w:rFonts w:hint="default"/>
        <w:lang w:val="en-US" w:eastAsia="zh-CN" w:bidi="ar-SA"/>
      </w:rPr>
    </w:lvl>
    <w:lvl w:ilvl="7" w:tentative="0">
      <w:start w:val="0"/>
      <w:numFmt w:val="bullet"/>
      <w:lvlText w:val="•"/>
      <w:lvlJc w:val="left"/>
      <w:pPr>
        <w:ind w:left="6796" w:hanging="660"/>
      </w:pPr>
      <w:rPr>
        <w:rFonts w:hint="default"/>
        <w:lang w:val="en-US" w:eastAsia="zh-CN" w:bidi="ar-SA"/>
      </w:rPr>
    </w:lvl>
    <w:lvl w:ilvl="8" w:tentative="0">
      <w:start w:val="0"/>
      <w:numFmt w:val="bullet"/>
      <w:lvlText w:val="•"/>
      <w:lvlJc w:val="left"/>
      <w:pPr>
        <w:ind w:left="7819" w:hanging="660"/>
      </w:pPr>
      <w:rPr>
        <w:rFonts w:hint="default"/>
        <w:lang w:val="en-US" w:eastAsia="zh-CN" w:bidi="ar-SA"/>
      </w:rPr>
    </w:lvl>
  </w:abstractNum>
  <w:abstractNum w:abstractNumId="58">
    <w:nsid w:val="74C28B35"/>
    <w:multiLevelType w:val="multilevel"/>
    <w:tmpl w:val="74C28B35"/>
    <w:lvl w:ilvl="0" w:tentative="0">
      <w:start w:val="41"/>
      <w:numFmt w:val="decimal"/>
      <w:lvlText w:val="%1"/>
      <w:lvlJc w:val="left"/>
      <w:pPr>
        <w:ind w:left="780" w:hanging="540"/>
      </w:pPr>
      <w:rPr>
        <w:rFonts w:hint="default"/>
        <w:lang w:val="en-US" w:eastAsia="zh-CN" w:bidi="ar-SA"/>
      </w:rPr>
    </w:lvl>
    <w:lvl w:ilvl="1" w:tentative="0">
      <w:start w:val="1"/>
      <w:numFmt w:val="decimal"/>
      <w:lvlText w:val="%1.%2"/>
      <w:lvlJc w:val="left"/>
      <w:pPr>
        <w:ind w:left="780" w:hanging="540"/>
      </w:pPr>
      <w:rPr>
        <w:rFonts w:hint="default" w:ascii="宋体" w:hAnsi="宋体" w:eastAsia="宋体" w:cs="宋体"/>
        <w:b w:val="0"/>
        <w:bCs w:val="0"/>
        <w:i w:val="0"/>
        <w:iCs w:val="0"/>
        <w:spacing w:val="0"/>
        <w:w w:val="100"/>
        <w:sz w:val="24"/>
        <w:szCs w:val="24"/>
        <w:lang w:val="en-US" w:eastAsia="zh-CN" w:bidi="ar-SA"/>
      </w:rPr>
    </w:lvl>
    <w:lvl w:ilvl="2" w:tentative="0">
      <w:start w:val="0"/>
      <w:numFmt w:val="bullet"/>
      <w:lvlText w:val="•"/>
      <w:lvlJc w:val="left"/>
      <w:pPr>
        <w:ind w:left="2597" w:hanging="540"/>
      </w:pPr>
      <w:rPr>
        <w:rFonts w:hint="default"/>
        <w:lang w:val="en-US" w:eastAsia="zh-CN" w:bidi="ar-SA"/>
      </w:rPr>
    </w:lvl>
    <w:lvl w:ilvl="3" w:tentative="0">
      <w:start w:val="0"/>
      <w:numFmt w:val="bullet"/>
      <w:lvlText w:val="•"/>
      <w:lvlJc w:val="left"/>
      <w:pPr>
        <w:ind w:left="3505" w:hanging="540"/>
      </w:pPr>
      <w:rPr>
        <w:rFonts w:hint="default"/>
        <w:lang w:val="en-US" w:eastAsia="zh-CN" w:bidi="ar-SA"/>
      </w:rPr>
    </w:lvl>
    <w:lvl w:ilvl="4" w:tentative="0">
      <w:start w:val="0"/>
      <w:numFmt w:val="bullet"/>
      <w:lvlText w:val="•"/>
      <w:lvlJc w:val="left"/>
      <w:pPr>
        <w:ind w:left="4414" w:hanging="540"/>
      </w:pPr>
      <w:rPr>
        <w:rFonts w:hint="default"/>
        <w:lang w:val="en-US" w:eastAsia="zh-CN" w:bidi="ar-SA"/>
      </w:rPr>
    </w:lvl>
    <w:lvl w:ilvl="5" w:tentative="0">
      <w:start w:val="0"/>
      <w:numFmt w:val="bullet"/>
      <w:lvlText w:val="•"/>
      <w:lvlJc w:val="left"/>
      <w:pPr>
        <w:ind w:left="5323" w:hanging="540"/>
      </w:pPr>
      <w:rPr>
        <w:rFonts w:hint="default"/>
        <w:lang w:val="en-US" w:eastAsia="zh-CN" w:bidi="ar-SA"/>
      </w:rPr>
    </w:lvl>
    <w:lvl w:ilvl="6" w:tentative="0">
      <w:start w:val="0"/>
      <w:numFmt w:val="bullet"/>
      <w:lvlText w:val="•"/>
      <w:lvlJc w:val="left"/>
      <w:pPr>
        <w:ind w:left="6231" w:hanging="540"/>
      </w:pPr>
      <w:rPr>
        <w:rFonts w:hint="default"/>
        <w:lang w:val="en-US" w:eastAsia="zh-CN" w:bidi="ar-SA"/>
      </w:rPr>
    </w:lvl>
    <w:lvl w:ilvl="7" w:tentative="0">
      <w:start w:val="0"/>
      <w:numFmt w:val="bullet"/>
      <w:lvlText w:val="•"/>
      <w:lvlJc w:val="left"/>
      <w:pPr>
        <w:ind w:left="7140" w:hanging="540"/>
      </w:pPr>
      <w:rPr>
        <w:rFonts w:hint="default"/>
        <w:lang w:val="en-US" w:eastAsia="zh-CN" w:bidi="ar-SA"/>
      </w:rPr>
    </w:lvl>
    <w:lvl w:ilvl="8" w:tentative="0">
      <w:start w:val="0"/>
      <w:numFmt w:val="bullet"/>
      <w:lvlText w:val="•"/>
      <w:lvlJc w:val="left"/>
      <w:pPr>
        <w:ind w:left="8048" w:hanging="540"/>
      </w:pPr>
      <w:rPr>
        <w:rFonts w:hint="default"/>
        <w:lang w:val="en-US" w:eastAsia="zh-CN" w:bidi="ar-SA"/>
      </w:rPr>
    </w:lvl>
  </w:abstractNum>
  <w:abstractNum w:abstractNumId="59">
    <w:nsid w:val="77ECEA79"/>
    <w:multiLevelType w:val="multilevel"/>
    <w:tmpl w:val="77ECEA79"/>
    <w:lvl w:ilvl="0" w:tentative="0">
      <w:start w:val="24"/>
      <w:numFmt w:val="decimal"/>
      <w:lvlText w:val="%1"/>
      <w:lvlJc w:val="left"/>
      <w:pPr>
        <w:ind w:left="780" w:hanging="540"/>
      </w:pPr>
      <w:rPr>
        <w:rFonts w:hint="default"/>
        <w:lang w:val="en-US" w:eastAsia="zh-CN" w:bidi="ar-SA"/>
      </w:rPr>
    </w:lvl>
    <w:lvl w:ilvl="1" w:tentative="0">
      <w:start w:val="1"/>
      <w:numFmt w:val="decimal"/>
      <w:lvlText w:val="%1.%2"/>
      <w:lvlJc w:val="left"/>
      <w:pPr>
        <w:ind w:left="780" w:hanging="540"/>
      </w:pPr>
      <w:rPr>
        <w:rFonts w:hint="default" w:ascii="宋体" w:hAnsi="宋体" w:eastAsia="宋体" w:cs="宋体"/>
        <w:b w:val="0"/>
        <w:bCs w:val="0"/>
        <w:i w:val="0"/>
        <w:iCs w:val="0"/>
        <w:spacing w:val="0"/>
        <w:w w:val="100"/>
        <w:sz w:val="24"/>
        <w:szCs w:val="24"/>
        <w:lang w:val="en-US" w:eastAsia="zh-CN" w:bidi="ar-SA"/>
      </w:rPr>
    </w:lvl>
    <w:lvl w:ilvl="2" w:tentative="0">
      <w:start w:val="0"/>
      <w:numFmt w:val="bullet"/>
      <w:lvlText w:val="•"/>
      <w:lvlJc w:val="left"/>
      <w:pPr>
        <w:ind w:left="2597" w:hanging="540"/>
      </w:pPr>
      <w:rPr>
        <w:rFonts w:hint="default"/>
        <w:lang w:val="en-US" w:eastAsia="zh-CN" w:bidi="ar-SA"/>
      </w:rPr>
    </w:lvl>
    <w:lvl w:ilvl="3" w:tentative="0">
      <w:start w:val="0"/>
      <w:numFmt w:val="bullet"/>
      <w:lvlText w:val="•"/>
      <w:lvlJc w:val="left"/>
      <w:pPr>
        <w:ind w:left="3505" w:hanging="540"/>
      </w:pPr>
      <w:rPr>
        <w:rFonts w:hint="default"/>
        <w:lang w:val="en-US" w:eastAsia="zh-CN" w:bidi="ar-SA"/>
      </w:rPr>
    </w:lvl>
    <w:lvl w:ilvl="4" w:tentative="0">
      <w:start w:val="0"/>
      <w:numFmt w:val="bullet"/>
      <w:lvlText w:val="•"/>
      <w:lvlJc w:val="left"/>
      <w:pPr>
        <w:ind w:left="4414" w:hanging="540"/>
      </w:pPr>
      <w:rPr>
        <w:rFonts w:hint="default"/>
        <w:lang w:val="en-US" w:eastAsia="zh-CN" w:bidi="ar-SA"/>
      </w:rPr>
    </w:lvl>
    <w:lvl w:ilvl="5" w:tentative="0">
      <w:start w:val="0"/>
      <w:numFmt w:val="bullet"/>
      <w:lvlText w:val="•"/>
      <w:lvlJc w:val="left"/>
      <w:pPr>
        <w:ind w:left="5323" w:hanging="540"/>
      </w:pPr>
      <w:rPr>
        <w:rFonts w:hint="default"/>
        <w:lang w:val="en-US" w:eastAsia="zh-CN" w:bidi="ar-SA"/>
      </w:rPr>
    </w:lvl>
    <w:lvl w:ilvl="6" w:tentative="0">
      <w:start w:val="0"/>
      <w:numFmt w:val="bullet"/>
      <w:lvlText w:val="•"/>
      <w:lvlJc w:val="left"/>
      <w:pPr>
        <w:ind w:left="6231" w:hanging="540"/>
      </w:pPr>
      <w:rPr>
        <w:rFonts w:hint="default"/>
        <w:lang w:val="en-US" w:eastAsia="zh-CN" w:bidi="ar-SA"/>
      </w:rPr>
    </w:lvl>
    <w:lvl w:ilvl="7" w:tentative="0">
      <w:start w:val="0"/>
      <w:numFmt w:val="bullet"/>
      <w:lvlText w:val="•"/>
      <w:lvlJc w:val="left"/>
      <w:pPr>
        <w:ind w:left="7140" w:hanging="540"/>
      </w:pPr>
      <w:rPr>
        <w:rFonts w:hint="default"/>
        <w:lang w:val="en-US" w:eastAsia="zh-CN" w:bidi="ar-SA"/>
      </w:rPr>
    </w:lvl>
    <w:lvl w:ilvl="8" w:tentative="0">
      <w:start w:val="0"/>
      <w:numFmt w:val="bullet"/>
      <w:lvlText w:val="•"/>
      <w:lvlJc w:val="left"/>
      <w:pPr>
        <w:ind w:left="8048" w:hanging="540"/>
      </w:pPr>
      <w:rPr>
        <w:rFonts w:hint="default"/>
        <w:lang w:val="en-US" w:eastAsia="zh-CN" w:bidi="ar-SA"/>
      </w:rPr>
    </w:lvl>
  </w:abstractNum>
  <w:abstractNum w:abstractNumId="60">
    <w:nsid w:val="79AA4FA4"/>
    <w:multiLevelType w:val="multilevel"/>
    <w:tmpl w:val="79AA4FA4"/>
    <w:lvl w:ilvl="0" w:tentative="0">
      <w:start w:val="35"/>
      <w:numFmt w:val="decimal"/>
      <w:lvlText w:val="%1"/>
      <w:lvlJc w:val="left"/>
      <w:pPr>
        <w:ind w:left="1800" w:hanging="540"/>
      </w:pPr>
      <w:rPr>
        <w:rFonts w:hint="default"/>
        <w:lang w:val="en-US" w:eastAsia="zh-CN" w:bidi="ar-SA"/>
      </w:rPr>
    </w:lvl>
    <w:lvl w:ilvl="1" w:tentative="0">
      <w:start w:val="1"/>
      <w:numFmt w:val="decimal"/>
      <w:lvlText w:val="%1.%2"/>
      <w:lvlJc w:val="left"/>
      <w:pPr>
        <w:ind w:left="1800" w:hanging="540"/>
      </w:pPr>
      <w:rPr>
        <w:rFonts w:hint="default" w:ascii="宋体" w:hAnsi="宋体" w:eastAsia="宋体" w:cs="宋体"/>
        <w:b w:val="0"/>
        <w:bCs w:val="0"/>
        <w:i w:val="0"/>
        <w:iCs w:val="0"/>
        <w:spacing w:val="0"/>
        <w:w w:val="100"/>
        <w:sz w:val="24"/>
        <w:szCs w:val="24"/>
        <w:lang w:val="en-US" w:eastAsia="zh-CN" w:bidi="ar-SA"/>
      </w:rPr>
    </w:lvl>
    <w:lvl w:ilvl="2" w:tentative="0">
      <w:start w:val="0"/>
      <w:numFmt w:val="bullet"/>
      <w:lvlText w:val="•"/>
      <w:lvlJc w:val="left"/>
      <w:pPr>
        <w:ind w:left="3413" w:hanging="540"/>
      </w:pPr>
      <w:rPr>
        <w:rFonts w:hint="default"/>
        <w:lang w:val="en-US" w:eastAsia="zh-CN" w:bidi="ar-SA"/>
      </w:rPr>
    </w:lvl>
    <w:lvl w:ilvl="3" w:tentative="0">
      <w:start w:val="0"/>
      <w:numFmt w:val="bullet"/>
      <w:lvlText w:val="•"/>
      <w:lvlJc w:val="left"/>
      <w:pPr>
        <w:ind w:left="4219" w:hanging="540"/>
      </w:pPr>
      <w:rPr>
        <w:rFonts w:hint="default"/>
        <w:lang w:val="en-US" w:eastAsia="zh-CN" w:bidi="ar-SA"/>
      </w:rPr>
    </w:lvl>
    <w:lvl w:ilvl="4" w:tentative="0">
      <w:start w:val="0"/>
      <w:numFmt w:val="bullet"/>
      <w:lvlText w:val="•"/>
      <w:lvlJc w:val="left"/>
      <w:pPr>
        <w:ind w:left="5026" w:hanging="540"/>
      </w:pPr>
      <w:rPr>
        <w:rFonts w:hint="default"/>
        <w:lang w:val="en-US" w:eastAsia="zh-CN" w:bidi="ar-SA"/>
      </w:rPr>
    </w:lvl>
    <w:lvl w:ilvl="5" w:tentative="0">
      <w:start w:val="0"/>
      <w:numFmt w:val="bullet"/>
      <w:lvlText w:val="•"/>
      <w:lvlJc w:val="left"/>
      <w:pPr>
        <w:ind w:left="5833" w:hanging="540"/>
      </w:pPr>
      <w:rPr>
        <w:rFonts w:hint="default"/>
        <w:lang w:val="en-US" w:eastAsia="zh-CN" w:bidi="ar-SA"/>
      </w:rPr>
    </w:lvl>
    <w:lvl w:ilvl="6" w:tentative="0">
      <w:start w:val="0"/>
      <w:numFmt w:val="bullet"/>
      <w:lvlText w:val="•"/>
      <w:lvlJc w:val="left"/>
      <w:pPr>
        <w:ind w:left="6639" w:hanging="540"/>
      </w:pPr>
      <w:rPr>
        <w:rFonts w:hint="default"/>
        <w:lang w:val="en-US" w:eastAsia="zh-CN" w:bidi="ar-SA"/>
      </w:rPr>
    </w:lvl>
    <w:lvl w:ilvl="7" w:tentative="0">
      <w:start w:val="0"/>
      <w:numFmt w:val="bullet"/>
      <w:lvlText w:val="•"/>
      <w:lvlJc w:val="left"/>
      <w:pPr>
        <w:ind w:left="7446" w:hanging="540"/>
      </w:pPr>
      <w:rPr>
        <w:rFonts w:hint="default"/>
        <w:lang w:val="en-US" w:eastAsia="zh-CN" w:bidi="ar-SA"/>
      </w:rPr>
    </w:lvl>
    <w:lvl w:ilvl="8" w:tentative="0">
      <w:start w:val="0"/>
      <w:numFmt w:val="bullet"/>
      <w:lvlText w:val="•"/>
      <w:lvlJc w:val="left"/>
      <w:pPr>
        <w:ind w:left="8252" w:hanging="540"/>
      </w:pPr>
      <w:rPr>
        <w:rFonts w:hint="default"/>
        <w:lang w:val="en-US" w:eastAsia="zh-CN" w:bidi="ar-SA"/>
      </w:rPr>
    </w:lvl>
  </w:abstractNum>
  <w:abstractNum w:abstractNumId="61">
    <w:nsid w:val="7B11BFE5"/>
    <w:multiLevelType w:val="singleLevel"/>
    <w:tmpl w:val="7B11BFE5"/>
    <w:lvl w:ilvl="0" w:tentative="0">
      <w:start w:val="3"/>
      <w:numFmt w:val="chineseCounting"/>
      <w:suff w:val="nothing"/>
      <w:lvlText w:val="（%1）"/>
      <w:lvlJc w:val="left"/>
      <w:rPr>
        <w:rFonts w:hint="eastAsia"/>
      </w:rPr>
    </w:lvl>
  </w:abstractNum>
  <w:abstractNum w:abstractNumId="62">
    <w:nsid w:val="7C246926"/>
    <w:multiLevelType w:val="multilevel"/>
    <w:tmpl w:val="7C246926"/>
    <w:lvl w:ilvl="0" w:tentative="0">
      <w:start w:val="19"/>
      <w:numFmt w:val="decimal"/>
      <w:lvlText w:val="%1."/>
      <w:lvlJc w:val="left"/>
      <w:pPr>
        <w:ind w:left="1143" w:hanging="364"/>
      </w:pPr>
      <w:rPr>
        <w:rFonts w:hint="default" w:ascii="宋体" w:hAnsi="宋体" w:eastAsia="宋体" w:cs="宋体"/>
        <w:b/>
        <w:bCs/>
        <w:i w:val="0"/>
        <w:iCs w:val="0"/>
        <w:spacing w:val="0"/>
        <w:w w:val="99"/>
        <w:sz w:val="22"/>
        <w:szCs w:val="22"/>
        <w:lang w:val="en-US" w:eastAsia="zh-CN" w:bidi="ar-SA"/>
      </w:rPr>
    </w:lvl>
    <w:lvl w:ilvl="1" w:tentative="0">
      <w:start w:val="1"/>
      <w:numFmt w:val="decimal"/>
      <w:lvlText w:val="%1.%2"/>
      <w:lvlJc w:val="left"/>
      <w:pPr>
        <w:ind w:left="780" w:hanging="600"/>
      </w:pPr>
      <w:rPr>
        <w:rFonts w:hint="default" w:ascii="宋体" w:hAnsi="宋体" w:eastAsia="宋体" w:cs="宋体"/>
        <w:b w:val="0"/>
        <w:bCs w:val="0"/>
        <w:i w:val="0"/>
        <w:iCs w:val="0"/>
        <w:spacing w:val="0"/>
        <w:w w:val="77"/>
        <w:sz w:val="24"/>
        <w:szCs w:val="24"/>
        <w:lang w:val="en-US" w:eastAsia="zh-CN" w:bidi="ar-SA"/>
      </w:rPr>
    </w:lvl>
    <w:lvl w:ilvl="2" w:tentative="0">
      <w:start w:val="0"/>
      <w:numFmt w:val="bullet"/>
      <w:lvlText w:val="•"/>
      <w:lvlJc w:val="left"/>
      <w:pPr>
        <w:ind w:left="1800" w:hanging="600"/>
      </w:pPr>
      <w:rPr>
        <w:rFonts w:hint="default"/>
        <w:lang w:val="en-US" w:eastAsia="zh-CN" w:bidi="ar-SA"/>
      </w:rPr>
    </w:lvl>
    <w:lvl w:ilvl="3" w:tentative="0">
      <w:start w:val="0"/>
      <w:numFmt w:val="bullet"/>
      <w:lvlText w:val="•"/>
      <w:lvlJc w:val="left"/>
      <w:pPr>
        <w:ind w:left="2808" w:hanging="600"/>
      </w:pPr>
      <w:rPr>
        <w:rFonts w:hint="default"/>
        <w:lang w:val="en-US" w:eastAsia="zh-CN" w:bidi="ar-SA"/>
      </w:rPr>
    </w:lvl>
    <w:lvl w:ilvl="4" w:tentative="0">
      <w:start w:val="0"/>
      <w:numFmt w:val="bullet"/>
      <w:lvlText w:val="•"/>
      <w:lvlJc w:val="left"/>
      <w:pPr>
        <w:ind w:left="3816" w:hanging="600"/>
      </w:pPr>
      <w:rPr>
        <w:rFonts w:hint="default"/>
        <w:lang w:val="en-US" w:eastAsia="zh-CN" w:bidi="ar-SA"/>
      </w:rPr>
    </w:lvl>
    <w:lvl w:ilvl="5" w:tentative="0">
      <w:start w:val="0"/>
      <w:numFmt w:val="bullet"/>
      <w:lvlText w:val="•"/>
      <w:lvlJc w:val="left"/>
      <w:pPr>
        <w:ind w:left="4824" w:hanging="600"/>
      </w:pPr>
      <w:rPr>
        <w:rFonts w:hint="default"/>
        <w:lang w:val="en-US" w:eastAsia="zh-CN" w:bidi="ar-SA"/>
      </w:rPr>
    </w:lvl>
    <w:lvl w:ilvl="6" w:tentative="0">
      <w:start w:val="0"/>
      <w:numFmt w:val="bullet"/>
      <w:lvlText w:val="•"/>
      <w:lvlJc w:val="left"/>
      <w:pPr>
        <w:ind w:left="5833" w:hanging="600"/>
      </w:pPr>
      <w:rPr>
        <w:rFonts w:hint="default"/>
        <w:lang w:val="en-US" w:eastAsia="zh-CN" w:bidi="ar-SA"/>
      </w:rPr>
    </w:lvl>
    <w:lvl w:ilvl="7" w:tentative="0">
      <w:start w:val="0"/>
      <w:numFmt w:val="bullet"/>
      <w:lvlText w:val="•"/>
      <w:lvlJc w:val="left"/>
      <w:pPr>
        <w:ind w:left="6841" w:hanging="600"/>
      </w:pPr>
      <w:rPr>
        <w:rFonts w:hint="default"/>
        <w:lang w:val="en-US" w:eastAsia="zh-CN" w:bidi="ar-SA"/>
      </w:rPr>
    </w:lvl>
    <w:lvl w:ilvl="8" w:tentative="0">
      <w:start w:val="0"/>
      <w:numFmt w:val="bullet"/>
      <w:lvlText w:val="•"/>
      <w:lvlJc w:val="left"/>
      <w:pPr>
        <w:ind w:left="7849" w:hanging="600"/>
      </w:pPr>
      <w:rPr>
        <w:rFonts w:hint="default"/>
        <w:lang w:val="en-US" w:eastAsia="zh-CN" w:bidi="ar-SA"/>
      </w:rPr>
    </w:lvl>
  </w:abstractNum>
  <w:abstractNum w:abstractNumId="63">
    <w:nsid w:val="7DEC2089"/>
    <w:multiLevelType w:val="multilevel"/>
    <w:tmpl w:val="7DEC2089"/>
    <w:lvl w:ilvl="0" w:tentative="0">
      <w:start w:val="1"/>
      <w:numFmt w:val="decimal"/>
      <w:lvlText w:val="（%1）"/>
      <w:lvlJc w:val="left"/>
      <w:pPr>
        <w:ind w:left="1861" w:hanging="601"/>
      </w:pPr>
      <w:rPr>
        <w:rFonts w:hint="default" w:ascii="宋体" w:hAnsi="宋体" w:eastAsia="宋体" w:cs="宋体"/>
        <w:b w:val="0"/>
        <w:bCs w:val="0"/>
        <w:i w:val="0"/>
        <w:iCs w:val="0"/>
        <w:spacing w:val="0"/>
        <w:w w:val="100"/>
        <w:sz w:val="22"/>
        <w:szCs w:val="22"/>
        <w:lang w:val="en-US" w:eastAsia="zh-CN" w:bidi="ar-SA"/>
      </w:rPr>
    </w:lvl>
    <w:lvl w:ilvl="1" w:tentative="0">
      <w:start w:val="0"/>
      <w:numFmt w:val="bullet"/>
      <w:lvlText w:val="•"/>
      <w:lvlJc w:val="left"/>
      <w:pPr>
        <w:ind w:left="2660" w:hanging="601"/>
      </w:pPr>
      <w:rPr>
        <w:rFonts w:hint="default"/>
        <w:lang w:val="en-US" w:eastAsia="zh-CN" w:bidi="ar-SA"/>
      </w:rPr>
    </w:lvl>
    <w:lvl w:ilvl="2" w:tentative="0">
      <w:start w:val="0"/>
      <w:numFmt w:val="bullet"/>
      <w:lvlText w:val="•"/>
      <w:lvlJc w:val="left"/>
      <w:pPr>
        <w:ind w:left="3461" w:hanging="601"/>
      </w:pPr>
      <w:rPr>
        <w:rFonts w:hint="default"/>
        <w:lang w:val="en-US" w:eastAsia="zh-CN" w:bidi="ar-SA"/>
      </w:rPr>
    </w:lvl>
    <w:lvl w:ilvl="3" w:tentative="0">
      <w:start w:val="0"/>
      <w:numFmt w:val="bullet"/>
      <w:lvlText w:val="•"/>
      <w:lvlJc w:val="left"/>
      <w:pPr>
        <w:ind w:left="4261" w:hanging="601"/>
      </w:pPr>
      <w:rPr>
        <w:rFonts w:hint="default"/>
        <w:lang w:val="en-US" w:eastAsia="zh-CN" w:bidi="ar-SA"/>
      </w:rPr>
    </w:lvl>
    <w:lvl w:ilvl="4" w:tentative="0">
      <w:start w:val="0"/>
      <w:numFmt w:val="bullet"/>
      <w:lvlText w:val="•"/>
      <w:lvlJc w:val="left"/>
      <w:pPr>
        <w:ind w:left="5062" w:hanging="601"/>
      </w:pPr>
      <w:rPr>
        <w:rFonts w:hint="default"/>
        <w:lang w:val="en-US" w:eastAsia="zh-CN" w:bidi="ar-SA"/>
      </w:rPr>
    </w:lvl>
    <w:lvl w:ilvl="5" w:tentative="0">
      <w:start w:val="0"/>
      <w:numFmt w:val="bullet"/>
      <w:lvlText w:val="•"/>
      <w:lvlJc w:val="left"/>
      <w:pPr>
        <w:ind w:left="5863" w:hanging="601"/>
      </w:pPr>
      <w:rPr>
        <w:rFonts w:hint="default"/>
        <w:lang w:val="en-US" w:eastAsia="zh-CN" w:bidi="ar-SA"/>
      </w:rPr>
    </w:lvl>
    <w:lvl w:ilvl="6" w:tentative="0">
      <w:start w:val="0"/>
      <w:numFmt w:val="bullet"/>
      <w:lvlText w:val="•"/>
      <w:lvlJc w:val="left"/>
      <w:pPr>
        <w:ind w:left="6663" w:hanging="601"/>
      </w:pPr>
      <w:rPr>
        <w:rFonts w:hint="default"/>
        <w:lang w:val="en-US" w:eastAsia="zh-CN" w:bidi="ar-SA"/>
      </w:rPr>
    </w:lvl>
    <w:lvl w:ilvl="7" w:tentative="0">
      <w:start w:val="0"/>
      <w:numFmt w:val="bullet"/>
      <w:lvlText w:val="•"/>
      <w:lvlJc w:val="left"/>
      <w:pPr>
        <w:ind w:left="7464" w:hanging="601"/>
      </w:pPr>
      <w:rPr>
        <w:rFonts w:hint="default"/>
        <w:lang w:val="en-US" w:eastAsia="zh-CN" w:bidi="ar-SA"/>
      </w:rPr>
    </w:lvl>
    <w:lvl w:ilvl="8" w:tentative="0">
      <w:start w:val="0"/>
      <w:numFmt w:val="bullet"/>
      <w:lvlText w:val="•"/>
      <w:lvlJc w:val="left"/>
      <w:pPr>
        <w:ind w:left="8264" w:hanging="601"/>
      </w:pPr>
      <w:rPr>
        <w:rFonts w:hint="default"/>
        <w:lang w:val="en-US" w:eastAsia="zh-CN" w:bidi="ar-SA"/>
      </w:rPr>
    </w:lvl>
  </w:abstractNum>
  <w:num w:numId="1">
    <w:abstractNumId w:val="14"/>
  </w:num>
  <w:num w:numId="2">
    <w:abstractNumId w:val="30"/>
  </w:num>
  <w:num w:numId="3">
    <w:abstractNumId w:val="39"/>
  </w:num>
  <w:num w:numId="4">
    <w:abstractNumId w:val="7"/>
  </w:num>
  <w:num w:numId="5">
    <w:abstractNumId w:val="34"/>
  </w:num>
  <w:num w:numId="6">
    <w:abstractNumId w:val="56"/>
  </w:num>
  <w:num w:numId="7">
    <w:abstractNumId w:val="28"/>
  </w:num>
  <w:num w:numId="8">
    <w:abstractNumId w:val="5"/>
  </w:num>
  <w:num w:numId="9">
    <w:abstractNumId w:val="47"/>
  </w:num>
  <w:num w:numId="10">
    <w:abstractNumId w:val="24"/>
  </w:num>
  <w:num w:numId="11">
    <w:abstractNumId w:val="50"/>
  </w:num>
  <w:num w:numId="12">
    <w:abstractNumId w:val="20"/>
  </w:num>
  <w:num w:numId="13">
    <w:abstractNumId w:val="57"/>
  </w:num>
  <w:num w:numId="14">
    <w:abstractNumId w:val="8"/>
  </w:num>
  <w:num w:numId="15">
    <w:abstractNumId w:val="45"/>
  </w:num>
  <w:num w:numId="16">
    <w:abstractNumId w:val="61"/>
  </w:num>
  <w:num w:numId="17">
    <w:abstractNumId w:val="53"/>
  </w:num>
  <w:num w:numId="18">
    <w:abstractNumId w:val="31"/>
  </w:num>
  <w:num w:numId="19">
    <w:abstractNumId w:val="44"/>
  </w:num>
  <w:num w:numId="20">
    <w:abstractNumId w:val="11"/>
  </w:num>
  <w:num w:numId="21">
    <w:abstractNumId w:val="62"/>
  </w:num>
  <w:num w:numId="22">
    <w:abstractNumId w:val="59"/>
  </w:num>
  <w:num w:numId="23">
    <w:abstractNumId w:val="17"/>
  </w:num>
  <w:num w:numId="24">
    <w:abstractNumId w:val="54"/>
  </w:num>
  <w:num w:numId="25">
    <w:abstractNumId w:val="6"/>
  </w:num>
  <w:num w:numId="26">
    <w:abstractNumId w:val="42"/>
  </w:num>
  <w:num w:numId="27">
    <w:abstractNumId w:val="36"/>
  </w:num>
  <w:num w:numId="28">
    <w:abstractNumId w:val="2"/>
  </w:num>
  <w:num w:numId="29">
    <w:abstractNumId w:val="49"/>
  </w:num>
  <w:num w:numId="30">
    <w:abstractNumId w:val="63"/>
  </w:num>
  <w:num w:numId="31">
    <w:abstractNumId w:val="0"/>
  </w:num>
  <w:num w:numId="32">
    <w:abstractNumId w:val="38"/>
  </w:num>
  <w:num w:numId="33">
    <w:abstractNumId w:val="48"/>
  </w:num>
  <w:num w:numId="34">
    <w:abstractNumId w:val="26"/>
  </w:num>
  <w:num w:numId="35">
    <w:abstractNumId w:val="21"/>
  </w:num>
  <w:num w:numId="36">
    <w:abstractNumId w:val="40"/>
  </w:num>
  <w:num w:numId="37">
    <w:abstractNumId w:val="60"/>
  </w:num>
  <w:num w:numId="38">
    <w:abstractNumId w:val="16"/>
  </w:num>
  <w:num w:numId="39">
    <w:abstractNumId w:val="4"/>
  </w:num>
  <w:num w:numId="40">
    <w:abstractNumId w:val="15"/>
  </w:num>
  <w:num w:numId="41">
    <w:abstractNumId w:val="51"/>
  </w:num>
  <w:num w:numId="42">
    <w:abstractNumId w:val="1"/>
  </w:num>
  <w:num w:numId="43">
    <w:abstractNumId w:val="37"/>
  </w:num>
  <w:num w:numId="44">
    <w:abstractNumId w:val="3"/>
  </w:num>
  <w:num w:numId="45">
    <w:abstractNumId w:val="52"/>
  </w:num>
  <w:num w:numId="46">
    <w:abstractNumId w:val="58"/>
  </w:num>
  <w:num w:numId="47">
    <w:abstractNumId w:val="46"/>
  </w:num>
  <w:num w:numId="48">
    <w:abstractNumId w:val="41"/>
  </w:num>
  <w:num w:numId="49">
    <w:abstractNumId w:val="13"/>
  </w:num>
  <w:num w:numId="50">
    <w:abstractNumId w:val="22"/>
  </w:num>
  <w:num w:numId="51">
    <w:abstractNumId w:val="32"/>
  </w:num>
  <w:num w:numId="52">
    <w:abstractNumId w:val="29"/>
  </w:num>
  <w:num w:numId="53">
    <w:abstractNumId w:val="18"/>
  </w:num>
  <w:num w:numId="54">
    <w:abstractNumId w:val="33"/>
  </w:num>
  <w:num w:numId="55">
    <w:abstractNumId w:val="12"/>
  </w:num>
  <w:num w:numId="56">
    <w:abstractNumId w:val="43"/>
  </w:num>
  <w:num w:numId="57">
    <w:abstractNumId w:val="10"/>
  </w:num>
  <w:num w:numId="58">
    <w:abstractNumId w:val="25"/>
  </w:num>
  <w:num w:numId="59">
    <w:abstractNumId w:val="27"/>
  </w:num>
  <w:num w:numId="60">
    <w:abstractNumId w:val="35"/>
  </w:num>
  <w:num w:numId="61">
    <w:abstractNumId w:val="55"/>
  </w:num>
  <w:num w:numId="62">
    <w:abstractNumId w:val="23"/>
  </w:num>
  <w:num w:numId="63">
    <w:abstractNumId w:val="19"/>
  </w:num>
  <w:num w:numId="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readOnly" w:formatting="1" w:enforcement="1" w:cryptProviderType="rsaFull" w:cryptAlgorithmClass="hash" w:cryptAlgorithmType="typeAny" w:cryptAlgorithmSid="4" w:cryptSpinCount="0" w:hash="E5QYzcQ2o3/WawEipJjaWCNMxFk=" w:salt="v6WN7YU/kO6Li2DU90qvjg=="/>
  <w:defaultTabStop w:val="720"/>
  <w:drawingGridHorizontalSpacing w:val="110"/>
  <w:displayHorizontalDrawingGridEvery w:val="0"/>
  <w:displayVerticalDrawingGridEvery w:val="2"/>
  <w:characterSpacingControl w:val="doNotCompress"/>
  <w:compat>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Mjk2ZmYzOTA3MThmZmVkM2ViNTBjNjM2NTc3MzcyYzIifQ=="/>
  </w:docVars>
  <w:rsids>
    <w:rsidRoot w:val="00172A27"/>
    <w:rsid w:val="00172A27"/>
    <w:rsid w:val="00220B8A"/>
    <w:rsid w:val="00403153"/>
    <w:rsid w:val="0073111B"/>
    <w:rsid w:val="007A2DCE"/>
    <w:rsid w:val="00B35A90"/>
    <w:rsid w:val="00BD5FBC"/>
    <w:rsid w:val="01EE1224"/>
    <w:rsid w:val="01F53D45"/>
    <w:rsid w:val="0481776C"/>
    <w:rsid w:val="06003C18"/>
    <w:rsid w:val="061B4D44"/>
    <w:rsid w:val="071B4038"/>
    <w:rsid w:val="073C1416"/>
    <w:rsid w:val="09597635"/>
    <w:rsid w:val="0BB94C8F"/>
    <w:rsid w:val="0C9A08E6"/>
    <w:rsid w:val="0E097B78"/>
    <w:rsid w:val="0E9534FA"/>
    <w:rsid w:val="0F580DB7"/>
    <w:rsid w:val="10EF12A7"/>
    <w:rsid w:val="14832432"/>
    <w:rsid w:val="149638B7"/>
    <w:rsid w:val="17EF0793"/>
    <w:rsid w:val="1A134258"/>
    <w:rsid w:val="1A18280B"/>
    <w:rsid w:val="1E036392"/>
    <w:rsid w:val="1E37428D"/>
    <w:rsid w:val="21A40D7E"/>
    <w:rsid w:val="22387500"/>
    <w:rsid w:val="25382DC5"/>
    <w:rsid w:val="254F010E"/>
    <w:rsid w:val="27D5317A"/>
    <w:rsid w:val="2B827233"/>
    <w:rsid w:val="2CAF4EDF"/>
    <w:rsid w:val="2D5E3708"/>
    <w:rsid w:val="30262D58"/>
    <w:rsid w:val="30F801FC"/>
    <w:rsid w:val="3253123E"/>
    <w:rsid w:val="33154F12"/>
    <w:rsid w:val="34931DC5"/>
    <w:rsid w:val="34CA1AAC"/>
    <w:rsid w:val="34CC52D7"/>
    <w:rsid w:val="3BA42B0A"/>
    <w:rsid w:val="3CEF4259"/>
    <w:rsid w:val="3E0A3E3A"/>
    <w:rsid w:val="449F6565"/>
    <w:rsid w:val="4502571C"/>
    <w:rsid w:val="45AD6A5F"/>
    <w:rsid w:val="46606805"/>
    <w:rsid w:val="4674757D"/>
    <w:rsid w:val="46AD3081"/>
    <w:rsid w:val="474F1244"/>
    <w:rsid w:val="48DB38E3"/>
    <w:rsid w:val="49303EAD"/>
    <w:rsid w:val="4A2117CA"/>
    <w:rsid w:val="4A7B537E"/>
    <w:rsid w:val="4B7B6B07"/>
    <w:rsid w:val="4B83273C"/>
    <w:rsid w:val="4B8D35BB"/>
    <w:rsid w:val="4C682DB4"/>
    <w:rsid w:val="4ED129DC"/>
    <w:rsid w:val="4F3D0E54"/>
    <w:rsid w:val="4F7E1BFB"/>
    <w:rsid w:val="52B82EF2"/>
    <w:rsid w:val="554E3280"/>
    <w:rsid w:val="55DD513F"/>
    <w:rsid w:val="577B3F4D"/>
    <w:rsid w:val="57AF48B9"/>
    <w:rsid w:val="58C919AA"/>
    <w:rsid w:val="58D853F1"/>
    <w:rsid w:val="5A1F0C9C"/>
    <w:rsid w:val="5B783114"/>
    <w:rsid w:val="608448EB"/>
    <w:rsid w:val="63D57455"/>
    <w:rsid w:val="64E21E2A"/>
    <w:rsid w:val="65BD63F3"/>
    <w:rsid w:val="66B8294F"/>
    <w:rsid w:val="67B96FA5"/>
    <w:rsid w:val="6A7C1691"/>
    <w:rsid w:val="6ED33D64"/>
    <w:rsid w:val="70E77EE3"/>
    <w:rsid w:val="713C5D5C"/>
    <w:rsid w:val="7161057A"/>
    <w:rsid w:val="7270316B"/>
    <w:rsid w:val="742915A0"/>
    <w:rsid w:val="753A35BC"/>
    <w:rsid w:val="75FC4A9A"/>
    <w:rsid w:val="78137BBA"/>
    <w:rsid w:val="78F84707"/>
    <w:rsid w:val="7A5C507C"/>
    <w:rsid w:val="7B5C1973"/>
    <w:rsid w:val="7BF04C3E"/>
    <w:rsid w:val="7C7C558C"/>
    <w:rsid w:val="7DFE2D74"/>
    <w:rsid w:val="7EFD4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paragraph" w:styleId="2">
    <w:name w:val="heading 1"/>
    <w:basedOn w:val="1"/>
    <w:next w:val="1"/>
    <w:link w:val="22"/>
    <w:qFormat/>
    <w:uiPriority w:val="1"/>
    <w:pPr>
      <w:ind w:right="2"/>
      <w:jc w:val="center"/>
      <w:outlineLvl w:val="0"/>
    </w:pPr>
    <w:rPr>
      <w:b/>
      <w:bCs/>
      <w:sz w:val="84"/>
      <w:szCs w:val="84"/>
    </w:rPr>
  </w:style>
  <w:style w:type="paragraph" w:styleId="3">
    <w:name w:val="heading 2"/>
    <w:basedOn w:val="1"/>
    <w:next w:val="1"/>
    <w:qFormat/>
    <w:uiPriority w:val="1"/>
    <w:pPr>
      <w:spacing w:before="1058"/>
      <w:ind w:right="5"/>
      <w:jc w:val="center"/>
      <w:outlineLvl w:val="1"/>
    </w:pPr>
    <w:rPr>
      <w:b/>
      <w:bCs/>
      <w:sz w:val="56"/>
      <w:szCs w:val="56"/>
    </w:rPr>
  </w:style>
  <w:style w:type="paragraph" w:styleId="4">
    <w:name w:val="heading 3"/>
    <w:basedOn w:val="1"/>
    <w:next w:val="1"/>
    <w:qFormat/>
    <w:uiPriority w:val="1"/>
    <w:pPr>
      <w:spacing w:before="130"/>
      <w:ind w:right="2"/>
      <w:jc w:val="center"/>
      <w:outlineLvl w:val="2"/>
    </w:pPr>
    <w:rPr>
      <w:b/>
      <w:bCs/>
      <w:sz w:val="36"/>
      <w:szCs w:val="36"/>
    </w:rPr>
  </w:style>
  <w:style w:type="paragraph" w:styleId="5">
    <w:name w:val="heading 4"/>
    <w:basedOn w:val="1"/>
    <w:next w:val="1"/>
    <w:qFormat/>
    <w:uiPriority w:val="1"/>
    <w:pPr>
      <w:jc w:val="center"/>
      <w:outlineLvl w:val="3"/>
    </w:pPr>
    <w:rPr>
      <w:b/>
      <w:bCs/>
      <w:sz w:val="32"/>
      <w:szCs w:val="32"/>
    </w:rPr>
  </w:style>
  <w:style w:type="paragraph" w:styleId="6">
    <w:name w:val="heading 5"/>
    <w:basedOn w:val="1"/>
    <w:next w:val="1"/>
    <w:qFormat/>
    <w:uiPriority w:val="1"/>
    <w:pPr>
      <w:ind w:left="780"/>
      <w:outlineLvl w:val="4"/>
    </w:pPr>
    <w:rPr>
      <w:b/>
      <w:bCs/>
      <w:sz w:val="28"/>
      <w:szCs w:val="28"/>
    </w:rPr>
  </w:style>
  <w:style w:type="paragraph" w:styleId="7">
    <w:name w:val="heading 6"/>
    <w:basedOn w:val="1"/>
    <w:next w:val="1"/>
    <w:qFormat/>
    <w:uiPriority w:val="1"/>
    <w:pPr>
      <w:ind w:left="780"/>
      <w:outlineLvl w:val="5"/>
    </w:pPr>
    <w:rPr>
      <w:b/>
      <w:bCs/>
      <w:sz w:val="24"/>
      <w:szCs w:val="24"/>
    </w:rPr>
  </w:style>
  <w:style w:type="character" w:default="1" w:styleId="16">
    <w:name w:val="Default Paragraph Font"/>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Normal Indent"/>
    <w:basedOn w:val="1"/>
    <w:qFormat/>
    <w:uiPriority w:val="0"/>
    <w:pPr>
      <w:ind w:firstLine="420"/>
      <w:jc w:val="both"/>
    </w:pPr>
    <w:rPr>
      <w:rFonts w:ascii="Times New Roman" w:hAnsi="Times New Roman" w:cs="Times New Roman"/>
      <w:kern w:val="2"/>
      <w:sz w:val="21"/>
      <w:szCs w:val="24"/>
    </w:rPr>
  </w:style>
  <w:style w:type="paragraph" w:styleId="9">
    <w:name w:val="annotation text"/>
    <w:basedOn w:val="1"/>
    <w:link w:val="25"/>
    <w:qFormat/>
    <w:uiPriority w:val="0"/>
    <w:pPr>
      <w:keepNext w:val="0"/>
      <w:keepLines w:val="0"/>
      <w:widowControl w:val="0"/>
      <w:suppressLineNumbers w:val="0"/>
      <w:adjustRightInd w:val="0"/>
      <w:spacing w:before="0" w:beforeAutospacing="0" w:after="0" w:afterAutospacing="0" w:line="360" w:lineRule="atLeast"/>
      <w:ind w:left="0" w:right="0"/>
      <w:jc w:val="left"/>
    </w:pPr>
    <w:rPr>
      <w:rFonts w:hint="default" w:ascii="Calibri" w:hAnsi="Calibri" w:eastAsia="宋体" w:cs="Times New Roman"/>
      <w:kern w:val="0"/>
      <w:sz w:val="24"/>
      <w:szCs w:val="20"/>
      <w:lang w:val="en-US" w:eastAsia="zh-CN" w:bidi="ar"/>
    </w:rPr>
  </w:style>
  <w:style w:type="paragraph" w:styleId="10">
    <w:name w:val="Body Text"/>
    <w:basedOn w:val="1"/>
    <w:link w:val="27"/>
    <w:qFormat/>
    <w:uiPriority w:val="1"/>
    <w:pPr>
      <w:ind w:left="780"/>
    </w:pPr>
    <w:rPr>
      <w:sz w:val="24"/>
      <w:szCs w:val="24"/>
    </w:rPr>
  </w:style>
  <w:style w:type="paragraph" w:styleId="11">
    <w:name w:val="footer"/>
    <w:basedOn w:val="1"/>
    <w:qFormat/>
    <w:uiPriority w:val="0"/>
    <w:pPr>
      <w:tabs>
        <w:tab w:val="center" w:pos="4153"/>
        <w:tab w:val="right" w:pos="8306"/>
      </w:tabs>
      <w:snapToGrid w:val="0"/>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3">
    <w:name w:val="Normal (Web)"/>
    <w:basedOn w:val="1"/>
    <w:link w:val="26"/>
    <w:qFormat/>
    <w:uiPriority w:val="0"/>
    <w:pPr>
      <w:spacing w:beforeAutospacing="1" w:afterAutospacing="1"/>
    </w:pPr>
    <w:rPr>
      <w:rFonts w:cs="Times New Roman"/>
      <w:sz w:val="24"/>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qFormat/>
    <w:uiPriority w:val="0"/>
    <w:rPr>
      <w:color w:val="0000FF"/>
      <w:u w:val="single"/>
    </w:rPr>
  </w:style>
  <w:style w:type="table" w:customStyle="1" w:styleId="18">
    <w:name w:val="Table Normal"/>
    <w:semiHidden/>
    <w:unhideWhenUsed/>
    <w:qFormat/>
    <w:uiPriority w:val="2"/>
    <w:tblPr>
      <w:tblCellMar>
        <w:top w:w="0" w:type="dxa"/>
        <w:left w:w="0" w:type="dxa"/>
        <w:bottom w:w="0" w:type="dxa"/>
        <w:right w:w="0" w:type="dxa"/>
      </w:tblCellMar>
    </w:tblPr>
  </w:style>
  <w:style w:type="paragraph" w:styleId="19">
    <w:name w:val="List Paragraph"/>
    <w:basedOn w:val="1"/>
    <w:qFormat/>
    <w:uiPriority w:val="1"/>
    <w:pPr>
      <w:ind w:left="780" w:firstLine="480"/>
    </w:pPr>
  </w:style>
  <w:style w:type="paragraph" w:customStyle="1" w:styleId="20">
    <w:name w:val="Table Paragraph"/>
    <w:basedOn w:val="1"/>
    <w:qFormat/>
    <w:uiPriority w:val="1"/>
  </w:style>
  <w:style w:type="paragraph" w:customStyle="1" w:styleId="21">
    <w:name w:val="5）标书正文 首行缩进2字符"/>
    <w:basedOn w:val="1"/>
    <w:qFormat/>
    <w:uiPriority w:val="0"/>
    <w:pPr>
      <w:spacing w:line="480" w:lineRule="exact"/>
      <w:ind w:firstLine="200" w:firstLineChars="200"/>
    </w:pPr>
    <w:rPr>
      <w:rFonts w:ascii="仿宋_GB2312" w:eastAsia="仿宋_GB2312"/>
      <w:sz w:val="28"/>
      <w:szCs w:val="28"/>
    </w:rPr>
  </w:style>
  <w:style w:type="character" w:customStyle="1" w:styleId="22">
    <w:name w:val="标题 1 Char"/>
    <w:basedOn w:val="16"/>
    <w:link w:val="2"/>
    <w:qFormat/>
    <w:uiPriority w:val="0"/>
    <w:rPr>
      <w:b/>
      <w:bCs/>
      <w:kern w:val="44"/>
      <w:sz w:val="44"/>
      <w:szCs w:val="44"/>
    </w:rPr>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character" w:customStyle="1" w:styleId="24">
    <w:name w:val="批注文字 Char"/>
    <w:basedOn w:val="16"/>
    <w:qFormat/>
    <w:uiPriority w:val="0"/>
    <w:rPr>
      <w:kern w:val="2"/>
      <w:sz w:val="21"/>
      <w:szCs w:val="24"/>
    </w:rPr>
  </w:style>
  <w:style w:type="character" w:customStyle="1" w:styleId="25">
    <w:name w:val="批注文字 Char1"/>
    <w:basedOn w:val="16"/>
    <w:link w:val="9"/>
    <w:qFormat/>
    <w:uiPriority w:val="0"/>
    <w:rPr>
      <w:rFonts w:hint="default" w:ascii="Calibri" w:hAnsi="Calibri" w:cs="Calibri"/>
      <w:sz w:val="24"/>
    </w:rPr>
  </w:style>
  <w:style w:type="character" w:customStyle="1" w:styleId="26">
    <w:name w:val="普通(网站) Char"/>
    <w:basedOn w:val="16"/>
    <w:link w:val="13"/>
    <w:qFormat/>
    <w:uiPriority w:val="0"/>
    <w:rPr>
      <w:rFonts w:hint="default" w:ascii="Calibri" w:hAnsi="Calibri" w:cs="Calibri"/>
      <w:sz w:val="24"/>
      <w:szCs w:val="24"/>
    </w:rPr>
  </w:style>
  <w:style w:type="character" w:customStyle="1" w:styleId="27">
    <w:name w:val="正文文本 Char"/>
    <w:basedOn w:val="16"/>
    <w:link w:val="10"/>
    <w:qFormat/>
    <w:uiPriority w:val="0"/>
    <w:rPr>
      <w:rFonts w:hint="eastAsia" w:ascii="宋体" w:hAnsi="宋体" w:eastAsia="宋体" w:cs="宋体"/>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bbs.kafan.cn</Company>
  <Pages>87</Pages>
  <Words>47814</Words>
  <Characters>49294</Characters>
  <Lines>443</Lines>
  <Paragraphs>124</Paragraphs>
  <TotalTime>31</TotalTime>
  <ScaleCrop>false</ScaleCrop>
  <LinksUpToDate>false</LinksUpToDate>
  <CharactersWithSpaces>50134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2025-01-08T02:39:00Z</dcterms:created>
  <dc:creator>admin</dc:creator>
  <cp:lastModifiedBy>闾新豪</cp:lastModifiedBy>
  <dcterms:modified xsi:type="dcterms:W3CDTF">2025-01-15T10:49:12Z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2024-12-30T00:00:00Z</vt:filetime>
  </property>
  <property fmtid="{D5CDD505-2E9C-101B-9397-08002B2CF9AE}" pid="3" name="Creator">
    <vt:lpwstr>WPS 文字</vt:lpwstr>
  </property>
  <property fmtid="{D5CDD505-2E9C-101B-9397-08002B2CF9AE}" pid="4" name="LastSaved">
    <vt:filetime>2025-01-08T00:00:00Z</vt:filetime>
  </property>
  <property fmtid="{D5CDD505-2E9C-101B-9397-08002B2CF9AE}" pid="5" name="SourceModified">
    <vt:lpwstr>D:20241230172826+08'00'</vt:lpwstr>
  </property>
  <property fmtid="{D5CDD505-2E9C-101B-9397-08002B2CF9AE}" pid="6" name="KSOProductBuildVer">
    <vt:lpwstr>2052-12.1.0.16929</vt:lpwstr>
  </property>
  <property fmtid="{D5CDD505-2E9C-101B-9397-08002B2CF9AE}" pid="7" name="ICV">
    <vt:lpwstr>A2E4D639A4554F60A7BE8C265DEC488D</vt:lpwstr>
  </property>
</Properties>
</file>