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0A4110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48"/>
          <w:szCs w:val="48"/>
          <w:highlight w:val="none"/>
          <w:lang w:eastAsia="zh-CN"/>
        </w:rPr>
      </w:pPr>
    </w:p>
    <w:p w14:paraId="09414C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pacing w:val="40"/>
          <w:w w:val="80"/>
          <w:sz w:val="96"/>
          <w:szCs w:val="96"/>
          <w:highlight w:val="none"/>
          <w:lang w:bidi="th-TH"/>
        </w:rPr>
      </w:pPr>
      <w:r>
        <w:rPr>
          <w:rFonts w:hint="eastAsia" w:ascii="仿宋" w:hAnsi="仿宋" w:eastAsia="仿宋" w:cs="仿宋"/>
          <w:b/>
          <w:bCs/>
          <w:color w:val="auto"/>
          <w:sz w:val="48"/>
          <w:szCs w:val="48"/>
          <w:highlight w:val="none"/>
          <w:lang w:eastAsia="zh-CN"/>
        </w:rPr>
        <w:t>2025年天山区园林队肥料采购项目（二次）</w:t>
      </w: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2025-ZFCG-0013-01</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03</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sz w:val="32"/>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b/>
          <w:caps w:val="0"/>
          <w:sz w:val="28"/>
          <w:szCs w:val="21"/>
          <w:highlight w:val="none"/>
        </w:rPr>
        <w:fldChar w:fldCharType="begin"/>
      </w:r>
      <w:r>
        <w:rPr>
          <w:rFonts w:hint="eastAsia" w:ascii="仿宋" w:hAnsi="仿宋" w:eastAsia="仿宋" w:cs="仿宋"/>
          <w:b/>
          <w:caps w:val="0"/>
          <w:sz w:val="28"/>
          <w:szCs w:val="21"/>
          <w:highlight w:val="none"/>
        </w:rPr>
        <w:instrText xml:space="preserve"> TOC \o "1-2" \u </w:instrText>
      </w:r>
      <w:r>
        <w:rPr>
          <w:rFonts w:hint="eastAsia" w:ascii="仿宋" w:hAnsi="仿宋" w:eastAsia="仿宋" w:cs="仿宋"/>
          <w:b/>
          <w:caps w:val="0"/>
          <w:sz w:val="28"/>
          <w:szCs w:val="21"/>
          <w:highlight w:val="none"/>
        </w:rPr>
        <w:fldChar w:fldCharType="separate"/>
      </w:r>
      <w:r>
        <w:rPr>
          <w:rFonts w:hint="eastAsia" w:ascii="仿宋" w:hAnsi="仿宋" w:eastAsia="仿宋" w:cs="仿宋"/>
          <w:sz w:val="24"/>
          <w:szCs w:val="30"/>
          <w:highlight w:val="none"/>
        </w:rPr>
        <w:t>第一部分  采购公告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_Toc14260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w:t>
      </w:r>
      <w:r>
        <w:rPr>
          <w:rFonts w:hint="eastAsia" w:ascii="仿宋" w:hAnsi="仿宋" w:eastAsia="仿宋" w:cs="仿宋"/>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30"/>
          <w:highlight w:val="none"/>
        </w:rPr>
        <w:t>前 附 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_Toc26345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第二部分  投标须知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_Toc7086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一、总则</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_Toc29347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12</w:t>
      </w:r>
      <w:r>
        <w:rPr>
          <w:rFonts w:hint="eastAsia" w:ascii="仿宋" w:hAnsi="仿宋" w:eastAsia="仿宋" w:cs="仿宋"/>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二、招标文件的构成、澄清、修改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_Toc6316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三、投标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16</w:t>
      </w:r>
      <w:r>
        <w:rPr>
          <w:rFonts w:hint="eastAsia" w:ascii="仿宋" w:hAnsi="仿宋" w:eastAsia="仿宋" w:cs="仿宋"/>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四、开标、资格审查与信用信息查询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_Toc16623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20</w:t>
      </w:r>
      <w:r>
        <w:rPr>
          <w:rFonts w:hint="eastAsia" w:ascii="仿宋" w:hAnsi="仿宋" w:eastAsia="仿宋" w:cs="仿宋"/>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五、评标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_Toc26480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六、定 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_Toc3542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七、合同授予</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_Toc26580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八、电子交易活动的中止</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_Toc24948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23</w:t>
      </w:r>
      <w:r>
        <w:rPr>
          <w:rFonts w:hint="eastAsia" w:ascii="仿宋" w:hAnsi="仿宋" w:eastAsia="仿宋" w:cs="仿宋"/>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highlight w:val="none"/>
        </w:rPr>
        <w:t>九、验收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_Toc20535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24</w:t>
      </w:r>
      <w:r>
        <w:rPr>
          <w:rFonts w:hint="eastAsia" w:ascii="仿宋" w:hAnsi="仿宋" w:eastAsia="仿宋" w:cs="仿宋"/>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第三部分  采购需求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_Toc22967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第四部分  评标办法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kern w:val="21"/>
          <w:sz w:val="24"/>
          <w:szCs w:val="28"/>
          <w:highlight w:val="none"/>
        </w:rPr>
        <w:t>评标办法前附表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_Toc10744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26</w:t>
      </w:r>
      <w:r>
        <w:rPr>
          <w:rFonts w:hint="eastAsia" w:ascii="仿宋" w:hAnsi="仿宋" w:eastAsia="仿宋" w:cs="仿宋"/>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一、评标方法</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_Toc17821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25</w:t>
      </w:r>
      <w:r>
        <w:rPr>
          <w:rFonts w:hint="eastAsia" w:ascii="仿宋" w:hAnsi="仿宋" w:eastAsia="仿宋" w:cs="仿宋"/>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二、评标标准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_Toc5618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三、评标程序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_Toc7191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29</w:t>
      </w:r>
      <w:r>
        <w:rPr>
          <w:rFonts w:hint="eastAsia" w:ascii="仿宋" w:hAnsi="仿宋" w:eastAsia="仿宋" w:cs="仿宋"/>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四、评标中的其他事项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_Toc16744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31</w:t>
      </w:r>
      <w:r>
        <w:rPr>
          <w:rFonts w:hint="eastAsia" w:ascii="仿宋" w:hAnsi="仿宋" w:eastAsia="仿宋" w:cs="仿宋"/>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第五部分  合同条款</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_Toc4775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sz w:val="24"/>
          <w:highlight w:val="none"/>
        </w:rPr>
      </w:pPr>
      <w:r>
        <w:rPr>
          <w:rFonts w:hint="eastAsia" w:ascii="仿宋" w:hAnsi="仿宋" w:eastAsia="仿宋" w:cs="仿宋"/>
          <w:sz w:val="24"/>
          <w:szCs w:val="30"/>
          <w:highlight w:val="none"/>
        </w:rPr>
        <w:t>第六部分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_Toc25092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资格文件部分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_Toc22159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40</w:t>
      </w:r>
      <w:r>
        <w:rPr>
          <w:rFonts w:hint="eastAsia" w:ascii="仿宋" w:hAnsi="仿宋" w:eastAsia="仿宋" w:cs="仿宋"/>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商务技术文件部分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_Toc3386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46</w:t>
      </w:r>
      <w:r>
        <w:rPr>
          <w:rFonts w:hint="eastAsia" w:ascii="仿宋" w:hAnsi="仿宋" w:eastAsia="仿宋" w:cs="仿宋"/>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sz w:val="24"/>
          <w:highlight w:val="none"/>
        </w:rPr>
      </w:pPr>
      <w:r>
        <w:rPr>
          <w:rFonts w:hint="eastAsia" w:ascii="仿宋" w:hAnsi="仿宋" w:eastAsia="仿宋" w:cs="仿宋"/>
          <w:kern w:val="0"/>
          <w:sz w:val="24"/>
          <w:szCs w:val="36"/>
          <w:highlight w:val="none"/>
        </w:rPr>
        <w:t>报价文件部分</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_Toc14277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57</w:t>
      </w:r>
      <w:r>
        <w:rPr>
          <w:rFonts w:hint="eastAsia" w:ascii="仿宋" w:hAnsi="仿宋" w:eastAsia="仿宋" w:cs="仿宋"/>
          <w:sz w:val="24"/>
          <w:highlight w:val="none"/>
        </w:rPr>
        <w:fldChar w:fldCharType="end"/>
      </w:r>
    </w:p>
    <w:p w14:paraId="68C7D8FE">
      <w:pPr>
        <w:spacing w:line="360" w:lineRule="auto"/>
        <w:rPr>
          <w:rFonts w:hint="eastAsia" w:ascii="仿宋" w:hAnsi="仿宋" w:eastAsia="仿宋" w:cs="仿宋"/>
          <w:szCs w:val="21"/>
          <w:highlight w:val="none"/>
        </w:rPr>
      </w:pPr>
      <w:r>
        <w:rPr>
          <w:rFonts w:hint="eastAsia" w:ascii="仿宋" w:hAnsi="仿宋" w:eastAsia="仿宋" w:cs="仿宋"/>
          <w:sz w:val="28"/>
          <w:szCs w:val="21"/>
          <w:highlight w:val="none"/>
        </w:rPr>
        <w:fldChar w:fldCharType="end"/>
      </w:r>
      <w:bookmarkStart w:id="0" w:name="_Toc21665"/>
    </w:p>
    <w:p w14:paraId="2BD0BCAA">
      <w:pPr>
        <w:rPr>
          <w:rFonts w:hint="eastAsia" w:ascii="仿宋" w:hAnsi="仿宋" w:eastAsia="仿宋" w:cs="仿宋"/>
          <w:szCs w:val="21"/>
          <w:highlight w:val="none"/>
        </w:rPr>
      </w:pPr>
    </w:p>
    <w:p w14:paraId="5AF961BD">
      <w:pPr>
        <w:widowControl/>
        <w:jc w:val="left"/>
        <w:rPr>
          <w:rFonts w:hint="eastAsia" w:ascii="仿宋" w:hAnsi="仿宋" w:eastAsia="仿宋" w:cs="仿宋"/>
          <w:b/>
          <w:sz w:val="30"/>
          <w:szCs w:val="30"/>
          <w:highlight w:val="none"/>
        </w:rPr>
      </w:pPr>
      <w:bookmarkStart w:id="1" w:name="_Toc14260"/>
      <w:r>
        <w:rPr>
          <w:rFonts w:hint="eastAsia" w:ascii="仿宋" w:hAnsi="仿宋" w:eastAsia="仿宋" w:cs="仿宋"/>
          <w:b/>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2025年天山区园林队肥料采购项目（二次）</w:t>
      </w:r>
      <w:r>
        <w:rPr>
          <w:rFonts w:hint="eastAsia" w:ascii="仿宋" w:hAnsi="仿宋" w:eastAsia="仿宋" w:cs="仿宋"/>
          <w:kern w:val="0"/>
          <w:sz w:val="24"/>
          <w:szCs w:val="24"/>
          <w:highlight w:val="none"/>
        </w:rPr>
        <w:t>招标项目的潜在投标人应在政采云平台https://www.zcygov.cn/获取招标文件，并于</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2025-ZFCG-0013-01</w:t>
      </w:r>
    </w:p>
    <w:p w14:paraId="4CC09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2025年天山区园林队肥料采购项目（二次）</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预算金额（元）：</w:t>
      </w:r>
      <w:r>
        <w:rPr>
          <w:rFonts w:hint="eastAsia" w:ascii="仿宋" w:hAnsi="仿宋" w:eastAsia="仿宋" w:cs="仿宋"/>
          <w:kern w:val="0"/>
          <w:sz w:val="24"/>
          <w:szCs w:val="24"/>
          <w:highlight w:val="none"/>
          <w:lang w:val="en-US" w:eastAsia="zh-CN"/>
        </w:rPr>
        <w:t>225000</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w:t>
      </w:r>
      <w:r>
        <w:rPr>
          <w:rFonts w:hint="eastAsia" w:ascii="仿宋" w:hAnsi="仿宋" w:eastAsia="仿宋" w:cs="仿宋"/>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kern w:val="0"/>
          <w:sz w:val="24"/>
          <w:szCs w:val="24"/>
          <w:highlight w:val="none"/>
        </w:rPr>
        <w:t> 简要规格描述或项目基本概况介绍、</w:t>
      </w:r>
      <w:r>
        <w:rPr>
          <w:rFonts w:hint="eastAsia" w:ascii="仿宋" w:hAnsi="仿宋" w:eastAsia="仿宋" w:cs="仿宋"/>
          <w:color w:val="auto"/>
          <w:kern w:val="0"/>
          <w:sz w:val="24"/>
          <w:szCs w:val="24"/>
          <w:highlight w:val="none"/>
        </w:rPr>
        <w:t>用途：</w:t>
      </w:r>
      <w:r>
        <w:rPr>
          <w:rFonts w:hint="eastAsia" w:ascii="仿宋" w:hAnsi="仿宋" w:eastAsia="仿宋" w:cs="仿宋"/>
          <w:color w:val="auto"/>
          <w:kern w:val="0"/>
          <w:sz w:val="24"/>
          <w:szCs w:val="24"/>
          <w:highlight w:val="none"/>
          <w:lang w:eastAsia="zh-CN"/>
        </w:rPr>
        <w:t>采购肥料（羊粪），详见招标文件。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合同履约期限：</w:t>
      </w:r>
      <w:r>
        <w:rPr>
          <w:rFonts w:hint="eastAsia" w:ascii="仿宋" w:hAnsi="仿宋" w:eastAsia="仿宋" w:cs="仿宋"/>
          <w:kern w:val="0"/>
          <w:sz w:val="24"/>
          <w:szCs w:val="24"/>
          <w:highlight w:val="none"/>
          <w:lang w:eastAsia="zh-CN"/>
        </w:rPr>
        <w:t>一年</w:t>
      </w:r>
      <w:r>
        <w:rPr>
          <w:rFonts w:hint="eastAsia" w:ascii="仿宋" w:hAnsi="仿宋" w:eastAsia="仿宋" w:cs="仿宋"/>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eastAsia="zh-CN"/>
        </w:rPr>
        <w:t>本项目</w:t>
      </w:r>
      <w:r>
        <w:rPr>
          <w:rFonts w:hint="eastAsia" w:ascii="仿宋" w:hAnsi="仿宋" w:eastAsia="仿宋" w:cs="仿宋"/>
          <w:kern w:val="0"/>
          <w:sz w:val="24"/>
          <w:szCs w:val="24"/>
          <w:highlight w:val="none"/>
          <w:lang w:val="en-US" w:eastAsia="zh-CN"/>
        </w:rPr>
        <w:t>专门面向小微企业采购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3.本项目的特定资格要求：</w:t>
      </w:r>
      <w:r>
        <w:rPr>
          <w:rFonts w:hint="eastAsia" w:ascii="仿宋" w:hAnsi="仿宋" w:eastAsia="仿宋" w:cs="仿宋"/>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时间：</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07</w:t>
      </w:r>
      <w:r>
        <w:rPr>
          <w:rFonts w:hint="eastAsia" w:ascii="仿宋" w:hAnsi="仿宋" w:eastAsia="仿宋" w:cs="仿宋"/>
          <w:kern w:val="0"/>
          <w:sz w:val="24"/>
          <w:szCs w:val="24"/>
          <w:highlight w:val="none"/>
        </w:rPr>
        <w:t>至</w:t>
      </w:r>
      <w:r>
        <w:rPr>
          <w:rFonts w:hint="eastAsia" w:ascii="仿宋" w:hAnsi="仿宋" w:eastAsia="仿宋" w:cs="仿宋"/>
          <w:kern w:val="0"/>
          <w:sz w:val="24"/>
          <w:szCs w:val="24"/>
          <w:highlight w:val="none"/>
          <w:lang w:eastAsia="zh-CN"/>
        </w:rPr>
        <w:t>2025年</w:t>
      </w:r>
      <w:r>
        <w:rPr>
          <w:rFonts w:hint="eastAsia" w:ascii="仿宋" w:hAnsi="仿宋" w:eastAsia="仿宋" w:cs="仿宋"/>
          <w:kern w:val="0"/>
          <w:sz w:val="24"/>
          <w:szCs w:val="24"/>
          <w:highlight w:val="none"/>
        </w:rPr>
        <w:t>0</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14</w:t>
      </w:r>
      <w:r>
        <w:rPr>
          <w:rFonts w:hint="eastAsia" w:ascii="仿宋" w:hAnsi="仿宋" w:eastAsia="仿宋" w:cs="仿宋"/>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kern w:val="0"/>
          <w:sz w:val="24"/>
          <w:szCs w:val="24"/>
          <w:highlight w:val="none"/>
          <w:lang w:eastAsia="zh-CN"/>
        </w:rPr>
        <w:t>2025年03月28日 10:30</w:t>
      </w:r>
      <w:r>
        <w:rPr>
          <w:rFonts w:hint="eastAsia" w:ascii="仿宋" w:hAnsi="仿宋" w:eastAsia="仿宋" w:cs="仿宋"/>
          <w:kern w:val="0"/>
          <w:sz w:val="24"/>
          <w:szCs w:val="24"/>
          <w:highlight w:val="none"/>
        </w:rPr>
        <w:t>（北京时间）</w:t>
      </w:r>
    </w:p>
    <w:p w14:paraId="6F8CAE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开标地点：政采云平台https://www.zcygov.cn/</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六、</w:t>
      </w:r>
      <w:r>
        <w:rPr>
          <w:rFonts w:hint="eastAsia" w:ascii="仿宋" w:hAnsi="仿宋" w:eastAsia="仿宋" w:cs="仿宋"/>
          <w:b/>
          <w:bCs/>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名 称：</w:t>
      </w:r>
      <w:r>
        <w:rPr>
          <w:rFonts w:hint="eastAsia" w:ascii="仿宋" w:hAnsi="仿宋" w:eastAsia="仿宋" w:cs="仿宋"/>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 址：</w:t>
      </w:r>
      <w:r>
        <w:rPr>
          <w:rFonts w:hint="eastAsia" w:ascii="仿宋" w:hAnsi="仿宋" w:eastAsia="仿宋" w:cs="仿宋"/>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址：新疆乌鲁木齐高新技术产业开发区（新市区）鲤鱼山北路199号</w:t>
      </w:r>
      <w:r>
        <w:rPr>
          <w:rFonts w:hint="eastAsia" w:ascii="仿宋" w:hAnsi="仿宋" w:eastAsia="仿宋" w:cs="仿宋"/>
          <w:kern w:val="0"/>
          <w:sz w:val="24"/>
          <w:szCs w:val="24"/>
          <w:highlight w:val="none"/>
          <w:lang w:eastAsia="zh-CN"/>
        </w:rPr>
        <w:t>集电港</w:t>
      </w:r>
      <w:r>
        <w:rPr>
          <w:rFonts w:hint="eastAsia" w:ascii="仿宋" w:hAnsi="仿宋" w:eastAsia="仿宋" w:cs="仿宋"/>
          <w:kern w:val="0"/>
          <w:sz w:val="24"/>
          <w:szCs w:val="24"/>
          <w:highlight w:val="none"/>
          <w:lang w:val="en-US" w:eastAsia="zh-CN"/>
        </w:rPr>
        <w:t>A座</w:t>
      </w:r>
      <w:r>
        <w:rPr>
          <w:rFonts w:hint="eastAsia" w:ascii="仿宋" w:hAnsi="仿宋" w:eastAsia="仿宋" w:cs="仿宋"/>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话：0991-6660570</w:t>
      </w:r>
    </w:p>
    <w:p w14:paraId="5D6D184D">
      <w:pPr>
        <w:widowControl/>
        <w:tabs>
          <w:tab w:val="left" w:pos="8647"/>
        </w:tabs>
        <w:adjustRightInd w:val="0"/>
        <w:snapToGrid w:val="0"/>
        <w:spacing w:line="360" w:lineRule="auto"/>
        <w:jc w:val="both"/>
        <w:outlineLvl w:val="1"/>
        <w:rPr>
          <w:rFonts w:hint="eastAsia" w:ascii="仿宋" w:hAnsi="仿宋" w:eastAsia="仿宋" w:cs="仿宋"/>
          <w:b/>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2025年天山区园林队肥料采购项目（二次）</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2025-ZFCG-0013-01</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1.采购人信息</w:t>
            </w:r>
          </w:p>
          <w:p w14:paraId="3D50577B">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名 称：</w:t>
            </w:r>
            <w:r>
              <w:rPr>
                <w:rFonts w:hint="eastAsia" w:ascii="仿宋" w:hAnsi="仿宋" w:eastAsia="仿宋" w:cs="仿宋"/>
                <w:color w:val="000000"/>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地 址：</w:t>
            </w:r>
            <w:r>
              <w:rPr>
                <w:rFonts w:hint="eastAsia" w:ascii="仿宋" w:hAnsi="仿宋" w:eastAsia="仿宋" w:cs="仿宋"/>
                <w:color w:val="000000"/>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000000"/>
                <w:spacing w:val="0"/>
                <w:szCs w:val="24"/>
                <w:highlight w:val="none"/>
                <w:lang w:eastAsia="zh-CN"/>
              </w:rPr>
            </w:pPr>
            <w:r>
              <w:rPr>
                <w:rFonts w:hint="eastAsia" w:ascii="仿宋" w:hAnsi="仿宋" w:eastAsia="仿宋" w:cs="仿宋"/>
                <w:color w:val="000000"/>
                <w:spacing w:val="0"/>
                <w:szCs w:val="24"/>
                <w:highlight w:val="none"/>
              </w:rPr>
              <w:t>联系方式：</w:t>
            </w:r>
            <w:r>
              <w:rPr>
                <w:rFonts w:hint="eastAsia" w:ascii="仿宋" w:hAnsi="仿宋" w:eastAsia="仿宋" w:cs="仿宋"/>
                <w:color w:val="000000"/>
                <w:spacing w:val="0"/>
                <w:szCs w:val="24"/>
                <w:highlight w:val="none"/>
                <w:lang w:eastAsia="zh-CN"/>
              </w:rPr>
              <w:t>0991-2607959</w:t>
            </w:r>
          </w:p>
          <w:p w14:paraId="0C329FED">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2.采购代理机构信息</w:t>
            </w:r>
          </w:p>
          <w:p w14:paraId="64DE3ADC">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项目联系人：杨慧</w:t>
            </w:r>
          </w:p>
          <w:p w14:paraId="5DD91203">
            <w:pPr>
              <w:pStyle w:val="51"/>
              <w:spacing w:before="0" w:after="0" w:line="360" w:lineRule="auto"/>
              <w:rPr>
                <w:rFonts w:hint="eastAsia" w:ascii="仿宋" w:hAnsi="仿宋" w:eastAsia="仿宋" w:cs="仿宋"/>
                <w:color w:val="000000"/>
                <w:spacing w:val="0"/>
                <w:szCs w:val="24"/>
                <w:highlight w:val="none"/>
              </w:rPr>
            </w:pPr>
            <w:r>
              <w:rPr>
                <w:rFonts w:hint="eastAsia" w:ascii="仿宋" w:hAnsi="仿宋" w:eastAsia="仿宋" w:cs="仿宋"/>
                <w:color w:val="000000"/>
                <w:spacing w:val="0"/>
                <w:szCs w:val="24"/>
                <w:highlight w:val="none"/>
              </w:rPr>
              <w:t>电 话：0991-6660570</w:t>
            </w:r>
          </w:p>
          <w:p w14:paraId="008D4A49">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color w:val="000000"/>
                <w:spacing w:val="0"/>
                <w:szCs w:val="24"/>
                <w:highlight w:val="none"/>
              </w:rPr>
              <w:t>电子邮箱：zh6660570@qq.com　</w:t>
            </w:r>
            <w:r>
              <w:rPr>
                <w:rStyle w:val="52"/>
                <w:rFonts w:hint="eastAsia" w:ascii="仿宋" w:hAnsi="仿宋" w:eastAsia="仿宋" w:cs="仿宋"/>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不接受 </w:t>
            </w:r>
          </w:p>
          <w:p w14:paraId="067DB5F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sz w:val="24"/>
                <w:szCs w:val="24"/>
                <w:highlight w:val="none"/>
                <w:lang w:val="en-US"/>
              </w:rPr>
            </w:pPr>
            <w:r>
              <w:rPr>
                <w:rFonts w:hint="eastAsia" w:ascii="仿宋" w:hAnsi="仿宋" w:eastAsia="仿宋" w:cs="仿宋"/>
                <w:color w:val="auto"/>
                <w:kern w:val="0"/>
                <w:sz w:val="24"/>
                <w:szCs w:val="24"/>
                <w:highlight w:val="none"/>
                <w:lang w:eastAsia="zh-CN"/>
              </w:rPr>
              <w:t>肥料（羊粪）</w:t>
            </w:r>
            <w:r>
              <w:rPr>
                <w:rFonts w:hint="eastAsia" w:ascii="仿宋" w:hAnsi="仿宋" w:eastAsia="仿宋" w:cs="仿宋"/>
                <w:color w:val="auto"/>
                <w:kern w:val="0"/>
                <w:sz w:val="24"/>
                <w:szCs w:val="24"/>
                <w:highlight w:val="none"/>
                <w:lang w:val="en-US" w:eastAsia="zh-CN"/>
              </w:rPr>
              <w:t>1500立方米</w:t>
            </w:r>
            <w:r>
              <w:rPr>
                <w:rFonts w:hint="eastAsia" w:ascii="仿宋" w:hAnsi="仿宋" w:eastAsia="仿宋" w:cs="仿宋"/>
                <w:kern w:val="0"/>
                <w:sz w:val="24"/>
                <w:szCs w:val="24"/>
                <w:highlight w:val="none"/>
                <w:lang w:eastAsia="zh-CN"/>
              </w:rPr>
              <w:t>，</w:t>
            </w:r>
            <w:r>
              <w:rPr>
                <w:rFonts w:hint="eastAsia" w:ascii="仿宋" w:hAnsi="仿宋" w:eastAsia="仿宋" w:cs="仿宋"/>
                <w:color w:val="000000"/>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投标人资格要求</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val="en-US" w:eastAsia="zh-CN"/>
              </w:rPr>
              <w:t>专门面向小微企业采购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3.本项目的特定资格要求：</w:t>
            </w:r>
            <w:r>
              <w:rPr>
                <w:rFonts w:hint="eastAsia" w:ascii="仿宋" w:hAnsi="仿宋" w:eastAsia="仿宋" w:cs="仿宋"/>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采购人下单后24小时内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投标保证金的金额：</w:t>
            </w:r>
            <w:r>
              <w:rPr>
                <w:rStyle w:val="52"/>
                <w:rFonts w:hint="eastAsia" w:ascii="仿宋" w:hAnsi="仿宋" w:eastAsia="仿宋" w:cs="仿宋"/>
                <w:color w:val="auto"/>
                <w:sz w:val="24"/>
                <w:szCs w:val="24"/>
                <w:highlight w:val="none"/>
                <w:lang w:val="en-US"/>
              </w:rPr>
              <w:t>2250</w:t>
            </w:r>
            <w:r>
              <w:rPr>
                <w:rStyle w:val="52"/>
                <w:rFonts w:hint="eastAsia" w:ascii="仿宋" w:hAnsi="仿宋" w:eastAsia="仿宋" w:cs="仿宋"/>
                <w:color w:val="auto"/>
                <w:sz w:val="24"/>
                <w:szCs w:val="24"/>
                <w:highlight w:val="none"/>
              </w:rPr>
              <w:t>元 (大写：贰仟贰佰伍拾元整）；</w:t>
            </w:r>
          </w:p>
          <w:p w14:paraId="23D8CA1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5.保证金提交账号信息如下：</w:t>
            </w:r>
            <w:r>
              <w:rPr>
                <w:rStyle w:val="52"/>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【账户名称】：新疆正禾招投标有限公司</w:t>
            </w:r>
          </w:p>
          <w:p w14:paraId="7EF4B39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行】：中国银行乌鲁木齐市鲤鱼山北路支行  </w:t>
            </w:r>
          </w:p>
          <w:p w14:paraId="1EEFE28E">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号】：107682142279</w:t>
            </w:r>
          </w:p>
          <w:p w14:paraId="0651AD3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号】：104881004153</w:t>
            </w:r>
          </w:p>
          <w:p w14:paraId="05540564">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注：须在汇款单上备注“</w:t>
            </w:r>
            <w:r>
              <w:rPr>
                <w:rStyle w:val="52"/>
                <w:rFonts w:hint="eastAsia" w:ascii="仿宋" w:hAnsi="仿宋" w:eastAsia="仿宋" w:cs="仿宋"/>
                <w:color w:val="auto"/>
                <w:sz w:val="24"/>
                <w:szCs w:val="24"/>
                <w:highlight w:val="none"/>
                <w:lang w:val="en-US"/>
              </w:rPr>
              <w:t>0013</w:t>
            </w:r>
            <w:r>
              <w:rPr>
                <w:rStyle w:val="52"/>
                <w:rFonts w:hint="eastAsia" w:ascii="仿宋" w:hAnsi="仿宋" w:eastAsia="仿宋" w:cs="仿宋"/>
                <w:color w:val="auto"/>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2025年03月28日 10:30（北京时间）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r>
              <w:rPr>
                <w:rFonts w:hint="eastAsia" w:ascii="仿宋" w:hAnsi="仿宋" w:eastAsia="仿宋" w:cs="仿宋"/>
                <w:sz w:val="24"/>
                <w:highlight w:val="none"/>
                <w:lang w:eastAsia="zh-CN"/>
              </w:rPr>
              <w:t>，本项目代理服务费金额</w:t>
            </w:r>
            <w:r>
              <w:rPr>
                <w:rFonts w:hint="eastAsia" w:ascii="仿宋" w:hAnsi="仿宋" w:eastAsia="仿宋" w:cs="仿宋"/>
                <w:sz w:val="24"/>
                <w:highlight w:val="none"/>
                <w:lang w:val="en-US" w:eastAsia="zh-CN"/>
              </w:rPr>
              <w:t>3375元</w:t>
            </w:r>
            <w:r>
              <w:rPr>
                <w:rFonts w:hint="eastAsia" w:ascii="仿宋" w:hAnsi="仿宋" w:eastAsia="仿宋" w:cs="仿宋"/>
                <w:sz w:val="24"/>
                <w:highlight w:val="none"/>
              </w:rPr>
              <w:t>。</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none"/>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w:t>
            </w:r>
            <w:bookmarkStart w:id="75" w:name="_GoBack"/>
            <w:bookmarkEnd w:id="75"/>
            <w:r>
              <w:rPr>
                <w:rFonts w:hint="eastAsia" w:ascii="仿宋" w:hAnsi="仿宋" w:eastAsia="仿宋" w:cs="仿宋"/>
                <w:bCs/>
                <w:spacing w:val="10"/>
                <w:kern w:val="0"/>
                <w:sz w:val="24"/>
                <w:szCs w:val="24"/>
                <w:highlight w:val="none"/>
                <w:u w:val="single"/>
                <w:lang w:val="en-US" w:eastAsia="zh-CN" w:bidi="ar-SA"/>
              </w:rPr>
              <w:t>；从业人员20人及以上，且营业收入300万元及以上的为小型企业；从业人员20人以下或营业收入300万元以下的为微型企业。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7086"/>
      <w:bookmarkStart w:id="7" w:name="_Toc2187"/>
      <w:bookmarkStart w:id="8" w:name="_Toc240450076"/>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15.备份投标文件（本项目不适应）</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bl>
    <w:p w14:paraId="7A38C255">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242012796"/>
      <w:bookmarkStart w:id="19" w:name="_Toc31190"/>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p w14:paraId="4F40E994">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一、采购清单</w:t>
      </w:r>
    </w:p>
    <w:bookmarkEnd w:id="21"/>
    <w:tbl>
      <w:tblPr>
        <w:tblStyle w:val="2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7"/>
        <w:gridCol w:w="2426"/>
        <w:gridCol w:w="1200"/>
        <w:gridCol w:w="1705"/>
        <w:gridCol w:w="2754"/>
      </w:tblGrid>
      <w:tr w14:paraId="2142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6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bookmarkStart w:id="22" w:name="_Toc14349"/>
            <w:bookmarkStart w:id="23" w:name="_Toc16846"/>
            <w:bookmarkStart w:id="24" w:name="_Toc342633574"/>
            <w:bookmarkStart w:id="25" w:name="_Toc17821"/>
            <w:bookmarkStart w:id="26" w:name="_Toc9192"/>
            <w:bookmarkStart w:id="27" w:name="_Toc242012824"/>
            <w:bookmarkStart w:id="28" w:name="_Toc19650"/>
            <w:r>
              <w:rPr>
                <w:rFonts w:hint="eastAsia" w:ascii="仿宋" w:hAnsi="仿宋" w:eastAsia="仿宋" w:cs="仿宋"/>
                <w:b/>
                <w:bCs/>
                <w:i w:val="0"/>
                <w:iCs w:val="0"/>
                <w:color w:val="000000"/>
                <w:kern w:val="0"/>
                <w:sz w:val="24"/>
                <w:szCs w:val="24"/>
                <w:highlight w:val="none"/>
                <w:u w:val="none"/>
                <w:lang w:val="en-US" w:eastAsia="zh-CN" w:bidi="ar"/>
              </w:rPr>
              <w:t>序号</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B3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43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26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AC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6789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11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F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肥料（羊粪）</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DE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C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Style w:val="61"/>
                <w:rFonts w:hint="eastAsia" w:ascii="仿宋" w:hAnsi="仿宋" w:eastAsia="仿宋" w:cs="仿宋"/>
                <w:sz w:val="24"/>
                <w:szCs w:val="24"/>
                <w:highlight w:val="none"/>
                <w:lang w:val="en-US" w:eastAsia="zh-CN" w:bidi="ar"/>
              </w:rPr>
              <w:t>立方米</w:t>
            </w:r>
          </w:p>
        </w:tc>
        <w:tc>
          <w:tcPr>
            <w:tcW w:w="1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5C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r>
    </w:tbl>
    <w:p w14:paraId="02AF92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交货日期时限及货物运输要求：中标方在与采购人签订合同后，中标供应商必须按甲方要求的时间及指定地点，及时供货，运输费用全部由中标方承担。</w:t>
      </w:r>
    </w:p>
    <w:p w14:paraId="17CB9EA5">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rPr>
      </w:pPr>
    </w:p>
    <w:p w14:paraId="3BEF04B1">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二、质量要求</w:t>
      </w:r>
    </w:p>
    <w:p w14:paraId="39939A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原料必须是纯羊粪，堆积发酵前水分控制在60～65%，即手握成团，落地成2～3瓣。</w:t>
      </w:r>
    </w:p>
    <w:p w14:paraId="64B38B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肥料必须纯净，不得混有石头、草屑、锯末及其他杂草物质的混合肥料。必须经过 </w:t>
      </w:r>
    </w:p>
    <w:p w14:paraId="1A625F50">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发酵一年以上。 </w:t>
      </w:r>
    </w:p>
    <w:p w14:paraId="101C37CE">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val="en-US" w:eastAsia="zh-CN"/>
        </w:rPr>
      </w:pPr>
    </w:p>
    <w:p w14:paraId="619D8172">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三、验货方式 </w:t>
      </w:r>
    </w:p>
    <w:p w14:paraId="0EB216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经甲方验收合格后，甲乙双方再根据每车肥料实际的长宽高计算方量。如发现乙方在供应的羊粪中有掺假现象，甲方有权立即终止合同，拒绝收货，并取消其供货资格。 </w:t>
      </w:r>
    </w:p>
    <w:p w14:paraId="56389F38">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val="en-US" w:eastAsia="zh-CN"/>
        </w:rPr>
      </w:pPr>
    </w:p>
    <w:p w14:paraId="22C0E7ED">
      <w:pPr>
        <w:pStyle w:val="2"/>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 xml:space="preserve">四、拉运时间及地点 </w:t>
      </w:r>
    </w:p>
    <w:p w14:paraId="360F7F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合同签订后，中标供应商必须按甲方要求的时间及指定地点，按时按量供货。乙方供应的肥料，必须经甲方验收合格后，甲乙双方再根据每车肥料实际的长宽高计算方量。 </w:t>
      </w:r>
    </w:p>
    <w:p w14:paraId="01C14D85">
      <w:pPr>
        <w:pStyle w:val="13"/>
        <w:rPr>
          <w:rFonts w:hint="eastAsia"/>
          <w:highlight w:val="none"/>
        </w:rPr>
      </w:pPr>
    </w:p>
    <w:p w14:paraId="76F48087">
      <w:pPr>
        <w:rPr>
          <w:rFonts w:hint="eastAsia"/>
          <w:highlight w:val="none"/>
        </w:rPr>
      </w:pPr>
    </w:p>
    <w:p w14:paraId="4EFE601D">
      <w:pPr>
        <w:rPr>
          <w:rFonts w:hint="eastAsia"/>
          <w:highlight w:val="none"/>
        </w:rPr>
      </w:pPr>
    </w:p>
    <w:p w14:paraId="4208F3EB">
      <w:pPr>
        <w:rPr>
          <w:rFonts w:hint="eastAsia"/>
          <w:highlight w:val="none"/>
        </w:rPr>
      </w:pPr>
    </w:p>
    <w:p w14:paraId="5D6594C3">
      <w:pPr>
        <w:rPr>
          <w:rFonts w:hint="eastAsia"/>
          <w:highlight w:val="none"/>
        </w:rPr>
      </w:pPr>
    </w:p>
    <w:p w14:paraId="279B3DBC">
      <w:pPr>
        <w:rPr>
          <w:rFonts w:hint="eastAsia"/>
          <w:highlight w:val="none"/>
        </w:rPr>
      </w:pPr>
    </w:p>
    <w:p w14:paraId="0825E3CF">
      <w:pPr>
        <w:rPr>
          <w:rFonts w:hint="eastAsia" w:ascii="仿宋" w:hAnsi="仿宋" w:eastAsia="仿宋" w:cs="仿宋"/>
          <w:b/>
          <w:sz w:val="30"/>
          <w:szCs w:val="30"/>
          <w:highlight w:val="none"/>
        </w:rPr>
      </w:pPr>
    </w:p>
    <w:p w14:paraId="69841178">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29" w:name="_Toc16598"/>
      <w:bookmarkStart w:id="30" w:name="_Toc10744"/>
      <w:r>
        <w:rPr>
          <w:rFonts w:hint="eastAsia" w:ascii="仿宋" w:hAnsi="仿宋" w:eastAsia="仿宋" w:cs="仿宋"/>
          <w:b/>
          <w:kern w:val="21"/>
          <w:sz w:val="28"/>
          <w:szCs w:val="28"/>
          <w:highlight w:val="none"/>
        </w:rPr>
        <w:t>评标办法前附表</w:t>
      </w:r>
      <w:bookmarkEnd w:id="29"/>
      <w:bookmarkEnd w:id="30"/>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lang w:eastAsia="zh-CN"/>
              </w:rPr>
            </w:pPr>
            <w:r>
              <w:rPr>
                <w:rFonts w:hint="eastAsia" w:ascii="仿宋" w:hAnsi="仿宋" w:eastAsia="仿宋" w:cs="仿宋"/>
                <w:b/>
                <w:kern w:val="0"/>
                <w:sz w:val="24"/>
                <w:szCs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技术部分评分</w:t>
            </w:r>
            <w:r>
              <w:rPr>
                <w:rFonts w:hint="eastAsia" w:ascii="仿宋" w:hAnsi="仿宋" w:eastAsia="仿宋" w:cs="仿宋"/>
                <w:b/>
                <w:kern w:val="0"/>
                <w:sz w:val="24"/>
                <w:szCs w:val="24"/>
                <w:highlight w:val="none"/>
                <w:lang w:val="en-US" w:eastAsia="zh-CN"/>
              </w:rPr>
              <w:t>55</w:t>
            </w:r>
            <w:r>
              <w:rPr>
                <w:rFonts w:hint="eastAsia" w:ascii="仿宋" w:hAnsi="仿宋" w:eastAsia="仿宋" w:cs="仿宋"/>
                <w:b/>
                <w:kern w:val="0"/>
                <w:sz w:val="24"/>
                <w:szCs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须对照</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》中全部内容逐条在《技术参数偏离表》中列明响应内</w:t>
            </w:r>
            <w:r>
              <w:rPr>
                <w:rFonts w:hint="eastAsia" w:ascii="仿宋" w:hAnsi="仿宋" w:eastAsia="仿宋" w:cs="仿宋"/>
                <w:kern w:val="2"/>
                <w:sz w:val="24"/>
                <w:szCs w:val="24"/>
                <w:highlight w:val="none"/>
                <w:lang w:val="en-US" w:eastAsia="zh-CN" w:bidi="ar-SA"/>
              </w:rPr>
              <w:t>容及是否</w:t>
            </w:r>
            <w:r>
              <w:rPr>
                <w:rFonts w:hint="eastAsia" w:ascii="仿宋" w:hAnsi="仿宋" w:eastAsia="仿宋" w:cs="仿宋"/>
                <w:sz w:val="24"/>
                <w:szCs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投标人能根据</w:t>
            </w:r>
            <w:r>
              <w:rPr>
                <w:rFonts w:hint="eastAsia" w:ascii="仿宋" w:hAnsi="仿宋" w:eastAsia="仿宋" w:cs="仿宋"/>
                <w:sz w:val="24"/>
                <w:szCs w:val="24"/>
                <w:highlight w:val="none"/>
                <w:lang w:eastAsia="zh-CN"/>
              </w:rPr>
              <w:t>第三部分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》中所列的产品主要技术参数响应情况进行评审，完全满足所列产品的参数要求（即正偏离或无偏离）的得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分；有一项不满足（负偏离）的</w:t>
            </w:r>
            <w:r>
              <w:rPr>
                <w:rFonts w:hint="eastAsia" w:ascii="仿宋" w:hAnsi="仿宋" w:eastAsia="仿宋" w:cs="仿宋"/>
                <w:sz w:val="24"/>
                <w:szCs w:val="24"/>
                <w:highlight w:val="none"/>
                <w:lang w:val="en-US" w:eastAsia="zh-CN"/>
              </w:rPr>
              <w:t>扣3分</w:t>
            </w:r>
            <w:r>
              <w:rPr>
                <w:rFonts w:hint="eastAsia" w:ascii="仿宋" w:hAnsi="仿宋" w:eastAsia="仿宋" w:cs="仿宋"/>
                <w:sz w:val="24"/>
                <w:szCs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所有内容均提供且可实施得14分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eastAsia="zh-CN"/>
              </w:rPr>
              <w:t>场地及堆放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所有内容均提供且可实施得10分，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投标人提供的售后服务方案的内容包括但不限于①售后</w:t>
            </w:r>
            <w:r>
              <w:rPr>
                <w:rFonts w:hint="eastAsia" w:ascii="仿宋" w:hAnsi="仿宋" w:eastAsia="仿宋" w:cs="仿宋"/>
                <w:sz w:val="24"/>
                <w:szCs w:val="24"/>
                <w:highlight w:val="none"/>
                <w:lang w:eastAsia="zh-CN"/>
              </w:rPr>
              <w:t>服务保障体系</w:t>
            </w:r>
            <w:r>
              <w:rPr>
                <w:rFonts w:hint="eastAsia" w:ascii="仿宋" w:hAnsi="仿宋" w:eastAsia="仿宋" w:cs="仿宋"/>
                <w:sz w:val="24"/>
                <w:szCs w:val="24"/>
                <w:highlight w:val="none"/>
                <w:lang w:val="en-US" w:eastAsia="zh-CN"/>
              </w:rPr>
              <w:t xml:space="preserve"> ②质保期内、外服务计划 ③售后服务承诺④验收方案；所有内容均提供且可实施得8分，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sz w:val="24"/>
                <w:szCs w:val="24"/>
                <w:highlight w:val="none"/>
                <w:lang w:eastAsia="zh-CN"/>
              </w:rPr>
              <w:t>应急保障预案</w:t>
            </w:r>
            <w:r>
              <w:rPr>
                <w:rFonts w:hint="eastAsia" w:ascii="仿宋" w:hAnsi="仿宋" w:eastAsia="仿宋" w:cs="仿宋"/>
                <w:sz w:val="24"/>
                <w:szCs w:val="24"/>
                <w:highlight w:val="none"/>
                <w:lang w:val="en-US" w:eastAsia="zh-CN"/>
              </w:rPr>
              <w:t>的内容包括但不限于①货物质量问题②遇突发安全事件③货源短缺时的应急措施④恶劣天气运输预案；所有内容均提供且可实施得8分，</w:t>
            </w:r>
            <w:r>
              <w:rPr>
                <w:rFonts w:hint="eastAsia" w:ascii="仿宋" w:hAnsi="仿宋" w:eastAsia="仿宋" w:cs="仿宋"/>
                <w:color w:val="auto"/>
                <w:sz w:val="24"/>
                <w:szCs w:val="24"/>
                <w:highlight w:val="none"/>
              </w:rPr>
              <w:t>每有一项未提供扣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分，扣完为止；每1项中每有 1 处有缺陷扣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分，每项最多扣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 （缺陷是指存在项目名称错误、地点区域错误、内容与本项目需求无关、方案内容矛盾或表述前后不一致、仅有框架或标题、适用的标准（方法）错误、明显复制其他项目内容等</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 xml:space="preserve">任意一种情形） </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szCs w:val="24"/>
                <w:highlight w:val="none"/>
                <w:lang w:val="en-US" w:eastAsia="zh-CN"/>
              </w:rPr>
            </w:pPr>
            <w:r>
              <w:rPr>
                <w:rFonts w:hint="eastAsia" w:ascii="仿宋" w:hAnsi="仿宋" w:eastAsia="仿宋" w:cs="仿宋"/>
                <w:sz w:val="24"/>
                <w:szCs w:val="24"/>
                <w:highlight w:val="none"/>
                <w:lang w:val="en-US" w:eastAsia="zh-CN"/>
              </w:rPr>
              <w:t>8</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商务部分评分</w:t>
            </w:r>
            <w:r>
              <w:rPr>
                <w:rFonts w:hint="eastAsia" w:ascii="仿宋" w:hAnsi="仿宋" w:eastAsia="仿宋" w:cs="仿宋"/>
                <w:b/>
                <w:kern w:val="0"/>
                <w:sz w:val="24"/>
                <w:szCs w:val="24"/>
                <w:highlight w:val="none"/>
                <w:lang w:val="en-US" w:eastAsia="zh-CN"/>
              </w:rPr>
              <w:t>15</w:t>
            </w:r>
            <w:r>
              <w:rPr>
                <w:rFonts w:hint="eastAsia" w:ascii="仿宋" w:hAnsi="仿宋" w:eastAsia="仿宋" w:cs="仿宋"/>
                <w:b/>
                <w:kern w:val="0"/>
                <w:sz w:val="24"/>
                <w:szCs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根据投标人提供的</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1" w:name="_Toc10819"/>
      <w:bookmarkStart w:id="32" w:name="_Toc5618"/>
      <w:r>
        <w:rPr>
          <w:rFonts w:hint="eastAsia" w:ascii="仿宋" w:hAnsi="仿宋" w:eastAsia="仿宋" w:cs="仿宋"/>
          <w:sz w:val="24"/>
          <w:szCs w:val="24"/>
          <w:highlight w:val="none"/>
        </w:rPr>
        <w:t>二、评标标准</w:t>
      </w:r>
      <w:bookmarkEnd w:id="31"/>
      <w:bookmarkEnd w:id="32"/>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3" w:name="_Toc2541"/>
      <w:bookmarkStart w:id="34" w:name="_Toc7191"/>
      <w:r>
        <w:rPr>
          <w:rFonts w:hint="eastAsia" w:ascii="仿宋" w:hAnsi="仿宋" w:eastAsia="仿宋" w:cs="仿宋"/>
          <w:sz w:val="24"/>
          <w:szCs w:val="24"/>
          <w:highlight w:val="none"/>
        </w:rPr>
        <w:t>三、评标程序</w:t>
      </w:r>
      <w:bookmarkEnd w:id="33"/>
      <w:bookmarkEnd w:id="34"/>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7"/>
        <w:gridCol w:w="6904"/>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63" w:type="pct"/>
            <w:gridSpan w:val="2"/>
            <w:vAlign w:val="center"/>
          </w:tcPr>
          <w:p w14:paraId="30FE050F">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评审内容</w:t>
            </w:r>
          </w:p>
        </w:tc>
        <w:tc>
          <w:tcPr>
            <w:tcW w:w="3736" w:type="pct"/>
            <w:vAlign w:val="center"/>
          </w:tcPr>
          <w:p w14:paraId="2807E97E">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066CFFD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66" w:type="pct"/>
            <w:vAlign w:val="center"/>
          </w:tcPr>
          <w:p w14:paraId="69554B03">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3736" w:type="pct"/>
            <w:vAlign w:val="center"/>
          </w:tcPr>
          <w:p w14:paraId="781BD5A4">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798DE821">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66" w:type="pct"/>
            <w:vAlign w:val="center"/>
          </w:tcPr>
          <w:p w14:paraId="419BC182">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3736" w:type="pct"/>
            <w:vAlign w:val="center"/>
          </w:tcPr>
          <w:p w14:paraId="1088B97B">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6BA862C3">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66" w:type="pct"/>
            <w:vAlign w:val="center"/>
          </w:tcPr>
          <w:p w14:paraId="47C27F3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3736" w:type="pct"/>
            <w:vAlign w:val="center"/>
          </w:tcPr>
          <w:p w14:paraId="4458B18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96" w:type="pct"/>
            <w:vAlign w:val="center"/>
          </w:tcPr>
          <w:p w14:paraId="2333355F">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66" w:type="pct"/>
            <w:vAlign w:val="center"/>
          </w:tcPr>
          <w:p w14:paraId="1C3AD98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3736" w:type="pct"/>
            <w:vAlign w:val="center"/>
          </w:tcPr>
          <w:p w14:paraId="539BBAAD">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4EA16BA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66" w:type="pct"/>
            <w:vAlign w:val="center"/>
          </w:tcPr>
          <w:p w14:paraId="0F1426A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3736" w:type="pct"/>
            <w:vAlign w:val="center"/>
          </w:tcPr>
          <w:p w14:paraId="22B3B4E6">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4F34E78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66" w:type="pct"/>
            <w:vAlign w:val="center"/>
          </w:tcPr>
          <w:p w14:paraId="7FD41F05">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3736" w:type="pct"/>
            <w:vAlign w:val="center"/>
          </w:tcPr>
          <w:p w14:paraId="2DB613F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Align w:val="center"/>
          </w:tcPr>
          <w:p w14:paraId="1B5A964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66" w:type="pct"/>
            <w:vAlign w:val="center"/>
          </w:tcPr>
          <w:p w14:paraId="346AEFC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质保期限</w:t>
            </w:r>
          </w:p>
        </w:tc>
        <w:tc>
          <w:tcPr>
            <w:tcW w:w="3736" w:type="pct"/>
            <w:vAlign w:val="center"/>
          </w:tcPr>
          <w:p w14:paraId="31665CD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6" w:type="pct"/>
            <w:vAlign w:val="center"/>
          </w:tcPr>
          <w:p w14:paraId="0BF6005B">
            <w:pPr>
              <w:pStyle w:val="12"/>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966" w:type="pct"/>
            <w:vAlign w:val="center"/>
          </w:tcPr>
          <w:p w14:paraId="45DBC231">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3736" w:type="pct"/>
            <w:vAlign w:val="center"/>
          </w:tcPr>
          <w:p w14:paraId="0218868C">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6" w:type="pct"/>
            <w:vAlign w:val="center"/>
          </w:tcPr>
          <w:p w14:paraId="1647DE88">
            <w:pPr>
              <w:pStyle w:val="12"/>
              <w:bidi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966" w:type="pct"/>
            <w:vAlign w:val="center"/>
          </w:tcPr>
          <w:p w14:paraId="567555C9">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3736" w:type="pct"/>
            <w:vAlign w:val="center"/>
          </w:tcPr>
          <w:p w14:paraId="1671196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35" w:name="_Toc20079"/>
      <w:bookmarkStart w:id="36" w:name="_Toc16744"/>
      <w:r>
        <w:rPr>
          <w:rFonts w:hint="eastAsia" w:ascii="仿宋" w:hAnsi="仿宋" w:eastAsia="仿宋" w:cs="仿宋"/>
          <w:sz w:val="24"/>
          <w:szCs w:val="24"/>
          <w:highlight w:val="none"/>
        </w:rPr>
        <w:t>四、评标中的其他事项</w:t>
      </w:r>
      <w:bookmarkEnd w:id="35"/>
      <w:bookmarkEnd w:id="36"/>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37"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7"/>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38"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38"/>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39" w:name="_Hlk534720381"/>
      <w:bookmarkStart w:id="40" w:name="_Toc251566661"/>
      <w:bookmarkStart w:id="41" w:name="_Toc249760790"/>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39"/>
    <w:bookmarkEnd w:id="40"/>
    <w:bookmarkEnd w:id="41"/>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2"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2025年天山区园林队肥料采购项目（二次）采购合同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2025年天山区园林队肥料采购项目（二次）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2"/>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3" w:name="_Toc251566668"/>
      <w:bookmarkStart w:id="44" w:name="_Toc249760797"/>
      <w:bookmarkStart w:id="45" w:name="_Toc1306"/>
      <w:bookmarkStart w:id="46" w:name="_Toc234764855"/>
      <w:bookmarkStart w:id="47" w:name="_Toc25092"/>
      <w:r>
        <w:rPr>
          <w:rFonts w:hint="eastAsia" w:ascii="仿宋" w:hAnsi="仿宋" w:eastAsia="仿宋" w:cs="仿宋"/>
          <w:b/>
          <w:sz w:val="30"/>
          <w:szCs w:val="30"/>
          <w:highlight w:val="none"/>
        </w:rPr>
        <w:t>第六部分  投标文件格式</w:t>
      </w:r>
      <w:bookmarkEnd w:id="43"/>
      <w:bookmarkEnd w:id="44"/>
      <w:bookmarkEnd w:id="45"/>
      <w:bookmarkEnd w:id="46"/>
      <w:bookmarkEnd w:id="47"/>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48" w:name="_Toc17481"/>
      <w:bookmarkStart w:id="49" w:name="_Toc23772"/>
      <w:bookmarkStart w:id="50" w:name="_Toc22159"/>
      <w:bookmarkStart w:id="51" w:name="_Toc32560"/>
      <w:bookmarkStart w:id="52" w:name="_Toc25507"/>
      <w:r>
        <w:rPr>
          <w:rFonts w:hint="eastAsia" w:ascii="仿宋" w:hAnsi="仿宋" w:eastAsia="仿宋" w:cs="仿宋"/>
          <w:b/>
          <w:kern w:val="0"/>
          <w:sz w:val="36"/>
          <w:szCs w:val="36"/>
          <w:highlight w:val="none"/>
        </w:rPr>
        <w:t>资格文件部分</w:t>
      </w:r>
      <w:bookmarkEnd w:id="48"/>
      <w:bookmarkEnd w:id="49"/>
      <w:bookmarkEnd w:id="50"/>
      <w:bookmarkEnd w:id="51"/>
      <w:bookmarkEnd w:id="52"/>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highlight w:val="none"/>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08A2FAE0">
      <w:pPr>
        <w:spacing w:line="360" w:lineRule="auto"/>
        <w:ind w:right="420" w:firstLine="480" w:firstLineChars="200"/>
        <w:rPr>
          <w:rFonts w:hint="eastAsia" w:ascii="仿宋" w:hAnsi="仿宋" w:eastAsia="仿宋" w:cs="仿宋"/>
          <w:highlight w:val="none"/>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highlight w:val="none"/>
        </w:rPr>
      </w:pPr>
      <w:r>
        <w:rPr>
          <w:rFonts w:hint="eastAsia" w:ascii="仿宋" w:hAnsi="仿宋" w:eastAsia="仿宋" w:cs="仿宋"/>
          <w:b/>
          <w:sz w:val="32"/>
          <w:szCs w:val="32"/>
          <w:highlight w:val="none"/>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3" w:name="_Toc23246"/>
      <w:bookmarkStart w:id="54" w:name="_Toc3036"/>
      <w:bookmarkStart w:id="55" w:name="_Toc23502"/>
      <w:bookmarkStart w:id="56" w:name="_Toc3386"/>
      <w:bookmarkStart w:id="57" w:name="_Toc22489"/>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3"/>
      <w:bookmarkEnd w:id="54"/>
      <w:bookmarkEnd w:id="55"/>
      <w:bookmarkEnd w:id="56"/>
      <w:bookmarkEnd w:id="57"/>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highlight w:val="none"/>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法定代表人资格证明书</w:t>
      </w:r>
    </w:p>
    <w:p w14:paraId="3FD01F48">
      <w:pPr>
        <w:adjustRightInd w:val="0"/>
        <w:snapToGrid w:val="0"/>
        <w:spacing w:line="360" w:lineRule="auto"/>
        <w:ind w:firstLine="420" w:firstLineChars="200"/>
        <w:rPr>
          <w:rFonts w:hint="eastAsia" w:ascii="仿宋" w:hAnsi="仿宋" w:eastAsia="仿宋" w:cs="仿宋"/>
          <w:szCs w:val="21"/>
          <w:highlight w:val="none"/>
        </w:rPr>
      </w:pPr>
    </w:p>
    <w:p w14:paraId="35EA5994">
      <w:pPr>
        <w:adjustRightInd w:val="0"/>
        <w:snapToGrid w:val="0"/>
        <w:spacing w:line="360" w:lineRule="auto"/>
        <w:ind w:firstLine="420" w:firstLineChars="200"/>
        <w:rPr>
          <w:rFonts w:hint="eastAsia" w:ascii="仿宋" w:hAnsi="仿宋" w:eastAsia="仿宋" w:cs="仿宋"/>
          <w:szCs w:val="21"/>
          <w:highlight w:val="none"/>
        </w:rPr>
      </w:pPr>
    </w:p>
    <w:p w14:paraId="6AD514CC">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供应商名称：</w:t>
      </w:r>
    </w:p>
    <w:p w14:paraId="0123D2AE">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法定地址：</w:t>
      </w:r>
    </w:p>
    <w:p w14:paraId="00B5A85F">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姓名：</w:t>
      </w:r>
    </w:p>
    <w:p w14:paraId="27411964">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性别：</w:t>
      </w:r>
    </w:p>
    <w:p w14:paraId="5B51EDB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年龄：</w:t>
      </w:r>
    </w:p>
    <w:p w14:paraId="7B933B2B">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职务：</w:t>
      </w:r>
    </w:p>
    <w:p w14:paraId="2FA44035">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身份证号码：</w:t>
      </w:r>
    </w:p>
    <w:p w14:paraId="469E6F75">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该同志系公司法定代表人。</w:t>
      </w:r>
    </w:p>
    <w:p w14:paraId="68316892">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特此证明！</w:t>
      </w:r>
    </w:p>
    <w:p w14:paraId="0FA41D57">
      <w:pPr>
        <w:adjustRightInd w:val="0"/>
        <w:snapToGrid w:val="0"/>
        <w:spacing w:line="360" w:lineRule="auto"/>
        <w:ind w:firstLine="420" w:firstLineChars="200"/>
        <w:rPr>
          <w:rFonts w:hint="eastAsia" w:ascii="仿宋" w:hAnsi="仿宋" w:eastAsia="仿宋" w:cs="仿宋"/>
          <w:szCs w:val="21"/>
          <w:highlight w:val="none"/>
        </w:rPr>
      </w:pPr>
    </w:p>
    <w:p w14:paraId="19A34595">
      <w:pPr>
        <w:adjustRightInd w:val="0"/>
        <w:snapToGrid w:val="0"/>
        <w:spacing w:line="360" w:lineRule="auto"/>
        <w:ind w:firstLine="420" w:firstLineChars="200"/>
        <w:rPr>
          <w:rFonts w:hint="eastAsia" w:ascii="仿宋" w:hAnsi="仿宋" w:eastAsia="仿宋" w:cs="仿宋"/>
          <w:szCs w:val="21"/>
          <w:highlight w:val="none"/>
        </w:rPr>
      </w:pPr>
    </w:p>
    <w:p w14:paraId="20781D89">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供应商：（</w:t>
      </w:r>
      <w:r>
        <w:rPr>
          <w:rFonts w:hint="eastAsia" w:ascii="仿宋" w:hAnsi="仿宋" w:eastAsia="仿宋" w:cs="仿宋"/>
          <w:highlight w:val="none"/>
        </w:rPr>
        <w:t>盖单位公章</w:t>
      </w:r>
      <w:r>
        <w:rPr>
          <w:rFonts w:hint="eastAsia" w:ascii="仿宋" w:hAnsi="仿宋" w:eastAsia="仿宋" w:cs="仿宋"/>
          <w:szCs w:val="21"/>
          <w:highlight w:val="none"/>
        </w:rPr>
        <w:t>）</w:t>
      </w:r>
    </w:p>
    <w:p w14:paraId="48E6466F">
      <w:pPr>
        <w:adjustRightInd w:val="0"/>
        <w:snapToGrid w:val="0"/>
        <w:spacing w:line="360" w:lineRule="auto"/>
        <w:ind w:firstLine="420" w:firstLineChars="200"/>
        <w:rPr>
          <w:rFonts w:hint="eastAsia" w:ascii="仿宋" w:hAnsi="仿宋" w:eastAsia="仿宋" w:cs="仿宋"/>
          <w:szCs w:val="21"/>
          <w:highlight w:val="none"/>
        </w:rPr>
      </w:pPr>
    </w:p>
    <w:p w14:paraId="6CC6B968">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highlight w:val="none"/>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highlight w:val="none"/>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58" w:name="_Toc12628"/>
      <w:bookmarkStart w:id="59" w:name="_Toc32320"/>
      <w:bookmarkStart w:id="60" w:name="_Toc5590"/>
      <w:bookmarkStart w:id="61" w:name="_Toc3363"/>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highlight w:val="none"/>
        </w:rPr>
      </w:pPr>
    </w:p>
    <w:p w14:paraId="1772C5D8">
      <w:pPr>
        <w:rPr>
          <w:rFonts w:hint="eastAsia" w:ascii="仿宋" w:hAnsi="仿宋" w:eastAsia="仿宋" w:cs="仿宋"/>
          <w:szCs w:val="21"/>
          <w:highlight w:val="none"/>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highlight w:val="none"/>
        </w:rPr>
      </w:pPr>
    </w:p>
    <w:p w14:paraId="64690EEC">
      <w:pPr>
        <w:pStyle w:val="12"/>
        <w:rPr>
          <w:rFonts w:hint="eastAsia" w:ascii="仿宋" w:hAnsi="仿宋" w:eastAsia="仿宋" w:cs="仿宋"/>
          <w:b/>
          <w:szCs w:val="21"/>
          <w:highlight w:val="none"/>
        </w:rPr>
      </w:pPr>
    </w:p>
    <w:p w14:paraId="0930C9B1">
      <w:pPr>
        <w:pStyle w:val="12"/>
        <w:rPr>
          <w:rFonts w:hint="eastAsia" w:ascii="仿宋" w:hAnsi="仿宋" w:eastAsia="仿宋" w:cs="仿宋"/>
          <w:b/>
          <w:szCs w:val="21"/>
          <w:highlight w:val="none"/>
        </w:rPr>
      </w:pPr>
    </w:p>
    <w:p w14:paraId="717BB10B">
      <w:pPr>
        <w:spacing w:line="600" w:lineRule="auto"/>
        <w:jc w:val="both"/>
        <w:rPr>
          <w:rFonts w:hint="eastAsia" w:ascii="仿宋" w:hAnsi="仿宋" w:eastAsia="仿宋" w:cs="仿宋"/>
          <w:b/>
          <w:szCs w:val="21"/>
          <w:highlight w:val="none"/>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本单位在此承诺：如在本项目中标，中标之日起5个工作日之内，向贵公司按采购文件约定支付中标服务费。</w:t>
      </w:r>
    </w:p>
    <w:p w14:paraId="0FCF058B">
      <w:pPr>
        <w:rPr>
          <w:rFonts w:hint="eastAsia" w:ascii="仿宋" w:hAnsi="仿宋" w:eastAsia="仿宋" w:cs="仿宋"/>
          <w:sz w:val="24"/>
          <w:szCs w:val="24"/>
          <w:highlight w:val="none"/>
        </w:rPr>
      </w:pPr>
    </w:p>
    <w:p w14:paraId="2F012D89">
      <w:pPr>
        <w:rPr>
          <w:rFonts w:hint="eastAsia" w:ascii="仿宋" w:hAnsi="仿宋" w:eastAsia="仿宋" w:cs="仿宋"/>
          <w:sz w:val="24"/>
          <w:szCs w:val="24"/>
          <w:highlight w:val="none"/>
        </w:rPr>
      </w:pPr>
    </w:p>
    <w:p w14:paraId="20452B42">
      <w:pPr>
        <w:rPr>
          <w:rFonts w:hint="eastAsia" w:ascii="仿宋" w:hAnsi="仿宋" w:eastAsia="仿宋" w:cs="仿宋"/>
          <w:sz w:val="24"/>
          <w:szCs w:val="24"/>
          <w:highlight w:val="none"/>
        </w:rPr>
      </w:pPr>
    </w:p>
    <w:p w14:paraId="2C36FA0E">
      <w:pPr>
        <w:snapToGrid w:val="0"/>
        <w:spacing w:line="300" w:lineRule="auto"/>
        <w:jc w:val="right"/>
        <w:rPr>
          <w:rFonts w:hint="eastAsia" w:ascii="仿宋" w:hAnsi="仿宋" w:eastAsia="仿宋" w:cs="仿宋"/>
          <w:spacing w:val="20"/>
          <w:sz w:val="24"/>
          <w:szCs w:val="24"/>
          <w:highlight w:val="none"/>
          <w:u w:val="single"/>
        </w:rPr>
      </w:pPr>
      <w:r>
        <w:rPr>
          <w:rFonts w:hint="eastAsia" w:ascii="仿宋" w:hAnsi="仿宋" w:eastAsia="仿宋" w:cs="仿宋"/>
          <w:sz w:val="24"/>
          <w:szCs w:val="24"/>
          <w:highlight w:val="none"/>
        </w:rPr>
        <w:t>供应商全称（盖单位公章）：</w:t>
      </w:r>
    </w:p>
    <w:p w14:paraId="6122A770">
      <w:pPr>
        <w:snapToGrid w:val="0"/>
        <w:spacing w:line="300" w:lineRule="auto"/>
        <w:jc w:val="right"/>
        <w:rPr>
          <w:rFonts w:hint="eastAsia" w:ascii="仿宋" w:hAnsi="仿宋" w:eastAsia="仿宋" w:cs="仿宋"/>
          <w:sz w:val="24"/>
          <w:szCs w:val="24"/>
          <w:highlight w:val="none"/>
        </w:rPr>
      </w:pPr>
    </w:p>
    <w:p w14:paraId="4609A5CB">
      <w:pPr>
        <w:ind w:right="375"/>
        <w:jc w:val="right"/>
        <w:rPr>
          <w:rFonts w:hint="eastAsia" w:ascii="仿宋" w:hAnsi="仿宋" w:eastAsia="仿宋" w:cs="仿宋"/>
          <w:spacing w:val="20"/>
          <w:sz w:val="24"/>
          <w:szCs w:val="24"/>
          <w:highlight w:val="none"/>
        </w:rPr>
      </w:pPr>
    </w:p>
    <w:p w14:paraId="6E59317D">
      <w:pPr>
        <w:ind w:right="375"/>
        <w:jc w:val="right"/>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 xml:space="preserve">日期：  </w:t>
      </w:r>
      <w:r>
        <w:rPr>
          <w:rFonts w:hint="eastAsia" w:ascii="仿宋" w:hAnsi="仿宋" w:eastAsia="仿宋" w:cs="仿宋"/>
          <w:sz w:val="24"/>
          <w:szCs w:val="24"/>
          <w:highlight w:val="none"/>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2"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58"/>
      <w:bookmarkEnd w:id="59"/>
      <w:bookmarkEnd w:id="60"/>
      <w:bookmarkEnd w:id="61"/>
      <w:bookmarkEnd w:id="62"/>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0CD4B853">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3" w:name="_Toc21615"/>
      <w:bookmarkStart w:id="64" w:name="_Toc27788"/>
      <w:bookmarkStart w:id="65" w:name="_Toc13843"/>
      <w:bookmarkStart w:id="66" w:name="_Toc25033"/>
      <w:bookmarkStart w:id="67" w:name="_Toc32377"/>
      <w:bookmarkStart w:id="68" w:name="_Toc27185"/>
      <w:bookmarkStart w:id="69" w:name="_Toc8039"/>
      <w:bookmarkStart w:id="70" w:name="_Toc17397"/>
      <w:bookmarkStart w:id="71" w:name="_Toc8263"/>
      <w:r>
        <w:rPr>
          <w:rFonts w:hint="eastAsia" w:ascii="仿宋" w:hAnsi="仿宋" w:eastAsia="仿宋" w:cs="仿宋"/>
          <w:kern w:val="2"/>
          <w:sz w:val="32"/>
          <w:szCs w:val="32"/>
          <w:highlight w:val="none"/>
        </w:rPr>
        <w:t>一、开标一览表（报价表）</w:t>
      </w:r>
      <w:bookmarkEnd w:id="63"/>
      <w:bookmarkEnd w:id="64"/>
      <w:bookmarkEnd w:id="65"/>
      <w:bookmarkEnd w:id="66"/>
      <w:bookmarkEnd w:id="67"/>
      <w:bookmarkEnd w:id="68"/>
      <w:bookmarkEnd w:id="69"/>
      <w:bookmarkEnd w:id="70"/>
      <w:bookmarkEnd w:id="71"/>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07D829D1">
            <w:pPr>
              <w:rPr>
                <w:rFonts w:hint="eastAsia"/>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rPr>
                <w:rFonts w:hint="eastAsia" w:ascii="仿宋" w:hAnsi="仿宋" w:eastAsia="仿宋" w:cs="仿宋"/>
                <w:color w:val="000000" w:themeColor="text1"/>
                <w:sz w:val="24"/>
                <w:szCs w:val="24"/>
                <w:highlight w:val="none"/>
                <w14:textFill>
                  <w14:solidFill>
                    <w14:schemeClr w14:val="tx1"/>
                  </w14:solidFill>
                </w14:textFill>
              </w:rPr>
            </w:pPr>
          </w:p>
          <w:p w14:paraId="7AF91604">
            <w:pPr>
              <w:rPr>
                <w:rFonts w:hint="eastAsia" w:ascii="仿宋" w:hAnsi="仿宋" w:eastAsia="仿宋" w:cs="仿宋"/>
                <w:color w:val="000000" w:themeColor="text1"/>
                <w:sz w:val="24"/>
                <w:szCs w:val="24"/>
                <w:highlight w:val="none"/>
                <w14:textFill>
                  <w14:solidFill>
                    <w14:schemeClr w14:val="tx1"/>
                  </w14:solidFill>
                </w14:textFill>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4C7B4F01">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highlight w:val="none"/>
          <w:lang w:val="zh-CN"/>
        </w:rPr>
        <w:t>填报要求：报价最多保留两位小数，小数点后两位不论大小一律舍去。</w:t>
      </w:r>
    </w:p>
    <w:p w14:paraId="0DBAD36A">
      <w:pPr>
        <w:rPr>
          <w:rFonts w:hint="eastAsia" w:ascii="仿宋" w:hAnsi="仿宋" w:eastAsia="仿宋" w:cs="仿宋"/>
          <w:sz w:val="24"/>
          <w:szCs w:val="24"/>
          <w:highlight w:val="none"/>
        </w:rPr>
      </w:pP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733"/>
        <w:gridCol w:w="937"/>
        <w:gridCol w:w="97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制造商/产地/品牌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733"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937"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976" w:type="dxa"/>
            <w:noWrap/>
            <w:vAlign w:val="center"/>
          </w:tcPr>
          <w:p w14:paraId="19F29127">
            <w:pPr>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合计</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733"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37"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97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3202A922">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2" w:name="_Toc465665161"/>
      <w:r>
        <w:rPr>
          <w:rFonts w:hint="eastAsia" w:ascii="仿宋" w:hAnsi="仿宋" w:eastAsia="仿宋" w:cs="仿宋"/>
          <w:b/>
          <w:bCs/>
          <w:highlight w:val="none"/>
        </w:rPr>
        <w:t>附件</w:t>
      </w:r>
      <w:bookmarkEnd w:id="72"/>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3" w:name="OLE_LINK14"/>
      <w:bookmarkStart w:id="74" w:name="OLE_LINK13"/>
      <w:r>
        <w:rPr>
          <w:rFonts w:hint="eastAsia" w:ascii="仿宋" w:hAnsi="仿宋" w:eastAsia="仿宋" w:cs="仿宋"/>
          <w:b/>
          <w:spacing w:val="6"/>
          <w:sz w:val="32"/>
          <w:szCs w:val="32"/>
          <w:highlight w:val="none"/>
        </w:rPr>
        <w:t>残疾人福利性单位声明函</w:t>
      </w:r>
    </w:p>
    <w:bookmarkEnd w:id="73"/>
    <w:bookmarkEnd w:id="74"/>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highlight w:val="none"/>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67E46D61">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ABD461B"/>
    <w:rsid w:val="0AF50259"/>
    <w:rsid w:val="0B387B45"/>
    <w:rsid w:val="0B6E4693"/>
    <w:rsid w:val="0BAF1D5A"/>
    <w:rsid w:val="0BF978D5"/>
    <w:rsid w:val="0C6311F3"/>
    <w:rsid w:val="0C91612F"/>
    <w:rsid w:val="0D29243C"/>
    <w:rsid w:val="0DBB027F"/>
    <w:rsid w:val="0E204FF3"/>
    <w:rsid w:val="0E707BF7"/>
    <w:rsid w:val="0E756F57"/>
    <w:rsid w:val="0E8D07A9"/>
    <w:rsid w:val="0E8E3E1D"/>
    <w:rsid w:val="0ED10A99"/>
    <w:rsid w:val="0EEF0BC7"/>
    <w:rsid w:val="0EEF39F9"/>
    <w:rsid w:val="0F345318"/>
    <w:rsid w:val="0FB643BC"/>
    <w:rsid w:val="10091F74"/>
    <w:rsid w:val="101E0683"/>
    <w:rsid w:val="102B2027"/>
    <w:rsid w:val="10BC20E4"/>
    <w:rsid w:val="10CA7A92"/>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945570"/>
    <w:rsid w:val="25B763DF"/>
    <w:rsid w:val="26497630"/>
    <w:rsid w:val="265035FE"/>
    <w:rsid w:val="26C6077D"/>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825D9"/>
    <w:rsid w:val="2B7E174D"/>
    <w:rsid w:val="2BB450AC"/>
    <w:rsid w:val="2BBD2F39"/>
    <w:rsid w:val="2CCF03A6"/>
    <w:rsid w:val="2CFB2F1F"/>
    <w:rsid w:val="2D4F33A1"/>
    <w:rsid w:val="2D6A1F89"/>
    <w:rsid w:val="2D915A42"/>
    <w:rsid w:val="2DA03A0E"/>
    <w:rsid w:val="2E4D2AA2"/>
    <w:rsid w:val="2E9F2106"/>
    <w:rsid w:val="2EDA313F"/>
    <w:rsid w:val="2EE048F0"/>
    <w:rsid w:val="2F236894"/>
    <w:rsid w:val="2F486363"/>
    <w:rsid w:val="2F9F17EA"/>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FF1C9C"/>
    <w:rsid w:val="36234EB4"/>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111E53"/>
    <w:rsid w:val="394A71EF"/>
    <w:rsid w:val="39D73745"/>
    <w:rsid w:val="39E92595"/>
    <w:rsid w:val="3B8003E6"/>
    <w:rsid w:val="3B853D46"/>
    <w:rsid w:val="3BC41BD3"/>
    <w:rsid w:val="3C101F4E"/>
    <w:rsid w:val="3C485B8B"/>
    <w:rsid w:val="3C637281"/>
    <w:rsid w:val="3CAC1FBF"/>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36525"/>
    <w:rsid w:val="41195AFA"/>
    <w:rsid w:val="414A3DAF"/>
    <w:rsid w:val="41605725"/>
    <w:rsid w:val="41807006"/>
    <w:rsid w:val="41937E2B"/>
    <w:rsid w:val="41D61543"/>
    <w:rsid w:val="421375D5"/>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63E16B3"/>
    <w:rsid w:val="46470A7B"/>
    <w:rsid w:val="46597492"/>
    <w:rsid w:val="470E1780"/>
    <w:rsid w:val="472F1E22"/>
    <w:rsid w:val="4730677D"/>
    <w:rsid w:val="47341ADF"/>
    <w:rsid w:val="473A07C7"/>
    <w:rsid w:val="473F7B8B"/>
    <w:rsid w:val="47675DEA"/>
    <w:rsid w:val="478657BA"/>
    <w:rsid w:val="480540FF"/>
    <w:rsid w:val="485727E7"/>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40AC9"/>
    <w:rsid w:val="4C6F2E5F"/>
    <w:rsid w:val="4C856238"/>
    <w:rsid w:val="4CCC0113"/>
    <w:rsid w:val="4D2363E5"/>
    <w:rsid w:val="4D4C4DB0"/>
    <w:rsid w:val="4EDDD27C"/>
    <w:rsid w:val="4F6849B1"/>
    <w:rsid w:val="4F6F7CFA"/>
    <w:rsid w:val="4FEB08B0"/>
    <w:rsid w:val="500A5FB5"/>
    <w:rsid w:val="501716A5"/>
    <w:rsid w:val="5036402F"/>
    <w:rsid w:val="50B734D4"/>
    <w:rsid w:val="50C73122"/>
    <w:rsid w:val="50CD34F7"/>
    <w:rsid w:val="50DE21C3"/>
    <w:rsid w:val="50E0424E"/>
    <w:rsid w:val="511648A1"/>
    <w:rsid w:val="51252566"/>
    <w:rsid w:val="512E314A"/>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2E5627"/>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546E9E"/>
    <w:rsid w:val="5BE81C6C"/>
    <w:rsid w:val="5C816661"/>
    <w:rsid w:val="5CCB54C2"/>
    <w:rsid w:val="5D1F37E7"/>
    <w:rsid w:val="5D6879E4"/>
    <w:rsid w:val="5D944335"/>
    <w:rsid w:val="5D997B9D"/>
    <w:rsid w:val="5DBB15AC"/>
    <w:rsid w:val="5DE03A1E"/>
    <w:rsid w:val="5DE352BC"/>
    <w:rsid w:val="5DECB326"/>
    <w:rsid w:val="5DF96883"/>
    <w:rsid w:val="5E046221"/>
    <w:rsid w:val="5E2F3415"/>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C755C9"/>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9F478D"/>
    <w:rsid w:val="69E031FB"/>
    <w:rsid w:val="6A010FA4"/>
    <w:rsid w:val="6A324849"/>
    <w:rsid w:val="6A617C95"/>
    <w:rsid w:val="6AAA163C"/>
    <w:rsid w:val="6ACC24A7"/>
    <w:rsid w:val="6ACE4BE6"/>
    <w:rsid w:val="6AEA5EDC"/>
    <w:rsid w:val="6AF64881"/>
    <w:rsid w:val="6AF753AB"/>
    <w:rsid w:val="6AFE7291"/>
    <w:rsid w:val="6B7C6984"/>
    <w:rsid w:val="6B7E4876"/>
    <w:rsid w:val="6BA44E8C"/>
    <w:rsid w:val="6BA77929"/>
    <w:rsid w:val="6BAF6814"/>
    <w:rsid w:val="6BC179FF"/>
    <w:rsid w:val="6BC743D4"/>
    <w:rsid w:val="6BD050D2"/>
    <w:rsid w:val="6BF012D0"/>
    <w:rsid w:val="6C975BF0"/>
    <w:rsid w:val="6D004AED"/>
    <w:rsid w:val="6D17014F"/>
    <w:rsid w:val="6D8D0DA1"/>
    <w:rsid w:val="6D9E3183"/>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70E2215"/>
    <w:rsid w:val="778C5C39"/>
    <w:rsid w:val="779A2A38"/>
    <w:rsid w:val="77A40FA3"/>
    <w:rsid w:val="77F30EE6"/>
    <w:rsid w:val="77F74ED8"/>
    <w:rsid w:val="785D7945"/>
    <w:rsid w:val="78A57DDA"/>
    <w:rsid w:val="78C31426"/>
    <w:rsid w:val="78D87374"/>
    <w:rsid w:val="78D923EC"/>
    <w:rsid w:val="79BF6786"/>
    <w:rsid w:val="7A107D79"/>
    <w:rsid w:val="7A6335B5"/>
    <w:rsid w:val="7BBF5333"/>
    <w:rsid w:val="7BF30969"/>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71"/>
    <w:basedOn w:val="2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13748</Words>
  <Characters>14891</Characters>
  <Lines>331</Lines>
  <Paragraphs>93</Paragraphs>
  <TotalTime>5</TotalTime>
  <ScaleCrop>false</ScaleCrop>
  <LinksUpToDate>false</LinksUpToDate>
  <CharactersWithSpaces>15103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2025-03-07T04:37:02Z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