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2025年天山区园林队园林绿化机械工具采购项目（二次）</w:t>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2025-ZFCG-0009-01</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03</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32</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52</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63</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2025年天山区园林队园林绿化机械工具采购项目（二次）</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2025-ZFCG-0009-01</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2025年天山区园林队园林绿化机械工具采购项目（二次）</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571253</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园林绿化机械工具采购，详见招标文件。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eastAsia="zh-CN"/>
        </w:rPr>
        <w:t>本项目</w:t>
      </w:r>
      <w:r>
        <w:rPr>
          <w:rFonts w:hint="eastAsia" w:ascii="仿宋" w:hAnsi="仿宋" w:eastAsia="仿宋" w:cs="仿宋"/>
          <w:kern w:val="0"/>
          <w:sz w:val="24"/>
          <w:szCs w:val="24"/>
          <w:highlight w:val="none"/>
          <w:lang w:val="en-US" w:eastAsia="zh-CN"/>
        </w:rPr>
        <w:t>专门面向中小企业采购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07</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开标地点：政采云平台https://www.zcygov.cn/</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59B40725">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2025年天山区园林队园林绿化机械工具采购项目（二次）</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2025-ZFCG-0009-01</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园林绿化机械工具采购，</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投标人资格要求</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专门面向中小企业采购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3.本项目的特定资格要求：</w:t>
            </w:r>
            <w:r>
              <w:rPr>
                <w:rFonts w:hint="eastAsia" w:ascii="仿宋" w:hAnsi="仿宋" w:eastAsia="仿宋" w:cs="仿宋"/>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采购人下单后24小时内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投标保证金的金额：</w:t>
            </w:r>
            <w:r>
              <w:rPr>
                <w:rStyle w:val="52"/>
                <w:rFonts w:hint="eastAsia" w:ascii="仿宋" w:hAnsi="仿宋" w:eastAsia="仿宋" w:cs="仿宋"/>
                <w:color w:val="FF0000"/>
                <w:sz w:val="24"/>
                <w:szCs w:val="24"/>
                <w:highlight w:val="none"/>
                <w:lang w:val="en-US"/>
              </w:rPr>
              <w:t>5700</w:t>
            </w:r>
            <w:r>
              <w:rPr>
                <w:rStyle w:val="52"/>
                <w:rFonts w:hint="eastAsia" w:ascii="仿宋" w:hAnsi="仿宋" w:eastAsia="仿宋" w:cs="仿宋"/>
                <w:color w:val="FF0000"/>
                <w:sz w:val="24"/>
                <w:szCs w:val="24"/>
                <w:highlight w:val="none"/>
              </w:rPr>
              <w:t>元 (大写：伍仟柒佰元</w:t>
            </w:r>
            <w:r>
              <w:rPr>
                <w:rStyle w:val="52"/>
                <w:rFonts w:hint="eastAsia" w:ascii="仿宋" w:hAnsi="仿宋" w:eastAsia="仿宋" w:cs="仿宋"/>
                <w:color w:val="FF0000"/>
                <w:sz w:val="24"/>
                <w:szCs w:val="24"/>
                <w:highlight w:val="none"/>
                <w:lang w:eastAsia="zh-CN"/>
              </w:rPr>
              <w:t>整</w:t>
            </w:r>
            <w:r>
              <w:rPr>
                <w:rStyle w:val="52"/>
                <w:rFonts w:hint="eastAsia" w:ascii="仿宋" w:hAnsi="仿宋" w:eastAsia="仿宋" w:cs="仿宋"/>
                <w:color w:val="FF0000"/>
                <w:sz w:val="24"/>
                <w:szCs w:val="24"/>
                <w:highlight w:val="none"/>
              </w:rPr>
              <w:t>）；</w:t>
            </w:r>
          </w:p>
          <w:p w14:paraId="23D8CA1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5.保证金提交账号信息如下：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7EF4B39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1EEFE28E">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0651AD3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0554056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0009</w:t>
            </w:r>
            <w:r>
              <w:rPr>
                <w:rStyle w:val="52"/>
                <w:rFonts w:hint="eastAsia" w:ascii="仿宋" w:hAnsi="仿宋" w:eastAsia="仿宋" w:cs="仿宋"/>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2025年03月28日 10:30（北京时间）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r>
              <w:rPr>
                <w:rFonts w:hint="eastAsia" w:ascii="仿宋" w:hAnsi="仿宋" w:eastAsia="仿宋" w:cs="仿宋"/>
                <w:sz w:val="24"/>
                <w:highlight w:val="none"/>
                <w:lang w:eastAsia="zh-CN"/>
              </w:rPr>
              <w:t>，</w:t>
            </w:r>
            <w:r>
              <w:rPr>
                <w:rFonts w:hint="eastAsia" w:ascii="仿宋" w:hAnsi="仿宋" w:eastAsia="仿宋" w:cs="仿宋"/>
                <w:sz w:val="24"/>
                <w:highlight w:val="none"/>
              </w:rPr>
              <w:t>代理服务费</w:t>
            </w:r>
            <w:r>
              <w:rPr>
                <w:rFonts w:hint="eastAsia" w:ascii="仿宋" w:hAnsi="仿宋" w:eastAsia="仿宋" w:cs="仿宋"/>
                <w:sz w:val="24"/>
                <w:highlight w:val="none"/>
                <w:lang w:eastAsia="zh-CN"/>
              </w:rPr>
              <w:t>金额</w:t>
            </w:r>
            <w:r>
              <w:rPr>
                <w:rFonts w:hint="eastAsia" w:ascii="仿宋" w:hAnsi="仿宋" w:eastAsia="仿宋" w:cs="仿宋"/>
                <w:sz w:val="24"/>
                <w:highlight w:val="none"/>
                <w:lang w:val="en-US" w:eastAsia="zh-CN"/>
              </w:rPr>
              <w:t>8568元</w:t>
            </w:r>
            <w:bookmarkStart w:id="80" w:name="_GoBack"/>
            <w:bookmarkEnd w:id="80"/>
            <w:r>
              <w:rPr>
                <w:rFonts w:hint="eastAsia" w:ascii="仿宋" w:hAnsi="仿宋" w:eastAsia="仿宋" w:cs="仿宋"/>
                <w:sz w:val="24"/>
                <w:highlight w:val="none"/>
              </w:rPr>
              <w:t>。</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yellow"/>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3AE2770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125319">
            <w:pPr>
              <w:pStyle w:val="51"/>
              <w:spacing w:before="0" w:after="0" w:line="360" w:lineRule="auto"/>
              <w:jc w:val="center"/>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EBE849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核心产品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4CE3E261">
            <w:pPr>
              <w:pStyle w:val="51"/>
              <w:spacing w:before="0" w:after="0" w:line="360" w:lineRule="auto"/>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eastAsia="zh-CN"/>
              </w:rPr>
              <w:t>手扶式扫雪机</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2187"/>
      <w:bookmarkStart w:id="7" w:name="_Toc240450076"/>
      <w:bookmarkStart w:id="8" w:name="_Toc7086"/>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yellow"/>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按文件要求递交投标保证金，提供凭证</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本项目专门面向中小企业采购，按要求提供《中小企业声明函》</w:t>
            </w:r>
          </w:p>
        </w:tc>
      </w:tr>
    </w:tbl>
    <w:p w14:paraId="6DF2718B">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D63A27">
      <w:pPr>
        <w:pStyle w:val="35"/>
        <w:spacing w:before="0"/>
        <w:ind w:firstLine="0" w:firstLineChars="0"/>
        <w:rPr>
          <w:rFonts w:hint="eastAsia" w:ascii="仿宋" w:hAnsi="仿宋" w:eastAsia="仿宋" w:cs="仿宋"/>
          <w:kern w:val="0"/>
          <w:szCs w:val="24"/>
          <w:highlight w:val="none"/>
        </w:rPr>
      </w:pP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242012796"/>
      <w:bookmarkStart w:id="19" w:name="_Toc31190"/>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5A2DC2FD">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22" w:name="_Toc16846"/>
      <w:bookmarkStart w:id="23" w:name="_Toc14349"/>
      <w:bookmarkStart w:id="24" w:name="_Toc342633574"/>
      <w:bookmarkStart w:id="25" w:name="_Toc9192"/>
      <w:bookmarkStart w:id="26" w:name="_Toc17821"/>
      <w:bookmarkStart w:id="27" w:name="_Toc19650"/>
      <w:bookmarkStart w:id="28" w:name="_Toc242012824"/>
      <w:r>
        <w:rPr>
          <w:rFonts w:hint="eastAsia" w:ascii="仿宋" w:hAnsi="仿宋" w:eastAsia="仿宋" w:cs="仿宋"/>
          <w:sz w:val="24"/>
          <w:szCs w:val="24"/>
          <w:lang w:eastAsia="zh-CN"/>
        </w:rPr>
        <w:t>一</w:t>
      </w:r>
      <w:r>
        <w:rPr>
          <w:rFonts w:hint="eastAsia" w:ascii="仿宋" w:hAnsi="仿宋" w:eastAsia="仿宋" w:cs="仿宋"/>
          <w:sz w:val="24"/>
          <w:szCs w:val="24"/>
        </w:rPr>
        <w:t>、总体要求</w:t>
      </w:r>
    </w:p>
    <w:p w14:paraId="52BBB164">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本项目采购非进口产品及服务，且优先采购自主创新、节能、环保产品。投标的货物必须是合法生产的符合国家有关标准要求的货物，并满足招标文件规定的规格、参数、质量、价格、有效期、售后服务等要求。</w:t>
      </w:r>
    </w:p>
    <w:p w14:paraId="191EA669">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、投标人必须承诺提供</w:t>
      </w:r>
      <w:r>
        <w:rPr>
          <w:rFonts w:hint="eastAsia" w:ascii="仿宋" w:hAnsi="仿宋" w:eastAsia="仿宋" w:cs="仿宋"/>
          <w:b w:val="0"/>
          <w:bCs/>
          <w:sz w:val="24"/>
          <w:szCs w:val="24"/>
          <w:highlight w:val="none"/>
          <w:lang w:val="en-US" w:eastAsia="zh-CN"/>
        </w:rPr>
        <w:t>满足或优于采购需求</w:t>
      </w:r>
      <w:r>
        <w:rPr>
          <w:rFonts w:hint="eastAsia" w:ascii="仿宋" w:hAnsi="仿宋" w:eastAsia="仿宋" w:cs="仿宋"/>
          <w:b w:val="0"/>
          <w:bCs/>
          <w:sz w:val="24"/>
          <w:szCs w:val="24"/>
          <w:highlight w:val="none"/>
        </w:rPr>
        <w:t>、全新的、符合质量标准</w:t>
      </w:r>
      <w:r>
        <w:rPr>
          <w:rFonts w:hint="eastAsia" w:ascii="仿宋" w:hAnsi="仿宋" w:eastAsia="仿宋" w:cs="仿宋"/>
          <w:b w:val="0"/>
          <w:bCs/>
          <w:sz w:val="24"/>
          <w:szCs w:val="24"/>
          <w:highlight w:val="none"/>
          <w:lang w:eastAsia="zh-CN"/>
        </w:rPr>
        <w:t>、通过正规渠道销售的产品，产品的质量应与投标人承诺一致，不得以旧货翻新充数，并按有关要求进行包装运输。投标人应提供承诺函</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提供承诺函，</w:t>
      </w:r>
      <w:r>
        <w:rPr>
          <w:rFonts w:hint="eastAsia" w:ascii="仿宋" w:hAnsi="仿宋" w:eastAsia="仿宋" w:cs="仿宋"/>
          <w:b w:val="0"/>
          <w:bCs/>
          <w:sz w:val="24"/>
          <w:szCs w:val="24"/>
          <w:highlight w:val="none"/>
        </w:rPr>
        <w:t>格式</w:t>
      </w:r>
      <w:r>
        <w:rPr>
          <w:rFonts w:hint="eastAsia" w:ascii="仿宋" w:hAnsi="仿宋" w:eastAsia="仿宋" w:cs="仿宋"/>
          <w:b w:val="0"/>
          <w:bCs/>
          <w:sz w:val="24"/>
          <w:szCs w:val="24"/>
          <w:highlight w:val="none"/>
          <w:lang w:val="en-US" w:eastAsia="zh-CN"/>
        </w:rPr>
        <w:t>自拟</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 xml:space="preserve"> </w:t>
      </w:r>
    </w:p>
    <w:p w14:paraId="7F31A98D">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eastAsia="zh-CN"/>
        </w:rPr>
        <w:t>投标人须</w:t>
      </w:r>
      <w:r>
        <w:rPr>
          <w:rFonts w:hint="eastAsia" w:ascii="仿宋" w:hAnsi="仿宋" w:eastAsia="仿宋" w:cs="仿宋"/>
          <w:b w:val="0"/>
          <w:bCs/>
          <w:sz w:val="24"/>
          <w:szCs w:val="24"/>
          <w:highlight w:val="none"/>
        </w:rPr>
        <w:t>保证产品的来源、途径合法，均能提供相应批次的合格检验证明</w:t>
      </w:r>
      <w:r>
        <w:rPr>
          <w:rFonts w:hint="eastAsia" w:ascii="仿宋" w:hAnsi="仿宋" w:eastAsia="仿宋" w:cs="仿宋"/>
          <w:b w:val="0"/>
          <w:bCs/>
          <w:sz w:val="24"/>
          <w:szCs w:val="24"/>
          <w:highlight w:val="none"/>
          <w:lang w:eastAsia="zh-CN"/>
        </w:rPr>
        <w:t>及合法来源渠道证明，以便采购人对货物进行检验、备查和溯源</w:t>
      </w:r>
      <w:r>
        <w:rPr>
          <w:rFonts w:hint="eastAsia" w:ascii="仿宋" w:hAnsi="仿宋" w:eastAsia="仿宋" w:cs="仿宋"/>
          <w:b w:val="0"/>
          <w:bCs/>
          <w:sz w:val="24"/>
          <w:szCs w:val="24"/>
          <w:highlight w:val="none"/>
        </w:rPr>
        <w:t>。</w:t>
      </w:r>
    </w:p>
    <w:p w14:paraId="47575F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、本项目为交钥匙承包项目，投标报价应包含货物及配套货物的设计、制造、检验、包装、运输、保险、税费以及</w:t>
      </w:r>
      <w:r>
        <w:rPr>
          <w:rFonts w:hint="eastAsia" w:ascii="仿宋" w:hAnsi="仿宋" w:eastAsia="仿宋" w:cs="仿宋"/>
          <w:b w:val="0"/>
          <w:bCs/>
          <w:sz w:val="24"/>
          <w:szCs w:val="24"/>
          <w:highlight w:val="none"/>
          <w:lang w:eastAsia="zh-CN"/>
        </w:rPr>
        <w:t>涉及到的</w:t>
      </w:r>
      <w:r>
        <w:rPr>
          <w:rFonts w:hint="eastAsia" w:ascii="仿宋" w:hAnsi="仿宋" w:eastAsia="仿宋" w:cs="仿宋"/>
          <w:b w:val="0"/>
          <w:bCs/>
          <w:sz w:val="24"/>
          <w:szCs w:val="24"/>
          <w:highlight w:val="none"/>
        </w:rPr>
        <w:t>安装调试、验收、培训、技术服务（包括技术资料、图纸的提供）、质保期服务及备品备件发生的全部费用，</w:t>
      </w:r>
      <w:r>
        <w:rPr>
          <w:rFonts w:hint="eastAsia" w:ascii="仿宋" w:hAnsi="仿宋" w:eastAsia="仿宋" w:cs="仿宋"/>
          <w:b w:val="0"/>
          <w:bCs/>
          <w:sz w:val="24"/>
          <w:szCs w:val="24"/>
          <w:highlight w:val="none"/>
          <w:lang w:eastAsia="zh-CN"/>
        </w:rPr>
        <w:t>如投标产品需要办理相关手续才可投入使用的，中标人须协助采购人办理落地手续，</w:t>
      </w:r>
      <w:r>
        <w:rPr>
          <w:rFonts w:hint="eastAsia" w:ascii="仿宋" w:hAnsi="仿宋" w:eastAsia="仿宋" w:cs="仿宋"/>
          <w:b w:val="0"/>
          <w:bCs/>
          <w:sz w:val="24"/>
          <w:szCs w:val="24"/>
          <w:highlight w:val="none"/>
        </w:rPr>
        <w:t>采购人不再额外支付任何费用。</w:t>
      </w:r>
    </w:p>
    <w:p w14:paraId="19C724C2">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、投标人所提供的货物数量、质量及性能不得低于本</w:t>
      </w:r>
      <w:r>
        <w:rPr>
          <w:rFonts w:hint="eastAsia" w:ascii="仿宋" w:hAnsi="仿宋" w:eastAsia="仿宋" w:cs="仿宋"/>
          <w:b w:val="0"/>
          <w:bCs/>
          <w:sz w:val="24"/>
          <w:szCs w:val="24"/>
          <w:highlight w:val="none"/>
          <w:lang w:val="en-US" w:eastAsia="zh-CN"/>
        </w:rPr>
        <w:t>采购需求</w:t>
      </w:r>
      <w:r>
        <w:rPr>
          <w:rFonts w:hint="eastAsia" w:ascii="仿宋" w:hAnsi="仿宋" w:eastAsia="仿宋" w:cs="仿宋"/>
          <w:b w:val="0"/>
          <w:bCs/>
          <w:sz w:val="24"/>
          <w:szCs w:val="24"/>
          <w:highlight w:val="none"/>
        </w:rPr>
        <w:t>中提出的要求。投标人须保证所投产品有严格的质量保证措施，严格执行质量标准、能提供完整的出厂检测体系以及有完善的质量保障措施。</w:t>
      </w:r>
    </w:p>
    <w:p w14:paraId="2A8D03AB">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、在中标人的服务期限内，中标人投标时所提供的货物如在实际供货时已更新换代，应出具生产厂家的证明文件，中标人应按原价提供更优质的货物，采购人不另外支付额外费用，否则按违约处理</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若所供货物已停产，则投标人应提供符合</w:t>
      </w:r>
      <w:r>
        <w:rPr>
          <w:rFonts w:hint="eastAsia" w:ascii="仿宋" w:hAnsi="仿宋" w:eastAsia="仿宋" w:cs="仿宋"/>
          <w:b w:val="0"/>
          <w:bCs/>
          <w:sz w:val="24"/>
          <w:szCs w:val="24"/>
          <w:highlight w:val="none"/>
          <w:lang w:val="en-US" w:eastAsia="zh-CN"/>
        </w:rPr>
        <w:t>或优于</w:t>
      </w:r>
      <w:r>
        <w:rPr>
          <w:rFonts w:hint="eastAsia" w:ascii="仿宋" w:hAnsi="仿宋" w:eastAsia="仿宋" w:cs="仿宋"/>
          <w:b w:val="0"/>
          <w:bCs/>
          <w:sz w:val="24"/>
          <w:szCs w:val="24"/>
          <w:highlight w:val="none"/>
        </w:rPr>
        <w:t>要求的替代品。</w:t>
      </w:r>
    </w:p>
    <w:p w14:paraId="4BAB2325">
      <w:pPr>
        <w:pStyle w:val="8"/>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、为保障本项目能够充分实施，投标人需对本项目配备专业技术人员</w:t>
      </w:r>
      <w:r>
        <w:rPr>
          <w:rFonts w:hint="eastAsia" w:ascii="仿宋" w:hAnsi="仿宋" w:eastAsia="仿宋" w:cs="仿宋"/>
          <w:b w:val="0"/>
          <w:bCs/>
          <w:sz w:val="24"/>
          <w:szCs w:val="24"/>
          <w:highlight w:val="none"/>
          <w:lang w:eastAsia="zh-CN"/>
        </w:rPr>
        <w:t>或</w:t>
      </w:r>
      <w:r>
        <w:rPr>
          <w:rFonts w:hint="eastAsia" w:ascii="仿宋" w:hAnsi="仿宋" w:eastAsia="仿宋" w:cs="仿宋"/>
          <w:b w:val="0"/>
          <w:bCs/>
          <w:sz w:val="24"/>
          <w:szCs w:val="24"/>
          <w:highlight w:val="none"/>
        </w:rPr>
        <w:t>项目负责人，负责合同期内本项目的采购、配送、安装、技术支持等工作，并</w:t>
      </w:r>
      <w:r>
        <w:rPr>
          <w:rFonts w:hint="eastAsia" w:ascii="仿宋" w:hAnsi="仿宋" w:eastAsia="仿宋" w:cs="仿宋"/>
          <w:b w:val="0"/>
          <w:bCs/>
          <w:sz w:val="24"/>
          <w:szCs w:val="24"/>
          <w:highlight w:val="none"/>
          <w:lang w:val="en-US" w:eastAsia="zh-CN"/>
        </w:rPr>
        <w:t>自</w:t>
      </w:r>
      <w:r>
        <w:rPr>
          <w:rFonts w:hint="eastAsia" w:ascii="仿宋" w:hAnsi="仿宋" w:eastAsia="仿宋" w:cs="仿宋"/>
          <w:b w:val="0"/>
          <w:bCs/>
          <w:sz w:val="24"/>
          <w:szCs w:val="24"/>
          <w:highlight w:val="none"/>
        </w:rPr>
        <w:t>备相关配送车辆。</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二、商务要求</w:t>
      </w:r>
    </w:p>
    <w:p w14:paraId="203E3323">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1、为确保采购人有充足的各类</w:t>
      </w:r>
      <w:r>
        <w:rPr>
          <w:rFonts w:hint="eastAsia" w:ascii="仿宋" w:hAnsi="仿宋" w:eastAsia="仿宋" w:cs="仿宋"/>
          <w:b w:val="0"/>
          <w:bCs/>
          <w:sz w:val="24"/>
          <w:szCs w:val="24"/>
          <w:highlight w:val="none"/>
          <w:lang w:eastAsia="zh-CN"/>
        </w:rPr>
        <w:t>绿化机械工具</w:t>
      </w:r>
      <w:r>
        <w:rPr>
          <w:rFonts w:hint="eastAsia" w:ascii="仿宋" w:hAnsi="仿宋" w:eastAsia="仿宋" w:cs="仿宋"/>
          <w:b w:val="0"/>
          <w:bCs/>
          <w:sz w:val="24"/>
          <w:szCs w:val="24"/>
          <w:highlight w:val="none"/>
        </w:rPr>
        <w:t>供应，并能够及时送货到采购人指定地址，各项要求如下：</w:t>
      </w:r>
    </w:p>
    <w:p w14:paraId="71995C6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（1）投标人应按要求提供相应的报价文件；</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）投标人应提供相应的售后服务方案，</w:t>
      </w:r>
      <w:r>
        <w:rPr>
          <w:rFonts w:hint="eastAsia" w:ascii="仿宋" w:hAnsi="仿宋" w:eastAsia="仿宋" w:cs="仿宋"/>
          <w:b w:val="0"/>
          <w:bCs/>
          <w:sz w:val="24"/>
          <w:szCs w:val="24"/>
          <w:highlight w:val="none"/>
          <w:lang w:eastAsia="zh-CN"/>
        </w:rPr>
        <w:t>保证所供货物落实三包服务，</w:t>
      </w:r>
      <w:r>
        <w:rPr>
          <w:rFonts w:hint="eastAsia" w:ascii="仿宋" w:hAnsi="仿宋" w:eastAsia="仿宋" w:cs="仿宋"/>
          <w:b w:val="0"/>
          <w:bCs/>
          <w:sz w:val="24"/>
          <w:szCs w:val="24"/>
          <w:highlight w:val="none"/>
        </w:rPr>
        <w:t>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）投标人应承诺，如中标将保证能及时供给各类产品，不影响采购人正常运作，不得以任何理由拒绝供货。</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）所有货物在开箱检验时必须完好，无破损，配置与装箱单相符。货物外观清洁、标识清晰明确。</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）对于影响货物正常工作的必要组成部分，无论在技术规范中指出与否，投标人都应提供并在投标文件中明确列出。</w:t>
      </w:r>
    </w:p>
    <w:p w14:paraId="4BCB33BB">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）中标人在实际供货时，若被发现提供的货物未能达到</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中的相关要求，采购人将按合同违约条款，解除合同，并报监管部门处理，由此引起的一切后果，由中标人承担。</w:t>
      </w:r>
    </w:p>
    <w:p w14:paraId="2A5EBAFE">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）由中标人按国家相关标准负责进行货物包装，货物的包装均应有良好的防锈、防潮、防雨、防腐及防碰撞的措施，并适宜当地的气候条件。凡由于包装不良造成的损失和由此产生的费用均由中标人承担。</w:t>
      </w:r>
    </w:p>
    <w:p w14:paraId="4799E8B6">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约定适用的标准、规范。投标的货物应按技术条款的标准和规范进行。若在供货过程中所采用的某项标准或规范在本规格书中没有规定，则中标人应详细说明其所采用的标准和规范，并提供该标准或规范的完整中文原件给采购人，只有当其采用的标准和规范是国家、国际公认的、惯用的，且等于或优于本技术规格书的要求时，此标准或规范才可能为采购人所接受。</w:t>
      </w:r>
    </w:p>
    <w:p w14:paraId="52F12D3C">
      <w:pPr>
        <w:pStyle w:val="12"/>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0546FD31">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4、中标人应</w:t>
      </w:r>
      <w:r>
        <w:rPr>
          <w:rFonts w:hint="eastAsia" w:ascii="仿宋" w:hAnsi="仿宋" w:eastAsia="仿宋" w:cs="仿宋"/>
          <w:b/>
          <w:bCs/>
          <w:sz w:val="24"/>
          <w:szCs w:val="24"/>
        </w:rPr>
        <w:t>配备专门的</w:t>
      </w:r>
      <w:r>
        <w:rPr>
          <w:rFonts w:hint="eastAsia" w:ascii="仿宋" w:hAnsi="仿宋" w:eastAsia="仿宋" w:cs="仿宋"/>
          <w:b/>
          <w:bCs/>
          <w:sz w:val="24"/>
          <w:szCs w:val="24"/>
          <w:lang w:eastAsia="zh-CN"/>
        </w:rPr>
        <w:t>售后管理</w:t>
      </w:r>
      <w:r>
        <w:rPr>
          <w:rFonts w:hint="eastAsia" w:ascii="仿宋" w:hAnsi="仿宋" w:eastAsia="仿宋" w:cs="仿宋"/>
          <w:b/>
          <w:bCs/>
          <w:sz w:val="24"/>
          <w:szCs w:val="24"/>
        </w:rPr>
        <w:t>人员</w:t>
      </w:r>
      <w:r>
        <w:rPr>
          <w:rFonts w:hint="eastAsia" w:ascii="仿宋" w:hAnsi="仿宋" w:eastAsia="仿宋" w:cs="仿宋"/>
          <w:sz w:val="24"/>
          <w:szCs w:val="24"/>
        </w:rPr>
        <w:t>，管理人员负责货物发送、售后、联系等服务。</w:t>
      </w:r>
    </w:p>
    <w:p w14:paraId="0C6ABF51">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bookmarkStart w:id="29" w:name="_Toc8571"/>
      <w:bookmarkStart w:id="30" w:name="_Toc1711"/>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将货物到指定地点后，由指定的仓库、维修、质量验收人员进行清点验收，双方在送货清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（1）供货时需提供的资料：产品质量合格证书、</w:t>
      </w:r>
      <w:r>
        <w:rPr>
          <w:rFonts w:hint="eastAsia" w:ascii="仿宋" w:hAnsi="仿宋" w:eastAsia="仿宋" w:cs="仿宋"/>
          <w:spacing w:val="0"/>
          <w:sz w:val="24"/>
          <w:szCs w:val="24"/>
        </w:rPr>
        <w:t>使用说明、维护手册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产品性能指标</w:t>
      </w:r>
      <w:r>
        <w:rPr>
          <w:rFonts w:hint="eastAsia" w:ascii="仿宋" w:hAnsi="仿宋" w:eastAsia="仿宋" w:cs="仿宋"/>
          <w:spacing w:val="0"/>
          <w:sz w:val="24"/>
          <w:szCs w:val="24"/>
          <w:lang w:eastAsia="zh-CN"/>
        </w:rPr>
        <w:t>及参数</w:t>
      </w:r>
      <w:r>
        <w:rPr>
          <w:rFonts w:hint="eastAsia" w:ascii="仿宋" w:hAnsi="仿宋" w:eastAsia="仿宋" w:cs="仿宋"/>
          <w:spacing w:val="0"/>
          <w:sz w:val="24"/>
          <w:szCs w:val="24"/>
        </w:rPr>
        <w:t>、保修卡</w:t>
      </w:r>
      <w:r>
        <w:rPr>
          <w:rFonts w:hint="eastAsia" w:ascii="仿宋" w:hAnsi="仿宋" w:eastAsia="仿宋" w:cs="仿宋"/>
          <w:spacing w:val="0"/>
          <w:sz w:val="24"/>
          <w:szCs w:val="24"/>
          <w:lang w:eastAsia="zh-CN"/>
        </w:rPr>
        <w:t>以及相应批次的出厂合格检验证明等材料。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为原厂商未启封全新包装，具出厂合格证，序列号、包装箱号与出厂批号一致，并可追索查阅</w:t>
      </w:r>
      <w:r>
        <w:rPr>
          <w:rFonts w:hint="eastAsia" w:ascii="仿宋" w:hAnsi="仿宋" w:eastAsia="仿宋" w:cs="仿宋"/>
          <w:spacing w:val="0"/>
          <w:sz w:val="24"/>
          <w:szCs w:val="24"/>
          <w:lang w:eastAsia="zh-CN"/>
        </w:rPr>
        <w:t>。</w:t>
      </w:r>
    </w:p>
    <w:p w14:paraId="3524647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1"/>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w:t>
      </w:r>
    </w:p>
    <w:p w14:paraId="1B8D1592">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01784C7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货物为原厂商未启封全新包装，具出厂合格证，序列号、包装箱号与出厂批号一致，并可追索查阅。所有随设备的附件必须齐全。</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1"/>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6828"/>
      <w:bookmarkStart w:id="32" w:name="_Toc8378"/>
      <w:bookmarkStart w:id="33" w:name="_Toc448908721"/>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5A686D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1、质保期：</w:t>
      </w:r>
      <w:r>
        <w:rPr>
          <w:rFonts w:hint="eastAsia" w:ascii="仿宋" w:hAnsi="仿宋" w:eastAsia="仿宋" w:cs="仿宋"/>
          <w:sz w:val="24"/>
          <w:szCs w:val="24"/>
          <w:lang w:val="en-US" w:eastAsia="zh-CN"/>
        </w:rPr>
        <w:t>2年。</w:t>
      </w:r>
      <w:r>
        <w:rPr>
          <w:rFonts w:hint="eastAsia" w:ascii="仿宋" w:hAnsi="仿宋" w:eastAsia="仿宋" w:cs="仿宋"/>
          <w:sz w:val="24"/>
          <w:szCs w:val="24"/>
        </w:rPr>
        <w:t>质保期在产品安装完毕验收合格之日起计算，原厂质保期内免费保修。</w:t>
      </w:r>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原厂质保期内，如货物非因采购人的人为原因而出现质量问题，中标人承诺全额免费包维修、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4、在有偿保修服务期内需要维修或维护的，中标人仍应按本条规定的时间派员检查与维修，并确保优质服务和质量合格且能正常运行。有关修复费用由采购人承担，但中标人应给予最优惠价格。</w:t>
      </w:r>
    </w:p>
    <w:p w14:paraId="558027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5、在采购人对</w:t>
      </w:r>
      <w:r>
        <w:rPr>
          <w:rFonts w:hint="eastAsia" w:ascii="仿宋" w:hAnsi="仿宋" w:eastAsia="仿宋" w:cs="仿宋"/>
          <w:sz w:val="24"/>
          <w:szCs w:val="24"/>
          <w:lang w:eastAsia="zh-CN"/>
        </w:rPr>
        <w:t>工具</w:t>
      </w:r>
      <w:r>
        <w:rPr>
          <w:rFonts w:hint="eastAsia" w:ascii="仿宋" w:hAnsi="仿宋" w:eastAsia="仿宋" w:cs="仿宋"/>
          <w:sz w:val="24"/>
          <w:szCs w:val="24"/>
        </w:rPr>
        <w:t>安装调试上存在困难时，中标人应协助采购人对该零配件进行技术培训或安装调试，直至采购人掌握装配方法。</w:t>
      </w:r>
    </w:p>
    <w:p w14:paraId="1F2AA8C1">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color w:val="auto"/>
          <w:sz w:val="24"/>
          <w:szCs w:val="24"/>
          <w:lang w:eastAsia="zh-CN"/>
        </w:rPr>
        <w:t>采购清单</w:t>
      </w:r>
    </w:p>
    <w:tbl>
      <w:tblPr>
        <w:tblStyle w:val="26"/>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1333"/>
        <w:gridCol w:w="3929"/>
        <w:gridCol w:w="1455"/>
        <w:gridCol w:w="765"/>
        <w:gridCol w:w="1291"/>
      </w:tblGrid>
      <w:tr w14:paraId="793D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2F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0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名称</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1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5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用途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3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4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单价最高限价（元）</w:t>
            </w:r>
          </w:p>
        </w:tc>
      </w:tr>
      <w:tr w14:paraId="2228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0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手扶式扫雪机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DAB">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汽油发动机，发动机功率</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u w:val="none"/>
                <w:lang w:val="en-US" w:eastAsia="zh-CN" w:bidi="ar"/>
              </w:rPr>
              <w:t>15马力，配备扫雪滚刷和抛雪头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E0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小作业面积扫雪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60D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93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25000</w:t>
            </w:r>
          </w:p>
        </w:tc>
      </w:tr>
      <w:tr w14:paraId="5636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8B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轴传动自走草坪机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9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发动机</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u w:val="none"/>
                <w:lang w:val="en-US" w:eastAsia="zh-CN" w:bidi="ar"/>
              </w:rPr>
              <w:t>5HP，割草宽度</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u w:val="none"/>
                <w:lang w:val="en-US" w:eastAsia="zh-CN" w:bidi="ar"/>
              </w:rPr>
              <w:t>500mm,草高度：20-80mm(十一档可调)，三档可调自走式，轴传动，甩刀直刀可选，后集草，集草袋容积：70L</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9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割草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33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771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3450</w:t>
            </w:r>
          </w:p>
        </w:tc>
      </w:tr>
      <w:tr w14:paraId="1105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2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63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油锯</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62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排量</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70</w:t>
            </w:r>
            <w:r>
              <w:rPr>
                <w:rFonts w:hint="eastAsia" w:ascii="仿宋" w:hAnsi="仿宋" w:eastAsia="仿宋" w:cs="仿宋"/>
                <w:sz w:val="24"/>
                <w:szCs w:val="24"/>
              </w:rPr>
              <w:t>cm</w:t>
            </w:r>
            <w:r>
              <w:rPr>
                <w:rFonts w:hint="eastAsia" w:ascii="仿宋" w:hAnsi="仿宋" w:eastAsia="仿宋" w:cs="仿宋"/>
                <w:sz w:val="24"/>
                <w:szCs w:val="24"/>
                <w:vertAlign w:val="superscript"/>
              </w:rPr>
              <w:t>3</w:t>
            </w:r>
            <w:r>
              <w:rPr>
                <w:rFonts w:hint="eastAsia" w:ascii="仿宋" w:hAnsi="仿宋" w:eastAsia="仿宋" w:cs="仿宋"/>
                <w:sz w:val="24"/>
                <w:szCs w:val="24"/>
                <w:vertAlign w:val="superscript"/>
                <w:lang w:eastAsia="zh-CN"/>
              </w:rPr>
              <w:t>，</w:t>
            </w:r>
            <w:r>
              <w:rPr>
                <w:rFonts w:hint="eastAsia" w:ascii="仿宋" w:hAnsi="仿宋" w:eastAsia="仿宋" w:cs="仿宋"/>
                <w:i w:val="0"/>
                <w:iCs w:val="0"/>
                <w:color w:val="000000"/>
                <w:kern w:val="0"/>
                <w:sz w:val="22"/>
                <w:szCs w:val="22"/>
                <w:highlight w:val="none"/>
                <w:u w:val="none"/>
                <w:lang w:val="en-US" w:eastAsia="zh-CN" w:bidi="ar"/>
              </w:rPr>
              <w:t>功率</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3.4kw，最大输出功率转速</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10000 rpm，链条最大速度</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30m/s。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配有20寸导板。</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DD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113">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E963">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3400</w:t>
            </w:r>
          </w:p>
        </w:tc>
      </w:tr>
      <w:tr w14:paraId="6AEF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DE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25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锂电链锯</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2089">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电压</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40V，电机</w:t>
            </w:r>
            <w:r>
              <w:rPr>
                <w:rFonts w:hint="eastAsia" w:ascii="仿宋" w:hAnsi="仿宋" w:eastAsia="仿宋" w:cs="仿宋"/>
                <w:i w:val="0"/>
                <w:iCs w:val="0"/>
                <w:color w:val="000000"/>
                <w:kern w:val="0"/>
                <w:sz w:val="22"/>
                <w:szCs w:val="22"/>
                <w:highlight w:val="none"/>
                <w:u w:val="none"/>
                <w:lang w:val="en-US" w:eastAsia="zh-CN" w:bidi="ar"/>
              </w:rPr>
              <w:tab/>
            </w:r>
            <w:r>
              <w:rPr>
                <w:rFonts w:hint="eastAsia" w:ascii="仿宋" w:hAnsi="仿宋" w:eastAsia="仿宋" w:cs="仿宋"/>
                <w:i w:val="0"/>
                <w:iCs w:val="0"/>
                <w:color w:val="000000"/>
                <w:kern w:val="0"/>
                <w:sz w:val="22"/>
                <w:szCs w:val="22"/>
                <w:highlight w:val="none"/>
                <w:u w:val="none"/>
                <w:lang w:val="en-US" w:eastAsia="zh-CN" w:bidi="ar"/>
              </w:rPr>
              <w:t>为无刷电机，电池：锂电池，功率</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1500W</w:t>
            </w:r>
          </w:p>
          <w:p w14:paraId="5BDB8FD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链条速度</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10M/S，导板长度：16"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4A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5A8">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B1D3">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3107.61</w:t>
            </w:r>
          </w:p>
        </w:tc>
      </w:tr>
      <w:tr w14:paraId="75EF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A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18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绿篱机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E94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功率</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1800W，刀片类型:</w:t>
            </w:r>
            <w:r>
              <w:rPr>
                <w:rFonts w:hint="eastAsia" w:ascii="仿宋" w:hAnsi="仿宋" w:eastAsia="仿宋" w:cs="仿宋"/>
                <w:i w:val="0"/>
                <w:iCs w:val="0"/>
                <w:color w:val="000000"/>
                <w:kern w:val="0"/>
                <w:sz w:val="22"/>
                <w:szCs w:val="22"/>
                <w:highlight w:val="none"/>
                <w:u w:val="none"/>
                <w:lang w:val="en-US" w:eastAsia="zh-CN" w:bidi="ar"/>
              </w:rPr>
              <w:tab/>
            </w:r>
            <w:r>
              <w:rPr>
                <w:rFonts w:hint="eastAsia" w:ascii="仿宋" w:hAnsi="仿宋" w:eastAsia="仿宋" w:cs="仿宋"/>
                <w:i w:val="0"/>
                <w:iCs w:val="0"/>
                <w:color w:val="000000"/>
                <w:kern w:val="0"/>
                <w:sz w:val="22"/>
                <w:szCs w:val="22"/>
                <w:highlight w:val="none"/>
                <w:u w:val="none"/>
                <w:lang w:val="en-US" w:eastAsia="zh-CN" w:bidi="ar"/>
              </w:rPr>
              <w:t>双刃往复修剪，切割直径:35mm，电机:无刷无铁芯电机，操作特点:转速三档可调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D47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修剪绿篱、造型树等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365F">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B27">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3200</w:t>
            </w:r>
          </w:p>
        </w:tc>
      </w:tr>
      <w:tr w14:paraId="0305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6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7E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绿篱机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0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排量</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23.6cm³，功率</w:t>
            </w:r>
            <w:r>
              <w:rPr>
                <w:rStyle w:val="60"/>
                <w:rFonts w:hint="eastAsia" w:ascii="仿宋" w:hAnsi="仿宋" w:eastAsia="仿宋" w:cs="仿宋"/>
                <w:sz w:val="22"/>
                <w:szCs w:val="22"/>
                <w:highlight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0.8kw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刀片长度：610mm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3ED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修剪绿篱、造型树等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B58F">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028">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1326</w:t>
            </w:r>
          </w:p>
        </w:tc>
      </w:tr>
      <w:tr w14:paraId="4D7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2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C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打草机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D56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电压：40V，电机：无刷电机</w:t>
            </w:r>
          </w:p>
          <w:p w14:paraId="088CEE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电池：锂电池，功率≥800W，电机速度≥6500RPM，切割直径：14"/16"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DF1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割草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FF29">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69FD">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2250</w:t>
            </w:r>
          </w:p>
        </w:tc>
      </w:tr>
      <w:tr w14:paraId="0C7F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FF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A5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伸缩高枝油锯</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A9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0"/>
                <w:rFonts w:hint="eastAsia" w:ascii="仿宋" w:hAnsi="仿宋" w:eastAsia="仿宋" w:cs="仿宋"/>
                <w:sz w:val="22"/>
                <w:szCs w:val="22"/>
                <w:highlight w:val="none"/>
                <w:lang w:val="en-US" w:eastAsia="zh-CN" w:bidi="ar"/>
              </w:rPr>
              <w:t>汽缸排量≥25cm</w:t>
            </w:r>
            <w:r>
              <w:rPr>
                <w:rFonts w:hint="eastAsia" w:ascii="仿宋" w:hAnsi="仿宋" w:eastAsia="仿宋" w:cs="仿宋"/>
                <w:i w:val="0"/>
                <w:iCs w:val="0"/>
                <w:color w:val="000000"/>
                <w:kern w:val="0"/>
                <w:sz w:val="22"/>
                <w:szCs w:val="22"/>
                <w:highlight w:val="none"/>
                <w:u w:val="none"/>
                <w:vertAlign w:val="superscript"/>
                <w:lang w:val="en-US" w:eastAsia="zh-CN" w:bidi="ar"/>
              </w:rPr>
              <w:t>3</w:t>
            </w:r>
            <w:r>
              <w:rPr>
                <w:rStyle w:val="60"/>
                <w:rFonts w:hint="eastAsia" w:ascii="仿宋" w:hAnsi="仿宋" w:eastAsia="仿宋" w:cs="仿宋"/>
                <w:sz w:val="22"/>
                <w:szCs w:val="22"/>
                <w:highlight w:val="none"/>
                <w:lang w:val="en-US" w:eastAsia="zh-CN" w:bidi="ar"/>
              </w:rPr>
              <w:br w:type="textWrapping"/>
            </w:r>
            <w:r>
              <w:rPr>
                <w:rStyle w:val="60"/>
                <w:rFonts w:hint="eastAsia" w:ascii="仿宋" w:hAnsi="仿宋" w:eastAsia="仿宋" w:cs="仿宋"/>
                <w:sz w:val="22"/>
                <w:szCs w:val="22"/>
                <w:highlight w:val="none"/>
                <w:lang w:val="en-US" w:eastAsia="zh-CN" w:bidi="ar"/>
              </w:rPr>
              <w:t>最大输出/转速≥0.80kw/7500rpm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B29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人工修剪高空树枝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BD64">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6EE">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3050</w:t>
            </w:r>
          </w:p>
        </w:tc>
      </w:tr>
      <w:tr w14:paraId="3CD4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8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78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高枝锯</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1D89">
            <w:pPr>
              <w:keepNext w:val="0"/>
              <w:keepLines w:val="0"/>
              <w:widowControl/>
              <w:suppressLineNumbers w:val="0"/>
              <w:jc w:val="center"/>
              <w:textAlignment w:val="center"/>
              <w:rPr>
                <w:rStyle w:val="60"/>
                <w:rFonts w:hint="eastAsia" w:ascii="仿宋" w:hAnsi="仿宋" w:eastAsia="仿宋" w:cs="仿宋"/>
                <w:sz w:val="22"/>
                <w:szCs w:val="22"/>
                <w:highlight w:val="none"/>
                <w:lang w:val="en-US" w:eastAsia="zh-CN" w:bidi="ar"/>
              </w:rPr>
            </w:pPr>
            <w:r>
              <w:rPr>
                <w:rStyle w:val="60"/>
                <w:rFonts w:hint="eastAsia" w:ascii="仿宋" w:hAnsi="仿宋" w:eastAsia="仿宋" w:cs="仿宋"/>
                <w:sz w:val="22"/>
                <w:szCs w:val="22"/>
                <w:highlight w:val="none"/>
                <w:lang w:val="en-US" w:eastAsia="zh-CN" w:bidi="ar"/>
              </w:rPr>
              <w:t>额定电压≥25V，额定功率≥1000W</w:t>
            </w:r>
          </w:p>
          <w:p w14:paraId="4BACCE98">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Style w:val="60"/>
                <w:rFonts w:hint="eastAsia" w:ascii="仿宋" w:hAnsi="仿宋" w:eastAsia="仿宋" w:cs="仿宋"/>
                <w:sz w:val="22"/>
                <w:szCs w:val="22"/>
                <w:highlight w:val="none"/>
                <w:lang w:val="en-US" w:eastAsia="zh-CN" w:bidi="ar"/>
              </w:rPr>
              <w:t>最大输出转速≥18500RPM，锯链线速度≥10m/s，有效切割直径:210mm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81A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AA4">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0AC">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2073.86</w:t>
            </w:r>
          </w:p>
        </w:tc>
      </w:tr>
      <w:tr w14:paraId="01F7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F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压凹加长整篱剪</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E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最大剪切直径：12mm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材质：铝质手柄，刀片SK5高级淬火钢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C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修剪绿篱、造型树等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A1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C77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80</w:t>
            </w:r>
          </w:p>
        </w:tc>
      </w:tr>
      <w:tr w14:paraId="0FEF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10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高枝锯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4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4米卡式超长铝合金杆+</w:t>
            </w:r>
          </w:p>
          <w:p w14:paraId="10F11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350mm手锯，锯头刀头材质：SK5淬火钢，工艺处理：防锈镀铬</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1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人工修剪高空树枝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5C8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A5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320</w:t>
            </w:r>
          </w:p>
        </w:tc>
      </w:tr>
      <w:tr w14:paraId="1513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72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高枝绿篱机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A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适用于高低绿篱的修剪发动机汽缸排量≥25cm³，输出最大速度≥7500rpm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24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适用于高低绿篱的修剪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DF8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F3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1950</w:t>
            </w:r>
          </w:p>
        </w:tc>
      </w:tr>
      <w:tr w14:paraId="1962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A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微耕机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0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耕宽≥ 75 厘米，耕作深度≥ 15 - 30 厘米之间可调节，发动机机油容积≥ 0.6 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0E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绿地松土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B98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7C6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2800</w:t>
            </w:r>
          </w:p>
        </w:tc>
      </w:tr>
      <w:tr w14:paraId="11AA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3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发电机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29B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发电频率≥ 50Hz，输出电压≥220V，最大交流输出功率≥ 5500 瓦，气缸排量≥190m³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1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管道热熔维修供电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AF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15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5800</w:t>
            </w:r>
          </w:p>
        </w:tc>
      </w:tr>
      <w:tr w14:paraId="1796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F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水泵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4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进水口管径：80mm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扬程：30m；吸程：5m，峰值流量≥50M/H</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A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排除水井、水池积水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467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4E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1300</w:t>
            </w:r>
          </w:p>
        </w:tc>
      </w:tr>
      <w:tr w14:paraId="6808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9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F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热熔机</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电热器 热熔器PPR PE20/25/3263/75/90/110mm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0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维修绿化灌溉管线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6FA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1A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600</w:t>
            </w:r>
          </w:p>
        </w:tc>
      </w:tr>
      <w:tr w14:paraId="3DC9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F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手锯</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59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ZY350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F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修树枝、伐除死树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1E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4D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60</w:t>
            </w:r>
          </w:p>
        </w:tc>
      </w:tr>
      <w:tr w14:paraId="571A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91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铁锹</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92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74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松土、平整场地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0E2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723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25</w:t>
            </w:r>
          </w:p>
        </w:tc>
      </w:tr>
      <w:tr w14:paraId="6761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C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3C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十字镐</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92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3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松土、平整场地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37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B4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w:t>
            </w:r>
          </w:p>
        </w:tc>
      </w:tr>
      <w:tr w14:paraId="6309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6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草耙子</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4B5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0C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平整场地、清理垃圾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BA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DA6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40</w:t>
            </w:r>
          </w:p>
        </w:tc>
      </w:tr>
    </w:tbl>
    <w:p w14:paraId="3B6A8F2E">
      <w:pPr>
        <w:rPr>
          <w:rFonts w:hint="eastAsia" w:ascii="仿宋" w:hAnsi="仿宋" w:eastAsia="仿宋" w:cs="仿宋"/>
          <w:b/>
          <w:sz w:val="30"/>
          <w:szCs w:val="30"/>
          <w:highlight w:val="none"/>
        </w:rPr>
      </w:pPr>
    </w:p>
    <w:p w14:paraId="2379113C">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6598"/>
      <w:bookmarkStart w:id="35" w:name="_Toc10744"/>
      <w:r>
        <w:rPr>
          <w:rFonts w:hint="eastAsia" w:ascii="仿宋" w:hAnsi="仿宋" w:eastAsia="仿宋" w:cs="仿宋"/>
          <w:b/>
          <w:kern w:val="21"/>
          <w:sz w:val="28"/>
          <w:szCs w:val="28"/>
          <w:highlight w:val="none"/>
        </w:rPr>
        <w:t>评标办法前附表</w:t>
      </w:r>
      <w:bookmarkEnd w:id="34"/>
      <w:bookmarkEnd w:id="35"/>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55</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扣0.5分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方案内容完整满足采购需求且合理可行得14分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③售后服务承诺④维修保养计划 ⑤备品备件配置；方案内容完整满足采购需求且合理可行得10分，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的内容包括但不限于①应急保障措施及应急响应时间②维修人员的配备情况③</w:t>
            </w:r>
            <w:r>
              <w:rPr>
                <w:rFonts w:hint="eastAsia" w:ascii="仿宋" w:hAnsi="仿宋" w:eastAsia="仿宋" w:cs="仿宋"/>
                <w:color w:val="auto"/>
                <w:sz w:val="24"/>
                <w:szCs w:val="24"/>
              </w:rPr>
              <w:t>不合格产品退换措施</w:t>
            </w:r>
            <w:r>
              <w:rPr>
                <w:rFonts w:hint="eastAsia" w:ascii="仿宋" w:hAnsi="仿宋" w:eastAsia="仿宋" w:cs="仿宋"/>
                <w:sz w:val="24"/>
                <w:szCs w:val="24"/>
                <w:highlight w:val="none"/>
                <w:lang w:val="en-US" w:eastAsia="zh-CN"/>
              </w:rPr>
              <w:t>；方案内容完整满足采购需求且合理可行得6分，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6</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15</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10819"/>
      <w:bookmarkStart w:id="37" w:name="_Toc5618"/>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2541"/>
      <w:bookmarkStart w:id="39" w:name="_Toc719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20079"/>
      <w:bookmarkStart w:id="41" w:name="_Toc16744"/>
      <w:r>
        <w:rPr>
          <w:rFonts w:hint="eastAsia" w:ascii="仿宋" w:hAnsi="仿宋" w:eastAsia="仿宋" w:cs="仿宋"/>
          <w:sz w:val="24"/>
          <w:szCs w:val="24"/>
          <w:highlight w:val="none"/>
        </w:rPr>
        <w:t>四、评标中的其他事项</w:t>
      </w:r>
      <w:bookmarkEnd w:id="40"/>
      <w:bookmarkEnd w:id="41"/>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Hlk534720381"/>
      <w:bookmarkStart w:id="45" w:name="_Toc251566661"/>
      <w:bookmarkStart w:id="46" w:name="_Toc249760790"/>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2025年天山区园林队园林绿化机械工具采购项目（二次）采购合同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2025年天山区园林队园林绿化机械工具采购项目（二次）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249760797"/>
      <w:bookmarkStart w:id="49" w:name="_Toc25092"/>
      <w:bookmarkStart w:id="50" w:name="_Toc234764855"/>
      <w:bookmarkStart w:id="51" w:name="_Toc251566668"/>
      <w:bookmarkStart w:id="52" w:name="_Toc1306"/>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32560"/>
      <w:bookmarkStart w:id="54" w:name="_Toc17481"/>
      <w:bookmarkStart w:id="55" w:name="_Toc22159"/>
      <w:bookmarkStart w:id="56" w:name="_Toc25507"/>
      <w:bookmarkStart w:id="57" w:name="_Toc23772"/>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12495969">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3386"/>
      <w:bookmarkStart w:id="59" w:name="_Toc22489"/>
      <w:bookmarkStart w:id="60" w:name="_Toc23502"/>
      <w:bookmarkStart w:id="61" w:name="_Toc3036"/>
      <w:bookmarkStart w:id="62" w:name="_Toc23246"/>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3363"/>
      <w:bookmarkStart w:id="64" w:name="_Toc32320"/>
      <w:bookmarkStart w:id="65" w:name="_Toc5590"/>
      <w:bookmarkStart w:id="66" w:name="_Toc12628"/>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2F1A22FB">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21615"/>
      <w:bookmarkStart w:id="69" w:name="_Toc27185"/>
      <w:bookmarkStart w:id="70" w:name="_Toc32377"/>
      <w:bookmarkStart w:id="71" w:name="_Toc25033"/>
      <w:bookmarkStart w:id="72" w:name="_Toc27788"/>
      <w:bookmarkStart w:id="73" w:name="_Toc8039"/>
      <w:bookmarkStart w:id="74" w:name="_Toc13843"/>
      <w:bookmarkStart w:id="75" w:name="_Toc8263"/>
      <w:bookmarkStart w:id="76" w:name="_Toc17397"/>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3479" w:type="dxa"/>
            <w:noWrap/>
            <w:vAlign w:val="center"/>
          </w:tcPr>
          <w:p w14:paraId="19507DA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7AF9160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此处填写单价合计金额</w:t>
            </w: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r w14:paraId="4DEA2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3479" w:type="dxa"/>
            <w:noWrap/>
            <w:vAlign w:val="center"/>
          </w:tcPr>
          <w:p w14:paraId="07B8CA6E">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质保期</w:t>
            </w:r>
          </w:p>
        </w:tc>
        <w:tc>
          <w:tcPr>
            <w:tcW w:w="5467" w:type="dxa"/>
            <w:noWrap/>
            <w:vAlign w:val="center"/>
          </w:tcPr>
          <w:p w14:paraId="5FB22E7F">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68BEE5D5">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填报要求：报价最多保留两位小数，小数点后两位不论大小一律舍去。</w:t>
      </w:r>
    </w:p>
    <w:p w14:paraId="04346A89">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产地</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733"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37"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7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4F2CA477">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3"/>
      <w:bookmarkStart w:id="79" w:name="OLE_LINK14"/>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4E87B708">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6311F3"/>
    <w:rsid w:val="0CFE5158"/>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0E21D85"/>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65997"/>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EF4498C"/>
    <w:rsid w:val="1F77854C"/>
    <w:rsid w:val="1F7F4E95"/>
    <w:rsid w:val="1FC26F5C"/>
    <w:rsid w:val="1FF259A6"/>
    <w:rsid w:val="20016901"/>
    <w:rsid w:val="20D504B9"/>
    <w:rsid w:val="20F05529"/>
    <w:rsid w:val="213C0B64"/>
    <w:rsid w:val="21400B25"/>
    <w:rsid w:val="215F1FFD"/>
    <w:rsid w:val="21801F41"/>
    <w:rsid w:val="21822A52"/>
    <w:rsid w:val="21D06ED2"/>
    <w:rsid w:val="22547B99"/>
    <w:rsid w:val="22AB6E56"/>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9B6611"/>
    <w:rsid w:val="2ACF5BCE"/>
    <w:rsid w:val="2AFF3ACB"/>
    <w:rsid w:val="2B204A27"/>
    <w:rsid w:val="2B562100"/>
    <w:rsid w:val="2B6E4B20"/>
    <w:rsid w:val="2B7E174D"/>
    <w:rsid w:val="2BB450AC"/>
    <w:rsid w:val="2BBD2F39"/>
    <w:rsid w:val="2CCF03A6"/>
    <w:rsid w:val="2CFB2F1F"/>
    <w:rsid w:val="2D4F33A1"/>
    <w:rsid w:val="2D6A1F89"/>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605725"/>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597492"/>
    <w:rsid w:val="470E1780"/>
    <w:rsid w:val="472F1E22"/>
    <w:rsid w:val="4730677D"/>
    <w:rsid w:val="47341ADF"/>
    <w:rsid w:val="473A07C7"/>
    <w:rsid w:val="473F7B8B"/>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EDDD27C"/>
    <w:rsid w:val="4F6849B1"/>
    <w:rsid w:val="4F6F7CFA"/>
    <w:rsid w:val="4FEB08B0"/>
    <w:rsid w:val="500A5FB5"/>
    <w:rsid w:val="501716A5"/>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405530"/>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840587"/>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9E30694"/>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007847"/>
    <w:rsid w:val="785D7945"/>
    <w:rsid w:val="78A57DDA"/>
    <w:rsid w:val="78C31426"/>
    <w:rsid w:val="78D87374"/>
    <w:rsid w:val="78D923EC"/>
    <w:rsid w:val="79BF6786"/>
    <w:rsid w:val="79D8726F"/>
    <w:rsid w:val="7A107D79"/>
    <w:rsid w:val="7A6335B5"/>
    <w:rsid w:val="7B2E5971"/>
    <w:rsid w:val="7BBF5333"/>
    <w:rsid w:val="7BF30969"/>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18646</Words>
  <Characters>20011</Characters>
  <Lines>331</Lines>
  <Paragraphs>93</Paragraphs>
  <TotalTime>0</TotalTime>
  <ScaleCrop>false</ScaleCrop>
  <LinksUpToDate>false</LinksUpToDate>
  <CharactersWithSpaces>20244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2025-03-07T04:38:37Z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