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9E4D8A">
      <w:pPr>
        <w:spacing w:line="360" w:lineRule="auto"/>
        <w:rPr>
          <w:rFonts w:ascii="宋体" w:cs="宋体"/>
          <w:highlight w:val="none"/>
        </w:rPr>
      </w:pPr>
      <w:r>
        <w:rPr>
          <w:rFonts w:hint="eastAsia" w:ascii="宋体" w:cs="宋体"/>
          <w:highlight w:val="none"/>
        </w:rPr>
        <w:t xml:space="preserve"> </w:t>
      </w:r>
      <w:r>
        <w:rPr>
          <w:rFonts w:ascii="宋体" w:cs="宋体"/>
          <w:highlight w:val="none"/>
        </w:rPr>
        <w:t xml:space="preserve"> </w:t>
      </w:r>
    </w:p>
    <w:p w14:paraId="1E9C40D9">
      <w:pPr>
        <w:pStyle w:val="60"/>
      </w:pPr>
    </w:p>
    <w:p w14:paraId="5B95E073">
      <w:pPr>
        <w:spacing w:line="360" w:lineRule="auto"/>
        <w:jc w:val="center"/>
        <w:rPr>
          <w:rFonts w:hint="eastAsia" w:ascii="宋体" w:eastAsia="宋体" w:cs="宋体"/>
          <w:b/>
          <w:bCs/>
          <w:sz w:val="72"/>
          <w:szCs w:val="72"/>
          <w:highlight w:val="none"/>
          <w:lang w:val="en-US" w:eastAsia="zh-CN"/>
        </w:rPr>
      </w:pPr>
      <w:r>
        <w:rPr>
          <w:rFonts w:hint="eastAsia" w:ascii="宋体" w:hAnsi="宋体" w:cs="宋体"/>
          <w:b/>
          <w:bCs/>
          <w:sz w:val="72"/>
          <w:szCs w:val="72"/>
          <w:highlight w:val="none"/>
        </w:rPr>
        <w:t>招</w:t>
      </w:r>
      <w:r>
        <w:rPr>
          <w:rFonts w:ascii="宋体" w:hAnsi="宋体" w:cs="宋体"/>
          <w:b/>
          <w:bCs/>
          <w:sz w:val="72"/>
          <w:szCs w:val="72"/>
          <w:highlight w:val="none"/>
        </w:rPr>
        <w:t xml:space="preserve"> </w:t>
      </w:r>
      <w:r>
        <w:rPr>
          <w:rFonts w:hint="eastAsia" w:ascii="宋体" w:hAnsi="宋体" w:cs="宋体"/>
          <w:b/>
          <w:bCs/>
          <w:sz w:val="72"/>
          <w:szCs w:val="72"/>
          <w:highlight w:val="none"/>
        </w:rPr>
        <w:t>标</w:t>
      </w:r>
      <w:r>
        <w:rPr>
          <w:rFonts w:ascii="宋体" w:hAnsi="宋体" w:cs="宋体"/>
          <w:b/>
          <w:bCs/>
          <w:sz w:val="72"/>
          <w:szCs w:val="72"/>
          <w:highlight w:val="none"/>
        </w:rPr>
        <w:t xml:space="preserve"> </w:t>
      </w:r>
      <w:r>
        <w:rPr>
          <w:rFonts w:hint="eastAsia" w:ascii="宋体" w:hAnsi="宋体" w:cs="宋体"/>
          <w:b/>
          <w:bCs/>
          <w:sz w:val="72"/>
          <w:szCs w:val="72"/>
          <w:highlight w:val="none"/>
        </w:rPr>
        <w:t>文</w:t>
      </w:r>
      <w:r>
        <w:rPr>
          <w:rFonts w:ascii="宋体" w:hAnsi="宋体" w:cs="宋体"/>
          <w:b/>
          <w:bCs/>
          <w:sz w:val="72"/>
          <w:szCs w:val="72"/>
          <w:highlight w:val="none"/>
        </w:rPr>
        <w:t xml:space="preserve"> </w:t>
      </w:r>
      <w:r>
        <w:rPr>
          <w:rFonts w:hint="eastAsia" w:ascii="宋体" w:hAnsi="宋体" w:cs="宋体"/>
          <w:b/>
          <w:bCs/>
          <w:sz w:val="72"/>
          <w:szCs w:val="72"/>
          <w:highlight w:val="none"/>
        </w:rPr>
        <w:t>件</w:t>
      </w:r>
    </w:p>
    <w:p w14:paraId="770459AB">
      <w:pPr>
        <w:tabs>
          <w:tab w:val="left" w:pos="2700"/>
          <w:tab w:val="left" w:pos="3584"/>
        </w:tabs>
        <w:spacing w:line="360" w:lineRule="auto"/>
        <w:rPr>
          <w:rFonts w:ascii="宋体" w:cs="宋体"/>
          <w:b/>
          <w:bCs/>
          <w:sz w:val="44"/>
          <w:highlight w:val="none"/>
        </w:rPr>
      </w:pPr>
    </w:p>
    <w:p w14:paraId="623D9A88">
      <w:pPr>
        <w:pStyle w:val="60"/>
        <w:rPr>
          <w:rFonts w:ascii="宋体" w:cs="宋体"/>
          <w:b/>
          <w:bCs/>
          <w:sz w:val="44"/>
          <w:highlight w:val="none"/>
        </w:rPr>
      </w:pPr>
    </w:p>
    <w:p w14:paraId="0D011194">
      <w:pPr>
        <w:spacing w:line="360" w:lineRule="auto"/>
        <w:jc w:val="center"/>
        <w:rPr>
          <w:rFonts w:ascii="宋体" w:cs="宋体"/>
          <w:b/>
          <w:sz w:val="72"/>
          <w:highlight w:val="none"/>
        </w:rPr>
      </w:pPr>
      <w:r>
        <w:rPr>
          <w:rFonts w:hint="eastAsia" w:ascii="宋体" w:hAnsi="宋体" w:eastAsia="宋体" w:cs="宋体"/>
          <w:bCs/>
          <w:sz w:val="44"/>
          <w:highlight w:val="none"/>
          <w:lang w:eastAsia="zh-CN"/>
        </w:rPr>
        <w:drawing>
          <wp:inline distT="0" distB="0" distL="114300" distR="114300">
            <wp:extent cx="2843530" cy="2416810"/>
            <wp:effectExtent l="0" t="0" r="13970" b="2540"/>
            <wp:docPr id="3"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公司logo1"/>
                    <pic:cNvPicPr>
                      <a:picLocks noChangeAspect="1"/>
                    </pic:cNvPicPr>
                  </pic:nvPicPr>
                  <pic:blipFill>
                    <a:blip r:embed="rId11"/>
                    <a:stretch>
                      <a:fillRect/>
                    </a:stretch>
                  </pic:blipFill>
                  <pic:spPr>
                    <a:xfrm>
                      <a:off x="0" y="0"/>
                      <a:ext cx="2843530" cy="2416810"/>
                    </a:xfrm>
                    <a:prstGeom prst="rect">
                      <a:avLst/>
                    </a:prstGeom>
                    <a:noFill/>
                    <a:ln>
                      <a:noFill/>
                    </a:ln>
                  </pic:spPr>
                </pic:pic>
              </a:graphicData>
            </a:graphic>
          </wp:inline>
        </w:drawing>
      </w:r>
    </w:p>
    <w:p w14:paraId="50167BA4">
      <w:pPr>
        <w:spacing w:line="360" w:lineRule="auto"/>
        <w:rPr>
          <w:rFonts w:ascii="宋体" w:cs="宋体"/>
          <w:b/>
          <w:sz w:val="72"/>
          <w:highlight w:val="none"/>
        </w:rPr>
      </w:pPr>
    </w:p>
    <w:p w14:paraId="45B0A2C4">
      <w:pPr>
        <w:pStyle w:val="21"/>
        <w:rPr>
          <w:rFonts w:hint="eastAsia" w:ascii="宋体" w:hAnsi="宋体" w:eastAsia="宋体" w:cs="宋体"/>
          <w:bCs/>
          <w:sz w:val="32"/>
          <w:szCs w:val="30"/>
          <w:highlight w:val="none"/>
          <w:lang w:eastAsia="zh-CN"/>
        </w:rPr>
      </w:pPr>
      <w:r>
        <w:rPr>
          <w:rFonts w:hint="eastAsia" w:ascii="宋体" w:hAnsi="宋体" w:cs="宋体"/>
          <w:bCs/>
          <w:spacing w:val="106"/>
          <w:kern w:val="0"/>
          <w:sz w:val="32"/>
          <w:szCs w:val="30"/>
          <w:highlight w:val="none"/>
          <w:fitText w:val="1920" w:id="-2026047488"/>
        </w:rPr>
        <w:t>项目名</w:t>
      </w:r>
      <w:r>
        <w:rPr>
          <w:rFonts w:hint="eastAsia" w:ascii="宋体" w:hAnsi="宋体" w:cs="宋体"/>
          <w:bCs/>
          <w:spacing w:val="2"/>
          <w:kern w:val="0"/>
          <w:sz w:val="32"/>
          <w:szCs w:val="30"/>
          <w:highlight w:val="none"/>
          <w:fitText w:val="1920" w:id="-2026047488"/>
        </w:rPr>
        <w:t>称</w:t>
      </w:r>
      <w:r>
        <w:rPr>
          <w:rFonts w:hint="eastAsia" w:ascii="宋体" w:hAnsi="宋体" w:cs="宋体"/>
          <w:bCs/>
          <w:sz w:val="32"/>
          <w:szCs w:val="30"/>
          <w:highlight w:val="none"/>
        </w:rPr>
        <w:t>：</w:t>
      </w:r>
      <w:r>
        <w:rPr>
          <w:rFonts w:hint="eastAsia" w:ascii="宋体" w:hAnsi="宋体" w:cs="宋体"/>
          <w:bCs/>
          <w:sz w:val="32"/>
          <w:szCs w:val="30"/>
          <w:highlight w:val="none"/>
          <w:u w:val="single"/>
          <w:lang w:eastAsia="zh-CN"/>
        </w:rPr>
        <w:t>乌鲁木齐高新区（新市区）某单位ZFBA中心硬件设施采购项目</w:t>
      </w:r>
    </w:p>
    <w:p w14:paraId="71C050FD">
      <w:pPr>
        <w:tabs>
          <w:tab w:val="left" w:pos="3240"/>
          <w:tab w:val="left" w:pos="3420"/>
        </w:tabs>
        <w:spacing w:line="360" w:lineRule="auto"/>
        <w:jc w:val="left"/>
        <w:rPr>
          <w:rFonts w:hint="eastAsia" w:ascii="宋体" w:hAnsi="宋体" w:eastAsia="宋体" w:cs="宋体"/>
          <w:bCs/>
          <w:sz w:val="32"/>
          <w:szCs w:val="30"/>
          <w:highlight w:val="none"/>
          <w:lang w:eastAsia="zh-CN"/>
        </w:rPr>
      </w:pPr>
      <w:r>
        <w:rPr>
          <w:rFonts w:hint="eastAsia" w:ascii="宋体" w:hAnsi="宋体" w:cs="宋体"/>
          <w:bCs/>
          <w:spacing w:val="106"/>
          <w:kern w:val="0"/>
          <w:sz w:val="32"/>
          <w:szCs w:val="30"/>
          <w:highlight w:val="none"/>
          <w:fitText w:val="1920" w:id="-2026047487"/>
          <w:lang w:val="en-US" w:eastAsia="zh-CN"/>
        </w:rPr>
        <w:t>项目</w:t>
      </w:r>
      <w:r>
        <w:rPr>
          <w:rFonts w:hint="eastAsia" w:ascii="宋体" w:hAnsi="宋体" w:cs="宋体"/>
          <w:bCs/>
          <w:spacing w:val="106"/>
          <w:kern w:val="0"/>
          <w:sz w:val="32"/>
          <w:szCs w:val="30"/>
          <w:highlight w:val="none"/>
          <w:fitText w:val="1920" w:id="-2026047487"/>
        </w:rPr>
        <w:t>编</w:t>
      </w:r>
      <w:r>
        <w:rPr>
          <w:rFonts w:hint="eastAsia" w:ascii="宋体" w:hAnsi="宋体" w:cs="宋体"/>
          <w:bCs/>
          <w:spacing w:val="2"/>
          <w:kern w:val="0"/>
          <w:sz w:val="32"/>
          <w:szCs w:val="30"/>
          <w:highlight w:val="none"/>
          <w:fitText w:val="1920" w:id="-2026047487"/>
        </w:rPr>
        <w:t>号</w:t>
      </w:r>
      <w:r>
        <w:rPr>
          <w:rFonts w:hint="eastAsia" w:ascii="宋体" w:hAnsi="宋体" w:cs="宋体"/>
          <w:bCs/>
          <w:sz w:val="32"/>
          <w:szCs w:val="30"/>
          <w:highlight w:val="none"/>
        </w:rPr>
        <w:t>：</w:t>
      </w:r>
      <w:r>
        <w:rPr>
          <w:rFonts w:hint="eastAsia" w:ascii="宋体" w:hAnsi="宋体" w:cs="宋体"/>
          <w:bCs/>
          <w:kern w:val="2"/>
          <w:sz w:val="32"/>
          <w:szCs w:val="30"/>
          <w:highlight w:val="none"/>
          <w:u w:val="single"/>
          <w:lang w:val="en-US" w:eastAsia="zh-CN" w:bidi="ar-SA"/>
        </w:rPr>
        <w:t>GXXG-2025-ZFCG017</w:t>
      </w:r>
    </w:p>
    <w:p w14:paraId="28631EEE">
      <w:pPr>
        <w:tabs>
          <w:tab w:val="left" w:pos="3240"/>
          <w:tab w:val="left" w:pos="3420"/>
        </w:tabs>
        <w:spacing w:line="360" w:lineRule="auto"/>
        <w:jc w:val="left"/>
        <w:rPr>
          <w:rFonts w:hint="eastAsia" w:ascii="宋体" w:eastAsia="宋体" w:cs="宋体"/>
          <w:bCs/>
          <w:sz w:val="32"/>
          <w:szCs w:val="30"/>
          <w:highlight w:val="none"/>
          <w:lang w:eastAsia="zh-CN"/>
        </w:rPr>
      </w:pPr>
      <w:r>
        <w:rPr>
          <w:rFonts w:hint="eastAsia" w:ascii="宋体" w:hAnsi="宋体" w:cs="宋体"/>
          <w:bCs/>
          <w:spacing w:val="80"/>
          <w:kern w:val="0"/>
          <w:sz w:val="32"/>
          <w:szCs w:val="30"/>
          <w:highlight w:val="none"/>
          <w:fitText w:val="1920" w:id="-2026047486"/>
        </w:rPr>
        <w:t>采</w:t>
      </w:r>
      <w:r>
        <w:rPr>
          <w:rFonts w:ascii="宋体" w:hAnsi="宋体" w:cs="宋体"/>
          <w:bCs/>
          <w:spacing w:val="80"/>
          <w:kern w:val="0"/>
          <w:sz w:val="32"/>
          <w:szCs w:val="30"/>
          <w:highlight w:val="none"/>
          <w:fitText w:val="1920" w:id="-2026047486"/>
        </w:rPr>
        <w:t xml:space="preserve"> </w:t>
      </w:r>
      <w:r>
        <w:rPr>
          <w:rFonts w:hint="eastAsia" w:ascii="宋体" w:hAnsi="宋体" w:cs="宋体"/>
          <w:bCs/>
          <w:spacing w:val="80"/>
          <w:kern w:val="0"/>
          <w:sz w:val="32"/>
          <w:szCs w:val="30"/>
          <w:highlight w:val="none"/>
          <w:fitText w:val="1920" w:id="-2026047486"/>
        </w:rPr>
        <w:t>购</w:t>
      </w:r>
      <w:r>
        <w:rPr>
          <w:rFonts w:ascii="宋体" w:hAnsi="宋体" w:cs="宋体"/>
          <w:bCs/>
          <w:spacing w:val="80"/>
          <w:kern w:val="0"/>
          <w:sz w:val="32"/>
          <w:szCs w:val="30"/>
          <w:highlight w:val="none"/>
          <w:fitText w:val="1920" w:id="-2026047486"/>
        </w:rPr>
        <w:t xml:space="preserve"> </w:t>
      </w:r>
      <w:r>
        <w:rPr>
          <w:rFonts w:hint="eastAsia" w:ascii="宋体" w:hAnsi="宋体" w:cs="宋体"/>
          <w:bCs/>
          <w:spacing w:val="0"/>
          <w:kern w:val="0"/>
          <w:sz w:val="32"/>
          <w:szCs w:val="30"/>
          <w:highlight w:val="none"/>
          <w:fitText w:val="1920" w:id="-2026047486"/>
        </w:rPr>
        <w:t>人</w:t>
      </w:r>
      <w:r>
        <w:rPr>
          <w:rFonts w:hint="eastAsia" w:ascii="宋体" w:hAnsi="宋体" w:cs="宋体"/>
          <w:bCs/>
          <w:sz w:val="32"/>
          <w:szCs w:val="30"/>
          <w:highlight w:val="none"/>
        </w:rPr>
        <w:t>：</w:t>
      </w:r>
      <w:r>
        <w:rPr>
          <w:rFonts w:hint="eastAsia" w:ascii="宋体" w:hAnsi="宋体" w:cs="宋体"/>
          <w:bCs/>
          <w:sz w:val="32"/>
          <w:szCs w:val="30"/>
          <w:highlight w:val="none"/>
          <w:u w:val="single"/>
          <w:lang w:eastAsia="zh-CN"/>
        </w:rPr>
        <w:t>乌鲁木齐高新区（新市区）某单位</w:t>
      </w:r>
    </w:p>
    <w:p w14:paraId="5342211F">
      <w:pPr>
        <w:tabs>
          <w:tab w:val="left" w:pos="3240"/>
          <w:tab w:val="left" w:pos="3420"/>
        </w:tabs>
        <w:spacing w:line="360" w:lineRule="auto"/>
        <w:jc w:val="left"/>
        <w:rPr>
          <w:rFonts w:hint="eastAsia" w:ascii="宋体" w:eastAsia="宋体" w:cs="宋体"/>
          <w:bCs/>
          <w:sz w:val="32"/>
          <w:szCs w:val="30"/>
          <w:highlight w:val="none"/>
          <w:u w:val="single"/>
          <w:lang w:eastAsia="zh-CN"/>
        </w:rPr>
      </w:pPr>
      <w:r>
        <w:rPr>
          <w:rFonts w:hint="eastAsia" w:ascii="宋体" w:hAnsi="宋体" w:cs="宋体"/>
          <w:bCs/>
          <w:sz w:val="32"/>
          <w:szCs w:val="30"/>
          <w:highlight w:val="none"/>
          <w:lang w:val="en-US" w:eastAsia="zh-CN"/>
        </w:rPr>
        <w:t>采购</w:t>
      </w:r>
      <w:r>
        <w:rPr>
          <w:rFonts w:hint="eastAsia" w:ascii="宋体" w:hAnsi="宋体" w:cs="宋体"/>
          <w:bCs/>
          <w:sz w:val="32"/>
          <w:szCs w:val="30"/>
          <w:highlight w:val="none"/>
        </w:rPr>
        <w:t>代理机构：</w:t>
      </w:r>
      <w:r>
        <w:rPr>
          <w:rFonts w:hint="eastAsia" w:ascii="宋体" w:hAnsi="宋体" w:cs="宋体"/>
          <w:bCs/>
          <w:sz w:val="32"/>
          <w:szCs w:val="30"/>
          <w:highlight w:val="none"/>
          <w:u w:val="single"/>
          <w:lang w:eastAsia="zh-CN"/>
        </w:rPr>
        <w:t>乌鲁木齐高新建设工程项目管理咨询有限公司</w:t>
      </w:r>
    </w:p>
    <w:p w14:paraId="0F0BE134">
      <w:pPr>
        <w:tabs>
          <w:tab w:val="left" w:pos="3240"/>
          <w:tab w:val="left" w:pos="3420"/>
        </w:tabs>
        <w:spacing w:line="360" w:lineRule="auto"/>
        <w:jc w:val="left"/>
        <w:rPr>
          <w:rFonts w:hint="eastAsia" w:ascii="宋体" w:eastAsia="宋体" w:cs="宋体"/>
          <w:bCs/>
          <w:sz w:val="32"/>
          <w:szCs w:val="36"/>
          <w:highlight w:val="none"/>
          <w:u w:val="single"/>
          <w:lang w:eastAsia="zh-CN"/>
        </w:rPr>
      </w:pPr>
      <w:r>
        <w:rPr>
          <w:rFonts w:hint="eastAsia" w:ascii="宋体" w:hAnsi="宋体" w:cs="宋体"/>
          <w:bCs/>
          <w:spacing w:val="640"/>
          <w:kern w:val="0"/>
          <w:sz w:val="32"/>
          <w:szCs w:val="36"/>
          <w:highlight w:val="none"/>
          <w:fitText w:val="1920" w:id="-2026047485"/>
        </w:rPr>
        <w:t>日</w:t>
      </w:r>
      <w:r>
        <w:rPr>
          <w:rFonts w:hint="eastAsia" w:ascii="宋体" w:hAnsi="宋体" w:cs="宋体"/>
          <w:bCs/>
          <w:spacing w:val="0"/>
          <w:kern w:val="0"/>
          <w:sz w:val="32"/>
          <w:szCs w:val="36"/>
          <w:highlight w:val="none"/>
          <w:fitText w:val="1920" w:id="-2026047485"/>
        </w:rPr>
        <w:t>期</w:t>
      </w:r>
      <w:r>
        <w:rPr>
          <w:rFonts w:hint="eastAsia" w:ascii="宋体" w:hAnsi="宋体" w:cs="宋体"/>
          <w:bCs/>
          <w:sz w:val="32"/>
          <w:szCs w:val="36"/>
          <w:highlight w:val="none"/>
        </w:rPr>
        <w:t>：</w:t>
      </w:r>
      <w:r>
        <w:rPr>
          <w:rFonts w:hint="eastAsia" w:ascii="宋体" w:hAnsi="宋体" w:cs="宋体"/>
          <w:bCs/>
          <w:sz w:val="32"/>
          <w:szCs w:val="36"/>
          <w:highlight w:val="none"/>
          <w:u w:val="single"/>
          <w:lang w:eastAsia="zh-CN"/>
        </w:rPr>
        <w:t>2025年</w:t>
      </w:r>
      <w:r>
        <w:rPr>
          <w:rFonts w:hint="eastAsia" w:ascii="宋体" w:hAnsi="宋体" w:cs="宋体"/>
          <w:bCs/>
          <w:sz w:val="32"/>
          <w:szCs w:val="36"/>
          <w:highlight w:val="none"/>
          <w:u w:val="single"/>
          <w:lang w:val="en-US" w:eastAsia="zh-CN"/>
        </w:rPr>
        <w:t>04</w:t>
      </w:r>
      <w:r>
        <w:rPr>
          <w:rFonts w:hint="eastAsia" w:ascii="宋体" w:hAnsi="宋体" w:cs="宋体"/>
          <w:bCs/>
          <w:sz w:val="32"/>
          <w:szCs w:val="36"/>
          <w:highlight w:val="none"/>
          <w:u w:val="single"/>
          <w:lang w:eastAsia="zh-CN"/>
        </w:rPr>
        <w:t>月</w:t>
      </w:r>
    </w:p>
    <w:p w14:paraId="2E87DBEE">
      <w:pPr>
        <w:widowControl/>
        <w:jc w:val="center"/>
        <w:rPr>
          <w:rFonts w:ascii="黑体" w:hAnsi="黑体" w:eastAsia="黑体" w:cs="宋体"/>
          <w:bCs w:val="0"/>
          <w:kern w:val="2"/>
          <w:sz w:val="22"/>
          <w:szCs w:val="28"/>
          <w:highlight w:val="none"/>
          <w:lang w:val="en-US" w:eastAsia="zh-CN" w:bidi="ar-SA"/>
        </w:rPr>
      </w:pPr>
      <w:r>
        <w:rPr>
          <w:rFonts w:cs="宋体"/>
          <w:bCs/>
          <w:sz w:val="32"/>
          <w:szCs w:val="36"/>
          <w:highlight w:val="none"/>
        </w:rPr>
        <w:br w:type="page"/>
      </w:r>
      <w:r>
        <w:rPr>
          <w:rFonts w:hint="eastAsia" w:cs="宋体"/>
          <w:b/>
          <w:bCs/>
          <w:sz w:val="36"/>
          <w:szCs w:val="40"/>
          <w:highlight w:val="none"/>
        </w:rPr>
        <w:t>目</w:t>
      </w:r>
      <w:r>
        <w:rPr>
          <w:rFonts w:cs="宋体"/>
          <w:b/>
          <w:bCs/>
          <w:sz w:val="36"/>
          <w:szCs w:val="40"/>
          <w:highlight w:val="none"/>
        </w:rPr>
        <w:t xml:space="preserve">  </w:t>
      </w:r>
      <w:r>
        <w:rPr>
          <w:rFonts w:hint="eastAsia" w:cs="宋体"/>
          <w:b/>
          <w:bCs/>
          <w:sz w:val="36"/>
          <w:szCs w:val="40"/>
          <w:highlight w:val="none"/>
        </w:rPr>
        <w:t>录</w:t>
      </w:r>
      <w:r>
        <w:rPr>
          <w:rFonts w:ascii="黑体" w:hAnsi="黑体" w:eastAsia="黑体" w:cs="宋体"/>
          <w:bCs/>
          <w:sz w:val="22"/>
          <w:szCs w:val="28"/>
          <w:highlight w:val="none"/>
        </w:rPr>
        <w:fldChar w:fldCharType="begin"/>
      </w:r>
      <w:r>
        <w:rPr>
          <w:rFonts w:ascii="黑体" w:hAnsi="黑体" w:eastAsia="黑体" w:cs="宋体"/>
          <w:sz w:val="22"/>
          <w:szCs w:val="28"/>
          <w:highlight w:val="none"/>
        </w:rPr>
        <w:instrText xml:space="preserve"> TOC \o "1-4" \h \z \u </w:instrText>
      </w:r>
      <w:r>
        <w:rPr>
          <w:rFonts w:ascii="黑体" w:hAnsi="黑体" w:eastAsia="黑体" w:cs="宋体"/>
          <w:bCs/>
          <w:sz w:val="22"/>
          <w:szCs w:val="28"/>
          <w:highlight w:val="none"/>
        </w:rPr>
        <w:fldChar w:fldCharType="separate"/>
      </w:r>
    </w:p>
    <w:p w14:paraId="64FD9AD3">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_Toc22914 </w:instrText>
      </w:r>
      <w:r>
        <w:rPr>
          <w:rFonts w:hint="eastAsia" w:ascii="宋体" w:hAnsi="宋体" w:eastAsia="宋体" w:cs="宋体"/>
          <w:bCs w:val="0"/>
          <w:sz w:val="32"/>
          <w:szCs w:val="32"/>
          <w:highlight w:val="none"/>
        </w:rPr>
        <w:fldChar w:fldCharType="separate"/>
      </w:r>
      <w:r>
        <w:rPr>
          <w:rFonts w:hint="eastAsia" w:ascii="宋体" w:hAnsi="宋体" w:eastAsia="宋体" w:cs="宋体"/>
          <w:bCs/>
          <w:kern w:val="44"/>
          <w:sz w:val="32"/>
          <w:szCs w:val="32"/>
          <w:lang w:val="en-US" w:eastAsia="zh-CN" w:bidi="ar-SA"/>
        </w:rPr>
        <w:t>第一章 投标邀请</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_Toc10021 \h </w:instrText>
      </w:r>
      <w:r>
        <w:rPr>
          <w:rFonts w:hint="eastAsia" w:ascii="宋体" w:hAnsi="宋体" w:eastAsia="宋体" w:cs="宋体"/>
          <w:sz w:val="32"/>
          <w:szCs w:val="32"/>
        </w:rPr>
        <w:fldChar w:fldCharType="separate"/>
      </w:r>
      <w:r>
        <w:rPr>
          <w:rFonts w:hint="eastAsia" w:ascii="宋体" w:hAnsi="宋体" w:eastAsia="宋体" w:cs="宋体"/>
          <w:sz w:val="32"/>
          <w:szCs w:val="32"/>
        </w:rPr>
        <w:t>3</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3C595019">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_Toc10021 </w:instrText>
      </w:r>
      <w:r>
        <w:rPr>
          <w:rFonts w:hint="eastAsia" w:ascii="宋体" w:hAnsi="宋体" w:eastAsia="宋体" w:cs="宋体"/>
          <w:bCs w:val="0"/>
          <w:sz w:val="32"/>
          <w:szCs w:val="32"/>
          <w:highlight w:val="none"/>
        </w:rPr>
        <w:fldChar w:fldCharType="separate"/>
      </w:r>
      <w:r>
        <w:rPr>
          <w:rFonts w:hint="eastAsia" w:ascii="宋体" w:hAnsi="宋体" w:eastAsia="宋体" w:cs="宋体"/>
          <w:sz w:val="32"/>
          <w:szCs w:val="32"/>
        </w:rPr>
        <w:t>第二章 投标人须知前附表</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_Toc10021 \h </w:instrText>
      </w:r>
      <w:r>
        <w:rPr>
          <w:rFonts w:hint="eastAsia" w:ascii="宋体" w:hAnsi="宋体" w:eastAsia="宋体" w:cs="宋体"/>
          <w:sz w:val="32"/>
          <w:szCs w:val="32"/>
        </w:rPr>
        <w:fldChar w:fldCharType="separate"/>
      </w:r>
      <w:r>
        <w:rPr>
          <w:rFonts w:hint="eastAsia" w:ascii="宋体" w:hAnsi="宋体" w:eastAsia="宋体" w:cs="宋体"/>
          <w:sz w:val="32"/>
          <w:szCs w:val="32"/>
        </w:rPr>
        <w:t>3</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2B6287B4">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_Toc29287 </w:instrText>
      </w:r>
      <w:r>
        <w:rPr>
          <w:rFonts w:hint="eastAsia" w:ascii="宋体" w:hAnsi="宋体" w:eastAsia="宋体" w:cs="宋体"/>
          <w:bCs w:val="0"/>
          <w:sz w:val="32"/>
          <w:szCs w:val="32"/>
          <w:highlight w:val="none"/>
        </w:rPr>
        <w:fldChar w:fldCharType="separate"/>
      </w:r>
      <w:r>
        <w:rPr>
          <w:rFonts w:hint="eastAsia" w:ascii="宋体" w:hAnsi="宋体" w:eastAsia="宋体" w:cs="宋体"/>
          <w:w w:val="90"/>
          <w:sz w:val="32"/>
          <w:szCs w:val="32"/>
          <w:highlight w:val="none"/>
        </w:rPr>
        <w:t>第三章 投标人须知</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_Toc29287 \h </w:instrText>
      </w:r>
      <w:r>
        <w:rPr>
          <w:rFonts w:hint="eastAsia" w:ascii="宋体" w:hAnsi="宋体" w:eastAsia="宋体" w:cs="宋体"/>
          <w:sz w:val="32"/>
          <w:szCs w:val="32"/>
        </w:rPr>
        <w:fldChar w:fldCharType="separate"/>
      </w:r>
      <w:r>
        <w:rPr>
          <w:rFonts w:hint="eastAsia" w:ascii="宋体" w:hAnsi="宋体" w:eastAsia="宋体" w:cs="宋体"/>
          <w:sz w:val="32"/>
          <w:szCs w:val="32"/>
        </w:rPr>
        <w:t>15</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25A55024">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_Toc3859 </w:instrText>
      </w:r>
      <w:r>
        <w:rPr>
          <w:rFonts w:hint="eastAsia" w:ascii="宋体" w:hAnsi="宋体" w:eastAsia="宋体" w:cs="宋体"/>
          <w:bCs w:val="0"/>
          <w:sz w:val="32"/>
          <w:szCs w:val="32"/>
          <w:highlight w:val="none"/>
        </w:rPr>
        <w:fldChar w:fldCharType="separate"/>
      </w:r>
      <w:r>
        <w:rPr>
          <w:rFonts w:hint="eastAsia" w:ascii="宋体" w:hAnsi="宋体" w:eastAsia="宋体" w:cs="宋体"/>
          <w:w w:val="90"/>
          <w:sz w:val="32"/>
          <w:szCs w:val="32"/>
          <w:highlight w:val="none"/>
        </w:rPr>
        <w:t>第四章 合同文本格式</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_Toc3859 \h </w:instrText>
      </w:r>
      <w:r>
        <w:rPr>
          <w:rFonts w:hint="eastAsia" w:ascii="宋体" w:hAnsi="宋体" w:eastAsia="宋体" w:cs="宋体"/>
          <w:sz w:val="32"/>
          <w:szCs w:val="32"/>
        </w:rPr>
        <w:fldChar w:fldCharType="separate"/>
      </w:r>
      <w:r>
        <w:rPr>
          <w:rFonts w:hint="eastAsia" w:ascii="宋体" w:hAnsi="宋体" w:eastAsia="宋体" w:cs="宋体"/>
          <w:sz w:val="32"/>
          <w:szCs w:val="32"/>
        </w:rPr>
        <w:t>29</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1A7A57C4">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_Toc11497 </w:instrText>
      </w:r>
      <w:r>
        <w:rPr>
          <w:rFonts w:hint="eastAsia" w:ascii="宋体" w:hAnsi="宋体" w:eastAsia="宋体" w:cs="宋体"/>
          <w:bCs w:val="0"/>
          <w:sz w:val="32"/>
          <w:szCs w:val="32"/>
          <w:highlight w:val="none"/>
        </w:rPr>
        <w:fldChar w:fldCharType="separate"/>
      </w:r>
      <w:r>
        <w:rPr>
          <w:rFonts w:hint="eastAsia" w:ascii="宋体" w:hAnsi="宋体" w:eastAsia="宋体" w:cs="宋体"/>
          <w:w w:val="90"/>
          <w:sz w:val="32"/>
          <w:szCs w:val="32"/>
          <w:highlight w:val="none"/>
        </w:rPr>
        <w:t>第五章 采购需求</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_Toc11497 \h </w:instrText>
      </w:r>
      <w:r>
        <w:rPr>
          <w:rFonts w:hint="eastAsia" w:ascii="宋体" w:hAnsi="宋体" w:eastAsia="宋体" w:cs="宋体"/>
          <w:sz w:val="32"/>
          <w:szCs w:val="32"/>
        </w:rPr>
        <w:fldChar w:fldCharType="separate"/>
      </w:r>
      <w:r>
        <w:rPr>
          <w:rFonts w:hint="eastAsia" w:ascii="宋体" w:hAnsi="宋体" w:eastAsia="宋体" w:cs="宋体"/>
          <w:sz w:val="32"/>
          <w:szCs w:val="32"/>
        </w:rPr>
        <w:t>36</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7E41A948">
      <w:pPr>
        <w:pStyle w:val="33"/>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_Toc27210 </w:instrText>
      </w:r>
      <w:r>
        <w:rPr>
          <w:rFonts w:hint="eastAsia" w:ascii="宋体" w:hAnsi="宋体" w:eastAsia="宋体" w:cs="宋体"/>
          <w:bCs w:val="0"/>
          <w:sz w:val="32"/>
          <w:szCs w:val="32"/>
          <w:highlight w:val="none"/>
        </w:rPr>
        <w:fldChar w:fldCharType="separate"/>
      </w:r>
      <w:r>
        <w:rPr>
          <w:rFonts w:hint="eastAsia" w:ascii="宋体" w:hAnsi="宋体" w:eastAsia="宋体" w:cs="宋体"/>
          <w:w w:val="90"/>
          <w:sz w:val="32"/>
          <w:szCs w:val="32"/>
          <w:highlight w:val="none"/>
        </w:rPr>
        <w:t>第六章 评标方法及评标标准</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_Toc27210 \h </w:instrText>
      </w:r>
      <w:r>
        <w:rPr>
          <w:rFonts w:hint="eastAsia" w:ascii="宋体" w:hAnsi="宋体" w:eastAsia="宋体" w:cs="宋体"/>
          <w:sz w:val="32"/>
          <w:szCs w:val="32"/>
        </w:rPr>
        <w:fldChar w:fldCharType="separate"/>
      </w:r>
      <w:r>
        <w:rPr>
          <w:rFonts w:hint="eastAsia" w:ascii="宋体" w:hAnsi="宋体" w:eastAsia="宋体" w:cs="宋体"/>
          <w:sz w:val="32"/>
          <w:szCs w:val="32"/>
        </w:rPr>
        <w:t>39</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0BA46267">
      <w:pPr>
        <w:pStyle w:val="39"/>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_Toc22062 </w:instrText>
      </w:r>
      <w:r>
        <w:rPr>
          <w:rFonts w:hint="eastAsia" w:ascii="宋体" w:hAnsi="宋体" w:eastAsia="宋体" w:cs="宋体"/>
          <w:bCs w:val="0"/>
          <w:sz w:val="32"/>
          <w:szCs w:val="32"/>
          <w:highlight w:val="none"/>
        </w:rPr>
        <w:fldChar w:fldCharType="separate"/>
      </w:r>
      <w:r>
        <w:rPr>
          <w:rFonts w:hint="eastAsia" w:ascii="宋体" w:hAnsi="宋体" w:eastAsia="宋体" w:cs="宋体"/>
          <w:sz w:val="32"/>
          <w:szCs w:val="32"/>
          <w:highlight w:val="none"/>
        </w:rPr>
        <w:t>第一部分：评标方法</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_Toc22062 \h </w:instrText>
      </w:r>
      <w:r>
        <w:rPr>
          <w:rFonts w:hint="eastAsia" w:ascii="宋体" w:hAnsi="宋体" w:eastAsia="宋体" w:cs="宋体"/>
          <w:sz w:val="32"/>
          <w:szCs w:val="32"/>
        </w:rPr>
        <w:fldChar w:fldCharType="separate"/>
      </w:r>
      <w:r>
        <w:rPr>
          <w:rFonts w:hint="eastAsia" w:ascii="宋体" w:hAnsi="宋体" w:eastAsia="宋体" w:cs="宋体"/>
          <w:sz w:val="32"/>
          <w:szCs w:val="32"/>
        </w:rPr>
        <w:t>50</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20406B0A">
      <w:pPr>
        <w:pStyle w:val="39"/>
        <w:tabs>
          <w:tab w:val="right" w:leader="dot" w:pos="8306"/>
        </w:tabs>
        <w:spacing w:line="480" w:lineRule="auto"/>
        <w:rPr>
          <w:rFonts w:hint="eastAsia" w:ascii="宋体" w:hAnsi="宋体" w:eastAsia="宋体" w:cs="宋体"/>
          <w:sz w:val="32"/>
          <w:szCs w:val="32"/>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_Toc11352 </w:instrText>
      </w:r>
      <w:r>
        <w:rPr>
          <w:rFonts w:hint="eastAsia" w:ascii="宋体" w:hAnsi="宋体" w:eastAsia="宋体" w:cs="宋体"/>
          <w:bCs w:val="0"/>
          <w:sz w:val="32"/>
          <w:szCs w:val="32"/>
          <w:highlight w:val="none"/>
        </w:rPr>
        <w:fldChar w:fldCharType="separate"/>
      </w:r>
      <w:r>
        <w:rPr>
          <w:rFonts w:hint="eastAsia" w:ascii="宋体" w:hAnsi="宋体" w:eastAsia="宋体" w:cs="宋体"/>
          <w:bCs w:val="0"/>
          <w:sz w:val="32"/>
          <w:szCs w:val="32"/>
          <w:highlight w:val="none"/>
        </w:rPr>
        <w:t>第二部分：评标标准</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_Toc11352 \h </w:instrText>
      </w:r>
      <w:r>
        <w:rPr>
          <w:rFonts w:hint="eastAsia" w:ascii="宋体" w:hAnsi="宋体" w:eastAsia="宋体" w:cs="宋体"/>
          <w:sz w:val="32"/>
          <w:szCs w:val="32"/>
        </w:rPr>
        <w:fldChar w:fldCharType="separate"/>
      </w:r>
      <w:r>
        <w:rPr>
          <w:rFonts w:hint="eastAsia" w:ascii="宋体" w:hAnsi="宋体" w:eastAsia="宋体" w:cs="宋体"/>
          <w:sz w:val="32"/>
          <w:szCs w:val="32"/>
        </w:rPr>
        <w:t>50</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107FFC64">
      <w:pPr>
        <w:pStyle w:val="33"/>
        <w:tabs>
          <w:tab w:val="right" w:leader="dot" w:pos="8306"/>
        </w:tabs>
        <w:spacing w:line="480" w:lineRule="auto"/>
        <w:rPr>
          <w:sz w:val="21"/>
          <w:szCs w:val="21"/>
        </w:rPr>
      </w:pPr>
      <w:r>
        <w:rPr>
          <w:rFonts w:hint="eastAsia" w:ascii="宋体" w:hAnsi="宋体" w:eastAsia="宋体" w:cs="宋体"/>
          <w:bCs w:val="0"/>
          <w:sz w:val="32"/>
          <w:szCs w:val="32"/>
          <w:highlight w:val="none"/>
        </w:rPr>
        <w:fldChar w:fldCharType="begin"/>
      </w:r>
      <w:r>
        <w:rPr>
          <w:rFonts w:hint="eastAsia" w:ascii="宋体" w:hAnsi="宋体" w:eastAsia="宋体" w:cs="宋体"/>
          <w:bCs w:val="0"/>
          <w:sz w:val="32"/>
          <w:szCs w:val="32"/>
          <w:highlight w:val="none"/>
        </w:rPr>
        <w:instrText xml:space="preserve"> HYPERLINK \l _Toc2697 </w:instrText>
      </w:r>
      <w:r>
        <w:rPr>
          <w:rFonts w:hint="eastAsia" w:ascii="宋体" w:hAnsi="宋体" w:eastAsia="宋体" w:cs="宋体"/>
          <w:bCs w:val="0"/>
          <w:sz w:val="32"/>
          <w:szCs w:val="32"/>
          <w:highlight w:val="none"/>
        </w:rPr>
        <w:fldChar w:fldCharType="separate"/>
      </w:r>
      <w:r>
        <w:rPr>
          <w:rFonts w:hint="eastAsia" w:ascii="宋体" w:hAnsi="宋体" w:eastAsia="宋体" w:cs="宋体"/>
          <w:w w:val="90"/>
          <w:sz w:val="32"/>
          <w:szCs w:val="32"/>
          <w:highlight w:val="none"/>
        </w:rPr>
        <w:t>第七章 投标文件格式</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_Toc2697 \h </w:instrText>
      </w:r>
      <w:r>
        <w:rPr>
          <w:rFonts w:hint="eastAsia" w:ascii="宋体" w:hAnsi="宋体" w:eastAsia="宋体" w:cs="宋体"/>
          <w:sz w:val="32"/>
          <w:szCs w:val="32"/>
        </w:rPr>
        <w:fldChar w:fldCharType="separate"/>
      </w:r>
      <w:r>
        <w:rPr>
          <w:rFonts w:hint="eastAsia" w:ascii="宋体" w:hAnsi="宋体" w:eastAsia="宋体" w:cs="宋体"/>
          <w:sz w:val="32"/>
          <w:szCs w:val="32"/>
        </w:rPr>
        <w:t>55</w:t>
      </w:r>
      <w:r>
        <w:rPr>
          <w:rFonts w:hint="eastAsia" w:ascii="宋体" w:hAnsi="宋体" w:eastAsia="宋体" w:cs="宋体"/>
          <w:sz w:val="32"/>
          <w:szCs w:val="32"/>
        </w:rPr>
        <w:fldChar w:fldCharType="end"/>
      </w:r>
      <w:r>
        <w:rPr>
          <w:rFonts w:hint="eastAsia" w:ascii="宋体" w:hAnsi="宋体" w:eastAsia="宋体" w:cs="宋体"/>
          <w:bCs w:val="0"/>
          <w:sz w:val="32"/>
          <w:szCs w:val="32"/>
          <w:highlight w:val="none"/>
        </w:rPr>
        <w:fldChar w:fldCharType="end"/>
      </w:r>
    </w:p>
    <w:p w14:paraId="095C63C0">
      <w:pPr>
        <w:pStyle w:val="34"/>
        <w:tabs>
          <w:tab w:val="right" w:leader="dot" w:pos="8306"/>
        </w:tabs>
      </w:pPr>
    </w:p>
    <w:p w14:paraId="572A85E6">
      <w:pPr>
        <w:pStyle w:val="34"/>
        <w:tabs>
          <w:tab w:val="right" w:leader="dot" w:pos="8306"/>
        </w:tabs>
      </w:pPr>
    </w:p>
    <w:p w14:paraId="7B1CA27A">
      <w:pPr>
        <w:pStyle w:val="33"/>
        <w:widowControl/>
        <w:jc w:val="center"/>
        <w:rPr>
          <w:rFonts w:ascii="黑体" w:hAnsi="黑体" w:eastAsia="黑体" w:cs="宋体"/>
          <w:bCs w:val="0"/>
          <w:sz w:val="22"/>
          <w:szCs w:val="28"/>
          <w:highlight w:val="none"/>
        </w:rPr>
      </w:pPr>
      <w:r>
        <w:rPr>
          <w:rFonts w:ascii="黑体" w:hAnsi="黑体" w:eastAsia="黑体" w:cs="宋体"/>
          <w:bCs w:val="0"/>
          <w:sz w:val="22"/>
          <w:szCs w:val="28"/>
          <w:highlight w:val="none"/>
        </w:rPr>
        <w:fldChar w:fldCharType="end"/>
      </w:r>
      <w:bookmarkStart w:id="0" w:name="_Toc44705048"/>
      <w:bookmarkStart w:id="1" w:name="_Toc44704901"/>
    </w:p>
    <w:p w14:paraId="51B4DD2D">
      <w:pPr>
        <w:rPr>
          <w:rFonts w:ascii="黑体" w:hAnsi="黑体" w:eastAsia="黑体" w:cs="宋体"/>
          <w:bCs w:val="0"/>
          <w:sz w:val="22"/>
          <w:szCs w:val="28"/>
          <w:highlight w:val="none"/>
        </w:rPr>
      </w:pPr>
      <w:r>
        <w:rPr>
          <w:rFonts w:ascii="黑体" w:hAnsi="黑体" w:eastAsia="黑体" w:cs="宋体"/>
          <w:bCs w:val="0"/>
          <w:sz w:val="22"/>
          <w:szCs w:val="28"/>
          <w:highlight w:val="none"/>
        </w:rPr>
        <w:br w:type="page"/>
      </w:r>
    </w:p>
    <w:p w14:paraId="642CFDF8">
      <w:pPr>
        <w:rPr>
          <w:rFonts w:hint="eastAsia"/>
        </w:rPr>
      </w:pPr>
    </w:p>
    <w:bookmarkEnd w:id="0"/>
    <w:bookmarkEnd w:id="1"/>
    <w:p w14:paraId="7594AE91">
      <w:pPr>
        <w:pStyle w:val="3"/>
        <w:tabs>
          <w:tab w:val="left" w:pos="0"/>
          <w:tab w:val="left" w:pos="3165"/>
          <w:tab w:val="center" w:pos="4153"/>
        </w:tabs>
        <w:autoSpaceDE w:val="0"/>
        <w:autoSpaceDN w:val="0"/>
        <w:adjustRightInd w:val="0"/>
        <w:spacing w:before="0" w:after="0" w:line="360" w:lineRule="auto"/>
        <w:jc w:val="center"/>
        <w:rPr>
          <w:rFonts w:hint="eastAsia" w:ascii="仿宋" w:hAnsi="仿宋" w:eastAsia="仿宋" w:cs="仿宋"/>
          <w:highlight w:val="none"/>
        </w:rPr>
      </w:pPr>
      <w:bookmarkStart w:id="2" w:name="_Toc44705049"/>
      <w:bookmarkStart w:id="3" w:name="_Toc44704902"/>
      <w:bookmarkStart w:id="4" w:name="_Toc10021"/>
      <w:r>
        <w:rPr>
          <w:rFonts w:hint="eastAsia" w:ascii="仿宋" w:hAnsi="仿宋" w:eastAsia="仿宋" w:cs="仿宋"/>
          <w:sz w:val="32"/>
          <w:szCs w:val="32"/>
          <w:highlight w:val="none"/>
        </w:rPr>
        <w:t>第一部分  投标邀请</w:t>
      </w:r>
    </w:p>
    <w:p w14:paraId="76179E03">
      <w:pPr>
        <w:pBdr>
          <w:top w:val="single" w:color="auto" w:sz="4" w:space="1"/>
          <w:left w:val="single" w:color="auto" w:sz="4" w:space="4"/>
          <w:bottom w:val="single" w:color="auto" w:sz="4" w:space="1"/>
          <w:right w:val="single" w:color="auto" w:sz="4" w:space="4"/>
        </w:pBdr>
        <w:ind w:firstLine="560" w:firstLineChars="20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项目概况</w:t>
      </w:r>
    </w:p>
    <w:p w14:paraId="2BC14675">
      <w:pPr>
        <w:pBdr>
          <w:top w:val="single" w:color="auto" w:sz="4" w:space="1"/>
          <w:left w:val="single" w:color="auto" w:sz="4" w:space="4"/>
          <w:bottom w:val="single" w:color="auto" w:sz="4" w:space="1"/>
          <w:right w:val="single" w:color="auto" w:sz="4" w:space="4"/>
        </w:pBdr>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u w:val="single"/>
          <w:lang w:eastAsia="zh-CN"/>
        </w:rPr>
        <w:t>乌鲁木齐高新区（新市区）某单位ZFBA中心硬件设施采购项目</w:t>
      </w:r>
      <w:r>
        <w:rPr>
          <w:rFonts w:hint="eastAsia" w:ascii="仿宋" w:hAnsi="仿宋" w:eastAsia="仿宋" w:cs="仿宋"/>
          <w:sz w:val="28"/>
          <w:szCs w:val="28"/>
          <w:highlight w:val="none"/>
        </w:rPr>
        <w:t xml:space="preserve"> 招标项目的潜在投标人</w:t>
      </w:r>
      <w:r>
        <w:rPr>
          <w:rFonts w:ascii="仿宋" w:hAnsi="仿宋" w:eastAsia="仿宋" w:cs="仿宋"/>
          <w:i w:val="0"/>
          <w:iCs w:val="0"/>
          <w:caps w:val="0"/>
          <w:color w:val="000000"/>
          <w:spacing w:val="0"/>
          <w:sz w:val="27"/>
          <w:szCs w:val="27"/>
          <w:highlight w:val="none"/>
        </w:rPr>
        <w:t>应在</w:t>
      </w:r>
      <w:r>
        <w:rPr>
          <w:rFonts w:hint="eastAsia" w:ascii="仿宋" w:hAnsi="仿宋" w:eastAsia="仿宋" w:cs="仿宋"/>
          <w:i w:val="0"/>
          <w:iCs w:val="0"/>
          <w:caps w:val="0"/>
          <w:color w:val="000000"/>
          <w:spacing w:val="0"/>
          <w:sz w:val="27"/>
          <w:szCs w:val="27"/>
          <w:highlight w:val="none"/>
        </w:rPr>
        <w:t>政采云平台（www.zcygov.cn）在线申请获取招标文件（进入“项目采购”应用，在获取采购文件菜单中选择项目，申请获取采购文件），过期不予受理，法定节假日除外获取招标文件，并于</w:t>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u w:val="single"/>
          <w:lang w:eastAsia="zh-CN"/>
        </w:rPr>
        <w:t>2025年</w:t>
      </w:r>
      <w:r>
        <w:rPr>
          <w:rFonts w:hint="eastAsia" w:ascii="仿宋" w:hAnsi="仿宋" w:eastAsia="仿宋" w:cs="仿宋"/>
          <w:i w:val="0"/>
          <w:iCs w:val="0"/>
          <w:caps w:val="0"/>
          <w:color w:val="000000"/>
          <w:spacing w:val="0"/>
          <w:sz w:val="27"/>
          <w:szCs w:val="27"/>
          <w:highlight w:val="none"/>
          <w:u w:val="single"/>
          <w:lang w:val="en-US" w:eastAsia="zh-CN"/>
        </w:rPr>
        <w:t>05月06日</w:t>
      </w:r>
      <w:r>
        <w:rPr>
          <w:rFonts w:hint="eastAsia" w:ascii="仿宋" w:hAnsi="仿宋" w:eastAsia="仿宋" w:cs="仿宋"/>
          <w:i w:val="0"/>
          <w:iCs w:val="0"/>
          <w:caps w:val="0"/>
          <w:color w:val="000000"/>
          <w:spacing w:val="0"/>
          <w:sz w:val="27"/>
          <w:szCs w:val="27"/>
          <w:highlight w:val="none"/>
        </w:rPr>
        <w:t xml:space="preserve"> </w:t>
      </w:r>
      <w:r>
        <w:rPr>
          <w:rFonts w:hint="eastAsia" w:ascii="仿宋" w:hAnsi="仿宋" w:eastAsia="仿宋" w:cs="仿宋"/>
          <w:i w:val="0"/>
          <w:iCs w:val="0"/>
          <w:caps w:val="0"/>
          <w:color w:val="000000"/>
          <w:spacing w:val="0"/>
          <w:sz w:val="27"/>
          <w:szCs w:val="27"/>
          <w:highlight w:val="none"/>
          <w:u w:val="single"/>
          <w:lang w:val="en-US" w:eastAsia="zh-CN"/>
        </w:rPr>
        <w:t>16</w:t>
      </w:r>
      <w:r>
        <w:rPr>
          <w:rFonts w:hint="eastAsia" w:ascii="仿宋" w:hAnsi="仿宋" w:eastAsia="仿宋" w:cs="仿宋"/>
          <w:i w:val="0"/>
          <w:iCs w:val="0"/>
          <w:caps w:val="0"/>
          <w:color w:val="000000"/>
          <w:spacing w:val="0"/>
          <w:sz w:val="27"/>
          <w:szCs w:val="27"/>
          <w:highlight w:val="none"/>
        </w:rPr>
        <w:t>:</w:t>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u w:val="single"/>
          <w:lang w:val="en-US" w:eastAsia="zh-CN"/>
        </w:rPr>
        <w:t>0</w:t>
      </w:r>
      <w:r>
        <w:rPr>
          <w:rFonts w:hint="eastAsia" w:ascii="仿宋" w:hAnsi="仿宋" w:eastAsia="仿宋" w:cs="仿宋"/>
          <w:i w:val="0"/>
          <w:iCs w:val="0"/>
          <w:caps w:val="0"/>
          <w:color w:val="000000"/>
          <w:spacing w:val="0"/>
          <w:sz w:val="27"/>
          <w:szCs w:val="27"/>
          <w:highlight w:val="none"/>
          <w:u w:val="single"/>
        </w:rPr>
        <w:t>0</w:t>
      </w:r>
      <w:r>
        <w:rPr>
          <w:rFonts w:hint="eastAsia" w:ascii="仿宋" w:hAnsi="仿宋" w:eastAsia="仿宋" w:cs="仿宋"/>
          <w:i w:val="0"/>
          <w:iCs w:val="0"/>
          <w:caps w:val="0"/>
          <w:color w:val="000000"/>
          <w:spacing w:val="0"/>
          <w:sz w:val="27"/>
          <w:szCs w:val="27"/>
          <w:highlight w:val="none"/>
        </w:rPr>
        <w:t>（北京时间）前递交投标文件。</w:t>
      </w:r>
    </w:p>
    <w:p w14:paraId="75E7F581">
      <w:pPr>
        <w:pStyle w:val="4"/>
        <w:spacing w:line="360" w:lineRule="auto"/>
        <w:rPr>
          <w:rFonts w:hint="eastAsia" w:ascii="仿宋" w:hAnsi="仿宋" w:eastAsia="仿宋" w:cs="仿宋"/>
          <w:b w:val="0"/>
          <w:sz w:val="28"/>
          <w:szCs w:val="28"/>
          <w:highlight w:val="none"/>
        </w:rPr>
      </w:pPr>
      <w:bookmarkStart w:id="5" w:name="_Toc35393621"/>
      <w:bookmarkStart w:id="6" w:name="_Toc35393790"/>
      <w:bookmarkStart w:id="7" w:name="_Toc28359002"/>
      <w:bookmarkStart w:id="8" w:name="_Toc28359079"/>
      <w:bookmarkStart w:id="9" w:name="_Hlk24379207"/>
      <w:r>
        <w:rPr>
          <w:rFonts w:hint="eastAsia" w:ascii="仿宋" w:hAnsi="仿宋" w:eastAsia="仿宋" w:cs="仿宋"/>
          <w:b w:val="0"/>
          <w:sz w:val="28"/>
          <w:szCs w:val="28"/>
          <w:highlight w:val="none"/>
        </w:rPr>
        <w:t>一、项目基本情况</w:t>
      </w:r>
      <w:bookmarkEnd w:id="5"/>
      <w:bookmarkEnd w:id="6"/>
      <w:bookmarkEnd w:id="7"/>
      <w:bookmarkEnd w:id="8"/>
    </w:p>
    <w:p w14:paraId="198652AF">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u w:val="single"/>
          <w:lang w:eastAsia="zh-CN"/>
        </w:rPr>
        <w:t>GXXG-2025-ZFCG017</w:t>
      </w:r>
    </w:p>
    <w:p w14:paraId="3BAE5413">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eastAsia="zh-CN"/>
        </w:rPr>
        <w:t>乌鲁木齐高新区（新市区）某单位ZFBA中心硬件设施采购项目</w:t>
      </w:r>
    </w:p>
    <w:bookmarkEnd w:id="9"/>
    <w:p w14:paraId="628734FA">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预算金额：</w:t>
      </w:r>
      <w:r>
        <w:rPr>
          <w:rFonts w:hint="eastAsia" w:ascii="仿宋" w:hAnsi="仿宋" w:eastAsia="仿宋" w:cs="仿宋"/>
          <w:color w:val="auto"/>
          <w:sz w:val="28"/>
          <w:szCs w:val="28"/>
          <w:highlight w:val="none"/>
          <w:u w:val="single"/>
          <w:lang w:val="en-US" w:eastAsia="zh-CN"/>
        </w:rPr>
        <w:t>499900</w:t>
      </w:r>
      <w:r>
        <w:rPr>
          <w:rFonts w:hint="eastAsia" w:ascii="仿宋" w:hAnsi="仿宋" w:eastAsia="仿宋" w:cs="仿宋"/>
          <w:color w:val="auto"/>
          <w:sz w:val="28"/>
          <w:szCs w:val="28"/>
          <w:highlight w:val="none"/>
        </w:rPr>
        <w:t>元</w:t>
      </w:r>
    </w:p>
    <w:p w14:paraId="438170FE">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最高限价：</w:t>
      </w:r>
      <w:r>
        <w:rPr>
          <w:rFonts w:hint="eastAsia" w:ascii="仿宋" w:hAnsi="仿宋" w:eastAsia="仿宋" w:cs="仿宋"/>
          <w:color w:val="auto"/>
          <w:sz w:val="28"/>
          <w:szCs w:val="28"/>
          <w:highlight w:val="none"/>
          <w:u w:val="single"/>
          <w:lang w:val="en-US" w:eastAsia="zh-CN"/>
        </w:rPr>
        <w:t>499900</w:t>
      </w:r>
      <w:r>
        <w:rPr>
          <w:rFonts w:hint="eastAsia" w:ascii="仿宋" w:hAnsi="仿宋" w:eastAsia="仿宋" w:cs="仿宋"/>
          <w:color w:val="auto"/>
          <w:sz w:val="28"/>
          <w:szCs w:val="28"/>
          <w:highlight w:val="none"/>
        </w:rPr>
        <w:t>元</w:t>
      </w:r>
    </w:p>
    <w:p w14:paraId="15457C45">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采购需求：</w:t>
      </w:r>
      <w:bookmarkStart w:id="10" w:name="_Toc35393623"/>
      <w:bookmarkStart w:id="11" w:name="_Toc28359004"/>
      <w:bookmarkStart w:id="12" w:name="_Toc28359081"/>
      <w:bookmarkStart w:id="13" w:name="_Toc35393792"/>
    </w:p>
    <w:p w14:paraId="7E5BF65F">
      <w:pPr>
        <w:spacing w:line="360" w:lineRule="auto"/>
        <w:ind w:firstLine="560" w:firstLineChars="200"/>
        <w:rPr>
          <w:rFonts w:hint="default" w:ascii="仿宋" w:hAnsi="仿宋" w:eastAsia="仿宋" w:cs="仿宋"/>
          <w:color w:val="auto"/>
          <w:kern w:val="0"/>
          <w:sz w:val="28"/>
          <w:szCs w:val="28"/>
          <w:highlight w:val="none"/>
          <w:lang w:val="en-US"/>
        </w:rPr>
      </w:pPr>
      <w:r>
        <w:rPr>
          <w:rFonts w:hint="eastAsia" w:ascii="仿宋" w:hAnsi="仿宋" w:eastAsia="仿宋" w:cs="仿宋"/>
          <w:color w:val="auto"/>
          <w:kern w:val="0"/>
          <w:sz w:val="28"/>
          <w:szCs w:val="28"/>
          <w:highlight w:val="none"/>
        </w:rPr>
        <w:t>简要规格描述或项目基本概况介绍、用途：</w:t>
      </w:r>
      <w:r>
        <w:rPr>
          <w:rFonts w:hint="eastAsia" w:ascii="仿宋" w:hAnsi="仿宋" w:eastAsia="仿宋" w:cs="仿宋"/>
          <w:color w:val="auto"/>
          <w:sz w:val="28"/>
          <w:szCs w:val="28"/>
          <w:highlight w:val="none"/>
          <w:u w:val="single"/>
          <w:lang w:eastAsia="zh-CN"/>
        </w:rPr>
        <w:t>某单位ZFBA中心硬件设施采购</w:t>
      </w:r>
    </w:p>
    <w:p w14:paraId="237D8149">
      <w:pPr>
        <w:spacing w:line="360" w:lineRule="auto"/>
        <w:ind w:firstLine="560" w:firstLineChars="20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数量:1批</w:t>
      </w:r>
    </w:p>
    <w:p w14:paraId="0D6E453E">
      <w:pPr>
        <w:spacing w:line="360" w:lineRule="auto"/>
        <w:ind w:firstLine="560" w:firstLineChars="20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预算金额（元）:499900</w:t>
      </w:r>
      <w:r>
        <w:rPr>
          <w:rFonts w:hint="eastAsia" w:ascii="仿宋" w:hAnsi="仿宋" w:eastAsia="仿宋" w:cs="仿宋"/>
          <w:color w:val="auto"/>
          <w:sz w:val="28"/>
          <w:szCs w:val="28"/>
          <w:highlight w:val="none"/>
        </w:rPr>
        <w:t>元</w:t>
      </w:r>
    </w:p>
    <w:p w14:paraId="69631382">
      <w:pPr>
        <w:spacing w:line="360" w:lineRule="auto"/>
        <w:ind w:firstLine="560" w:firstLineChars="20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合同履行期限：合同签订后30个日历日内完成供货并安装</w:t>
      </w:r>
    </w:p>
    <w:p w14:paraId="454B0B1C">
      <w:pPr>
        <w:spacing w:line="360" w:lineRule="auto"/>
        <w:ind w:firstLine="560" w:firstLineChars="200"/>
        <w:rPr>
          <w:rFonts w:hint="eastAsia" w:ascii="宋体" w:hAnsi="宋体" w:eastAsia="宋体" w:cs="Times New Roman"/>
          <w:sz w:val="28"/>
          <w:szCs w:val="28"/>
          <w:highlight w:val="none"/>
          <w:lang w:val="en-US" w:eastAsia="zh-CN"/>
        </w:rPr>
      </w:pPr>
      <w:r>
        <w:rPr>
          <w:rFonts w:hint="eastAsia" w:ascii="宋体" w:hAnsi="宋体" w:eastAsia="宋体" w:cs="Times New Roman"/>
          <w:sz w:val="28"/>
          <w:szCs w:val="28"/>
          <w:highlight w:val="none"/>
          <w:lang w:val="en-US" w:eastAsia="zh-CN"/>
        </w:rPr>
        <w:t>本项目（否）接受联合体投标。</w:t>
      </w:r>
    </w:p>
    <w:p w14:paraId="346074B3">
      <w:pPr>
        <w:pStyle w:val="4"/>
        <w:spacing w:line="360" w:lineRule="auto"/>
        <w:rPr>
          <w:rFonts w:hint="eastAsia" w:ascii="仿宋" w:hAnsi="仿宋" w:eastAsia="仿宋" w:cs="仿宋"/>
          <w:b w:val="0"/>
          <w:sz w:val="28"/>
          <w:szCs w:val="28"/>
          <w:highlight w:val="none"/>
        </w:rPr>
      </w:pPr>
      <w:bookmarkStart w:id="14" w:name="_Toc28359080"/>
      <w:bookmarkStart w:id="15" w:name="_Toc28359003"/>
      <w:bookmarkStart w:id="16" w:name="_Toc35393791"/>
      <w:bookmarkStart w:id="17" w:name="_Toc35393622"/>
      <w:r>
        <w:rPr>
          <w:rFonts w:hint="eastAsia" w:ascii="仿宋" w:hAnsi="仿宋" w:eastAsia="仿宋" w:cs="仿宋"/>
          <w:b w:val="0"/>
          <w:sz w:val="28"/>
          <w:szCs w:val="28"/>
          <w:highlight w:val="none"/>
        </w:rPr>
        <w:t>二、申请人的资格要求：</w:t>
      </w:r>
      <w:bookmarkEnd w:id="14"/>
      <w:bookmarkEnd w:id="15"/>
      <w:bookmarkEnd w:id="16"/>
      <w:bookmarkEnd w:id="17"/>
    </w:p>
    <w:p w14:paraId="5EFB4827">
      <w:pPr>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1.满足《中华人民共和国政府采购法》第二十二条规定；</w:t>
      </w:r>
    </w:p>
    <w:p w14:paraId="191EF318">
      <w:pPr>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2.落实政府采购政策需满足的资格要求：</w:t>
      </w:r>
    </w:p>
    <w:p w14:paraId="604EA565">
      <w:pPr>
        <w:ind w:firstLine="560" w:firstLineChars="200"/>
        <w:rPr>
          <w:rFonts w:hint="eastAsia" w:ascii="仿宋" w:hAnsi="仿宋" w:eastAsia="仿宋" w:cs="仿宋"/>
          <w:sz w:val="28"/>
          <w:szCs w:val="28"/>
          <w:highlight w:val="none"/>
          <w:u w:val="single"/>
        </w:rPr>
      </w:pPr>
      <w:r>
        <w:rPr>
          <w:rFonts w:hint="eastAsia" w:ascii="仿宋" w:hAnsi="仿宋" w:eastAsia="仿宋" w:cs="仿宋"/>
          <w:sz w:val="28"/>
          <w:szCs w:val="28"/>
          <w:highlight w:val="none"/>
          <w:u w:val="single"/>
        </w:rPr>
        <w:t>（1）单位负责人为同一人或者存在直接控股、管理关系的不同投标人，不得同时参加本项目同一合同项下的投标；</w:t>
      </w:r>
    </w:p>
    <w:p w14:paraId="2EC7EB51">
      <w:pPr>
        <w:ind w:firstLine="560" w:firstLineChars="200"/>
        <w:rPr>
          <w:rFonts w:hint="eastAsia" w:ascii="仿宋" w:hAnsi="仿宋" w:eastAsia="仿宋" w:cs="仿宋"/>
          <w:sz w:val="28"/>
          <w:szCs w:val="28"/>
          <w:highlight w:val="none"/>
          <w:u w:val="single"/>
        </w:rPr>
      </w:pPr>
      <w:r>
        <w:rPr>
          <w:rFonts w:hint="eastAsia" w:ascii="仿宋" w:hAnsi="仿宋" w:eastAsia="仿宋" w:cs="仿宋"/>
          <w:sz w:val="28"/>
          <w:szCs w:val="28"/>
          <w:highlight w:val="none"/>
          <w:u w:val="single"/>
        </w:rPr>
        <w:t>（2）为本项目某包提供整体设计、规范编制或者项目管理、监理、检测等服务的投标人，不得参加该合同项下的投标；</w:t>
      </w:r>
    </w:p>
    <w:p w14:paraId="4213F2AE">
      <w:pPr>
        <w:ind w:firstLine="560" w:firstLineChars="200"/>
        <w:rPr>
          <w:rFonts w:hint="eastAsia" w:ascii="仿宋" w:hAnsi="仿宋" w:eastAsia="仿宋" w:cs="仿宋"/>
          <w:sz w:val="28"/>
          <w:szCs w:val="28"/>
          <w:highlight w:val="none"/>
          <w:u w:val="single"/>
        </w:rPr>
      </w:pPr>
      <w:r>
        <w:rPr>
          <w:rFonts w:hint="eastAsia" w:ascii="仿宋" w:hAnsi="仿宋" w:eastAsia="仿宋" w:cs="仿宋"/>
          <w:sz w:val="28"/>
          <w:szCs w:val="28"/>
          <w:highlight w:val="none"/>
          <w:u w:val="single"/>
        </w:rPr>
        <w:t>（3）未被“信用中国”网站（www.creditchina.gov.cn）列入失信被执行人、重大税收违法案件当事人名单、政府采购不良行为记录名单；未被“中国政府采购网”（www.ccgp.gov.cn）列入政府采购严重违法失信行为记录名单；</w:t>
      </w:r>
    </w:p>
    <w:p w14:paraId="53A5D926">
      <w:pPr>
        <w:ind w:firstLine="560" w:firstLineChars="200"/>
        <w:rPr>
          <w:rFonts w:hint="eastAsia" w:ascii="仿宋" w:hAnsi="仿宋" w:eastAsia="仿宋" w:cs="仿宋"/>
          <w:b/>
          <w:bCs/>
          <w:sz w:val="28"/>
          <w:szCs w:val="28"/>
          <w:highlight w:val="none"/>
          <w:u w:val="single"/>
        </w:rPr>
      </w:pPr>
      <w:r>
        <w:rPr>
          <w:rFonts w:hint="eastAsia" w:ascii="仿宋" w:hAnsi="仿宋" w:eastAsia="仿宋" w:cs="仿宋"/>
          <w:sz w:val="28"/>
          <w:szCs w:val="28"/>
          <w:highlight w:val="none"/>
          <w:u w:val="single"/>
          <w:lang w:eastAsia="zh-CN"/>
        </w:rPr>
        <w:t>（</w:t>
      </w:r>
      <w:r>
        <w:rPr>
          <w:rFonts w:hint="eastAsia" w:ascii="仿宋" w:hAnsi="仿宋" w:eastAsia="仿宋" w:cs="仿宋"/>
          <w:sz w:val="28"/>
          <w:szCs w:val="28"/>
          <w:highlight w:val="none"/>
          <w:u w:val="single"/>
          <w:lang w:val="en-US" w:eastAsia="zh-CN"/>
        </w:rPr>
        <w:t>4</w:t>
      </w:r>
      <w:r>
        <w:rPr>
          <w:rFonts w:hint="eastAsia" w:ascii="仿宋" w:hAnsi="仿宋" w:eastAsia="仿宋" w:cs="仿宋"/>
          <w:sz w:val="28"/>
          <w:szCs w:val="28"/>
          <w:highlight w:val="none"/>
          <w:u w:val="single"/>
          <w:lang w:eastAsia="zh-CN"/>
        </w:rPr>
        <w:t>）本项目为</w:t>
      </w:r>
      <w:r>
        <w:rPr>
          <w:rFonts w:hint="eastAsia" w:ascii="仿宋" w:hAnsi="仿宋" w:eastAsia="仿宋" w:cs="仿宋"/>
          <w:sz w:val="28"/>
          <w:szCs w:val="28"/>
          <w:highlight w:val="none"/>
          <w:u w:val="single"/>
          <w:lang w:val="en-US" w:eastAsia="zh-CN"/>
        </w:rPr>
        <w:t>非</w:t>
      </w:r>
      <w:r>
        <w:rPr>
          <w:rFonts w:hint="eastAsia" w:ascii="仿宋" w:hAnsi="仿宋" w:eastAsia="仿宋" w:cs="仿宋"/>
          <w:sz w:val="28"/>
          <w:szCs w:val="28"/>
          <w:highlight w:val="none"/>
          <w:u w:val="single"/>
          <w:lang w:eastAsia="zh-CN"/>
        </w:rPr>
        <w:t>专门面向</w:t>
      </w:r>
      <w:r>
        <w:rPr>
          <w:rFonts w:hint="eastAsia" w:ascii="仿宋" w:hAnsi="仿宋" w:eastAsia="仿宋" w:cs="仿宋"/>
          <w:sz w:val="28"/>
          <w:szCs w:val="28"/>
          <w:highlight w:val="none"/>
          <w:u w:val="single"/>
          <w:lang w:val="en-US" w:eastAsia="zh-CN"/>
        </w:rPr>
        <w:t>中</w:t>
      </w:r>
      <w:r>
        <w:rPr>
          <w:rFonts w:hint="eastAsia" w:ascii="仿宋" w:hAnsi="仿宋" w:eastAsia="仿宋" w:cs="仿宋"/>
          <w:sz w:val="28"/>
          <w:szCs w:val="28"/>
          <w:highlight w:val="none"/>
          <w:u w:val="single"/>
          <w:lang w:eastAsia="zh-CN"/>
        </w:rPr>
        <w:t>小企业采购项目</w:t>
      </w:r>
      <w:r>
        <w:rPr>
          <w:rFonts w:hint="eastAsia"/>
          <w:lang w:eastAsia="zh-CN"/>
        </w:rPr>
        <w:t>。</w:t>
      </w:r>
    </w:p>
    <w:p w14:paraId="30D40A30">
      <w:pPr>
        <w:ind w:firstLine="560" w:firstLineChars="200"/>
        <w:rPr>
          <w:rFonts w:hint="eastAsia" w:ascii="仿宋" w:hAnsi="仿宋" w:eastAsia="仿宋" w:cs="仿宋"/>
          <w:sz w:val="28"/>
          <w:szCs w:val="28"/>
          <w:highlight w:val="none"/>
          <w:u w:val="single"/>
        </w:rPr>
      </w:pPr>
      <w:r>
        <w:rPr>
          <w:rFonts w:hint="eastAsia" w:ascii="仿宋" w:hAnsi="仿宋" w:eastAsia="仿宋" w:cs="仿宋"/>
          <w:sz w:val="28"/>
          <w:szCs w:val="28"/>
          <w:highlight w:val="none"/>
          <w:u w:val="single"/>
        </w:rPr>
        <w:t>3.本项目的特定资格要求：</w:t>
      </w:r>
    </w:p>
    <w:p w14:paraId="72B598F8">
      <w:pPr>
        <w:ind w:firstLine="560" w:firstLineChars="200"/>
        <w:rPr>
          <w:rFonts w:hint="eastAsia" w:ascii="仿宋" w:hAnsi="仿宋" w:eastAsia="仿宋" w:cs="仿宋"/>
          <w:b w:val="0"/>
          <w:bCs w:val="0"/>
          <w:kern w:val="2"/>
          <w:sz w:val="28"/>
          <w:szCs w:val="28"/>
          <w:highlight w:val="none"/>
          <w:u w:val="single"/>
          <w:lang w:val="en-US" w:eastAsia="zh-CN" w:bidi="ar-SA"/>
        </w:rPr>
      </w:pPr>
      <w:r>
        <w:rPr>
          <w:rFonts w:hint="eastAsia" w:ascii="仿宋" w:hAnsi="仿宋" w:eastAsia="仿宋" w:cs="仿宋"/>
          <w:b w:val="0"/>
          <w:bCs w:val="0"/>
          <w:kern w:val="2"/>
          <w:sz w:val="28"/>
          <w:szCs w:val="28"/>
          <w:highlight w:val="none"/>
          <w:u w:val="single"/>
          <w:lang w:val="en-US" w:eastAsia="zh-CN" w:bidi="ar-SA"/>
        </w:rPr>
        <w:t>无</w:t>
      </w:r>
    </w:p>
    <w:p w14:paraId="38C98DC2">
      <w:pPr>
        <w:pStyle w:val="4"/>
        <w:spacing w:line="360" w:lineRule="auto"/>
        <w:rPr>
          <w:rFonts w:hint="eastAsia" w:ascii="仿宋" w:hAnsi="仿宋" w:eastAsia="仿宋" w:cs="仿宋"/>
          <w:b w:val="0"/>
          <w:bCs w:val="0"/>
          <w:sz w:val="28"/>
          <w:szCs w:val="28"/>
          <w:highlight w:val="none"/>
        </w:rPr>
      </w:pPr>
      <w:r>
        <w:rPr>
          <w:rFonts w:hint="eastAsia" w:ascii="仿宋" w:hAnsi="仿宋" w:eastAsia="仿宋" w:cs="仿宋"/>
          <w:sz w:val="28"/>
          <w:szCs w:val="28"/>
          <w:highlight w:val="none"/>
        </w:rPr>
        <w:t>三、获取招标</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文件</w:t>
      </w:r>
      <w:bookmarkEnd w:id="10"/>
      <w:bookmarkEnd w:id="11"/>
      <w:bookmarkEnd w:id="12"/>
      <w:bookmarkEnd w:id="13"/>
    </w:p>
    <w:p w14:paraId="587E816A">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rPr>
        <w:t>时间：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eastAsia="zh-CN"/>
        </w:rPr>
        <w:t>2025年</w:t>
      </w:r>
      <w:r>
        <w:rPr>
          <w:rFonts w:hint="eastAsia" w:ascii="仿宋" w:hAnsi="仿宋" w:eastAsia="仿宋" w:cs="仿宋"/>
          <w:color w:val="auto"/>
          <w:sz w:val="28"/>
          <w:szCs w:val="28"/>
          <w:highlight w:val="none"/>
          <w:u w:val="single"/>
          <w:lang w:val="en-US" w:eastAsia="zh-CN"/>
        </w:rPr>
        <w:t>04</w:t>
      </w:r>
      <w:r>
        <w:rPr>
          <w:rFonts w:hint="eastAsia" w:ascii="仿宋" w:hAnsi="仿宋" w:eastAsia="仿宋" w:cs="仿宋"/>
          <w:color w:val="auto"/>
          <w:sz w:val="28"/>
          <w:szCs w:val="28"/>
          <w:highlight w:val="none"/>
          <w:u w:val="single"/>
        </w:rPr>
        <w:t>月</w:t>
      </w:r>
      <w:r>
        <w:rPr>
          <w:rFonts w:hint="eastAsia" w:ascii="仿宋" w:hAnsi="仿宋" w:eastAsia="仿宋" w:cs="仿宋"/>
          <w:color w:val="auto"/>
          <w:sz w:val="28"/>
          <w:szCs w:val="28"/>
          <w:highlight w:val="none"/>
          <w:u w:val="single"/>
          <w:lang w:val="en-US" w:eastAsia="zh-CN"/>
        </w:rPr>
        <w:t xml:space="preserve">15日 </w:t>
      </w:r>
      <w:r>
        <w:rPr>
          <w:rFonts w:hint="eastAsia" w:ascii="仿宋" w:hAnsi="仿宋" w:eastAsia="仿宋" w:cs="仿宋"/>
          <w:color w:val="auto"/>
          <w:sz w:val="28"/>
          <w:szCs w:val="28"/>
          <w:highlight w:val="none"/>
        </w:rPr>
        <w:t>至</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eastAsia="zh-CN"/>
        </w:rPr>
        <w:t>2025年</w:t>
      </w:r>
      <w:r>
        <w:rPr>
          <w:rFonts w:hint="eastAsia" w:ascii="仿宋" w:hAnsi="仿宋" w:eastAsia="仿宋" w:cs="仿宋"/>
          <w:color w:val="auto"/>
          <w:sz w:val="28"/>
          <w:szCs w:val="28"/>
          <w:highlight w:val="none"/>
          <w:u w:val="single"/>
          <w:lang w:val="en-US" w:eastAsia="zh-CN"/>
        </w:rPr>
        <w:t>04</w:t>
      </w:r>
      <w:r>
        <w:rPr>
          <w:rFonts w:hint="eastAsia" w:ascii="仿宋" w:hAnsi="仿宋" w:eastAsia="仿宋" w:cs="仿宋"/>
          <w:color w:val="auto"/>
          <w:sz w:val="28"/>
          <w:szCs w:val="28"/>
          <w:highlight w:val="none"/>
          <w:u w:val="single"/>
          <w:lang w:eastAsia="zh-CN"/>
        </w:rPr>
        <w:t>月</w:t>
      </w:r>
      <w:r>
        <w:rPr>
          <w:rFonts w:hint="eastAsia" w:ascii="仿宋" w:hAnsi="仿宋" w:eastAsia="仿宋" w:cs="仿宋"/>
          <w:color w:val="auto"/>
          <w:sz w:val="28"/>
          <w:szCs w:val="28"/>
          <w:highlight w:val="none"/>
          <w:u w:val="single"/>
          <w:lang w:val="en-US" w:eastAsia="zh-CN"/>
        </w:rPr>
        <w:t>22</w:t>
      </w:r>
      <w:r>
        <w:rPr>
          <w:rFonts w:hint="eastAsia" w:ascii="仿宋" w:hAnsi="仿宋" w:eastAsia="仿宋" w:cs="仿宋"/>
          <w:color w:val="auto"/>
          <w:sz w:val="28"/>
          <w:szCs w:val="28"/>
          <w:highlight w:val="none"/>
          <w:u w:val="single"/>
        </w:rPr>
        <w:t>日</w:t>
      </w:r>
      <w:r>
        <w:rPr>
          <w:rFonts w:hint="eastAsia" w:ascii="仿宋" w:hAnsi="仿宋" w:eastAsia="仿宋" w:cs="仿宋"/>
          <w:iCs/>
          <w:sz w:val="28"/>
          <w:szCs w:val="28"/>
          <w:highlight w:val="none"/>
          <w:u w:val="single"/>
        </w:rPr>
        <w:t>（</w:t>
      </w:r>
      <w:r>
        <w:rPr>
          <w:rFonts w:hint="eastAsia" w:ascii="仿宋" w:hAnsi="仿宋" w:eastAsia="仿宋" w:cs="仿宋"/>
          <w:i/>
          <w:sz w:val="28"/>
          <w:szCs w:val="28"/>
          <w:highlight w:val="none"/>
          <w:u w:val="single"/>
        </w:rPr>
        <w:t>提供期限自本公告发布之日起不得少于5个工作日</w:t>
      </w:r>
      <w:r>
        <w:rPr>
          <w:rFonts w:hint="eastAsia" w:ascii="仿宋" w:hAnsi="仿宋" w:eastAsia="仿宋" w:cs="仿宋"/>
          <w:iCs/>
          <w:sz w:val="28"/>
          <w:szCs w:val="28"/>
          <w:highlight w:val="none"/>
          <w:u w:val="single"/>
        </w:rPr>
        <w:t>）</w:t>
      </w:r>
      <w:r>
        <w:rPr>
          <w:rFonts w:hint="eastAsia" w:ascii="仿宋" w:hAnsi="仿宋" w:eastAsia="仿宋" w:cs="仿宋"/>
          <w:sz w:val="28"/>
          <w:szCs w:val="28"/>
          <w:highlight w:val="none"/>
        </w:rPr>
        <w:t>（北京时间，法定节假日除外）</w:t>
      </w:r>
    </w:p>
    <w:p w14:paraId="29A464DD">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rPr>
        <w:t>地点：政采云平台线上获取</w:t>
      </w:r>
    </w:p>
    <w:p w14:paraId="013AE281">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rPr>
        <w:t>方式：供应商登录政采云平台https://www.zcygov.cn/在线申请获取采购文件（进入“项目采购”应用，在获取采购文件菜单中选择项目，申请获取采购文件）</w:t>
      </w:r>
    </w:p>
    <w:p w14:paraId="1DD321FF">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rPr>
        <w:t>售价（元）：0</w:t>
      </w:r>
    </w:p>
    <w:p w14:paraId="27AB8177">
      <w:pPr>
        <w:pStyle w:val="4"/>
        <w:spacing w:line="360" w:lineRule="auto"/>
        <w:rPr>
          <w:rFonts w:hint="eastAsia" w:ascii="仿宋" w:hAnsi="仿宋" w:eastAsia="仿宋" w:cs="仿宋"/>
          <w:b w:val="0"/>
          <w:sz w:val="28"/>
          <w:szCs w:val="28"/>
          <w:highlight w:val="none"/>
        </w:rPr>
      </w:pPr>
      <w:bookmarkStart w:id="18" w:name="_Toc28359005"/>
      <w:bookmarkStart w:id="19" w:name="_Toc28359082"/>
      <w:bookmarkStart w:id="20" w:name="_Toc35393793"/>
      <w:bookmarkStart w:id="21" w:name="_Toc35393624"/>
      <w:r>
        <w:rPr>
          <w:rFonts w:hint="eastAsia" w:ascii="仿宋" w:hAnsi="仿宋" w:eastAsia="仿宋" w:cs="仿宋"/>
          <w:b w:val="0"/>
          <w:sz w:val="28"/>
          <w:szCs w:val="28"/>
          <w:highlight w:val="none"/>
        </w:rPr>
        <w:t>四、</w:t>
      </w:r>
      <w:r>
        <w:rPr>
          <w:rFonts w:hint="eastAsia" w:ascii="仿宋" w:hAnsi="仿宋" w:eastAsia="仿宋" w:cs="仿宋"/>
          <w:b w:val="0"/>
          <w:bCs w:val="0"/>
          <w:sz w:val="28"/>
          <w:szCs w:val="28"/>
          <w:highlight w:val="none"/>
        </w:rPr>
        <w:t>提交投标文件</w:t>
      </w:r>
      <w:bookmarkEnd w:id="18"/>
      <w:bookmarkEnd w:id="19"/>
      <w:r>
        <w:rPr>
          <w:rFonts w:hint="eastAsia" w:ascii="仿宋" w:hAnsi="仿宋" w:eastAsia="仿宋" w:cs="仿宋"/>
          <w:b w:val="0"/>
          <w:bCs w:val="0"/>
          <w:sz w:val="28"/>
          <w:szCs w:val="28"/>
          <w:highlight w:val="none"/>
        </w:rPr>
        <w:t>截止时间、开标时间和地点</w:t>
      </w:r>
      <w:bookmarkEnd w:id="20"/>
      <w:bookmarkEnd w:id="21"/>
    </w:p>
    <w:p w14:paraId="00D3500D">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lang w:eastAsia="zh-CN"/>
        </w:rPr>
        <w:t>2025年</w:t>
      </w:r>
      <w:r>
        <w:rPr>
          <w:rFonts w:hint="eastAsia" w:ascii="仿宋" w:hAnsi="仿宋" w:eastAsia="仿宋" w:cs="仿宋"/>
          <w:sz w:val="28"/>
          <w:szCs w:val="28"/>
          <w:highlight w:val="none"/>
          <w:lang w:val="en-US" w:eastAsia="zh-CN"/>
        </w:rPr>
        <w:t>05月06日</w:t>
      </w: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eastAsia="zh-CN"/>
        </w:rPr>
        <w:t>1</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 xml:space="preserve"> 0</w:t>
      </w:r>
      <w:r>
        <w:rPr>
          <w:rFonts w:hint="eastAsia" w:ascii="仿宋" w:hAnsi="仿宋" w:eastAsia="仿宋" w:cs="仿宋"/>
          <w:sz w:val="28"/>
          <w:szCs w:val="28"/>
          <w:highlight w:val="none"/>
        </w:rPr>
        <w:t>0（北京时间）</w:t>
      </w:r>
    </w:p>
    <w:p w14:paraId="0FDE9C00">
      <w:pPr>
        <w:spacing w:line="360" w:lineRule="auto"/>
        <w:ind w:firstLine="540"/>
        <w:rPr>
          <w:rFonts w:hint="eastAsia" w:ascii="仿宋" w:hAnsi="仿宋" w:eastAsia="仿宋" w:cs="仿宋"/>
          <w:sz w:val="28"/>
          <w:szCs w:val="28"/>
          <w:highlight w:val="none"/>
        </w:rPr>
      </w:pPr>
      <w:r>
        <w:rPr>
          <w:rFonts w:hint="eastAsia" w:ascii="仿宋" w:hAnsi="仿宋" w:eastAsia="仿宋" w:cs="仿宋"/>
          <w:sz w:val="28"/>
          <w:szCs w:val="28"/>
          <w:highlight w:val="none"/>
        </w:rPr>
        <w:t>投标文件开标地点及递交地点：</w:t>
      </w:r>
      <w:bookmarkStart w:id="22" w:name="_Toc35393625"/>
      <w:bookmarkStart w:id="23" w:name="_Toc28359084"/>
      <w:bookmarkStart w:id="24" w:name="_Toc35393794"/>
      <w:bookmarkStart w:id="25" w:name="_Toc28359007"/>
      <w:r>
        <w:rPr>
          <w:rFonts w:hint="eastAsia" w:ascii="仿宋" w:hAnsi="仿宋" w:eastAsia="仿宋" w:cs="仿宋"/>
          <w:sz w:val="28"/>
          <w:szCs w:val="28"/>
          <w:highlight w:val="none"/>
        </w:rPr>
        <w:t>政采云不见面开标平台。</w:t>
      </w:r>
    </w:p>
    <w:p w14:paraId="3E8AEB5E">
      <w:pPr>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五、公告期限</w:t>
      </w:r>
      <w:bookmarkEnd w:id="22"/>
      <w:bookmarkEnd w:id="23"/>
      <w:bookmarkEnd w:id="24"/>
      <w:bookmarkEnd w:id="25"/>
    </w:p>
    <w:p w14:paraId="5CAA5152">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自本公告发布之日起5个工作日。</w:t>
      </w:r>
    </w:p>
    <w:p w14:paraId="3B3728CD">
      <w:pPr>
        <w:pStyle w:val="4"/>
        <w:numPr>
          <w:ilvl w:val="0"/>
          <w:numId w:val="6"/>
        </w:numPr>
        <w:spacing w:line="360" w:lineRule="auto"/>
        <w:rPr>
          <w:rFonts w:hint="eastAsia" w:ascii="仿宋" w:hAnsi="仿宋" w:eastAsia="仿宋" w:cs="仿宋"/>
          <w:b w:val="0"/>
          <w:bCs w:val="0"/>
          <w:sz w:val="28"/>
          <w:szCs w:val="28"/>
          <w:highlight w:val="none"/>
        </w:rPr>
      </w:pPr>
      <w:bookmarkStart w:id="26" w:name="_Toc35393626"/>
      <w:bookmarkStart w:id="27" w:name="_Toc35393795"/>
      <w:r>
        <w:rPr>
          <w:rFonts w:hint="eastAsia" w:ascii="仿宋" w:hAnsi="仿宋" w:eastAsia="仿宋" w:cs="仿宋"/>
          <w:b w:val="0"/>
          <w:bCs w:val="0"/>
          <w:sz w:val="28"/>
          <w:szCs w:val="28"/>
          <w:highlight w:val="none"/>
        </w:rPr>
        <w:t>其他补充事宜</w:t>
      </w:r>
      <w:bookmarkEnd w:id="26"/>
      <w:bookmarkEnd w:id="27"/>
    </w:p>
    <w:p w14:paraId="2A1BE97D">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1、本次公告在新疆政府采购网发布；</w:t>
      </w:r>
    </w:p>
    <w:p w14:paraId="57805D20">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2、请</w:t>
      </w:r>
      <w:r>
        <w:rPr>
          <w:rFonts w:hint="eastAsia" w:ascii="仿宋" w:hAnsi="仿宋" w:eastAsia="仿宋" w:cs="仿宋"/>
          <w:kern w:val="0"/>
          <w:sz w:val="28"/>
          <w:szCs w:val="28"/>
          <w:highlight w:val="none"/>
          <w:lang w:eastAsia="zh-CN"/>
        </w:rPr>
        <w:t>供应商</w:t>
      </w:r>
      <w:r>
        <w:rPr>
          <w:rFonts w:hint="eastAsia" w:ascii="仿宋" w:hAnsi="仿宋" w:eastAsia="仿宋" w:cs="仿宋"/>
          <w:kern w:val="0"/>
          <w:sz w:val="28"/>
          <w:szCs w:val="28"/>
          <w:highlight w:val="none"/>
        </w:rPr>
        <w:t>随时关注本项目的变更、答疑、澄清文件；</w:t>
      </w:r>
    </w:p>
    <w:p w14:paraId="6272C3D5">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3、本项目实行电子招投标，供应商须登录政采云平台申请获取采购文件，并通过政采云电子投标客户端制作投标文件，同时自行承担与投标有关的一切费用；</w:t>
      </w:r>
    </w:p>
    <w:p w14:paraId="6E1D7179">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01DD81D1">
      <w:pPr>
        <w:ind w:firstLine="560" w:firstLineChars="200"/>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5、供应商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400-881-7190</w:t>
      </w:r>
      <w:r>
        <w:rPr>
          <w:rFonts w:hint="eastAsia" w:ascii="仿宋" w:hAnsi="仿宋" w:eastAsia="仿宋" w:cs="仿宋"/>
          <w:kern w:val="0"/>
          <w:sz w:val="28"/>
          <w:szCs w:val="28"/>
          <w:highlight w:val="none"/>
          <w:lang w:val="en-US" w:eastAsia="zh-CN"/>
        </w:rPr>
        <w:t>/95763</w:t>
      </w:r>
      <w:r>
        <w:rPr>
          <w:rFonts w:hint="eastAsia" w:ascii="仿宋" w:hAnsi="仿宋" w:eastAsia="仿宋" w:cs="仿宋"/>
          <w:kern w:val="0"/>
          <w:sz w:val="28"/>
          <w:szCs w:val="28"/>
          <w:highlight w:val="none"/>
        </w:rPr>
        <w:t>进行咨询；</w:t>
      </w:r>
    </w:p>
    <w:p w14:paraId="65432E95">
      <w:pPr>
        <w:ind w:firstLine="560" w:firstLineChars="200"/>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6、本项目采用不见面开标，供应商须在投标截止时间前通过CA在政采云平台上传加密的电子投标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13D3BAC1">
      <w:pPr>
        <w:ind w:firstLine="560" w:firstLineChars="2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 xml:space="preserve">7、供应商在开标前须提前配置好电脑浏览器（建议使用360浏览器或谷歌浏览器），开标时请使用制作加密电子投标文件的CA锁进行解密及报价确认。本项目投标文件解密时间定为30分钟，如因自身原因导致无法正常解密，后果由供应商自行承担。  </w:t>
      </w:r>
    </w:p>
    <w:p w14:paraId="64C018A1">
      <w:pPr>
        <w:ind w:firstLine="560" w:firstLineChars="200"/>
        <w:rPr>
          <w:rFonts w:hint="eastAsia" w:ascii="仿宋" w:hAnsi="仿宋" w:eastAsia="仿宋" w:cs="仿宋"/>
          <w:kern w:val="0"/>
          <w:sz w:val="28"/>
          <w:szCs w:val="28"/>
          <w:highlight w:val="none"/>
          <w:lang w:eastAsia="zh-CN"/>
        </w:rPr>
      </w:pPr>
      <w:r>
        <w:rPr>
          <w:rFonts w:hint="eastAsia" w:ascii="仿宋" w:hAnsi="仿宋" w:eastAsia="仿宋" w:cs="仿宋"/>
          <w:kern w:val="0"/>
          <w:sz w:val="28"/>
          <w:szCs w:val="28"/>
          <w:highlight w:val="none"/>
          <w:lang w:val="en-US" w:eastAsia="zh-CN"/>
        </w:rPr>
        <w:t>8、</w:t>
      </w:r>
      <w:r>
        <w:rPr>
          <w:rFonts w:hint="eastAsia" w:ascii="仿宋" w:hAnsi="仿宋" w:eastAsia="仿宋" w:cs="仿宋"/>
          <w:kern w:val="0"/>
          <w:sz w:val="28"/>
          <w:szCs w:val="28"/>
          <w:highlight w:val="none"/>
        </w:rPr>
        <w:t>采购项目需要落实的政府采购政策：节约能源、保护环境、扶持不发达地区和少数民族地区、促进中小企业发展、促进残疾人就业、政府采购信用担保等</w:t>
      </w:r>
      <w:r>
        <w:rPr>
          <w:rFonts w:hint="eastAsia" w:ascii="仿宋" w:hAnsi="仿宋" w:eastAsia="仿宋" w:cs="仿宋"/>
          <w:kern w:val="0"/>
          <w:sz w:val="28"/>
          <w:szCs w:val="28"/>
          <w:highlight w:val="none"/>
          <w:lang w:eastAsia="zh-CN"/>
        </w:rPr>
        <w:t>。</w:t>
      </w:r>
    </w:p>
    <w:p w14:paraId="7B64CD6F">
      <w:pPr>
        <w:ind w:firstLine="562" w:firstLineChars="200"/>
        <w:rPr>
          <w:rFonts w:hint="eastAsia"/>
          <w:highlight w:val="none"/>
        </w:rPr>
      </w:pPr>
      <w:r>
        <w:rPr>
          <w:rFonts w:hint="eastAsia" w:ascii="仿宋" w:hAnsi="仿宋" w:eastAsia="仿宋" w:cs="仿宋"/>
          <w:b/>
          <w:bCs/>
          <w:sz w:val="28"/>
          <w:szCs w:val="28"/>
          <w:highlight w:val="none"/>
        </w:rPr>
        <w:t>特别提示：</w:t>
      </w:r>
    </w:p>
    <w:p w14:paraId="5D33C12D">
      <w:pPr>
        <w:pStyle w:val="266"/>
        <w:rPr>
          <w:rFonts w:hint="eastAsia" w:ascii="仿宋" w:hAnsi="仿宋" w:eastAsia="仿宋" w:cs="仿宋"/>
          <w:sz w:val="28"/>
          <w:szCs w:val="28"/>
          <w:highlight w:val="none"/>
        </w:rPr>
      </w:pPr>
      <w:r>
        <w:rPr>
          <w:rFonts w:hint="eastAsia" w:ascii="仿宋" w:hAnsi="仿宋" w:eastAsia="仿宋" w:cs="仿宋"/>
          <w:sz w:val="28"/>
          <w:szCs w:val="28"/>
          <w:highlight w:val="none"/>
        </w:rPr>
        <w:t>1、超过200万元的货物和服务采购项目、超过400万元的工程采购项目中适宜由中小企业提供的，预留该部分采购项目预算总额的40%以上专门面向中小企业采购，其中预留给小微企业的比例不低于60%。</w:t>
      </w:r>
    </w:p>
    <w:p w14:paraId="3D58594D">
      <w:pPr>
        <w:pStyle w:val="266"/>
        <w:rPr>
          <w:rFonts w:hint="eastAsia" w:ascii="仿宋" w:hAnsi="仿宋" w:eastAsia="仿宋" w:cs="仿宋"/>
          <w:sz w:val="28"/>
          <w:szCs w:val="28"/>
          <w:highlight w:val="none"/>
        </w:rPr>
      </w:pPr>
      <w:r>
        <w:rPr>
          <w:rFonts w:hint="eastAsia" w:ascii="仿宋" w:hAnsi="仿宋" w:eastAsia="仿宋" w:cs="仿宋"/>
          <w:sz w:val="28"/>
          <w:szCs w:val="28"/>
          <w:highlight w:val="none"/>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466536D7">
      <w:pPr>
        <w:pStyle w:val="266"/>
        <w:rPr>
          <w:rFonts w:hint="eastAsia" w:ascii="仿宋" w:hAnsi="仿宋" w:eastAsia="仿宋" w:cs="仿宋"/>
          <w:sz w:val="28"/>
          <w:szCs w:val="28"/>
          <w:highlight w:val="none"/>
        </w:rPr>
      </w:pPr>
      <w:r>
        <w:rPr>
          <w:rFonts w:hint="eastAsia" w:ascii="仿宋" w:hAnsi="仿宋" w:eastAsia="仿宋" w:cs="仿宋"/>
          <w:sz w:val="28"/>
          <w:szCs w:val="28"/>
          <w:highlight w:val="none"/>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58C984AF">
      <w:pPr>
        <w:pStyle w:val="4"/>
        <w:spacing w:line="360" w:lineRule="auto"/>
        <w:rPr>
          <w:rFonts w:hint="eastAsia" w:ascii="仿宋" w:hAnsi="仿宋" w:eastAsia="仿宋" w:cs="仿宋"/>
          <w:b w:val="0"/>
          <w:sz w:val="28"/>
          <w:szCs w:val="28"/>
          <w:highlight w:val="none"/>
        </w:rPr>
      </w:pPr>
      <w:bookmarkStart w:id="28" w:name="_Toc35393796"/>
      <w:bookmarkStart w:id="29" w:name="_Toc35393627"/>
      <w:bookmarkStart w:id="30" w:name="_Toc28359008"/>
      <w:bookmarkStart w:id="31" w:name="_Toc28359085"/>
      <w:r>
        <w:rPr>
          <w:rFonts w:hint="eastAsia" w:ascii="仿宋" w:hAnsi="仿宋" w:eastAsia="仿宋" w:cs="仿宋"/>
          <w:b w:val="0"/>
          <w:sz w:val="28"/>
          <w:szCs w:val="28"/>
          <w:highlight w:val="none"/>
        </w:rPr>
        <w:t>七、对本次招标提出询问，请按以下方式联系。</w:t>
      </w:r>
      <w:bookmarkEnd w:id="28"/>
      <w:bookmarkEnd w:id="29"/>
      <w:bookmarkEnd w:id="30"/>
      <w:bookmarkEnd w:id="31"/>
    </w:p>
    <w:p w14:paraId="2B0FC2A3">
      <w:pPr>
        <w:widowControl/>
        <w:jc w:val="left"/>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　　　1.招标人信息</w:t>
      </w:r>
      <w:r>
        <w:rPr>
          <w:rFonts w:hint="eastAsia" w:ascii="仿宋" w:hAnsi="仿宋" w:eastAsia="仿宋" w:cs="仿宋"/>
          <w:sz w:val="28"/>
          <w:szCs w:val="28"/>
          <w:highlight w:val="none"/>
          <w:lang w:val="en-US" w:eastAsia="zh-CN"/>
        </w:rPr>
        <w:t xml:space="preserve"> </w:t>
      </w:r>
    </w:p>
    <w:p w14:paraId="61EC33CD">
      <w:pPr>
        <w:spacing w:line="360" w:lineRule="auto"/>
        <w:ind w:firstLine="840" w:firstLineChars="300"/>
        <w:rPr>
          <w:rFonts w:hint="default" w:ascii="仿宋" w:hAnsi="仿宋" w:eastAsia="仿宋" w:cs="仿宋"/>
          <w:sz w:val="28"/>
          <w:szCs w:val="28"/>
          <w:highlight w:val="none"/>
          <w:u w:val="single"/>
          <w:lang w:val="en-US" w:eastAsia="zh-CN"/>
        </w:rPr>
      </w:pPr>
      <w:r>
        <w:rPr>
          <w:rFonts w:hint="eastAsia" w:ascii="仿宋" w:hAnsi="仿宋" w:eastAsia="仿宋" w:cs="仿宋"/>
          <w:sz w:val="28"/>
          <w:szCs w:val="28"/>
          <w:highlight w:val="none"/>
          <w:u w:val="none"/>
          <w:lang w:eastAsia="zh-CN"/>
        </w:rPr>
        <w:t>名 称：</w:t>
      </w:r>
      <w:r>
        <w:rPr>
          <w:rFonts w:hint="eastAsia" w:ascii="仿宋" w:hAnsi="仿宋" w:eastAsia="仿宋" w:cs="仿宋"/>
          <w:sz w:val="28"/>
          <w:szCs w:val="28"/>
          <w:highlight w:val="none"/>
          <w:u w:val="single"/>
          <w:lang w:eastAsia="zh-CN"/>
        </w:rPr>
        <w:t>乌鲁木齐高新区（新市区）某单位</w:t>
      </w:r>
    </w:p>
    <w:p w14:paraId="572B94ED">
      <w:pPr>
        <w:spacing w:line="360" w:lineRule="auto"/>
        <w:ind w:firstLine="840" w:firstLineChars="300"/>
        <w:rPr>
          <w:rFonts w:hint="eastAsia" w:ascii="仿宋" w:hAnsi="仿宋" w:eastAsia="仿宋" w:cs="仿宋"/>
          <w:sz w:val="28"/>
          <w:szCs w:val="28"/>
          <w:highlight w:val="none"/>
          <w:u w:val="single"/>
          <w:lang w:eastAsia="zh-CN"/>
        </w:rPr>
      </w:pPr>
      <w:r>
        <w:rPr>
          <w:rFonts w:hint="eastAsia" w:ascii="仿宋" w:hAnsi="仿宋" w:eastAsia="仿宋" w:cs="仿宋"/>
          <w:sz w:val="28"/>
          <w:szCs w:val="28"/>
          <w:highlight w:val="none"/>
          <w:u w:val="none"/>
          <w:lang w:eastAsia="zh-CN"/>
        </w:rPr>
        <w:t>地址：</w:t>
      </w:r>
      <w:r>
        <w:rPr>
          <w:rFonts w:hint="eastAsia" w:ascii="仿宋" w:hAnsi="仿宋" w:eastAsia="仿宋" w:cs="仿宋"/>
          <w:sz w:val="28"/>
          <w:szCs w:val="28"/>
          <w:highlight w:val="none"/>
          <w:u w:val="single"/>
          <w:lang w:eastAsia="zh-CN"/>
        </w:rPr>
        <w:t>新疆维吾尔自治区乌鲁木齐市新市区河北东路339号</w:t>
      </w:r>
    </w:p>
    <w:p w14:paraId="52523806">
      <w:pPr>
        <w:spacing w:line="360" w:lineRule="auto"/>
        <w:ind w:firstLine="840" w:firstLineChars="300"/>
        <w:rPr>
          <w:rFonts w:hint="eastAsia" w:ascii="仿宋" w:hAnsi="仿宋" w:eastAsia="仿宋" w:cs="仿宋"/>
          <w:sz w:val="28"/>
          <w:szCs w:val="28"/>
          <w:highlight w:val="none"/>
          <w:u w:val="single"/>
          <w:lang w:eastAsia="zh-CN"/>
        </w:rPr>
      </w:pPr>
      <w:bookmarkStart w:id="32" w:name="_Toc28359009"/>
      <w:bookmarkStart w:id="33" w:name="_Toc28359086"/>
      <w:r>
        <w:rPr>
          <w:rFonts w:hint="eastAsia" w:ascii="仿宋" w:hAnsi="仿宋" w:eastAsia="仿宋" w:cs="仿宋"/>
          <w:sz w:val="28"/>
          <w:szCs w:val="28"/>
          <w:highlight w:val="none"/>
          <w:u w:val="none"/>
          <w:lang w:eastAsia="zh-CN"/>
        </w:rPr>
        <w:t>联系人：</w:t>
      </w:r>
      <w:r>
        <w:rPr>
          <w:rFonts w:hint="eastAsia" w:ascii="仿宋" w:hAnsi="仿宋" w:eastAsia="仿宋" w:cs="仿宋"/>
          <w:sz w:val="28"/>
          <w:szCs w:val="28"/>
          <w:highlight w:val="none"/>
          <w:u w:val="single"/>
          <w:lang w:eastAsia="zh-CN"/>
        </w:rPr>
        <w:t>马玉龙</w:t>
      </w:r>
    </w:p>
    <w:p w14:paraId="161B32F6">
      <w:pPr>
        <w:spacing w:line="360" w:lineRule="auto"/>
        <w:ind w:firstLine="840" w:firstLineChars="300"/>
        <w:rPr>
          <w:rFonts w:hint="eastAsia" w:ascii="仿宋" w:hAnsi="仿宋" w:eastAsia="仿宋" w:cs="仿宋"/>
          <w:sz w:val="28"/>
          <w:szCs w:val="28"/>
          <w:highlight w:val="none"/>
          <w:u w:val="single"/>
          <w:lang w:eastAsia="zh-CN"/>
        </w:rPr>
      </w:pPr>
      <w:r>
        <w:rPr>
          <w:rFonts w:hint="eastAsia" w:ascii="仿宋" w:hAnsi="仿宋" w:eastAsia="仿宋" w:cs="仿宋"/>
          <w:sz w:val="28"/>
          <w:szCs w:val="28"/>
          <w:highlight w:val="none"/>
          <w:u w:val="none"/>
          <w:lang w:eastAsia="zh-CN"/>
        </w:rPr>
        <w:t>联系方式：</w:t>
      </w:r>
      <w:r>
        <w:rPr>
          <w:rFonts w:hint="eastAsia" w:ascii="仿宋" w:hAnsi="仿宋" w:eastAsia="仿宋" w:cs="仿宋"/>
          <w:sz w:val="28"/>
          <w:szCs w:val="28"/>
          <w:highlight w:val="none"/>
          <w:u w:val="single"/>
          <w:lang w:eastAsia="zh-CN"/>
        </w:rPr>
        <w:t>18899197190</w:t>
      </w:r>
    </w:p>
    <w:p w14:paraId="55F57B4C">
      <w:pPr>
        <w:spacing w:line="360" w:lineRule="auto"/>
        <w:ind w:left="1129" w:leftChars="371" w:hanging="350" w:hangingChars="1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2.采购代理机构信息（如有）</w:t>
      </w:r>
      <w:bookmarkEnd w:id="32"/>
      <w:bookmarkEnd w:id="33"/>
    </w:p>
    <w:p w14:paraId="39388303">
      <w:pPr>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名 称：</w:t>
      </w:r>
      <w:r>
        <w:rPr>
          <w:rFonts w:hint="eastAsia" w:ascii="仿宋" w:hAnsi="仿宋" w:eastAsia="仿宋" w:cs="仿宋"/>
          <w:sz w:val="28"/>
          <w:szCs w:val="28"/>
          <w:highlight w:val="none"/>
          <w:u w:val="single"/>
        </w:rPr>
        <w:t>乌鲁木齐高新建设工程项目管理咨询有限公司</w:t>
      </w:r>
    </w:p>
    <w:p w14:paraId="32C3B267">
      <w:pPr>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地　址：</w:t>
      </w:r>
      <w:r>
        <w:rPr>
          <w:rFonts w:hint="eastAsia" w:ascii="仿宋" w:hAnsi="仿宋" w:eastAsia="仿宋" w:cs="仿宋"/>
          <w:sz w:val="28"/>
          <w:szCs w:val="28"/>
          <w:highlight w:val="none"/>
          <w:u w:val="single"/>
        </w:rPr>
        <w:t>新疆乌鲁木齐高新区（新市区）四平路2288号创新广场（二期）G座20层</w:t>
      </w:r>
    </w:p>
    <w:p w14:paraId="667331AE">
      <w:pPr>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联系方式：</w:t>
      </w:r>
      <w:bookmarkStart w:id="34" w:name="_Toc28359087"/>
      <w:bookmarkStart w:id="35" w:name="_Toc28359010"/>
      <w:r>
        <w:rPr>
          <w:rFonts w:hint="eastAsia" w:ascii="仿宋" w:hAnsi="仿宋" w:eastAsia="仿宋" w:cs="仿宋"/>
          <w:sz w:val="28"/>
          <w:szCs w:val="28"/>
          <w:highlight w:val="none"/>
          <w:u w:val="single"/>
        </w:rPr>
        <w:t>0991-6600851</w:t>
      </w:r>
    </w:p>
    <w:p w14:paraId="78C12005">
      <w:pPr>
        <w:spacing w:line="360" w:lineRule="auto"/>
        <w:ind w:firstLine="840" w:firstLineChars="30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3.项目联系方式</w:t>
      </w:r>
      <w:bookmarkEnd w:id="34"/>
      <w:bookmarkEnd w:id="35"/>
    </w:p>
    <w:p w14:paraId="2B402F32">
      <w:pPr>
        <w:pStyle w:val="27"/>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项目联系人：</w:t>
      </w:r>
      <w:r>
        <w:rPr>
          <w:rFonts w:hint="eastAsia" w:ascii="仿宋" w:hAnsi="仿宋" w:eastAsia="仿宋" w:cs="仿宋"/>
          <w:sz w:val="28"/>
          <w:szCs w:val="28"/>
          <w:highlight w:val="none"/>
          <w:u w:val="single"/>
          <w:lang w:val="en-US" w:eastAsia="zh-CN"/>
        </w:rPr>
        <w:t>李建森、杨旭敏</w:t>
      </w:r>
      <w:r>
        <w:rPr>
          <w:rFonts w:hint="eastAsia" w:ascii="仿宋" w:hAnsi="仿宋" w:eastAsia="仿宋" w:cs="仿宋"/>
          <w:sz w:val="28"/>
          <w:szCs w:val="28"/>
          <w:highlight w:val="none"/>
        </w:rPr>
        <w:t xml:space="preserve">  </w:t>
      </w:r>
    </w:p>
    <w:p w14:paraId="12CD4C61">
      <w:pPr>
        <w:pStyle w:val="27"/>
        <w:spacing w:line="360" w:lineRule="auto"/>
        <w:ind w:firstLine="840" w:firstLineChars="300"/>
        <w:rPr>
          <w:rFonts w:hint="default" w:ascii="仿宋" w:hAnsi="仿宋" w:eastAsia="仿宋" w:cs="仿宋"/>
          <w:sz w:val="24"/>
          <w:highlight w:val="none"/>
          <w:lang w:val="en-US" w:eastAsia="zh-CN"/>
        </w:rPr>
      </w:pPr>
      <w:r>
        <w:rPr>
          <w:rFonts w:hint="eastAsia" w:ascii="仿宋" w:hAnsi="仿宋" w:eastAsia="仿宋" w:cs="仿宋"/>
          <w:sz w:val="28"/>
          <w:szCs w:val="28"/>
          <w:highlight w:val="none"/>
        </w:rPr>
        <w:t>电　话：</w:t>
      </w:r>
      <w:r>
        <w:rPr>
          <w:rFonts w:hint="eastAsia" w:ascii="仿宋" w:hAnsi="仿宋" w:eastAsia="仿宋" w:cs="仿宋"/>
          <w:sz w:val="28"/>
          <w:szCs w:val="28"/>
          <w:highlight w:val="none"/>
          <w:u w:val="single"/>
        </w:rPr>
        <w:t>0991-6600851</w:t>
      </w:r>
      <w:r>
        <w:rPr>
          <w:rFonts w:hint="eastAsia" w:ascii="仿宋" w:hAnsi="仿宋" w:eastAsia="仿宋" w:cs="仿宋"/>
          <w:sz w:val="28"/>
          <w:szCs w:val="28"/>
          <w:highlight w:val="none"/>
          <w:u w:val="single"/>
          <w:lang w:eastAsia="zh-CN"/>
        </w:rPr>
        <w:t>、</w:t>
      </w:r>
      <w:r>
        <w:rPr>
          <w:rFonts w:hint="eastAsia" w:ascii="仿宋" w:hAnsi="仿宋" w:eastAsia="仿宋" w:cs="仿宋"/>
          <w:sz w:val="28"/>
          <w:szCs w:val="28"/>
          <w:highlight w:val="none"/>
          <w:u w:val="single"/>
          <w:lang w:val="en-US" w:eastAsia="zh-CN"/>
        </w:rPr>
        <w:t>18999129006</w:t>
      </w:r>
    </w:p>
    <w:p w14:paraId="631E9AD4">
      <w:pPr>
        <w:rPr>
          <w:rFonts w:hint="eastAsia"/>
        </w:rPr>
      </w:pPr>
      <w:r>
        <w:rPr>
          <w:rFonts w:hint="eastAsia"/>
        </w:rPr>
        <w:br w:type="page"/>
      </w:r>
    </w:p>
    <w:p w14:paraId="775E6BFB">
      <w:pPr>
        <w:pStyle w:val="3"/>
        <w:bidi w:val="0"/>
        <w:jc w:val="center"/>
      </w:pPr>
      <w:r>
        <w:rPr>
          <w:rFonts w:hint="eastAsia"/>
        </w:rPr>
        <w:t>第二章</w:t>
      </w:r>
      <w:r>
        <w:t xml:space="preserve"> </w:t>
      </w:r>
      <w:r>
        <w:rPr>
          <w:rFonts w:hint="eastAsia"/>
        </w:rPr>
        <w:t>投标人须知前附表</w:t>
      </w:r>
      <w:bookmarkEnd w:id="2"/>
      <w:bookmarkEnd w:id="3"/>
      <w:bookmarkEnd w:id="4"/>
    </w:p>
    <w:p w14:paraId="48636430">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本表是对投标人须知的具体补充和修改，如有矛盾，应以本表为准。</w:t>
      </w:r>
    </w:p>
    <w:tbl>
      <w:tblPr>
        <w:tblStyle w:val="48"/>
        <w:tblW w:w="9461" w:type="dxa"/>
        <w:tblInd w:w="-25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85"/>
        <w:gridCol w:w="8376"/>
      </w:tblGrid>
      <w:tr w14:paraId="0421C4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7" w:hRule="atLeast"/>
        </w:trPr>
        <w:tc>
          <w:tcPr>
            <w:tcW w:w="1085" w:type="dxa"/>
            <w:tcBorders>
              <w:top w:val="single" w:color="auto" w:sz="12" w:space="0"/>
              <w:right w:val="single" w:color="auto" w:sz="4" w:space="0"/>
            </w:tcBorders>
            <w:vAlign w:val="center"/>
          </w:tcPr>
          <w:p w14:paraId="666F6DF9">
            <w:pPr>
              <w:spacing w:line="360" w:lineRule="auto"/>
              <w:jc w:val="center"/>
              <w:rPr>
                <w:rFonts w:ascii="宋体" w:cs="宋体"/>
                <w:sz w:val="24"/>
                <w:szCs w:val="24"/>
                <w:highlight w:val="none"/>
              </w:rPr>
            </w:pPr>
            <w:r>
              <w:rPr>
                <w:rFonts w:hint="eastAsia" w:ascii="宋体" w:hAnsi="宋体" w:eastAsia="宋体" w:cs="宋体"/>
                <w:kern w:val="0"/>
                <w:sz w:val="24"/>
                <w:szCs w:val="24"/>
                <w:highlight w:val="none"/>
                <w:lang w:eastAsia="zh-CN"/>
              </w:rPr>
              <w:t>项号</w:t>
            </w:r>
          </w:p>
        </w:tc>
        <w:tc>
          <w:tcPr>
            <w:tcW w:w="8376" w:type="dxa"/>
            <w:tcBorders>
              <w:top w:val="single" w:color="auto" w:sz="12" w:space="0"/>
              <w:left w:val="single" w:color="auto" w:sz="4" w:space="0"/>
            </w:tcBorders>
            <w:vAlign w:val="center"/>
          </w:tcPr>
          <w:p w14:paraId="351B456D">
            <w:pPr>
              <w:spacing w:line="360" w:lineRule="auto"/>
              <w:jc w:val="center"/>
              <w:rPr>
                <w:rFonts w:ascii="宋体" w:cs="宋体"/>
                <w:b/>
                <w:sz w:val="24"/>
                <w:szCs w:val="24"/>
                <w:highlight w:val="none"/>
              </w:rPr>
            </w:pPr>
            <w:r>
              <w:rPr>
                <w:rFonts w:hint="eastAsia" w:ascii="宋体" w:hAnsi="宋体" w:cs="宋体"/>
                <w:b/>
                <w:sz w:val="24"/>
                <w:szCs w:val="24"/>
                <w:highlight w:val="none"/>
              </w:rPr>
              <w:t>内容</w:t>
            </w:r>
          </w:p>
        </w:tc>
      </w:tr>
      <w:tr w14:paraId="6E4A14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27" w:hRule="atLeast"/>
        </w:trPr>
        <w:tc>
          <w:tcPr>
            <w:tcW w:w="9461" w:type="dxa"/>
            <w:gridSpan w:val="2"/>
            <w:vAlign w:val="center"/>
          </w:tcPr>
          <w:p w14:paraId="0F5F6ABB">
            <w:pPr>
              <w:spacing w:line="360" w:lineRule="auto"/>
              <w:jc w:val="center"/>
              <w:rPr>
                <w:rFonts w:ascii="宋体" w:cs="宋体"/>
                <w:sz w:val="24"/>
                <w:szCs w:val="24"/>
                <w:highlight w:val="none"/>
                <w:lang w:val="zh-CN"/>
              </w:rPr>
            </w:pPr>
            <w:r>
              <w:rPr>
                <w:rFonts w:hint="eastAsia" w:ascii="宋体" w:hAnsi="宋体" w:cs="宋体"/>
                <w:sz w:val="24"/>
                <w:szCs w:val="24"/>
                <w:highlight w:val="none"/>
                <w:lang w:val="zh-CN"/>
              </w:rPr>
              <w:t>说明</w:t>
            </w:r>
          </w:p>
        </w:tc>
      </w:tr>
      <w:tr w14:paraId="4D6C6A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3C289E4B">
            <w:pPr>
              <w:autoSpaceDE w:val="0"/>
              <w:autoSpaceDN w:val="0"/>
              <w:adjustRightInd w:val="0"/>
              <w:spacing w:line="360" w:lineRule="auto"/>
              <w:jc w:val="center"/>
              <w:rPr>
                <w:rFonts w:hint="eastAsia" w:ascii="宋体" w:eastAsia="宋体" w:cs="宋体"/>
                <w:kern w:val="0"/>
                <w:sz w:val="24"/>
                <w:szCs w:val="24"/>
                <w:highlight w:val="none"/>
                <w:lang w:eastAsia="zh-CN"/>
              </w:rPr>
            </w:pPr>
            <w:r>
              <w:rPr>
                <w:rFonts w:hint="eastAsia" w:ascii="宋体" w:hAnsi="宋体" w:cs="宋体"/>
                <w:sz w:val="24"/>
                <w:szCs w:val="24"/>
                <w:highlight w:val="none"/>
                <w:lang w:val="en-US" w:eastAsia="zh-CN"/>
              </w:rPr>
              <w:t>1</w:t>
            </w:r>
          </w:p>
        </w:tc>
        <w:tc>
          <w:tcPr>
            <w:tcW w:w="8376" w:type="dxa"/>
            <w:tcBorders>
              <w:left w:val="single" w:color="auto" w:sz="4" w:space="0"/>
            </w:tcBorders>
            <w:vAlign w:val="center"/>
          </w:tcPr>
          <w:p w14:paraId="247ACB9E">
            <w:pPr>
              <w:autoSpaceDE w:val="0"/>
              <w:autoSpaceDN w:val="0"/>
              <w:adjustRightInd w:val="0"/>
              <w:spacing w:line="360" w:lineRule="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项目名称：</w:t>
            </w:r>
            <w:r>
              <w:rPr>
                <w:rFonts w:hint="eastAsia" w:ascii="宋体" w:hAnsi="宋体" w:cs="宋体"/>
                <w:kern w:val="0"/>
                <w:sz w:val="24"/>
                <w:szCs w:val="24"/>
                <w:highlight w:val="none"/>
                <w:lang w:eastAsia="zh-CN"/>
              </w:rPr>
              <w:t>乌鲁木齐高新区（新市区）某单位ZFBA中心硬件设施采购项目</w:t>
            </w:r>
          </w:p>
          <w:p w14:paraId="421B836F">
            <w:pPr>
              <w:pStyle w:val="21"/>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项目编号：</w:t>
            </w:r>
            <w:r>
              <w:rPr>
                <w:rFonts w:hint="eastAsia" w:ascii="宋体" w:hAnsi="宋体" w:cs="宋体"/>
                <w:kern w:val="0"/>
                <w:sz w:val="24"/>
                <w:szCs w:val="24"/>
                <w:highlight w:val="none"/>
                <w:lang w:val="en-US" w:eastAsia="zh-CN" w:bidi="ar-SA"/>
              </w:rPr>
              <w:t>GXXG-2025-ZFCG017</w:t>
            </w:r>
          </w:p>
          <w:p w14:paraId="4C8F7D1E">
            <w:pPr>
              <w:pStyle w:val="22"/>
              <w:ind w:left="0" w:leftChars="0" w:firstLine="0" w:firstLineChars="0"/>
              <w:rPr>
                <w:rFonts w:hint="default"/>
                <w:lang w:val="en-US" w:eastAsia="zh-CN"/>
              </w:rPr>
            </w:pPr>
            <w:r>
              <w:rPr>
                <w:rFonts w:hint="eastAsia" w:ascii="宋体" w:hAnsi="宋体" w:eastAsia="宋体" w:cs="宋体"/>
                <w:kern w:val="0"/>
                <w:sz w:val="24"/>
                <w:szCs w:val="24"/>
                <w:highlight w:val="none"/>
                <w:lang w:val="en-US" w:eastAsia="zh-CN" w:bidi="ar-SA"/>
              </w:rPr>
              <w:t>招标内容：乌鲁木齐高新区（新市区）某单位</w:t>
            </w:r>
            <w:r>
              <w:rPr>
                <w:rFonts w:hint="eastAsia" w:ascii="宋体" w:hAnsi="宋体" w:cs="宋体"/>
                <w:kern w:val="0"/>
                <w:sz w:val="24"/>
                <w:szCs w:val="24"/>
                <w:highlight w:val="none"/>
                <w:lang w:eastAsia="zh-CN"/>
              </w:rPr>
              <w:t>采购ZFBA中心硬件设施，</w:t>
            </w:r>
            <w:r>
              <w:rPr>
                <w:rFonts w:hint="eastAsia" w:ascii="宋体" w:hAnsi="宋体" w:cs="宋体"/>
                <w:kern w:val="0"/>
                <w:sz w:val="24"/>
                <w:szCs w:val="24"/>
                <w:highlight w:val="none"/>
                <w:lang w:val="en-US" w:eastAsia="zh-CN"/>
              </w:rPr>
              <w:t>为交钥匙项目</w:t>
            </w:r>
          </w:p>
        </w:tc>
      </w:tr>
      <w:tr w14:paraId="61E1CC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79DC02BF">
            <w:pPr>
              <w:autoSpaceDE w:val="0"/>
              <w:autoSpaceDN w:val="0"/>
              <w:adjustRightInd w:val="0"/>
              <w:spacing w:line="360" w:lineRule="auto"/>
              <w:jc w:val="center"/>
              <w:rPr>
                <w:rFonts w:hint="eastAsia" w:ascii="宋体" w:eastAsia="宋体" w:cs="宋体"/>
                <w:sz w:val="24"/>
                <w:szCs w:val="24"/>
                <w:highlight w:val="none"/>
                <w:lang w:eastAsia="zh-CN"/>
              </w:rPr>
            </w:pPr>
            <w:r>
              <w:rPr>
                <w:rFonts w:hint="eastAsia" w:ascii="宋体" w:hAnsi="宋体" w:cs="宋体"/>
                <w:sz w:val="24"/>
                <w:szCs w:val="24"/>
                <w:highlight w:val="none"/>
                <w:lang w:val="en-US" w:eastAsia="zh-CN"/>
              </w:rPr>
              <w:t>2</w:t>
            </w:r>
          </w:p>
        </w:tc>
        <w:tc>
          <w:tcPr>
            <w:tcW w:w="8376" w:type="dxa"/>
            <w:tcBorders>
              <w:left w:val="single" w:color="auto" w:sz="4" w:space="0"/>
            </w:tcBorders>
            <w:vAlign w:val="center"/>
          </w:tcPr>
          <w:p w14:paraId="6BB3D3FD">
            <w:pPr>
              <w:autoSpaceDE w:val="0"/>
              <w:autoSpaceDN w:val="0"/>
              <w:adjustRightInd w:val="0"/>
              <w:spacing w:line="360" w:lineRule="auto"/>
              <w:rPr>
                <w:rFonts w:hint="eastAsia" w:ascii="宋体" w:eastAsia="宋体" w:cs="宋体"/>
                <w:sz w:val="24"/>
                <w:szCs w:val="24"/>
                <w:highlight w:val="none"/>
                <w:lang w:val="zh-CN" w:eastAsia="zh-CN"/>
              </w:rPr>
            </w:pPr>
            <w:r>
              <w:rPr>
                <w:rFonts w:hint="eastAsia" w:ascii="宋体" w:hAnsi="宋体" w:cs="宋体"/>
                <w:sz w:val="24"/>
                <w:szCs w:val="24"/>
                <w:highlight w:val="none"/>
                <w:lang w:val="zh-CN"/>
              </w:rPr>
              <w:t>资金来源：</w:t>
            </w:r>
            <w:r>
              <w:rPr>
                <w:rFonts w:hint="eastAsia" w:ascii="宋体" w:hAnsi="宋体" w:cs="宋体"/>
                <w:sz w:val="24"/>
                <w:szCs w:val="24"/>
                <w:highlight w:val="none"/>
                <w:lang w:val="en-US" w:eastAsia="zh-CN"/>
              </w:rPr>
              <w:t>财政资金</w:t>
            </w:r>
          </w:p>
        </w:tc>
      </w:tr>
      <w:tr w14:paraId="7ABC9B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6CDD4279">
            <w:pPr>
              <w:autoSpaceDE w:val="0"/>
              <w:autoSpaceDN w:val="0"/>
              <w:adjustRightInd w:val="0"/>
              <w:spacing w:line="360" w:lineRule="auto"/>
              <w:jc w:val="center"/>
              <w:rPr>
                <w:rFonts w:hint="eastAsia" w:ascii="宋体" w:eastAsia="宋体" w:cs="宋体"/>
                <w:sz w:val="24"/>
                <w:szCs w:val="24"/>
                <w:highlight w:val="none"/>
                <w:lang w:val="zh-CN" w:eastAsia="zh-CN"/>
              </w:rPr>
            </w:pPr>
            <w:r>
              <w:rPr>
                <w:rFonts w:hint="eastAsia" w:ascii="宋体" w:hAnsi="宋体" w:cs="宋体"/>
                <w:sz w:val="24"/>
                <w:szCs w:val="24"/>
                <w:highlight w:val="none"/>
                <w:lang w:val="en-US" w:eastAsia="zh-CN"/>
              </w:rPr>
              <w:t>3</w:t>
            </w:r>
          </w:p>
        </w:tc>
        <w:tc>
          <w:tcPr>
            <w:tcW w:w="8376" w:type="dxa"/>
            <w:tcBorders>
              <w:left w:val="single" w:color="auto" w:sz="4" w:space="0"/>
            </w:tcBorders>
            <w:vAlign w:val="center"/>
          </w:tcPr>
          <w:p w14:paraId="070293D7">
            <w:pPr>
              <w:autoSpaceDE w:val="0"/>
              <w:autoSpaceDN w:val="0"/>
              <w:adjustRightInd w:val="0"/>
              <w:spacing w:line="360" w:lineRule="auto"/>
              <w:rPr>
                <w:rFonts w:ascii="宋体" w:cs="宋体"/>
                <w:kern w:val="0"/>
                <w:sz w:val="24"/>
                <w:szCs w:val="24"/>
                <w:highlight w:val="none"/>
              </w:rPr>
            </w:pPr>
            <w:r>
              <w:rPr>
                <w:rFonts w:hint="eastAsia" w:ascii="宋体" w:hAnsi="宋体" w:cs="宋体"/>
                <w:kern w:val="0"/>
                <w:sz w:val="24"/>
                <w:szCs w:val="24"/>
                <w:highlight w:val="none"/>
              </w:rPr>
              <w:t>采购人名称</w:t>
            </w:r>
            <w:r>
              <w:rPr>
                <w:rFonts w:hint="eastAsia" w:ascii="宋体" w:hAnsi="宋体" w:cs="宋体"/>
                <w:sz w:val="24"/>
                <w:szCs w:val="24"/>
                <w:highlight w:val="none"/>
                <w:lang w:val="zh-CN"/>
              </w:rPr>
              <w:t>：乌鲁木齐高新区（新市区）某单位</w:t>
            </w:r>
          </w:p>
          <w:p w14:paraId="52726CB4">
            <w:pPr>
              <w:autoSpaceDE w:val="0"/>
              <w:autoSpaceDN w:val="0"/>
              <w:adjustRightInd w:val="0"/>
              <w:spacing w:line="360" w:lineRule="auto"/>
              <w:rPr>
                <w:rFonts w:ascii="宋体" w:cs="宋体"/>
                <w:sz w:val="24"/>
                <w:szCs w:val="24"/>
                <w:highlight w:val="none"/>
                <w:lang w:val="zh-CN"/>
              </w:rPr>
            </w:pPr>
            <w:r>
              <w:rPr>
                <w:rFonts w:hint="eastAsia" w:ascii="宋体" w:hAnsi="宋体" w:cs="宋体"/>
                <w:sz w:val="24"/>
                <w:szCs w:val="24"/>
                <w:highlight w:val="none"/>
                <w:lang w:val="zh-CN"/>
              </w:rPr>
              <w:t>联系电话：18899197190</w:t>
            </w:r>
          </w:p>
        </w:tc>
      </w:tr>
      <w:tr w14:paraId="0281EF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7737A4BD">
            <w:pPr>
              <w:spacing w:line="360" w:lineRule="auto"/>
              <w:jc w:val="center"/>
              <w:rPr>
                <w:rFonts w:hint="eastAsia" w:ascii="宋体" w:eastAsia="宋体" w:cs="宋体"/>
                <w:sz w:val="24"/>
                <w:szCs w:val="24"/>
                <w:highlight w:val="none"/>
                <w:lang w:eastAsia="zh-CN"/>
              </w:rPr>
            </w:pPr>
            <w:r>
              <w:rPr>
                <w:rFonts w:hint="eastAsia" w:ascii="宋体" w:hAnsi="宋体" w:cs="宋体"/>
                <w:sz w:val="24"/>
                <w:szCs w:val="24"/>
                <w:highlight w:val="none"/>
                <w:lang w:val="en-US" w:eastAsia="zh-CN"/>
              </w:rPr>
              <w:t>4</w:t>
            </w:r>
          </w:p>
        </w:tc>
        <w:tc>
          <w:tcPr>
            <w:tcW w:w="8376" w:type="dxa"/>
            <w:tcBorders>
              <w:left w:val="single" w:color="auto" w:sz="4" w:space="0"/>
            </w:tcBorders>
            <w:vAlign w:val="center"/>
          </w:tcPr>
          <w:p w14:paraId="7AC01D02">
            <w:pPr>
              <w:spacing w:line="360" w:lineRule="auto"/>
              <w:rPr>
                <w:rFonts w:hint="eastAsia" w:ascii="宋体" w:eastAsia="宋体" w:cs="宋体"/>
                <w:sz w:val="24"/>
                <w:szCs w:val="24"/>
                <w:highlight w:val="none"/>
                <w:lang w:eastAsia="zh-CN"/>
              </w:rPr>
            </w:pPr>
            <w:r>
              <w:rPr>
                <w:rFonts w:hint="eastAsia" w:ascii="宋体" w:hAnsi="宋体" w:cs="宋体"/>
                <w:sz w:val="24"/>
                <w:szCs w:val="24"/>
                <w:highlight w:val="none"/>
              </w:rPr>
              <w:t>采购代理机构名称：</w:t>
            </w:r>
            <w:r>
              <w:rPr>
                <w:rFonts w:hint="eastAsia" w:ascii="宋体" w:hAnsi="宋体" w:cs="宋体"/>
                <w:sz w:val="24"/>
                <w:szCs w:val="24"/>
                <w:highlight w:val="none"/>
                <w:lang w:eastAsia="zh-CN"/>
              </w:rPr>
              <w:t>乌鲁木齐高新建设工程项目管理咨询有限公司</w:t>
            </w:r>
          </w:p>
          <w:p w14:paraId="547D9DD8">
            <w:pPr>
              <w:spacing w:line="360" w:lineRule="auto"/>
              <w:rPr>
                <w:rFonts w:hint="eastAsia" w:ascii="宋体" w:eastAsia="宋体" w:cs="宋体"/>
                <w:sz w:val="24"/>
                <w:szCs w:val="24"/>
                <w:highlight w:val="none"/>
                <w:lang w:eastAsia="zh-CN"/>
              </w:rPr>
            </w:pPr>
            <w:r>
              <w:rPr>
                <w:rFonts w:hint="eastAsia" w:ascii="宋体" w:hAnsi="宋体" w:cs="宋体"/>
                <w:sz w:val="24"/>
                <w:szCs w:val="24"/>
                <w:highlight w:val="none"/>
              </w:rPr>
              <w:t>地址：</w:t>
            </w:r>
            <w:r>
              <w:rPr>
                <w:rFonts w:hint="eastAsia" w:ascii="宋体" w:hAnsi="宋体" w:cs="宋体"/>
                <w:sz w:val="24"/>
                <w:szCs w:val="24"/>
                <w:highlight w:val="none"/>
                <w:lang w:eastAsia="zh-CN"/>
              </w:rPr>
              <w:t>新疆乌鲁木齐高新区（新市区）四平路2288号创新广场（二期）G座20层</w:t>
            </w:r>
          </w:p>
          <w:p w14:paraId="4D5265AB">
            <w:pPr>
              <w:spacing w:line="360" w:lineRule="auto"/>
              <w:jc w:val="left"/>
              <w:rPr>
                <w:rFonts w:hint="default" w:ascii="宋体" w:eastAsia="宋体" w:cs="宋体"/>
                <w:sz w:val="24"/>
                <w:szCs w:val="24"/>
                <w:highlight w:val="none"/>
                <w:lang w:val="en-US" w:eastAsia="zh-CN"/>
              </w:rPr>
            </w:pPr>
            <w:r>
              <w:rPr>
                <w:rFonts w:hint="eastAsia" w:ascii="宋体" w:hAnsi="宋体" w:cs="宋体"/>
                <w:sz w:val="24"/>
                <w:szCs w:val="24"/>
                <w:highlight w:val="none"/>
              </w:rPr>
              <w:t>电话：0991-6600851、18999129006</w:t>
            </w:r>
          </w:p>
          <w:p w14:paraId="4905820E">
            <w:pPr>
              <w:autoSpaceDE w:val="0"/>
              <w:autoSpaceDN w:val="0"/>
              <w:adjustRightInd w:val="0"/>
              <w:spacing w:line="360" w:lineRule="auto"/>
              <w:rPr>
                <w:rFonts w:hint="eastAsia" w:ascii="宋体" w:eastAsia="宋体" w:cs="宋体"/>
                <w:sz w:val="24"/>
                <w:szCs w:val="24"/>
                <w:highlight w:val="none"/>
                <w:lang w:eastAsia="zh-CN"/>
              </w:rPr>
            </w:pPr>
            <w:r>
              <w:rPr>
                <w:rFonts w:hint="eastAsia" w:ascii="宋体" w:hAnsi="宋体" w:cs="宋体"/>
                <w:sz w:val="24"/>
                <w:szCs w:val="24"/>
                <w:highlight w:val="none"/>
              </w:rPr>
              <w:t xml:space="preserve">联系人：李建森、杨旭敏 </w:t>
            </w:r>
          </w:p>
        </w:tc>
      </w:tr>
      <w:tr w14:paraId="2C6FC8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1E1A929B">
            <w:pPr>
              <w:spacing w:line="360" w:lineRule="auto"/>
              <w:jc w:val="center"/>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5</w:t>
            </w:r>
          </w:p>
        </w:tc>
        <w:tc>
          <w:tcPr>
            <w:tcW w:w="8376" w:type="dxa"/>
            <w:tcBorders>
              <w:left w:val="single" w:color="auto" w:sz="4" w:space="0"/>
            </w:tcBorders>
            <w:vAlign w:val="center"/>
          </w:tcPr>
          <w:p w14:paraId="76948FB7">
            <w:pPr>
              <w:spacing w:line="360" w:lineRule="auto"/>
              <w:rPr>
                <w:rFonts w:hint="eastAsia" w:ascii="宋体" w:hAnsi="宋体" w:cs="宋体"/>
                <w:kern w:val="0"/>
                <w:sz w:val="24"/>
                <w:szCs w:val="24"/>
                <w:highlight w:val="none"/>
              </w:rPr>
            </w:pPr>
            <w:r>
              <w:rPr>
                <w:rFonts w:hint="eastAsia" w:ascii="宋体" w:hAnsi="宋体" w:cs="宋体"/>
                <w:kern w:val="0"/>
                <w:sz w:val="24"/>
                <w:szCs w:val="24"/>
                <w:highlight w:val="none"/>
              </w:rPr>
              <w:t>本项目为公开招标，本项目（否）接受联合体投标</w:t>
            </w:r>
          </w:p>
        </w:tc>
      </w:tr>
      <w:tr w14:paraId="613F10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8" w:hRule="atLeast"/>
        </w:trPr>
        <w:tc>
          <w:tcPr>
            <w:tcW w:w="1085" w:type="dxa"/>
            <w:tcBorders>
              <w:right w:val="single" w:color="auto" w:sz="4" w:space="0"/>
            </w:tcBorders>
            <w:vAlign w:val="center"/>
          </w:tcPr>
          <w:p w14:paraId="237AA682">
            <w:pPr>
              <w:spacing w:line="360" w:lineRule="auto"/>
              <w:jc w:val="center"/>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6</w:t>
            </w:r>
          </w:p>
        </w:tc>
        <w:tc>
          <w:tcPr>
            <w:tcW w:w="8376" w:type="dxa"/>
            <w:tcBorders>
              <w:left w:val="single" w:color="auto" w:sz="4" w:space="0"/>
            </w:tcBorders>
            <w:vAlign w:val="center"/>
          </w:tcPr>
          <w:p w14:paraId="7A6C747E">
            <w:pPr>
              <w:spacing w:line="360" w:lineRule="auto"/>
              <w:rPr>
                <w:rFonts w:hint="default" w:ascii="宋体" w:hAnsi="宋体" w:cs="宋体"/>
                <w:kern w:val="0"/>
                <w:sz w:val="24"/>
                <w:szCs w:val="24"/>
                <w:highlight w:val="none"/>
                <w:lang w:val="en-US" w:eastAsia="zh-CN"/>
              </w:rPr>
            </w:pPr>
            <w:r>
              <w:rPr>
                <w:rFonts w:hint="eastAsia" w:ascii="宋体" w:hAnsi="宋体" w:cs="宋体"/>
                <w:kern w:val="0"/>
                <w:sz w:val="24"/>
                <w:szCs w:val="24"/>
                <w:highlight w:val="none"/>
              </w:rPr>
              <w:t>质保期：</w:t>
            </w:r>
            <w:r>
              <w:rPr>
                <w:rFonts w:hint="eastAsia" w:ascii="宋体" w:hAnsi="宋体" w:cs="宋体"/>
                <w:kern w:val="0"/>
                <w:sz w:val="24"/>
                <w:szCs w:val="24"/>
                <w:highlight w:val="none"/>
                <w:lang w:val="en-US" w:eastAsia="zh-CN"/>
              </w:rPr>
              <w:t>均为3年</w:t>
            </w:r>
          </w:p>
        </w:tc>
      </w:tr>
      <w:tr w14:paraId="18FEE6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7FE2D490">
            <w:pPr>
              <w:spacing w:line="360" w:lineRule="auto"/>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7</w:t>
            </w:r>
          </w:p>
        </w:tc>
        <w:tc>
          <w:tcPr>
            <w:tcW w:w="8376" w:type="dxa"/>
            <w:tcBorders>
              <w:left w:val="single" w:color="auto" w:sz="4" w:space="0"/>
            </w:tcBorders>
            <w:vAlign w:val="center"/>
          </w:tcPr>
          <w:p w14:paraId="4EEF4A12">
            <w:pPr>
              <w:spacing w:line="360" w:lineRule="auto"/>
              <w:rPr>
                <w:rFonts w:hint="default" w:ascii="宋体" w:hAnsi="宋体" w:eastAsia="宋体" w:cs="宋体"/>
                <w:kern w:val="0"/>
                <w:sz w:val="24"/>
                <w:szCs w:val="24"/>
                <w:highlight w:val="none"/>
                <w:lang w:val="en-US" w:eastAsia="zh-CN"/>
              </w:rPr>
            </w:pPr>
            <w:r>
              <w:rPr>
                <w:rFonts w:hint="eastAsia" w:ascii="宋体" w:hAnsi="宋体" w:cs="宋体"/>
                <w:kern w:val="0"/>
                <w:sz w:val="24"/>
                <w:szCs w:val="24"/>
                <w:highlight w:val="none"/>
              </w:rPr>
              <w:t>付款方式：</w:t>
            </w:r>
            <w:r>
              <w:rPr>
                <w:rFonts w:hint="eastAsia" w:ascii="宋体" w:hAnsi="宋体" w:cs="宋体"/>
                <w:kern w:val="0"/>
                <w:sz w:val="24"/>
                <w:szCs w:val="24"/>
                <w:highlight w:val="none"/>
                <w:lang w:val="en-US" w:eastAsia="zh-CN"/>
              </w:rPr>
              <w:t>分期支付</w:t>
            </w:r>
          </w:p>
        </w:tc>
      </w:tr>
      <w:tr w14:paraId="3B0CA1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5" w:hRule="atLeast"/>
        </w:trPr>
        <w:tc>
          <w:tcPr>
            <w:tcW w:w="1085" w:type="dxa"/>
            <w:tcBorders>
              <w:bottom w:val="single" w:color="auto" w:sz="4" w:space="0"/>
              <w:right w:val="single" w:color="auto" w:sz="4" w:space="0"/>
            </w:tcBorders>
            <w:vAlign w:val="center"/>
          </w:tcPr>
          <w:p w14:paraId="19584E8C">
            <w:pPr>
              <w:spacing w:line="360" w:lineRule="auto"/>
              <w:jc w:val="center"/>
              <w:rPr>
                <w:rFonts w:hint="eastAsia" w:ascii="宋体" w:eastAsia="宋体" w:cs="宋体"/>
                <w:i/>
                <w:sz w:val="24"/>
                <w:szCs w:val="24"/>
                <w:highlight w:val="none"/>
                <w:lang w:eastAsia="zh-CN"/>
              </w:rPr>
            </w:pPr>
            <w:r>
              <w:rPr>
                <w:rFonts w:hint="eastAsia" w:ascii="宋体" w:hAnsi="宋体" w:cs="宋体"/>
                <w:sz w:val="24"/>
                <w:szCs w:val="24"/>
                <w:highlight w:val="none"/>
                <w:lang w:val="en-US" w:eastAsia="zh-CN"/>
              </w:rPr>
              <w:t>8</w:t>
            </w:r>
          </w:p>
        </w:tc>
        <w:tc>
          <w:tcPr>
            <w:tcW w:w="8376" w:type="dxa"/>
            <w:tcBorders>
              <w:left w:val="single" w:color="auto" w:sz="4" w:space="0"/>
              <w:bottom w:val="single" w:color="auto" w:sz="4" w:space="0"/>
            </w:tcBorders>
            <w:vAlign w:val="center"/>
          </w:tcPr>
          <w:p w14:paraId="1111B287">
            <w:pPr>
              <w:spacing w:line="360" w:lineRule="auto"/>
              <w:rPr>
                <w:rFonts w:ascii="宋体" w:cs="宋体"/>
                <w:i/>
                <w:sz w:val="24"/>
                <w:szCs w:val="24"/>
                <w:highlight w:val="none"/>
              </w:rPr>
            </w:pPr>
            <w:r>
              <w:rPr>
                <w:rFonts w:hint="eastAsia" w:ascii="宋体" w:hAnsi="宋体" w:cs="宋体"/>
                <w:sz w:val="24"/>
                <w:szCs w:val="24"/>
                <w:highlight w:val="none"/>
                <w:lang w:val="zh-CN"/>
              </w:rPr>
              <w:t>投标报价：</w:t>
            </w:r>
            <w:r>
              <w:rPr>
                <w:rFonts w:hint="eastAsia" w:ascii="宋体" w:hAnsi="宋体" w:cs="宋体"/>
                <w:sz w:val="24"/>
                <w:szCs w:val="24"/>
                <w:highlight w:val="none"/>
              </w:rPr>
              <w:t>最终报价（</w:t>
            </w:r>
            <w:r>
              <w:rPr>
                <w:rFonts w:hint="eastAsia" w:ascii="宋体" w:hAnsi="宋体" w:cs="宋体"/>
                <w:sz w:val="24"/>
                <w:szCs w:val="24"/>
                <w:highlight w:val="none"/>
                <w:lang w:val="zh-CN"/>
              </w:rPr>
              <w:t>包括但不限于技术规格书明确的本项目所有内容，</w:t>
            </w:r>
            <w:r>
              <w:rPr>
                <w:rFonts w:hint="eastAsia" w:ascii="宋体" w:hAnsi="宋体" w:cs="宋体"/>
                <w:sz w:val="24"/>
                <w:szCs w:val="24"/>
                <w:highlight w:val="none"/>
              </w:rPr>
              <w:t>包含但不局限于</w:t>
            </w:r>
            <w:r>
              <w:rPr>
                <w:rFonts w:hint="eastAsia" w:ascii="宋体" w:hAnsi="宋体" w:cs="宋体"/>
                <w:sz w:val="24"/>
                <w:szCs w:val="24"/>
                <w:highlight w:val="none"/>
                <w:lang w:val="zh-CN"/>
              </w:rPr>
              <w:t>运输费，保险费，</w:t>
            </w:r>
            <w:r>
              <w:rPr>
                <w:rFonts w:hint="eastAsia" w:ascii="宋体" w:hAnsi="宋体" w:cs="宋体"/>
                <w:sz w:val="24"/>
                <w:szCs w:val="24"/>
                <w:highlight w:val="none"/>
                <w:lang w:val="en-US" w:eastAsia="zh-CN"/>
              </w:rPr>
              <w:t>安装、</w:t>
            </w:r>
            <w:r>
              <w:rPr>
                <w:rFonts w:hint="eastAsia" w:ascii="宋体" w:hAnsi="宋体" w:cs="宋体"/>
                <w:sz w:val="24"/>
                <w:szCs w:val="24"/>
                <w:highlight w:val="none"/>
                <w:lang w:val="zh-CN"/>
              </w:rPr>
              <w:t>伴随服务费和税费等）。</w:t>
            </w:r>
          </w:p>
        </w:tc>
      </w:tr>
      <w:tr w14:paraId="34A87F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trPr>
        <w:tc>
          <w:tcPr>
            <w:tcW w:w="1085" w:type="dxa"/>
            <w:tcBorders>
              <w:top w:val="single" w:color="auto" w:sz="4" w:space="0"/>
              <w:right w:val="single" w:color="auto" w:sz="4" w:space="0"/>
            </w:tcBorders>
            <w:vAlign w:val="center"/>
          </w:tcPr>
          <w:p w14:paraId="4A3CAEBA">
            <w:pPr>
              <w:spacing w:line="360" w:lineRule="auto"/>
              <w:jc w:val="center"/>
              <w:rPr>
                <w:rFonts w:hint="eastAsia" w:ascii="宋体" w:eastAsia="宋体" w:cs="宋体"/>
                <w:sz w:val="24"/>
                <w:szCs w:val="24"/>
                <w:highlight w:val="none"/>
                <w:lang w:val="zh-CN" w:eastAsia="zh-CN"/>
              </w:rPr>
            </w:pPr>
            <w:r>
              <w:rPr>
                <w:rFonts w:hint="eastAsia" w:ascii="宋体" w:hAnsi="宋体" w:cs="宋体"/>
                <w:sz w:val="24"/>
                <w:szCs w:val="24"/>
                <w:highlight w:val="none"/>
                <w:lang w:val="en-US" w:eastAsia="zh-CN"/>
              </w:rPr>
              <w:t>9</w:t>
            </w:r>
          </w:p>
        </w:tc>
        <w:tc>
          <w:tcPr>
            <w:tcW w:w="8376" w:type="dxa"/>
            <w:tcBorders>
              <w:top w:val="single" w:color="auto" w:sz="4" w:space="0"/>
              <w:left w:val="single" w:color="auto" w:sz="4" w:space="0"/>
            </w:tcBorders>
            <w:vAlign w:val="center"/>
          </w:tcPr>
          <w:p w14:paraId="53DEA60B">
            <w:pPr>
              <w:spacing w:line="360" w:lineRule="auto"/>
              <w:jc w:val="left"/>
              <w:rPr>
                <w:rFonts w:ascii="宋体" w:cs="宋体"/>
                <w:sz w:val="24"/>
                <w:szCs w:val="24"/>
                <w:highlight w:val="none"/>
                <w:lang w:val="zh-CN"/>
              </w:rPr>
            </w:pPr>
            <w:r>
              <w:rPr>
                <w:rFonts w:hint="eastAsia" w:ascii="宋体" w:hAnsi="宋体" w:cs="宋体"/>
                <w:sz w:val="24"/>
                <w:szCs w:val="24"/>
                <w:highlight w:val="none"/>
              </w:rPr>
              <w:t>投标货币：人民币</w:t>
            </w:r>
          </w:p>
        </w:tc>
      </w:tr>
      <w:tr w14:paraId="74ADDD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29" w:hRule="atLeast"/>
        </w:trPr>
        <w:tc>
          <w:tcPr>
            <w:tcW w:w="1085" w:type="dxa"/>
            <w:tcBorders>
              <w:right w:val="single" w:color="auto" w:sz="4" w:space="0"/>
            </w:tcBorders>
            <w:vAlign w:val="center"/>
          </w:tcPr>
          <w:p w14:paraId="05A71C87">
            <w:pPr>
              <w:tabs>
                <w:tab w:val="left" w:pos="720"/>
              </w:tabs>
              <w:autoSpaceDE w:val="0"/>
              <w:autoSpaceDN w:val="0"/>
              <w:adjustRightInd w:val="0"/>
              <w:spacing w:line="360" w:lineRule="auto"/>
              <w:ind w:left="278" w:right="17"/>
              <w:jc w:val="both"/>
              <w:rPr>
                <w:rFonts w:hint="default" w:ascii="宋体" w:eastAsia="宋体" w:cs="宋体"/>
                <w:kern w:val="0"/>
                <w:sz w:val="24"/>
                <w:szCs w:val="24"/>
                <w:highlight w:val="none"/>
                <w:lang w:val="en-US" w:eastAsia="zh-CN"/>
              </w:rPr>
            </w:pPr>
            <w:r>
              <w:rPr>
                <w:rFonts w:hint="eastAsia" w:ascii="宋体" w:hAnsi="宋体" w:cs="宋体"/>
                <w:sz w:val="24"/>
                <w:szCs w:val="24"/>
                <w:highlight w:val="none"/>
                <w:lang w:val="en-US" w:eastAsia="zh-CN"/>
              </w:rPr>
              <w:t>10</w:t>
            </w:r>
          </w:p>
        </w:tc>
        <w:tc>
          <w:tcPr>
            <w:tcW w:w="8376" w:type="dxa"/>
            <w:tcBorders>
              <w:left w:val="single" w:color="auto" w:sz="4" w:space="0"/>
            </w:tcBorders>
            <w:vAlign w:val="center"/>
          </w:tcPr>
          <w:p w14:paraId="6A3C80FC">
            <w:pPr>
              <w:spacing w:line="360" w:lineRule="auto"/>
              <w:rPr>
                <w:rFonts w:ascii="宋体" w:cs="宋体"/>
                <w:bCs/>
                <w:kern w:val="0"/>
                <w:sz w:val="24"/>
                <w:szCs w:val="24"/>
                <w:highlight w:val="none"/>
              </w:rPr>
            </w:pPr>
            <w:r>
              <w:rPr>
                <w:rFonts w:ascii="宋体" w:hAnsi="宋体" w:cs="宋体"/>
                <w:bCs/>
                <w:kern w:val="0"/>
                <w:sz w:val="24"/>
                <w:szCs w:val="24"/>
                <w:highlight w:val="none"/>
              </w:rPr>
              <w:t>1.</w:t>
            </w:r>
            <w:r>
              <w:rPr>
                <w:rFonts w:hint="eastAsia" w:ascii="宋体" w:hAnsi="宋体" w:cs="宋体"/>
                <w:bCs/>
                <w:kern w:val="0"/>
                <w:sz w:val="24"/>
                <w:szCs w:val="24"/>
                <w:highlight w:val="none"/>
              </w:rPr>
              <w:t>满足《中华人民共和国政府采购法》第二十二条规定；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w:t>
            </w:r>
          </w:p>
          <w:p w14:paraId="7922E2CB">
            <w:pPr>
              <w:spacing w:line="360" w:lineRule="auto"/>
              <w:rPr>
                <w:rFonts w:hint="eastAsia" w:ascii="宋体" w:hAnsi="宋体" w:cs="宋体"/>
                <w:bCs/>
                <w:kern w:val="0"/>
                <w:sz w:val="24"/>
                <w:szCs w:val="24"/>
                <w:highlight w:val="none"/>
              </w:rPr>
            </w:pPr>
            <w:r>
              <w:rPr>
                <w:rFonts w:ascii="宋体" w:hAnsi="宋体" w:cs="宋体"/>
                <w:bCs/>
                <w:kern w:val="0"/>
                <w:sz w:val="24"/>
                <w:szCs w:val="24"/>
                <w:highlight w:val="none"/>
              </w:rPr>
              <w:t>2.</w:t>
            </w:r>
            <w:r>
              <w:rPr>
                <w:rFonts w:hint="eastAsia" w:ascii="宋体" w:hAnsi="宋体" w:cs="宋体"/>
                <w:bCs/>
                <w:kern w:val="0"/>
                <w:sz w:val="24"/>
                <w:szCs w:val="24"/>
                <w:highlight w:val="none"/>
              </w:rPr>
              <w:t>落实政府采购政策需满足的资格要求：</w:t>
            </w:r>
          </w:p>
          <w:p w14:paraId="20E10406">
            <w:pPr>
              <w:spacing w:line="360" w:lineRule="auto"/>
              <w:rPr>
                <w:rFonts w:hint="eastAsia" w:ascii="宋体" w:hAnsi="宋体" w:cs="宋体"/>
                <w:bCs/>
                <w:sz w:val="24"/>
                <w:szCs w:val="24"/>
                <w:highlight w:val="none"/>
              </w:rPr>
            </w:pPr>
            <w:r>
              <w:rPr>
                <w:rFonts w:ascii="宋体" w:hAnsi="宋体" w:cs="宋体"/>
                <w:bCs/>
                <w:sz w:val="24"/>
                <w:szCs w:val="24"/>
                <w:highlight w:val="none"/>
              </w:rPr>
              <w:t>1</w:t>
            </w:r>
            <w:r>
              <w:rPr>
                <w:rFonts w:hint="eastAsia" w:ascii="宋体" w:hAnsi="宋体" w:cs="宋体"/>
                <w:bCs/>
                <w:sz w:val="24"/>
                <w:szCs w:val="24"/>
                <w:highlight w:val="none"/>
              </w:rPr>
              <w:t>）单位负责人为同一人或者存在直接控股、管理关系的不同投标人，不得同时参加本项目同一包的投标；</w:t>
            </w:r>
          </w:p>
          <w:p w14:paraId="0AEBE608">
            <w:pPr>
              <w:spacing w:line="360" w:lineRule="auto"/>
              <w:rPr>
                <w:rFonts w:hint="eastAsia" w:ascii="宋体" w:hAnsi="宋体" w:cs="宋体"/>
                <w:bCs/>
                <w:sz w:val="24"/>
                <w:szCs w:val="24"/>
                <w:highlight w:val="none"/>
              </w:rPr>
            </w:pPr>
            <w:r>
              <w:rPr>
                <w:rFonts w:ascii="宋体" w:hAnsi="宋体" w:cs="宋体"/>
                <w:bCs/>
                <w:sz w:val="24"/>
                <w:szCs w:val="24"/>
                <w:highlight w:val="none"/>
              </w:rPr>
              <w:t>2</w:t>
            </w:r>
            <w:r>
              <w:rPr>
                <w:rFonts w:hint="eastAsia" w:ascii="宋体" w:hAnsi="宋体" w:cs="宋体"/>
                <w:bCs/>
                <w:sz w:val="24"/>
                <w:szCs w:val="24"/>
                <w:highlight w:val="none"/>
              </w:rPr>
              <w:t>）为本项目某包提供整体设计、规范编制或者项目管理、监理、检测等服务的投标人，不得参加该包的投标；</w:t>
            </w:r>
          </w:p>
          <w:p w14:paraId="729C0199">
            <w:pPr>
              <w:spacing w:line="360" w:lineRule="auto"/>
              <w:rPr>
                <w:rFonts w:ascii="宋体" w:cs="宋体"/>
                <w:bCs/>
                <w:kern w:val="0"/>
                <w:sz w:val="24"/>
                <w:szCs w:val="24"/>
                <w:highlight w:val="none"/>
              </w:rPr>
            </w:pPr>
            <w:r>
              <w:rPr>
                <w:rFonts w:ascii="宋体" w:hAnsi="宋体" w:cs="宋体"/>
                <w:bCs/>
                <w:sz w:val="24"/>
                <w:szCs w:val="24"/>
                <w:highlight w:val="none"/>
              </w:rPr>
              <w:t>3</w:t>
            </w:r>
            <w:r>
              <w:rPr>
                <w:rFonts w:hint="eastAsia" w:ascii="宋体" w:hAnsi="宋体" w:cs="宋体"/>
                <w:bCs/>
                <w:sz w:val="24"/>
                <w:szCs w:val="24"/>
                <w:highlight w:val="none"/>
              </w:rPr>
              <w:t>）通过“信用中国”网站（</w:t>
            </w:r>
            <w:r>
              <w:rPr>
                <w:rFonts w:ascii="宋体" w:hAnsi="宋体" w:cs="宋体"/>
                <w:bCs/>
                <w:sz w:val="24"/>
                <w:szCs w:val="24"/>
                <w:highlight w:val="none"/>
              </w:rPr>
              <w:t>www.creditchina.gov.cn</w:t>
            </w:r>
            <w:r>
              <w:rPr>
                <w:rFonts w:hint="eastAsia" w:ascii="宋体" w:hAnsi="宋体" w:cs="宋体"/>
                <w:bCs/>
                <w:sz w:val="24"/>
                <w:szCs w:val="24"/>
                <w:highlight w:val="none"/>
              </w:rPr>
              <w:t>）和中国政府采购网（</w:t>
            </w:r>
            <w:r>
              <w:rPr>
                <w:rFonts w:ascii="宋体" w:hAnsi="宋体" w:cs="宋体"/>
                <w:bCs/>
                <w:sz w:val="24"/>
                <w:szCs w:val="24"/>
                <w:highlight w:val="none"/>
              </w:rPr>
              <w:t>www.ccgp.gov.cn</w:t>
            </w:r>
            <w:r>
              <w:rPr>
                <w:rFonts w:hint="eastAsia" w:ascii="宋体" w:hAnsi="宋体" w:cs="宋体"/>
                <w:bCs/>
                <w:sz w:val="24"/>
                <w:szCs w:val="24"/>
                <w:highlight w:val="none"/>
              </w:rPr>
              <w:t>）查询信用记录（截止时间点为投标截止时间），被列入失信被执行人、重大税收违法案件当事人名单或政府采购严重违法失信行为记录名单的投标人，没有资格参加本项目的采购活动；</w:t>
            </w:r>
          </w:p>
          <w:p w14:paraId="4384F8C6">
            <w:pPr>
              <w:spacing w:line="360" w:lineRule="auto"/>
              <w:rPr>
                <w:rFonts w:ascii="宋体" w:cs="宋体"/>
                <w:bCs/>
                <w:kern w:val="0"/>
                <w:sz w:val="24"/>
                <w:szCs w:val="24"/>
                <w:highlight w:val="none"/>
              </w:rPr>
            </w:pPr>
            <w:r>
              <w:rPr>
                <w:rFonts w:ascii="宋体" w:hAnsi="宋体" w:cs="宋体"/>
                <w:bCs/>
                <w:kern w:val="0"/>
                <w:sz w:val="24"/>
                <w:szCs w:val="24"/>
                <w:highlight w:val="none"/>
              </w:rPr>
              <w:t>4</w:t>
            </w:r>
            <w:r>
              <w:rPr>
                <w:rFonts w:hint="eastAsia" w:ascii="宋体" w:hAnsi="宋体" w:cs="宋体"/>
                <w:bCs/>
                <w:kern w:val="0"/>
                <w:sz w:val="24"/>
                <w:szCs w:val="24"/>
                <w:highlight w:val="none"/>
              </w:rPr>
              <w:t>）</w:t>
            </w:r>
            <w:r>
              <w:rPr>
                <w:rFonts w:hint="eastAsia" w:ascii="宋体" w:hAnsi="宋体" w:cs="宋体"/>
                <w:bCs/>
                <w:kern w:val="0"/>
                <w:sz w:val="24"/>
                <w:szCs w:val="24"/>
                <w:highlight w:val="none"/>
                <w:lang w:eastAsia="zh-CN"/>
              </w:rPr>
              <w:t>本项目非专门面向中小企业采购</w:t>
            </w:r>
            <w:r>
              <w:rPr>
                <w:rFonts w:hint="eastAsia" w:ascii="宋体" w:hAnsi="宋体" w:cs="宋体"/>
                <w:bCs/>
                <w:kern w:val="0"/>
                <w:sz w:val="24"/>
                <w:szCs w:val="24"/>
                <w:highlight w:val="none"/>
              </w:rPr>
              <w:t>。</w:t>
            </w:r>
          </w:p>
          <w:p w14:paraId="20671E3D">
            <w:pPr>
              <w:pStyle w:val="231"/>
              <w:numPr>
                <w:ilvl w:val="0"/>
                <w:numId w:val="0"/>
              </w:numPr>
              <w:spacing w:line="360" w:lineRule="auto"/>
              <w:rPr>
                <w:rFonts w:ascii="宋体" w:cs="宋体"/>
                <w:kern w:val="2"/>
                <w:sz w:val="24"/>
                <w:szCs w:val="24"/>
                <w:highlight w:val="none"/>
              </w:rPr>
            </w:pPr>
            <w:r>
              <w:rPr>
                <w:rFonts w:ascii="宋体" w:hAnsi="宋体" w:cs="宋体"/>
                <w:bCs/>
                <w:sz w:val="24"/>
                <w:szCs w:val="24"/>
                <w:highlight w:val="none"/>
              </w:rPr>
              <w:t>3.</w:t>
            </w:r>
            <w:r>
              <w:rPr>
                <w:rFonts w:hint="eastAsia" w:ascii="宋体" w:hAnsi="宋体" w:cs="宋体"/>
                <w:bCs/>
                <w:sz w:val="24"/>
                <w:szCs w:val="24"/>
                <w:highlight w:val="none"/>
              </w:rPr>
              <w:t>本项目的特定资格要求：无。</w:t>
            </w:r>
          </w:p>
        </w:tc>
      </w:tr>
      <w:tr w14:paraId="02F65C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6" w:hRule="atLeast"/>
        </w:trPr>
        <w:tc>
          <w:tcPr>
            <w:tcW w:w="1085" w:type="dxa"/>
            <w:tcBorders>
              <w:top w:val="single" w:color="auto" w:sz="12" w:space="0"/>
              <w:right w:val="single" w:color="auto" w:sz="4" w:space="0"/>
            </w:tcBorders>
            <w:vAlign w:val="center"/>
          </w:tcPr>
          <w:p w14:paraId="35D85DCF">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11</w:t>
            </w:r>
          </w:p>
        </w:tc>
        <w:tc>
          <w:tcPr>
            <w:tcW w:w="8376" w:type="dxa"/>
            <w:tcBorders>
              <w:top w:val="single" w:color="auto" w:sz="12" w:space="0"/>
              <w:left w:val="single" w:color="auto" w:sz="4" w:space="0"/>
            </w:tcBorders>
            <w:vAlign w:val="center"/>
          </w:tcPr>
          <w:p w14:paraId="0C922523">
            <w:pPr>
              <w:spacing w:line="360" w:lineRule="auto"/>
              <w:rPr>
                <w:rFonts w:hint="eastAsia" w:ascii="宋体" w:cs="宋体"/>
                <w:sz w:val="24"/>
                <w:szCs w:val="24"/>
                <w:highlight w:val="none"/>
              </w:rPr>
            </w:pPr>
            <w:r>
              <w:rPr>
                <w:rFonts w:hint="eastAsia" w:ascii="宋体" w:cs="宋体"/>
                <w:sz w:val="24"/>
                <w:szCs w:val="24"/>
                <w:highlight w:val="none"/>
              </w:rPr>
              <w:t>投标保证金：</w:t>
            </w:r>
          </w:p>
          <w:p w14:paraId="32939272">
            <w:pPr>
              <w:spacing w:line="360" w:lineRule="auto"/>
              <w:rPr>
                <w:rFonts w:hint="eastAsia" w:ascii="宋体" w:cs="宋体"/>
                <w:sz w:val="24"/>
                <w:szCs w:val="24"/>
                <w:highlight w:val="none"/>
              </w:rPr>
            </w:pPr>
            <w:r>
              <w:rPr>
                <w:rFonts w:hint="eastAsia" w:ascii="宋体" w:cs="宋体"/>
                <w:sz w:val="24"/>
                <w:szCs w:val="24"/>
                <w:highlight w:val="none"/>
              </w:rPr>
              <w:t>缴纳形式：转账、汇款或保函等非现金形式</w:t>
            </w:r>
          </w:p>
          <w:p w14:paraId="0DD4017B">
            <w:pPr>
              <w:spacing w:line="360" w:lineRule="auto"/>
              <w:rPr>
                <w:rFonts w:hint="eastAsia" w:ascii="宋体" w:cs="宋体"/>
                <w:sz w:val="24"/>
                <w:szCs w:val="24"/>
                <w:highlight w:val="none"/>
              </w:rPr>
            </w:pPr>
            <w:r>
              <w:rPr>
                <w:rFonts w:hint="eastAsia" w:ascii="宋体" w:cs="宋体"/>
                <w:sz w:val="24"/>
                <w:szCs w:val="24"/>
                <w:highlight w:val="none"/>
              </w:rPr>
              <w:t>缴纳金额</w:t>
            </w:r>
            <w:r>
              <w:rPr>
                <w:rFonts w:hint="eastAsia" w:ascii="宋体" w:cs="宋体"/>
                <w:sz w:val="24"/>
                <w:szCs w:val="24"/>
                <w:highlight w:val="none"/>
                <w:lang w:eastAsia="zh-CN"/>
              </w:rPr>
              <w:t>：</w:t>
            </w:r>
            <w:r>
              <w:rPr>
                <w:rFonts w:hint="eastAsia" w:ascii="宋体" w:cs="宋体"/>
                <w:sz w:val="24"/>
                <w:szCs w:val="24"/>
                <w:highlight w:val="none"/>
                <w:lang w:val="en-US" w:eastAsia="zh-CN"/>
              </w:rPr>
              <w:t>4990</w:t>
            </w:r>
            <w:r>
              <w:rPr>
                <w:rFonts w:hint="eastAsia" w:ascii="宋体" w:cs="宋体"/>
                <w:sz w:val="24"/>
                <w:szCs w:val="24"/>
                <w:highlight w:val="none"/>
              </w:rPr>
              <w:t>元</w:t>
            </w:r>
          </w:p>
          <w:p w14:paraId="13BAB3D8">
            <w:pPr>
              <w:spacing w:line="360" w:lineRule="auto"/>
              <w:rPr>
                <w:rFonts w:hint="eastAsia" w:ascii="宋体" w:cs="宋体"/>
                <w:sz w:val="24"/>
                <w:szCs w:val="24"/>
                <w:highlight w:val="none"/>
              </w:rPr>
            </w:pPr>
            <w:r>
              <w:rPr>
                <w:rFonts w:hint="eastAsia" w:ascii="宋体" w:cs="宋体"/>
                <w:sz w:val="24"/>
                <w:szCs w:val="24"/>
                <w:highlight w:val="none"/>
              </w:rPr>
              <w:t>公司名称：乌鲁木齐高新建设工程项目管理咨询有限公司</w:t>
            </w:r>
          </w:p>
          <w:p w14:paraId="6C4D698F">
            <w:pPr>
              <w:spacing w:line="360" w:lineRule="auto"/>
              <w:rPr>
                <w:rFonts w:hint="eastAsia" w:ascii="宋体" w:cs="宋体"/>
                <w:sz w:val="24"/>
                <w:szCs w:val="24"/>
                <w:highlight w:val="none"/>
              </w:rPr>
            </w:pPr>
            <w:r>
              <w:rPr>
                <w:rFonts w:hint="eastAsia" w:ascii="宋体" w:cs="宋体"/>
                <w:sz w:val="24"/>
                <w:szCs w:val="24"/>
                <w:highlight w:val="none"/>
              </w:rPr>
              <w:t>账户：9919 0547 2010 902</w:t>
            </w:r>
          </w:p>
          <w:p w14:paraId="0409EAC6">
            <w:pPr>
              <w:spacing w:line="360" w:lineRule="auto"/>
              <w:rPr>
                <w:rFonts w:hint="eastAsia" w:ascii="宋体" w:cs="宋体"/>
                <w:sz w:val="24"/>
                <w:szCs w:val="24"/>
                <w:highlight w:val="none"/>
              </w:rPr>
            </w:pPr>
            <w:r>
              <w:rPr>
                <w:rFonts w:hint="eastAsia" w:ascii="宋体" w:cs="宋体"/>
                <w:sz w:val="24"/>
                <w:szCs w:val="24"/>
                <w:highlight w:val="none"/>
              </w:rPr>
              <w:t>开户银行及机构：招商银行股份有限公司乌鲁木齐苏州路支行</w:t>
            </w:r>
          </w:p>
          <w:p w14:paraId="15E6A4A7">
            <w:pPr>
              <w:spacing w:line="360" w:lineRule="auto"/>
              <w:rPr>
                <w:rFonts w:hint="eastAsia" w:ascii="宋体" w:cs="宋体"/>
                <w:sz w:val="24"/>
                <w:szCs w:val="24"/>
                <w:highlight w:val="none"/>
              </w:rPr>
            </w:pPr>
            <w:r>
              <w:rPr>
                <w:rFonts w:hint="eastAsia" w:ascii="宋体" w:cs="宋体"/>
                <w:sz w:val="24"/>
                <w:szCs w:val="24"/>
                <w:highlight w:val="none"/>
              </w:rPr>
              <w:t>行号：308881029091</w:t>
            </w:r>
          </w:p>
          <w:p w14:paraId="321E2ECB">
            <w:pPr>
              <w:spacing w:line="360" w:lineRule="auto"/>
              <w:rPr>
                <w:rFonts w:hint="eastAsia" w:ascii="宋体" w:cs="宋体"/>
                <w:sz w:val="24"/>
                <w:szCs w:val="24"/>
                <w:highlight w:val="none"/>
              </w:rPr>
            </w:pPr>
            <w:r>
              <w:rPr>
                <w:rFonts w:hint="eastAsia" w:ascii="宋体" w:cs="宋体"/>
                <w:sz w:val="24"/>
                <w:szCs w:val="24"/>
                <w:highlight w:val="none"/>
              </w:rPr>
              <w:t>1、银行转账形式缴纳，请各参与投标人于投标文件递交截至时之前缴纳并到账，</w:t>
            </w:r>
            <w:r>
              <w:rPr>
                <w:rFonts w:hint="eastAsia" w:ascii="宋体" w:cs="宋体"/>
                <w:b/>
                <w:bCs/>
                <w:sz w:val="24"/>
                <w:szCs w:val="24"/>
                <w:highlight w:val="none"/>
              </w:rPr>
              <w:t>必须从投标人基本账户支出</w:t>
            </w:r>
            <w:r>
              <w:rPr>
                <w:rFonts w:hint="eastAsia" w:ascii="宋体" w:cs="宋体"/>
                <w:sz w:val="24"/>
                <w:szCs w:val="24"/>
                <w:highlight w:val="none"/>
              </w:rPr>
              <w:t>，在汇款凭证上备注栏须注明所投项目名称（若字数超标，可自行简写项目名称），特别提醒保证金转账账户与文件费及代理服务费非同一账户。</w:t>
            </w:r>
          </w:p>
          <w:p w14:paraId="0EEE70C1">
            <w:pPr>
              <w:spacing w:line="360" w:lineRule="auto"/>
              <w:rPr>
                <w:rFonts w:hint="eastAsia" w:ascii="宋体" w:cs="宋体"/>
                <w:sz w:val="24"/>
                <w:szCs w:val="24"/>
                <w:highlight w:val="none"/>
              </w:rPr>
            </w:pPr>
            <w:r>
              <w:rPr>
                <w:rFonts w:hint="eastAsia" w:ascii="宋体" w:cs="宋体"/>
                <w:sz w:val="24"/>
                <w:szCs w:val="24"/>
                <w:highlight w:val="none"/>
              </w:rPr>
              <w:t>2、如采用保函形式缴纳，政采云电子保函须知</w:t>
            </w:r>
          </w:p>
          <w:p w14:paraId="183C801E">
            <w:pPr>
              <w:spacing w:line="360" w:lineRule="auto"/>
              <w:rPr>
                <w:rFonts w:hint="eastAsia" w:ascii="宋体" w:cs="宋体"/>
                <w:sz w:val="24"/>
                <w:szCs w:val="24"/>
                <w:highlight w:val="none"/>
              </w:rPr>
            </w:pPr>
            <w:r>
              <w:rPr>
                <w:rFonts w:hint="eastAsia" w:ascii="宋体" w:cs="宋体"/>
                <w:sz w:val="24"/>
                <w:szCs w:val="24"/>
                <w:highlight w:val="none"/>
              </w:rPr>
              <w:t>2.1政采云电子保函形式缴纳投标保证金，在线完成保函的申请、审核、开票、出函等环节；</w:t>
            </w:r>
          </w:p>
          <w:p w14:paraId="27081BE6">
            <w:pPr>
              <w:spacing w:line="360" w:lineRule="auto"/>
              <w:jc w:val="left"/>
              <w:rPr>
                <w:rFonts w:hint="eastAsia" w:ascii="宋体" w:cs="宋体"/>
                <w:sz w:val="24"/>
                <w:szCs w:val="24"/>
                <w:highlight w:val="none"/>
              </w:rPr>
            </w:pPr>
            <w:r>
              <w:rPr>
                <w:rFonts w:hint="eastAsia" w:ascii="宋体" w:cs="宋体"/>
                <w:sz w:val="24"/>
                <w:szCs w:val="24"/>
                <w:highlight w:val="none"/>
              </w:rPr>
              <w:t>2.2如采用政采云电子保函形式，可按照以下形式进行在线申请，电子保函申请链接（https://jinrong.zcygov.cn/finance/letter/product/detail?id=30&amp;source=41），如遇问题可拨打客服电话：4009039583；</w:t>
            </w:r>
          </w:p>
          <w:p w14:paraId="78165411">
            <w:pPr>
              <w:spacing w:line="360" w:lineRule="auto"/>
              <w:rPr>
                <w:rFonts w:hint="eastAsia" w:ascii="宋体" w:cs="宋体"/>
                <w:sz w:val="24"/>
                <w:szCs w:val="24"/>
                <w:highlight w:val="none"/>
              </w:rPr>
            </w:pPr>
            <w:r>
              <w:rPr>
                <w:rFonts w:hint="eastAsia" w:ascii="宋体" w:cs="宋体"/>
                <w:sz w:val="24"/>
                <w:szCs w:val="24"/>
                <w:highlight w:val="none"/>
              </w:rPr>
              <w:t>2.3将保函制作到电子投标文件即可。</w:t>
            </w:r>
          </w:p>
          <w:p w14:paraId="42F4D5D1">
            <w:pPr>
              <w:spacing w:line="360" w:lineRule="auto"/>
              <w:rPr>
                <w:rFonts w:hint="eastAsia" w:ascii="宋体" w:cs="宋体"/>
                <w:sz w:val="24"/>
                <w:szCs w:val="24"/>
                <w:highlight w:val="none"/>
              </w:rPr>
            </w:pPr>
            <w:r>
              <w:rPr>
                <w:rFonts w:hint="eastAsia" w:ascii="宋体" w:cs="宋体"/>
                <w:sz w:val="24"/>
                <w:szCs w:val="24"/>
                <w:highlight w:val="none"/>
              </w:rPr>
              <w:t>若投标人未按照上述规定缴纳投标保证金，投标文件将被拒绝评审。</w:t>
            </w:r>
          </w:p>
          <w:p w14:paraId="6C807FB6">
            <w:pPr>
              <w:spacing w:line="360" w:lineRule="auto"/>
              <w:rPr>
                <w:rFonts w:hint="eastAsia" w:ascii="宋体" w:cs="宋体"/>
                <w:sz w:val="24"/>
                <w:szCs w:val="24"/>
                <w:highlight w:val="none"/>
              </w:rPr>
            </w:pPr>
            <w:r>
              <w:rPr>
                <w:rFonts w:hint="eastAsia" w:ascii="宋体" w:cs="宋体"/>
                <w:sz w:val="24"/>
                <w:szCs w:val="24"/>
                <w:highlight w:val="none"/>
              </w:rPr>
              <w:t>投标保证金以到账时间为准。</w:t>
            </w:r>
          </w:p>
          <w:p w14:paraId="3B91F980">
            <w:pPr>
              <w:spacing w:line="360" w:lineRule="auto"/>
              <w:rPr>
                <w:rFonts w:ascii="宋体" w:cs="宋体"/>
                <w:sz w:val="24"/>
                <w:szCs w:val="24"/>
                <w:highlight w:val="none"/>
              </w:rPr>
            </w:pPr>
            <w:r>
              <w:rPr>
                <w:rFonts w:hint="eastAsia" w:ascii="宋体" w:cs="宋体"/>
                <w:sz w:val="24"/>
                <w:szCs w:val="24"/>
                <w:highlight w:val="none"/>
              </w:rPr>
              <w:t>投标保证金有效期：投标截止时间后90天。</w:t>
            </w:r>
          </w:p>
        </w:tc>
      </w:tr>
      <w:tr w14:paraId="14F64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02F0A572">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12</w:t>
            </w:r>
          </w:p>
        </w:tc>
        <w:tc>
          <w:tcPr>
            <w:tcW w:w="8376" w:type="dxa"/>
            <w:tcBorders>
              <w:left w:val="single" w:color="auto" w:sz="4" w:space="0"/>
            </w:tcBorders>
            <w:vAlign w:val="center"/>
          </w:tcPr>
          <w:p w14:paraId="6C484D29">
            <w:pPr>
              <w:spacing w:line="360" w:lineRule="auto"/>
              <w:rPr>
                <w:rFonts w:ascii="宋体" w:cs="宋体"/>
                <w:b/>
                <w:color w:val="000000"/>
                <w:sz w:val="24"/>
                <w:szCs w:val="24"/>
                <w:highlight w:val="none"/>
              </w:rPr>
            </w:pPr>
            <w:r>
              <w:rPr>
                <w:rFonts w:hint="eastAsia" w:ascii="宋体" w:hAnsi="宋体" w:cs="宋体"/>
                <w:sz w:val="24"/>
                <w:szCs w:val="24"/>
                <w:highlight w:val="none"/>
              </w:rPr>
              <w:t>投标保证金形式：转账或电汇等其他非现金形式</w:t>
            </w:r>
            <w:r>
              <w:rPr>
                <w:rFonts w:hint="eastAsia" w:ascii="宋体" w:hAnsi="宋体" w:cs="宋体"/>
                <w:b/>
                <w:sz w:val="24"/>
                <w:szCs w:val="24"/>
                <w:highlight w:val="none"/>
              </w:rPr>
              <w:t>，投标保证金缴纳截止时间同投标截止时间。</w:t>
            </w:r>
          </w:p>
          <w:p w14:paraId="52381FCB">
            <w:pPr>
              <w:spacing w:line="360" w:lineRule="auto"/>
              <w:jc w:val="left"/>
              <w:rPr>
                <w:rFonts w:ascii="宋体" w:cs="宋体"/>
                <w:sz w:val="24"/>
                <w:szCs w:val="24"/>
                <w:highlight w:val="none"/>
              </w:rPr>
            </w:pPr>
            <w:r>
              <w:rPr>
                <w:rFonts w:hint="eastAsia" w:ascii="宋体" w:hAnsi="宋体" w:cs="宋体"/>
                <w:sz w:val="24"/>
                <w:szCs w:val="24"/>
                <w:highlight w:val="none"/>
              </w:rPr>
              <w:t>投标保证金有效期与投标有效期一致。</w:t>
            </w:r>
          </w:p>
        </w:tc>
      </w:tr>
      <w:tr w14:paraId="4AB451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1" w:hRule="atLeast"/>
        </w:trPr>
        <w:tc>
          <w:tcPr>
            <w:tcW w:w="1085" w:type="dxa"/>
            <w:tcBorders>
              <w:right w:val="single" w:color="auto" w:sz="4" w:space="0"/>
            </w:tcBorders>
            <w:vAlign w:val="center"/>
          </w:tcPr>
          <w:p w14:paraId="12815102">
            <w:pPr>
              <w:spacing w:line="360" w:lineRule="auto"/>
              <w:jc w:val="center"/>
              <w:rPr>
                <w:rFonts w:hint="default" w:ascii="宋体" w:eastAsia="宋体" w:cs="宋体"/>
                <w:i/>
                <w:sz w:val="24"/>
                <w:szCs w:val="24"/>
                <w:highlight w:val="none"/>
                <w:lang w:val="en-US" w:eastAsia="zh-CN"/>
              </w:rPr>
            </w:pPr>
            <w:r>
              <w:rPr>
                <w:rFonts w:hint="eastAsia" w:ascii="宋体" w:hAnsi="宋体" w:cs="宋体"/>
                <w:sz w:val="24"/>
                <w:szCs w:val="24"/>
                <w:highlight w:val="none"/>
                <w:lang w:val="en-US" w:eastAsia="zh-CN"/>
              </w:rPr>
              <w:t>13</w:t>
            </w:r>
          </w:p>
        </w:tc>
        <w:tc>
          <w:tcPr>
            <w:tcW w:w="8376" w:type="dxa"/>
            <w:tcBorders>
              <w:left w:val="single" w:color="auto" w:sz="4" w:space="0"/>
            </w:tcBorders>
            <w:vAlign w:val="center"/>
          </w:tcPr>
          <w:p w14:paraId="70D1341D">
            <w:pPr>
              <w:spacing w:line="360" w:lineRule="auto"/>
              <w:rPr>
                <w:rFonts w:ascii="宋体" w:cs="宋体"/>
                <w:i/>
                <w:color w:val="000000"/>
                <w:sz w:val="24"/>
                <w:szCs w:val="24"/>
                <w:highlight w:val="none"/>
              </w:rPr>
            </w:pPr>
            <w:r>
              <w:rPr>
                <w:rFonts w:hint="eastAsia" w:ascii="宋体" w:hAnsi="宋体" w:cs="宋体"/>
                <w:color w:val="000000"/>
                <w:sz w:val="24"/>
                <w:szCs w:val="24"/>
                <w:highlight w:val="none"/>
              </w:rPr>
              <w:t>投标有效期：</w:t>
            </w:r>
            <w:r>
              <w:rPr>
                <w:rFonts w:ascii="宋体" w:hAnsi="宋体" w:cs="宋体"/>
                <w:color w:val="000000"/>
                <w:sz w:val="24"/>
                <w:szCs w:val="24"/>
                <w:highlight w:val="none"/>
                <w:u w:val="single"/>
              </w:rPr>
              <w:t>90</w:t>
            </w:r>
            <w:r>
              <w:rPr>
                <w:rFonts w:hint="eastAsia" w:ascii="宋体" w:hAnsi="宋体" w:cs="宋体"/>
                <w:color w:val="000000"/>
                <w:sz w:val="24"/>
                <w:szCs w:val="24"/>
                <w:highlight w:val="none"/>
              </w:rPr>
              <w:t>天</w:t>
            </w:r>
          </w:p>
        </w:tc>
      </w:tr>
      <w:tr w14:paraId="164E17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1858B22F">
            <w:pPr>
              <w:spacing w:line="360" w:lineRule="auto"/>
              <w:jc w:val="center"/>
              <w:rPr>
                <w:rFonts w:hint="default" w:ascii="宋体" w:eastAsia="宋体" w:cs="宋体"/>
                <w:kern w:val="0"/>
                <w:sz w:val="24"/>
                <w:szCs w:val="24"/>
                <w:highlight w:val="none"/>
                <w:lang w:val="en-US" w:eastAsia="zh-CN"/>
              </w:rPr>
            </w:pPr>
            <w:r>
              <w:rPr>
                <w:rFonts w:hint="eastAsia" w:ascii="宋体" w:hAnsi="宋体" w:cs="宋体"/>
                <w:sz w:val="24"/>
                <w:szCs w:val="24"/>
                <w:highlight w:val="none"/>
                <w:lang w:val="en-US" w:eastAsia="zh-CN"/>
              </w:rPr>
              <w:t>14</w:t>
            </w:r>
          </w:p>
        </w:tc>
        <w:tc>
          <w:tcPr>
            <w:tcW w:w="8376" w:type="dxa"/>
            <w:tcBorders>
              <w:left w:val="single" w:color="auto" w:sz="4" w:space="0"/>
            </w:tcBorders>
            <w:vAlign w:val="center"/>
          </w:tcPr>
          <w:p w14:paraId="1F1A520B">
            <w:pPr>
              <w:spacing w:line="360" w:lineRule="auto"/>
              <w:rPr>
                <w:rFonts w:ascii="宋体" w:cs="宋体"/>
                <w:color w:val="000000"/>
                <w:sz w:val="24"/>
                <w:szCs w:val="24"/>
                <w:highlight w:val="none"/>
              </w:rPr>
            </w:pPr>
            <w:r>
              <w:rPr>
                <w:rFonts w:hint="eastAsia" w:ascii="宋体" w:hAnsi="宋体" w:cs="宋体"/>
                <w:sz w:val="24"/>
                <w:szCs w:val="24"/>
                <w:lang w:val="en-US" w:eastAsia="zh-CN"/>
              </w:rPr>
              <w:t>中标人需在中标公告发布后递交纸质版投标文件至代理机构处，</w:t>
            </w:r>
            <w:r>
              <w:rPr>
                <w:rFonts w:hint="eastAsia" w:ascii="宋体" w:hAnsi="宋体" w:cs="宋体"/>
                <w:sz w:val="24"/>
                <w:szCs w:val="24"/>
              </w:rPr>
              <w:t>资格证明材料部分及商务、技术部分（</w:t>
            </w:r>
            <w:r>
              <w:rPr>
                <w:rFonts w:hint="eastAsia" w:ascii="宋体" w:hAnsi="宋体" w:cs="宋体"/>
                <w:b/>
                <w:sz w:val="24"/>
                <w:szCs w:val="24"/>
              </w:rPr>
              <w:t>所有部分胶装成一册</w:t>
            </w:r>
            <w:r>
              <w:rPr>
                <w:rFonts w:hint="eastAsia" w:ascii="宋体" w:hAnsi="宋体" w:cs="宋体"/>
                <w:sz w:val="24"/>
                <w:szCs w:val="24"/>
              </w:rPr>
              <w:t>）正本</w:t>
            </w:r>
            <w:r>
              <w:rPr>
                <w:rFonts w:ascii="宋体" w:hAnsi="宋体" w:cs="宋体"/>
                <w:sz w:val="24"/>
                <w:szCs w:val="24"/>
              </w:rPr>
              <w:t>1</w:t>
            </w:r>
            <w:r>
              <w:rPr>
                <w:rFonts w:hint="eastAsia" w:ascii="宋体" w:hAnsi="宋体" w:cs="宋体"/>
                <w:sz w:val="24"/>
                <w:szCs w:val="24"/>
              </w:rPr>
              <w:t>份，副本</w:t>
            </w:r>
            <w:r>
              <w:rPr>
                <w:rFonts w:hint="eastAsia" w:ascii="宋体" w:hAnsi="宋体" w:cs="宋体"/>
                <w:sz w:val="24"/>
                <w:szCs w:val="24"/>
                <w:lang w:val="en-US" w:eastAsia="zh-CN"/>
              </w:rPr>
              <w:t>2</w:t>
            </w:r>
            <w:r>
              <w:rPr>
                <w:rFonts w:hint="eastAsia" w:ascii="宋体" w:hAnsi="宋体" w:cs="宋体"/>
                <w:sz w:val="24"/>
                <w:szCs w:val="24"/>
              </w:rPr>
              <w:t>份。</w:t>
            </w:r>
          </w:p>
        </w:tc>
      </w:tr>
      <w:tr w14:paraId="3C7A80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vAlign w:val="center"/>
          </w:tcPr>
          <w:p w14:paraId="50697E77">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15</w:t>
            </w:r>
          </w:p>
        </w:tc>
        <w:tc>
          <w:tcPr>
            <w:tcW w:w="8376" w:type="dxa"/>
            <w:tcBorders>
              <w:left w:val="single" w:color="auto" w:sz="4" w:space="0"/>
            </w:tcBorders>
            <w:vAlign w:val="center"/>
          </w:tcPr>
          <w:p w14:paraId="03293236">
            <w:pPr>
              <w:spacing w:line="360" w:lineRule="auto"/>
              <w:rPr>
                <w:rFonts w:ascii="宋体" w:cs="宋体"/>
                <w:color w:val="000000"/>
                <w:sz w:val="24"/>
                <w:szCs w:val="24"/>
                <w:highlight w:val="none"/>
              </w:rPr>
            </w:pPr>
            <w:r>
              <w:rPr>
                <w:rFonts w:hint="eastAsia" w:ascii="宋体" w:hAnsi="宋体" w:cs="宋体"/>
                <w:sz w:val="24"/>
                <w:szCs w:val="24"/>
                <w:lang w:val="en-US" w:eastAsia="zh-CN"/>
              </w:rPr>
              <w:t>中标人的</w:t>
            </w:r>
            <w:r>
              <w:rPr>
                <w:rFonts w:hint="eastAsia" w:ascii="宋体" w:hAnsi="宋体" w:cs="宋体"/>
                <w:color w:val="000000"/>
                <w:sz w:val="24"/>
                <w:szCs w:val="24"/>
                <w:highlight w:val="none"/>
              </w:rPr>
              <w:t>投标文件的正本建议采用双面打印，副本可采用正本的复印件（建议双面复印）。</w:t>
            </w:r>
          </w:p>
        </w:tc>
      </w:tr>
      <w:tr w14:paraId="49F82D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84" w:hRule="atLeast"/>
        </w:trPr>
        <w:tc>
          <w:tcPr>
            <w:tcW w:w="1085" w:type="dxa"/>
            <w:tcBorders>
              <w:right w:val="single" w:color="auto" w:sz="4" w:space="0"/>
            </w:tcBorders>
            <w:vAlign w:val="center"/>
          </w:tcPr>
          <w:p w14:paraId="7C66E608">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16</w:t>
            </w:r>
          </w:p>
        </w:tc>
        <w:tc>
          <w:tcPr>
            <w:tcW w:w="8376" w:type="dxa"/>
            <w:tcBorders>
              <w:left w:val="single" w:color="auto" w:sz="4" w:space="0"/>
            </w:tcBorders>
            <w:vAlign w:val="center"/>
          </w:tcPr>
          <w:p w14:paraId="0EE438FD">
            <w:pPr>
              <w:pStyle w:val="43"/>
              <w:spacing w:before="0" w:beforeAutospacing="0" w:after="0" w:afterAutospacing="0" w:line="360" w:lineRule="auto"/>
              <w:rPr>
                <w:rFonts w:cs="宋体"/>
                <w:kern w:val="2"/>
                <w:highlight w:val="none"/>
              </w:rPr>
            </w:pPr>
            <w:r>
              <w:rPr>
                <w:rFonts w:hint="eastAsia" w:cs="宋体"/>
                <w:kern w:val="2"/>
                <w:highlight w:val="none"/>
              </w:rPr>
              <w:t>投标截止时间：</w:t>
            </w:r>
            <w:r>
              <w:rPr>
                <w:rFonts w:hint="eastAsia" w:cs="宋体"/>
                <w:kern w:val="2"/>
                <w:highlight w:val="none"/>
                <w:lang w:eastAsia="zh-CN"/>
              </w:rPr>
              <w:t>2025年</w:t>
            </w:r>
            <w:r>
              <w:rPr>
                <w:rFonts w:hint="eastAsia" w:cs="宋体"/>
                <w:kern w:val="2"/>
                <w:highlight w:val="none"/>
                <w:lang w:val="en-US" w:eastAsia="zh-CN"/>
              </w:rPr>
              <w:t>05月06日</w:t>
            </w:r>
            <w:r>
              <w:rPr>
                <w:rFonts w:hint="eastAsia" w:cs="宋体"/>
                <w:kern w:val="2"/>
                <w:highlight w:val="none"/>
              </w:rPr>
              <w:t xml:space="preserve"> </w:t>
            </w:r>
            <w:r>
              <w:rPr>
                <w:rFonts w:hint="eastAsia" w:cs="宋体"/>
                <w:kern w:val="2"/>
                <w:highlight w:val="none"/>
                <w:lang w:eastAsia="zh-CN"/>
              </w:rPr>
              <w:t>1</w:t>
            </w:r>
            <w:r>
              <w:rPr>
                <w:rFonts w:hint="eastAsia" w:cs="宋体"/>
                <w:kern w:val="2"/>
                <w:highlight w:val="none"/>
                <w:lang w:val="en-US" w:eastAsia="zh-CN"/>
              </w:rPr>
              <w:t>6</w:t>
            </w:r>
            <w:r>
              <w:rPr>
                <w:rFonts w:hint="eastAsia" w:cs="宋体"/>
                <w:kern w:val="2"/>
                <w:highlight w:val="none"/>
                <w:lang w:eastAsia="zh-CN"/>
              </w:rPr>
              <w:t>:</w:t>
            </w:r>
            <w:r>
              <w:rPr>
                <w:rFonts w:hint="eastAsia" w:cs="宋体"/>
                <w:kern w:val="2"/>
                <w:highlight w:val="none"/>
              </w:rPr>
              <w:t xml:space="preserve"> 00（北京时间）</w:t>
            </w:r>
          </w:p>
          <w:p w14:paraId="05ED5B88">
            <w:pPr>
              <w:pStyle w:val="43"/>
              <w:spacing w:before="0" w:beforeAutospacing="0" w:after="0" w:afterAutospacing="0" w:line="360" w:lineRule="auto"/>
              <w:rPr>
                <w:rFonts w:cs="宋体"/>
                <w:kern w:val="2"/>
                <w:highlight w:val="none"/>
              </w:rPr>
            </w:pPr>
            <w:r>
              <w:rPr>
                <w:rFonts w:hint="eastAsia" w:cs="宋体"/>
                <w:kern w:val="2"/>
                <w:highlight w:val="none"/>
              </w:rPr>
              <w:t>投标文件递交地点：新疆政府采购云平台（https://www.zcygov.cn/）</w:t>
            </w:r>
          </w:p>
        </w:tc>
      </w:tr>
      <w:tr w14:paraId="2BD0E2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1" w:hRule="atLeast"/>
        </w:trPr>
        <w:tc>
          <w:tcPr>
            <w:tcW w:w="1085" w:type="dxa"/>
            <w:tcBorders>
              <w:right w:val="single" w:color="auto" w:sz="4" w:space="0"/>
            </w:tcBorders>
            <w:vAlign w:val="center"/>
          </w:tcPr>
          <w:p w14:paraId="6A38E607">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17</w:t>
            </w:r>
          </w:p>
        </w:tc>
        <w:tc>
          <w:tcPr>
            <w:tcW w:w="8376" w:type="dxa"/>
            <w:tcBorders>
              <w:left w:val="single" w:color="auto" w:sz="4" w:space="0"/>
            </w:tcBorders>
            <w:vAlign w:val="center"/>
          </w:tcPr>
          <w:p w14:paraId="0EDE4F38">
            <w:pPr>
              <w:tabs>
                <w:tab w:val="left" w:pos="720"/>
              </w:tabs>
              <w:spacing w:line="360" w:lineRule="auto"/>
              <w:rPr>
                <w:rFonts w:ascii="宋体" w:cs="宋体"/>
                <w:kern w:val="0"/>
                <w:sz w:val="24"/>
                <w:szCs w:val="24"/>
                <w:highlight w:val="none"/>
              </w:rPr>
            </w:pPr>
            <w:r>
              <w:rPr>
                <w:rFonts w:hint="eastAsia" w:ascii="宋体" w:hAnsi="宋体" w:cs="宋体"/>
                <w:kern w:val="0"/>
                <w:sz w:val="24"/>
                <w:szCs w:val="24"/>
                <w:highlight w:val="none"/>
              </w:rPr>
              <w:t>开标时间：</w:t>
            </w:r>
            <w:r>
              <w:rPr>
                <w:rFonts w:hint="eastAsia" w:ascii="宋体" w:hAnsi="宋体" w:eastAsia="宋体" w:cs="宋体"/>
                <w:kern w:val="2"/>
                <w:sz w:val="24"/>
                <w:szCs w:val="24"/>
                <w:highlight w:val="none"/>
                <w:lang w:val="en-US" w:eastAsia="zh-CN" w:bidi="ar-SA"/>
              </w:rPr>
              <w:t>2025年</w:t>
            </w:r>
            <w:r>
              <w:rPr>
                <w:rFonts w:hint="eastAsia" w:ascii="宋体" w:hAnsi="宋体" w:cs="宋体"/>
                <w:kern w:val="2"/>
                <w:sz w:val="24"/>
                <w:szCs w:val="24"/>
                <w:highlight w:val="none"/>
                <w:lang w:val="en-US" w:eastAsia="zh-CN" w:bidi="ar-SA"/>
              </w:rPr>
              <w:t>05月06日</w:t>
            </w:r>
            <w:r>
              <w:rPr>
                <w:rFonts w:hint="eastAsia" w:ascii="宋体" w:hAnsi="宋体" w:eastAsia="宋体" w:cs="宋体"/>
                <w:kern w:val="2"/>
                <w:sz w:val="24"/>
                <w:szCs w:val="24"/>
                <w:highlight w:val="none"/>
                <w:lang w:val="en-US" w:eastAsia="zh-CN" w:bidi="ar-SA"/>
              </w:rPr>
              <w:t xml:space="preserve"> 16: 00（北京时间）</w:t>
            </w:r>
          </w:p>
          <w:p w14:paraId="5F30FBE7">
            <w:pPr>
              <w:spacing w:line="360" w:lineRule="auto"/>
              <w:rPr>
                <w:rFonts w:ascii="宋体" w:cs="宋体"/>
                <w:kern w:val="0"/>
                <w:sz w:val="24"/>
                <w:szCs w:val="24"/>
                <w:highlight w:val="none"/>
              </w:rPr>
            </w:pPr>
            <w:r>
              <w:rPr>
                <w:rFonts w:hint="eastAsia" w:ascii="宋体" w:hAnsi="宋体" w:cs="宋体"/>
                <w:kern w:val="0"/>
                <w:sz w:val="24"/>
                <w:szCs w:val="24"/>
                <w:highlight w:val="none"/>
              </w:rPr>
              <w:t>开标地点：</w:t>
            </w:r>
            <w:r>
              <w:rPr>
                <w:rFonts w:hint="eastAsia" w:ascii="宋体" w:hAnsi="宋体" w:cs="宋体"/>
                <w:kern w:val="0"/>
                <w:sz w:val="24"/>
                <w:szCs w:val="24"/>
              </w:rPr>
              <w:t>新疆政府采购云平台（https://www.zcygov.cn/）</w:t>
            </w:r>
          </w:p>
        </w:tc>
      </w:tr>
      <w:tr w14:paraId="2347B4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1085" w:type="dxa"/>
            <w:tcBorders>
              <w:right w:val="single" w:color="auto" w:sz="4" w:space="0"/>
            </w:tcBorders>
            <w:vAlign w:val="center"/>
          </w:tcPr>
          <w:p w14:paraId="7C385AE6">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18</w:t>
            </w:r>
          </w:p>
        </w:tc>
        <w:tc>
          <w:tcPr>
            <w:tcW w:w="8376" w:type="dxa"/>
            <w:tcBorders>
              <w:left w:val="single" w:color="auto" w:sz="4" w:space="0"/>
            </w:tcBorders>
            <w:vAlign w:val="center"/>
          </w:tcPr>
          <w:p w14:paraId="21D52A1A">
            <w:pPr>
              <w:spacing w:line="360" w:lineRule="auto"/>
              <w:rPr>
                <w:rFonts w:ascii="宋体" w:cs="宋体"/>
                <w:sz w:val="24"/>
                <w:szCs w:val="24"/>
                <w:highlight w:val="none"/>
              </w:rPr>
            </w:pPr>
            <w:r>
              <w:rPr>
                <w:rFonts w:hint="eastAsia" w:ascii="宋体" w:hAnsi="宋体" w:cs="宋体"/>
                <w:sz w:val="24"/>
                <w:szCs w:val="24"/>
                <w:highlight w:val="none"/>
              </w:rPr>
              <w:t>本项目评标委员会负责确定中标候选人名单（三名），由采购人根据相关法律法规确定中标人。</w:t>
            </w:r>
          </w:p>
        </w:tc>
      </w:tr>
      <w:tr w14:paraId="198505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1085" w:type="dxa"/>
            <w:tcBorders>
              <w:right w:val="single" w:color="auto" w:sz="4" w:space="0"/>
            </w:tcBorders>
            <w:vAlign w:val="center"/>
          </w:tcPr>
          <w:p w14:paraId="1480E3E6">
            <w:pPr>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19</w:t>
            </w:r>
          </w:p>
        </w:tc>
        <w:tc>
          <w:tcPr>
            <w:tcW w:w="8376" w:type="dxa"/>
            <w:tcBorders>
              <w:left w:val="single" w:color="auto" w:sz="4" w:space="0"/>
            </w:tcBorders>
            <w:vAlign w:val="center"/>
          </w:tcPr>
          <w:p w14:paraId="5CB40CFD">
            <w:pPr>
              <w:spacing w:line="360" w:lineRule="auto"/>
              <w:rPr>
                <w:rFonts w:hint="default" w:ascii="宋体" w:eastAsia="宋体" w:cs="宋体"/>
                <w:sz w:val="24"/>
                <w:szCs w:val="24"/>
                <w:highlight w:val="none"/>
                <w:lang w:val="en-US" w:eastAsia="zh-CN"/>
              </w:rPr>
            </w:pPr>
            <w:r>
              <w:rPr>
                <w:rFonts w:hint="eastAsia" w:ascii="宋体" w:hAnsi="宋体" w:cs="宋体"/>
                <w:sz w:val="24"/>
                <w:szCs w:val="24"/>
                <w:highlight w:val="none"/>
              </w:rPr>
              <w:t>本项目评标委员会人数为</w:t>
            </w:r>
            <w:r>
              <w:rPr>
                <w:rFonts w:hint="eastAsia" w:ascii="宋体" w:hAnsi="宋体" w:cs="宋体"/>
                <w:sz w:val="24"/>
                <w:szCs w:val="24"/>
                <w:highlight w:val="none"/>
                <w:u w:val="none"/>
                <w:lang w:val="en-US" w:eastAsia="zh-CN"/>
              </w:rPr>
              <w:t>5人及以上单数组成</w:t>
            </w:r>
          </w:p>
        </w:tc>
      </w:tr>
      <w:tr w14:paraId="326F8E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90" w:hRule="atLeast"/>
        </w:trPr>
        <w:tc>
          <w:tcPr>
            <w:tcW w:w="1085" w:type="dxa"/>
            <w:tcBorders>
              <w:right w:val="single" w:color="auto" w:sz="4" w:space="0"/>
            </w:tcBorders>
            <w:vAlign w:val="center"/>
          </w:tcPr>
          <w:p w14:paraId="4DA8D9F5">
            <w:pPr>
              <w:spacing w:line="360" w:lineRule="auto"/>
              <w:jc w:val="center"/>
              <w:rPr>
                <w:rFonts w:hint="default" w:ascii="宋体" w:eastAsia="宋体" w:cs="宋体"/>
                <w:sz w:val="24"/>
                <w:szCs w:val="24"/>
                <w:highlight w:val="none"/>
                <w:lang w:val="en-US" w:eastAsia="zh-CN"/>
              </w:rPr>
            </w:pPr>
            <w:r>
              <w:rPr>
                <w:rFonts w:hint="eastAsia" w:ascii="宋体" w:hAnsi="宋体" w:cs="宋体"/>
                <w:sz w:val="24"/>
                <w:szCs w:val="24"/>
                <w:highlight w:val="none"/>
                <w:lang w:val="en-US" w:eastAsia="zh-CN"/>
              </w:rPr>
              <w:t>20</w:t>
            </w:r>
          </w:p>
        </w:tc>
        <w:tc>
          <w:tcPr>
            <w:tcW w:w="8376" w:type="dxa"/>
            <w:tcBorders>
              <w:left w:val="single" w:color="auto" w:sz="4" w:space="0"/>
            </w:tcBorders>
            <w:vAlign w:val="center"/>
          </w:tcPr>
          <w:p w14:paraId="6F965ACB">
            <w:pPr>
              <w:spacing w:line="360" w:lineRule="auto"/>
              <w:rPr>
                <w:rFonts w:ascii="宋体" w:cs="宋体"/>
                <w:sz w:val="24"/>
                <w:szCs w:val="24"/>
                <w:highlight w:val="none"/>
              </w:rPr>
            </w:pPr>
            <w:r>
              <w:rPr>
                <w:rFonts w:hint="eastAsia" w:ascii="宋体" w:hAnsi="宋体" w:cs="宋体"/>
                <w:sz w:val="24"/>
                <w:szCs w:val="24"/>
                <w:highlight w:val="none"/>
              </w:rPr>
              <w:t>评标方法：综合评分法</w:t>
            </w:r>
          </w:p>
        </w:tc>
      </w:tr>
      <w:tr w14:paraId="00752B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621" w:hRule="atLeast"/>
        </w:trPr>
        <w:tc>
          <w:tcPr>
            <w:tcW w:w="1085" w:type="dxa"/>
            <w:tcBorders>
              <w:right w:val="single" w:color="auto" w:sz="4" w:space="0"/>
            </w:tcBorders>
            <w:vAlign w:val="center"/>
          </w:tcPr>
          <w:p w14:paraId="6DA127A6">
            <w:pPr>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21</w:t>
            </w:r>
          </w:p>
        </w:tc>
        <w:tc>
          <w:tcPr>
            <w:tcW w:w="8376" w:type="dxa"/>
            <w:tcBorders>
              <w:left w:val="single" w:color="auto" w:sz="4" w:space="0"/>
            </w:tcBorders>
            <w:vAlign w:val="center"/>
          </w:tcPr>
          <w:p w14:paraId="57F9335F">
            <w:pPr>
              <w:spacing w:line="360" w:lineRule="auto"/>
              <w:rPr>
                <w:rFonts w:ascii="宋体" w:hAnsi="宋体" w:cs="宋体"/>
                <w:sz w:val="24"/>
                <w:szCs w:val="24"/>
                <w:highlight w:val="none"/>
              </w:rPr>
            </w:pPr>
            <w:r>
              <w:rPr>
                <w:rFonts w:hint="eastAsia" w:ascii="宋体" w:hAnsi="宋体" w:cs="宋体"/>
                <w:sz w:val="24"/>
                <w:szCs w:val="24"/>
                <w:highlight w:val="none"/>
              </w:rPr>
              <w:t>本次投标最高限价：</w:t>
            </w:r>
            <w:r>
              <w:rPr>
                <w:rFonts w:hint="eastAsia" w:ascii="宋体" w:hAnsi="宋体" w:cs="宋体"/>
                <w:sz w:val="24"/>
                <w:szCs w:val="24"/>
                <w:highlight w:val="none"/>
                <w:lang w:eastAsia="zh-CN"/>
              </w:rPr>
              <w:t>499900</w:t>
            </w:r>
            <w:r>
              <w:rPr>
                <w:rFonts w:hint="eastAsia" w:ascii="宋体" w:hAnsi="宋体" w:cs="宋体"/>
                <w:sz w:val="24"/>
                <w:szCs w:val="24"/>
                <w:highlight w:val="none"/>
              </w:rPr>
              <w:t>元</w:t>
            </w:r>
          </w:p>
        </w:tc>
      </w:tr>
      <w:tr w14:paraId="57E99C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4327" w:hRule="atLeast"/>
        </w:trPr>
        <w:tc>
          <w:tcPr>
            <w:tcW w:w="1085" w:type="dxa"/>
            <w:tcBorders>
              <w:right w:val="single" w:color="auto" w:sz="4" w:space="0"/>
            </w:tcBorders>
            <w:vAlign w:val="center"/>
          </w:tcPr>
          <w:p w14:paraId="630B794B">
            <w:pPr>
              <w:spacing w:line="360" w:lineRule="auto"/>
              <w:jc w:val="center"/>
              <w:rPr>
                <w:rFonts w:ascii="宋体" w:cs="宋体"/>
                <w:sz w:val="24"/>
                <w:szCs w:val="24"/>
                <w:highlight w:val="none"/>
              </w:rPr>
            </w:pPr>
            <w:r>
              <w:rPr>
                <w:rFonts w:hint="eastAsia" w:ascii="宋体" w:hAnsi="宋体" w:cs="宋体"/>
                <w:kern w:val="0"/>
                <w:sz w:val="24"/>
                <w:szCs w:val="24"/>
                <w:highlight w:val="none"/>
              </w:rPr>
              <w:t>同一品牌的规定</w:t>
            </w:r>
          </w:p>
        </w:tc>
        <w:tc>
          <w:tcPr>
            <w:tcW w:w="8376" w:type="dxa"/>
            <w:tcBorders>
              <w:left w:val="single" w:color="auto" w:sz="4" w:space="0"/>
            </w:tcBorders>
            <w:vAlign w:val="center"/>
          </w:tcPr>
          <w:p w14:paraId="3F026819">
            <w:pPr>
              <w:spacing w:line="360" w:lineRule="auto"/>
              <w:rPr>
                <w:rFonts w:hint="eastAsia" w:ascii="宋体" w:hAnsi="宋体" w:cs="宋体"/>
                <w:sz w:val="24"/>
                <w:szCs w:val="24"/>
                <w:highlight w:val="none"/>
              </w:rPr>
            </w:pPr>
            <w:r>
              <w:rPr>
                <w:rFonts w:hint="eastAsia" w:ascii="宋体" w:hAnsi="宋体" w:cs="宋体"/>
                <w:sz w:val="24"/>
                <w:szCs w:val="24"/>
                <w:highlight w:val="none"/>
              </w:rPr>
              <w:t>提供相同品牌产品且通过资格审查、符合性审查的不同投标人参加同一合同项下投标的，按一家投标人计算，评审后得分最高的同品牌投标人获得</w:t>
            </w:r>
            <w:r>
              <w:rPr>
                <w:rFonts w:hint="eastAsia" w:ascii="宋体" w:hAnsi="宋体" w:cs="宋体"/>
                <w:sz w:val="24"/>
                <w:szCs w:val="24"/>
                <w:highlight w:val="none"/>
                <w:lang w:val="en-US" w:eastAsia="zh-CN"/>
              </w:rPr>
              <w:t>中标候选人</w:t>
            </w:r>
            <w:r>
              <w:rPr>
                <w:rFonts w:hint="eastAsia" w:ascii="宋体" w:hAnsi="宋体" w:cs="宋体"/>
                <w:sz w:val="24"/>
                <w:szCs w:val="24"/>
                <w:highlight w:val="none"/>
              </w:rPr>
              <w:t>推荐资格；评审得分相同的，由采购人或者采购人委托评审小组按照招标文件规定的方式确定一个中标人获得</w:t>
            </w:r>
            <w:r>
              <w:rPr>
                <w:rFonts w:hint="eastAsia" w:ascii="宋体" w:hAnsi="宋体" w:cs="宋体"/>
                <w:sz w:val="24"/>
                <w:szCs w:val="24"/>
                <w:highlight w:val="none"/>
                <w:lang w:val="en-US" w:eastAsia="zh-CN"/>
              </w:rPr>
              <w:t>中标候选人</w:t>
            </w:r>
            <w:r>
              <w:rPr>
                <w:rFonts w:hint="eastAsia" w:ascii="宋体" w:hAnsi="宋体" w:cs="宋体"/>
                <w:sz w:val="24"/>
                <w:szCs w:val="24"/>
                <w:highlight w:val="none"/>
              </w:rPr>
              <w:t>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14:paraId="335826E6">
            <w:pPr>
              <w:spacing w:line="360" w:lineRule="auto"/>
              <w:rPr>
                <w:rFonts w:hint="default" w:hAnsi="宋体" w:eastAsia="宋体" w:cs="宋体"/>
                <w:sz w:val="24"/>
                <w:szCs w:val="24"/>
                <w:highlight w:val="none"/>
                <w:lang w:val="en-US" w:eastAsia="zh-CN"/>
              </w:rPr>
            </w:pPr>
            <w:r>
              <w:rPr>
                <w:rFonts w:hint="eastAsia" w:ascii="宋体" w:hAnsi="宋体" w:cs="宋体"/>
                <w:sz w:val="24"/>
                <w:szCs w:val="24"/>
                <w:highlight w:val="none"/>
              </w:rPr>
              <w:t>本项目核心产品为</w:t>
            </w:r>
            <w:r>
              <w:rPr>
                <w:rFonts w:hint="eastAsia" w:ascii="宋体" w:hAnsi="宋体" w:cs="宋体"/>
                <w:sz w:val="24"/>
                <w:szCs w:val="24"/>
                <w:highlight w:val="none"/>
                <w:lang w:eastAsia="zh-CN"/>
              </w:rPr>
              <w:t>：36盘位网络存储服务器</w:t>
            </w:r>
          </w:p>
        </w:tc>
      </w:tr>
      <w:tr w14:paraId="297FD2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9461" w:type="dxa"/>
            <w:gridSpan w:val="2"/>
            <w:vAlign w:val="center"/>
          </w:tcPr>
          <w:p w14:paraId="319C2869">
            <w:pPr>
              <w:spacing w:line="440" w:lineRule="exact"/>
              <w:rPr>
                <w:rFonts w:hint="eastAsia" w:ascii="宋体" w:hAnsi="宋体"/>
                <w:sz w:val="24"/>
                <w:highlight w:val="none"/>
              </w:rPr>
            </w:pPr>
            <w:r>
              <w:rPr>
                <w:rFonts w:hint="eastAsia" w:ascii="宋体" w:hAnsi="宋体"/>
                <w:sz w:val="24"/>
                <w:highlight w:val="none"/>
              </w:rPr>
              <w:t>是否为专门面向中小企业采购：</w:t>
            </w:r>
            <w:r>
              <w:rPr>
                <w:rFonts w:hint="eastAsia" w:ascii="宋体" w:hAnsi="宋体"/>
                <w:sz w:val="24"/>
                <w:highlight w:val="none"/>
                <w:u w:val="single"/>
              </w:rPr>
              <w:t xml:space="preserve"> 否</w:t>
            </w:r>
            <w:r>
              <w:rPr>
                <w:rFonts w:hint="eastAsia" w:ascii="宋体" w:hAnsi="宋体"/>
                <w:sz w:val="24"/>
                <w:highlight w:val="none"/>
                <w:u w:val="single"/>
                <w:lang w:val="en-US" w:eastAsia="zh-CN"/>
              </w:rPr>
              <w:t xml:space="preserve"> </w:t>
            </w:r>
            <w:r>
              <w:rPr>
                <w:rFonts w:hint="eastAsia" w:ascii="宋体" w:hAnsi="宋体"/>
                <w:sz w:val="24"/>
                <w:highlight w:val="none"/>
              </w:rPr>
              <w:t>（是、否）</w:t>
            </w:r>
          </w:p>
          <w:p w14:paraId="5958C668">
            <w:pPr>
              <w:spacing w:line="440" w:lineRule="exact"/>
              <w:rPr>
                <w:rFonts w:hint="eastAsia" w:ascii="宋体" w:hAnsi="宋体" w:cs="宋体"/>
                <w:sz w:val="24"/>
                <w:highlight w:val="none"/>
              </w:rPr>
            </w:pPr>
            <w:r>
              <w:rPr>
                <w:rFonts w:hint="eastAsia" w:ascii="宋体" w:hAnsi="宋体"/>
                <w:sz w:val="24"/>
                <w:highlight w:val="none"/>
              </w:rPr>
              <w:t>潜在投标企业</w:t>
            </w:r>
            <w:r>
              <w:rPr>
                <w:rFonts w:hint="eastAsia" w:ascii="宋体" w:hAnsi="宋体"/>
                <w:sz w:val="24"/>
                <w:highlight w:val="none"/>
                <w:lang w:val="en-US" w:eastAsia="zh-CN"/>
              </w:rPr>
              <w:t>若</w:t>
            </w:r>
            <w:r>
              <w:rPr>
                <w:rFonts w:hint="eastAsia" w:ascii="宋体" w:hAnsi="宋体"/>
                <w:sz w:val="24"/>
                <w:highlight w:val="none"/>
              </w:rPr>
              <w:t>属于中小微企业的，请在投标文件中提供“中小企业声明函”，如果提供虚假的“中小企业声明函”，投标企业将承担由此造成的--切不利后果。</w:t>
            </w:r>
          </w:p>
          <w:p w14:paraId="6BDD1067">
            <w:pPr>
              <w:spacing w:line="360" w:lineRule="auto"/>
              <w:jc w:val="left"/>
              <w:rPr>
                <w:rFonts w:hint="eastAsia" w:ascii="宋体" w:hAnsi="宋体" w:cs="宋体"/>
                <w:sz w:val="24"/>
                <w:highlight w:val="none"/>
              </w:rPr>
            </w:pPr>
            <w:r>
              <w:rPr>
                <w:rFonts w:hint="eastAsia" w:ascii="宋体" w:hAnsi="宋体" w:cs="宋体"/>
                <w:sz w:val="24"/>
                <w:highlight w:val="none"/>
              </w:rPr>
              <w:t>促进中小企业发展政策：根据《政府采购促进中小企业发展管理办法》规定，本项目投标人所投货物全部由小型或微型企业生产的，将评审报价给予10%的扣除。投标人应出具招标文件中要求的《中小企业声明函》，否则评审时不予认可。</w:t>
            </w:r>
          </w:p>
          <w:p w14:paraId="6602352D">
            <w:pPr>
              <w:spacing w:line="360" w:lineRule="auto"/>
              <w:jc w:val="left"/>
              <w:rPr>
                <w:rFonts w:hint="eastAsia" w:ascii="宋体" w:hAnsi="宋体" w:cs="宋体"/>
                <w:sz w:val="24"/>
                <w:highlight w:val="none"/>
              </w:rPr>
            </w:pPr>
            <w:r>
              <w:rPr>
                <w:rFonts w:hint="eastAsia" w:ascii="宋体" w:hAnsi="宋体" w:cs="宋体"/>
                <w:sz w:val="24"/>
                <w:highlight w:val="none"/>
              </w:rPr>
              <w:t>投标人应对提交的中小企业声明函的真实性负责，提交的中小企业声明函不真实的，应承担相应的法律责任。</w:t>
            </w:r>
          </w:p>
          <w:p w14:paraId="63C320A9">
            <w:pPr>
              <w:spacing w:line="360" w:lineRule="auto"/>
              <w:jc w:val="left"/>
              <w:rPr>
                <w:rFonts w:hint="eastAsia" w:ascii="宋体" w:hAnsi="宋体" w:cs="宋体"/>
                <w:sz w:val="24"/>
                <w:highlight w:val="none"/>
              </w:rPr>
            </w:pPr>
            <w:r>
              <w:rPr>
                <w:rFonts w:hint="eastAsia" w:ascii="宋体" w:hAnsi="宋体" w:cs="宋体"/>
                <w:sz w:val="24"/>
                <w:highlight w:val="none"/>
              </w:rPr>
              <w:t>监狱企业扶持政策：投标人如为监狱企业将视同小型或微型企业，将对评审报价给予10%的扣除。投标人为监狱企业的，应提供由省级以上监狱管理局、戒毒管理局（含新疆生产建设兵团）出具的属于监狱企业的证明文件或声明函。投标人应对提交属于监狱企业的证明文件的真实性负责，提交的监狱企业的证明文件不真实的，应承担相应的法律责任。</w:t>
            </w:r>
          </w:p>
          <w:p w14:paraId="306D3353">
            <w:pPr>
              <w:spacing w:line="360" w:lineRule="auto"/>
              <w:jc w:val="left"/>
              <w:rPr>
                <w:rFonts w:hint="eastAsia"/>
              </w:rPr>
            </w:pPr>
            <w:r>
              <w:rPr>
                <w:rFonts w:hint="eastAsia" w:ascii="宋体" w:hAnsi="宋体" w:cs="宋体"/>
                <w:b/>
                <w:bCs/>
                <w:sz w:val="24"/>
                <w:highlight w:val="none"/>
              </w:rPr>
              <w:t>残疾人福利性单位视同小型、微型企业。不重复享受政策。</w:t>
            </w:r>
          </w:p>
        </w:tc>
      </w:tr>
      <w:tr w14:paraId="55F170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9461" w:type="dxa"/>
            <w:gridSpan w:val="2"/>
            <w:vAlign w:val="center"/>
          </w:tcPr>
          <w:p w14:paraId="0B225FE9">
            <w:pPr>
              <w:spacing w:line="440" w:lineRule="exact"/>
              <w:rPr>
                <w:rFonts w:hint="eastAsia" w:ascii="宋体" w:hAnsi="宋体"/>
                <w:sz w:val="24"/>
                <w:highlight w:val="none"/>
              </w:rPr>
            </w:pPr>
            <w:r>
              <w:rPr>
                <w:rFonts w:hint="eastAsia" w:ascii="宋体" w:hAnsi="宋体"/>
                <w:sz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安装调试。</w:t>
            </w:r>
          </w:p>
        </w:tc>
      </w:tr>
      <w:tr w14:paraId="6535DE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9461" w:type="dxa"/>
            <w:gridSpan w:val="2"/>
            <w:vAlign w:val="center"/>
          </w:tcPr>
          <w:p w14:paraId="38B1F5E2">
            <w:pPr>
              <w:spacing w:line="440" w:lineRule="exact"/>
              <w:rPr>
                <w:rFonts w:hint="eastAsia" w:ascii="宋体" w:hAnsi="宋体"/>
                <w:sz w:val="24"/>
                <w:highlight w:val="none"/>
              </w:rPr>
            </w:pPr>
            <w:r>
              <w:rPr>
                <w:rFonts w:hint="eastAsia" w:ascii="宋体" w:hAnsi="宋体"/>
                <w:sz w:val="24"/>
                <w:highlight w:val="none"/>
              </w:rPr>
              <w:t>在评标过程中，评标委员会认为投标人的报价明显低于其他通过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1F1FC7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8917" w:hRule="atLeast"/>
        </w:trPr>
        <w:tc>
          <w:tcPr>
            <w:tcW w:w="9461" w:type="dxa"/>
            <w:gridSpan w:val="2"/>
            <w:vAlign w:val="center"/>
          </w:tcPr>
          <w:p w14:paraId="54E37099">
            <w:pPr>
              <w:spacing w:line="440" w:lineRule="exact"/>
              <w:rPr>
                <w:rFonts w:ascii="宋体" w:hAnsi="宋体"/>
                <w:sz w:val="24"/>
                <w:szCs w:val="24"/>
                <w:highlight w:val="none"/>
              </w:rPr>
            </w:pPr>
            <w:r>
              <w:rPr>
                <w:rFonts w:hint="eastAsia" w:ascii="宋体" w:hAnsi="宋体"/>
                <w:sz w:val="24"/>
                <w:szCs w:val="24"/>
                <w:highlight w:val="none"/>
              </w:rPr>
              <w:t>投标人对政府采购活动事项有疑问的，可以提出询问；</w:t>
            </w:r>
          </w:p>
          <w:p w14:paraId="675663C1">
            <w:pPr>
              <w:spacing w:line="440" w:lineRule="exact"/>
              <w:rPr>
                <w:rFonts w:ascii="宋体" w:hAnsi="宋体"/>
                <w:sz w:val="24"/>
                <w:szCs w:val="24"/>
                <w:highlight w:val="none"/>
              </w:rPr>
            </w:pPr>
            <w:r>
              <w:rPr>
                <w:rFonts w:hint="eastAsia" w:ascii="宋体" w:hAnsi="宋体"/>
                <w:sz w:val="24"/>
                <w:szCs w:val="24"/>
                <w:highlight w:val="none"/>
              </w:rPr>
              <w:t>投标人认为采购文件、采购过程、中标或者成交结果使自己的权益受到损害的，可以在知道或者应知权益受到损害之日起7个工作日内，提出质疑。</w:t>
            </w:r>
          </w:p>
          <w:p w14:paraId="264C784E">
            <w:pPr>
              <w:spacing w:line="440" w:lineRule="exact"/>
              <w:rPr>
                <w:rFonts w:ascii="宋体" w:hAnsi="宋体"/>
                <w:sz w:val="24"/>
                <w:szCs w:val="24"/>
                <w:highlight w:val="none"/>
              </w:rPr>
            </w:pPr>
            <w:r>
              <w:rPr>
                <w:rFonts w:hint="eastAsia" w:ascii="宋体" w:hAnsi="宋体"/>
                <w:sz w:val="24"/>
                <w:szCs w:val="24"/>
                <w:highlight w:val="none"/>
              </w:rPr>
              <w:t>1、接收质疑函的方式：投标人应提交书面质疑函，投标人应在法定质疑期内一次性提出针对同一采购程序环节的质疑。</w:t>
            </w:r>
          </w:p>
          <w:p w14:paraId="069FCD51">
            <w:pPr>
              <w:spacing w:line="440" w:lineRule="exact"/>
              <w:rPr>
                <w:rFonts w:ascii="宋体" w:hAnsi="宋体"/>
                <w:sz w:val="24"/>
                <w:szCs w:val="24"/>
                <w:highlight w:val="none"/>
              </w:rPr>
            </w:pPr>
            <w:r>
              <w:rPr>
                <w:rFonts w:hint="eastAsia" w:ascii="宋体" w:hAnsi="宋体"/>
                <w:sz w:val="24"/>
                <w:szCs w:val="24"/>
                <w:highlight w:val="none"/>
              </w:rPr>
              <w:t>2、投标人提出质疑应当提交质疑函和必要的证明材料。质疑函应当包括下列内容：</w:t>
            </w:r>
          </w:p>
          <w:p w14:paraId="66353755">
            <w:pPr>
              <w:spacing w:line="440" w:lineRule="exact"/>
              <w:ind w:left="424" w:leftChars="202"/>
              <w:rPr>
                <w:rFonts w:ascii="宋体" w:hAnsi="宋体"/>
                <w:sz w:val="24"/>
                <w:szCs w:val="24"/>
                <w:highlight w:val="none"/>
              </w:rPr>
            </w:pPr>
            <w:r>
              <w:rPr>
                <w:rFonts w:hint="eastAsia" w:ascii="宋体" w:hAnsi="宋体"/>
                <w:sz w:val="24"/>
                <w:szCs w:val="24"/>
                <w:highlight w:val="none"/>
              </w:rPr>
              <w:t>2.1投标人的姓名或者名称、地址、邮编、联系人及联系电话；</w:t>
            </w:r>
          </w:p>
          <w:p w14:paraId="3B7EA094">
            <w:pPr>
              <w:spacing w:line="440" w:lineRule="exact"/>
              <w:ind w:left="424" w:leftChars="202"/>
              <w:rPr>
                <w:rFonts w:ascii="宋体" w:hAnsi="宋体"/>
                <w:sz w:val="24"/>
                <w:szCs w:val="24"/>
                <w:highlight w:val="none"/>
              </w:rPr>
            </w:pPr>
            <w:r>
              <w:rPr>
                <w:rFonts w:hint="eastAsia" w:ascii="宋体" w:hAnsi="宋体"/>
                <w:sz w:val="24"/>
                <w:szCs w:val="24"/>
                <w:highlight w:val="none"/>
              </w:rPr>
              <w:t>2.2质疑项目的名称、编号；</w:t>
            </w:r>
          </w:p>
          <w:p w14:paraId="2BD924F2">
            <w:pPr>
              <w:spacing w:line="440" w:lineRule="exact"/>
              <w:ind w:left="424" w:leftChars="202"/>
              <w:rPr>
                <w:rFonts w:ascii="宋体" w:hAnsi="宋体"/>
                <w:sz w:val="24"/>
                <w:szCs w:val="24"/>
                <w:highlight w:val="none"/>
              </w:rPr>
            </w:pPr>
            <w:r>
              <w:rPr>
                <w:rFonts w:hint="eastAsia" w:ascii="宋体" w:hAnsi="宋体"/>
                <w:sz w:val="24"/>
                <w:szCs w:val="24"/>
                <w:highlight w:val="none"/>
              </w:rPr>
              <w:t>2.3具体、明确的质疑事项和与质疑事项相关的请求；</w:t>
            </w:r>
          </w:p>
          <w:p w14:paraId="52B2097D">
            <w:pPr>
              <w:spacing w:line="440" w:lineRule="exact"/>
              <w:ind w:left="424" w:leftChars="202"/>
              <w:rPr>
                <w:rFonts w:ascii="宋体" w:hAnsi="宋体"/>
                <w:sz w:val="24"/>
                <w:szCs w:val="24"/>
                <w:highlight w:val="none"/>
              </w:rPr>
            </w:pPr>
            <w:r>
              <w:rPr>
                <w:rFonts w:hint="eastAsia" w:ascii="宋体" w:hAnsi="宋体"/>
                <w:sz w:val="24"/>
                <w:szCs w:val="24"/>
                <w:highlight w:val="none"/>
              </w:rPr>
              <w:t>2.4事实依据；</w:t>
            </w:r>
          </w:p>
          <w:p w14:paraId="4C6DA4B2">
            <w:pPr>
              <w:spacing w:line="440" w:lineRule="exact"/>
              <w:ind w:left="424" w:leftChars="202"/>
              <w:rPr>
                <w:rFonts w:ascii="宋体" w:hAnsi="宋体"/>
                <w:sz w:val="24"/>
                <w:szCs w:val="24"/>
                <w:highlight w:val="none"/>
              </w:rPr>
            </w:pPr>
            <w:r>
              <w:rPr>
                <w:rFonts w:hint="eastAsia" w:ascii="宋体" w:hAnsi="宋体"/>
                <w:sz w:val="24"/>
                <w:szCs w:val="24"/>
                <w:highlight w:val="none"/>
              </w:rPr>
              <w:t>2.5必要的法律依据；</w:t>
            </w:r>
          </w:p>
          <w:p w14:paraId="3BE13CCA">
            <w:pPr>
              <w:spacing w:line="440" w:lineRule="exact"/>
              <w:ind w:left="424" w:leftChars="202"/>
              <w:rPr>
                <w:rFonts w:ascii="宋体" w:hAnsi="宋体"/>
                <w:sz w:val="24"/>
                <w:szCs w:val="24"/>
                <w:highlight w:val="none"/>
              </w:rPr>
            </w:pPr>
            <w:r>
              <w:rPr>
                <w:rFonts w:hint="eastAsia" w:ascii="宋体" w:hAnsi="宋体"/>
                <w:sz w:val="24"/>
                <w:szCs w:val="24"/>
                <w:highlight w:val="none"/>
              </w:rPr>
              <w:t>2.6提出质疑的日期。</w:t>
            </w:r>
          </w:p>
          <w:p w14:paraId="4D58BC24">
            <w:pPr>
              <w:spacing w:line="440" w:lineRule="exact"/>
              <w:rPr>
                <w:rFonts w:ascii="宋体" w:hAnsi="宋体"/>
                <w:sz w:val="24"/>
                <w:szCs w:val="24"/>
                <w:highlight w:val="none"/>
              </w:rPr>
            </w:pPr>
            <w:r>
              <w:rPr>
                <w:rFonts w:hint="eastAsia" w:ascii="宋体" w:hAnsi="宋体"/>
                <w:sz w:val="24"/>
                <w:szCs w:val="24"/>
                <w:highlight w:val="none"/>
              </w:rPr>
              <w:t>投标人为自然人的，质疑函应当由本人签字；投标人为法人或者其他组织的，质疑函应当由法定代表人、主要负责人，或者其授权代表签字或者盖章，并加盖公章。</w:t>
            </w:r>
          </w:p>
          <w:p w14:paraId="6BEB3D64">
            <w:pPr>
              <w:spacing w:line="440" w:lineRule="exact"/>
              <w:rPr>
                <w:rFonts w:ascii="宋体" w:hAnsi="宋体"/>
                <w:sz w:val="24"/>
                <w:szCs w:val="24"/>
                <w:highlight w:val="none"/>
              </w:rPr>
            </w:pPr>
            <w:r>
              <w:rPr>
                <w:rFonts w:hint="eastAsia" w:ascii="宋体" w:hAnsi="宋体"/>
                <w:sz w:val="24"/>
                <w:szCs w:val="24"/>
                <w:highlight w:val="none"/>
              </w:rPr>
              <w:t>投标人委托代理人递交质疑函的，应提供法定代表人授权委托书和代理人身份证复印件。授权委托书应当载明代理人的姓名、授权事项、具体权限、期限和相关事项。投标人为自然人的，授权委托书应当由本人签字；投标人为法人或者其他组织的，授权委托书应当由法定代表人、主要负责人签字或者盖章，并加盖公章。</w:t>
            </w:r>
          </w:p>
          <w:p w14:paraId="37C8C389">
            <w:pPr>
              <w:spacing w:line="440" w:lineRule="exact"/>
              <w:rPr>
                <w:rFonts w:ascii="宋体" w:hAnsi="宋体"/>
                <w:sz w:val="24"/>
                <w:highlight w:val="none"/>
              </w:rPr>
            </w:pPr>
            <w:r>
              <w:rPr>
                <w:rFonts w:hint="eastAsia" w:ascii="宋体" w:hAnsi="宋体"/>
                <w:sz w:val="24"/>
                <w:highlight w:val="none"/>
              </w:rPr>
              <w:t>3、联系人：</w:t>
            </w:r>
          </w:p>
          <w:p w14:paraId="258BA7DD">
            <w:pPr>
              <w:spacing w:line="440" w:lineRule="exact"/>
              <w:rPr>
                <w:rFonts w:ascii="宋体" w:hAnsi="宋体" w:cs="宋体"/>
                <w:kern w:val="0"/>
                <w:sz w:val="24"/>
                <w:highlight w:val="none"/>
              </w:rPr>
            </w:pPr>
            <w:r>
              <w:rPr>
                <w:rFonts w:hint="eastAsia" w:ascii="宋体" w:hAnsi="宋体"/>
                <w:sz w:val="24"/>
                <w:highlight w:val="none"/>
              </w:rPr>
              <w:t>4、联系电话：</w:t>
            </w:r>
          </w:p>
        </w:tc>
      </w:tr>
      <w:tr w14:paraId="31407B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703" w:hRule="atLeast"/>
        </w:trPr>
        <w:tc>
          <w:tcPr>
            <w:tcW w:w="9461" w:type="dxa"/>
            <w:gridSpan w:val="2"/>
            <w:vAlign w:val="center"/>
          </w:tcPr>
          <w:p w14:paraId="45D02003">
            <w:pPr>
              <w:spacing w:line="360" w:lineRule="auto"/>
              <w:jc w:val="center"/>
              <w:rPr>
                <w:rFonts w:ascii="宋体" w:cs="宋体"/>
                <w:b/>
                <w:sz w:val="24"/>
                <w:szCs w:val="24"/>
                <w:highlight w:val="none"/>
              </w:rPr>
            </w:pPr>
            <w:r>
              <w:rPr>
                <w:rFonts w:hint="eastAsia" w:ascii="宋体" w:hAnsi="宋体" w:cs="宋体"/>
                <w:b/>
                <w:sz w:val="24"/>
                <w:szCs w:val="24"/>
                <w:highlight w:val="none"/>
              </w:rPr>
              <w:t>其它</w:t>
            </w:r>
          </w:p>
        </w:tc>
      </w:tr>
      <w:tr w14:paraId="707E00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4930" w:hRule="atLeast"/>
        </w:trPr>
        <w:tc>
          <w:tcPr>
            <w:tcW w:w="9461" w:type="dxa"/>
            <w:gridSpan w:val="2"/>
            <w:vAlign w:val="center"/>
          </w:tcPr>
          <w:p w14:paraId="6B106075">
            <w:pPr>
              <w:spacing w:line="440" w:lineRule="exact"/>
              <w:rPr>
                <w:rFonts w:hint="eastAsia" w:ascii="宋体" w:hAnsi="宋体"/>
                <w:sz w:val="24"/>
                <w:szCs w:val="24"/>
                <w:highlight w:val="none"/>
              </w:rPr>
            </w:pPr>
            <w:r>
              <w:rPr>
                <w:rFonts w:hint="eastAsia" w:ascii="宋体" w:hAnsi="宋体"/>
                <w:sz w:val="24"/>
                <w:szCs w:val="24"/>
                <w:highlight w:val="none"/>
              </w:rPr>
              <w:t>1.招标文件中要求提供的资格证明材料等，均为企业法人提供，投标人如为事业单位法人、其他组织或者自然人，可提供符合要求的相对应的证明文件。</w:t>
            </w:r>
          </w:p>
          <w:p w14:paraId="554E48F1">
            <w:pPr>
              <w:spacing w:line="440" w:lineRule="exact"/>
              <w:rPr>
                <w:rFonts w:hint="eastAsia" w:ascii="宋体" w:hAnsi="宋体"/>
                <w:sz w:val="24"/>
                <w:szCs w:val="24"/>
                <w:highlight w:val="none"/>
              </w:rPr>
            </w:pPr>
            <w:r>
              <w:rPr>
                <w:rFonts w:hint="eastAsia" w:ascii="宋体" w:hAnsi="宋体"/>
                <w:sz w:val="24"/>
                <w:szCs w:val="24"/>
                <w:highlight w:val="none"/>
              </w:rPr>
              <w:t>2.招标文件中要求加盖单位公章的，投标人如为自然人，自然人本人签字即可。</w:t>
            </w:r>
          </w:p>
          <w:p w14:paraId="0707016D">
            <w:pPr>
              <w:spacing w:line="440" w:lineRule="exact"/>
              <w:rPr>
                <w:rFonts w:hint="eastAsia" w:ascii="宋体" w:hAnsi="宋体"/>
                <w:sz w:val="24"/>
                <w:szCs w:val="24"/>
                <w:highlight w:val="none"/>
              </w:rPr>
            </w:pPr>
            <w:r>
              <w:rPr>
                <w:rFonts w:hint="eastAsia" w:ascii="宋体" w:hAnsi="宋体"/>
                <w:sz w:val="24"/>
                <w:szCs w:val="24"/>
                <w:highlight w:val="none"/>
              </w:rPr>
              <w:t>3.采购人不接受投标人给予的赠品、回扣或者与采购无关的其他商品、服务。</w:t>
            </w:r>
          </w:p>
          <w:p w14:paraId="5762523E">
            <w:pPr>
              <w:spacing w:line="440" w:lineRule="exact"/>
              <w:rPr>
                <w:rFonts w:hint="eastAsia" w:ascii="宋体" w:hAnsi="宋体"/>
                <w:b w:val="0"/>
                <w:bCs w:val="0"/>
                <w:sz w:val="24"/>
                <w:szCs w:val="24"/>
                <w:highlight w:val="none"/>
                <w:u w:val="single"/>
                <w:lang w:val="en-US" w:eastAsia="zh-CN"/>
              </w:rPr>
            </w:pPr>
            <w:r>
              <w:rPr>
                <w:rFonts w:hint="eastAsia" w:ascii="宋体" w:hAnsi="宋体"/>
                <w:b w:val="0"/>
                <w:bCs w:val="0"/>
                <w:sz w:val="24"/>
                <w:szCs w:val="24"/>
                <w:highlight w:val="none"/>
                <w:lang w:val="en-US" w:eastAsia="zh-CN"/>
              </w:rPr>
              <w:t>4.本项目所属行业：</w:t>
            </w:r>
            <w:r>
              <w:rPr>
                <w:rFonts w:hint="eastAsia" w:ascii="宋体" w:hAnsi="宋体"/>
                <w:b w:val="0"/>
                <w:bCs w:val="0"/>
                <w:sz w:val="24"/>
                <w:szCs w:val="24"/>
                <w:highlight w:val="none"/>
                <w:u w:val="single"/>
                <w:lang w:val="en-US" w:eastAsia="zh-CN"/>
              </w:rPr>
              <w:t>工业（制造业）；</w:t>
            </w:r>
          </w:p>
          <w:p w14:paraId="0AA926D8">
            <w:pPr>
              <w:spacing w:line="440" w:lineRule="exact"/>
              <w:rPr>
                <w:rFonts w:hint="default" w:ascii="宋体" w:hAnsi="宋体"/>
                <w:b/>
                <w:bCs/>
                <w:sz w:val="24"/>
                <w:szCs w:val="24"/>
                <w:highlight w:val="none"/>
                <w:lang w:val="en-US" w:eastAsia="zh-CN"/>
              </w:rPr>
            </w:pPr>
            <w:r>
              <w:rPr>
                <w:rFonts w:hint="eastAsia" w:ascii="宋体" w:hAnsi="宋体"/>
                <w:b/>
                <w:bCs/>
                <w:sz w:val="24"/>
                <w:szCs w:val="24"/>
                <w:highlight w:val="none"/>
                <w:lang w:val="en-US" w:eastAsia="zh-CN"/>
              </w:rPr>
              <w:t>5.备注：因投标人自身原因导致解密失败的，将导致其投标被拒绝且投标文件被退回；但因网上招标系统故障导致所有投标人均解密失败时，使用投标人未加密的电子投标文件进行开评标或者相应的延长项目的解密时间。未发送未加密电子投标文件导致解密失败的，由投标人自行承担责任，将被视为无效投标，默认解密时长为：30 分钟。</w:t>
            </w:r>
          </w:p>
          <w:p w14:paraId="64ABACD1">
            <w:pPr>
              <w:spacing w:line="440" w:lineRule="exact"/>
              <w:rPr>
                <w:rFonts w:hint="eastAsia" w:ascii="宋体" w:hAnsi="宋体"/>
                <w:b/>
                <w:bCs/>
                <w:sz w:val="24"/>
                <w:szCs w:val="24"/>
                <w:highlight w:val="none"/>
                <w:lang w:val="en-US" w:eastAsia="zh-CN"/>
              </w:rPr>
            </w:pPr>
            <w:r>
              <w:rPr>
                <w:rFonts w:hint="eastAsia" w:ascii="宋体" w:hAnsi="宋体"/>
                <w:b/>
                <w:bCs/>
                <w:sz w:val="24"/>
                <w:szCs w:val="24"/>
                <w:highlight w:val="none"/>
                <w:lang w:val="en-US" w:eastAsia="zh-CN"/>
              </w:rPr>
              <w:t>6.若潜在供应商属于中小微企业的，请在响应文件中提供“中小企业声明函”。</w:t>
            </w:r>
          </w:p>
          <w:p w14:paraId="0D8C1F15">
            <w:pPr>
              <w:pStyle w:val="57"/>
              <w:rPr>
                <w:rFonts w:hint="default"/>
                <w:lang w:val="en-US"/>
              </w:rPr>
            </w:pPr>
            <w:r>
              <w:rPr>
                <w:rFonts w:hint="eastAsia" w:ascii="宋体" w:hAnsi="宋体"/>
                <w:b/>
                <w:bCs/>
                <w:color w:val="auto"/>
                <w:sz w:val="24"/>
                <w:szCs w:val="24"/>
                <w:highlight w:val="none"/>
                <w:lang w:val="en-US" w:eastAsia="zh-CN"/>
              </w:rPr>
              <w:t>7.是否接收联合体参与投标及项目合同</w:t>
            </w:r>
            <w:r>
              <w:rPr>
                <w:rFonts w:hint="eastAsia" w:hAnsi="宋体"/>
                <w:b/>
                <w:bCs/>
                <w:color w:val="auto"/>
                <w:sz w:val="24"/>
                <w:szCs w:val="24"/>
                <w:highlight w:val="none"/>
                <w:lang w:val="en-US" w:eastAsia="zh-CN"/>
              </w:rPr>
              <w:t>分包</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u w:val="single"/>
                <w:lang w:val="en-US" w:eastAsia="zh-CN"/>
              </w:rPr>
              <w:t xml:space="preserve">否 </w:t>
            </w:r>
            <w:r>
              <w:rPr>
                <w:rFonts w:hint="eastAsia" w:ascii="宋体" w:hAnsi="宋体"/>
                <w:b/>
                <w:bCs/>
                <w:color w:val="auto"/>
                <w:sz w:val="24"/>
                <w:szCs w:val="24"/>
                <w:highlight w:val="none"/>
                <w:lang w:val="en-US" w:eastAsia="zh-CN"/>
              </w:rPr>
              <w:t>（是、否）</w:t>
            </w:r>
          </w:p>
        </w:tc>
      </w:tr>
      <w:tr w14:paraId="01D88B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1359" w:hRule="atLeast"/>
        </w:trPr>
        <w:tc>
          <w:tcPr>
            <w:tcW w:w="9461" w:type="dxa"/>
            <w:gridSpan w:val="2"/>
            <w:vAlign w:val="center"/>
          </w:tcPr>
          <w:p w14:paraId="7360D084">
            <w:pPr>
              <w:spacing w:line="440" w:lineRule="exact"/>
              <w:rPr>
                <w:rFonts w:hint="eastAsia" w:ascii="宋体" w:hAnsi="宋体"/>
                <w:sz w:val="24"/>
                <w:highlight w:val="none"/>
              </w:rPr>
            </w:pPr>
            <w:r>
              <w:rPr>
                <w:rFonts w:hint="eastAsia" w:ascii="宋体" w:hAnsi="宋体"/>
                <w:sz w:val="24"/>
                <w:highlight w:val="none"/>
              </w:rPr>
              <w:t>是否为</w:t>
            </w:r>
            <w:r>
              <w:rPr>
                <w:rFonts w:hint="eastAsia" w:ascii="宋体" w:hAnsi="宋体"/>
                <w:sz w:val="24"/>
                <w:highlight w:val="none"/>
                <w:lang w:val="en-US" w:eastAsia="zh-CN"/>
              </w:rPr>
              <w:t>提供样品</w:t>
            </w:r>
            <w:r>
              <w:rPr>
                <w:rFonts w:hint="eastAsia" w:ascii="宋体" w:hAnsi="宋体"/>
                <w:sz w:val="24"/>
                <w:highlight w:val="none"/>
              </w:rPr>
              <w:t>：</w:t>
            </w:r>
            <w:r>
              <w:rPr>
                <w:rFonts w:hint="eastAsia" w:ascii="宋体" w:hAnsi="宋体"/>
                <w:sz w:val="24"/>
                <w:highlight w:val="none"/>
                <w:u w:val="single"/>
              </w:rPr>
              <w:t xml:space="preserve"> 否</w:t>
            </w:r>
            <w:r>
              <w:rPr>
                <w:rFonts w:hint="eastAsia" w:ascii="宋体" w:hAnsi="宋体"/>
                <w:sz w:val="24"/>
                <w:highlight w:val="none"/>
                <w:u w:val="single"/>
                <w:lang w:val="en-US" w:eastAsia="zh-CN"/>
              </w:rPr>
              <w:t xml:space="preserve"> </w:t>
            </w:r>
            <w:r>
              <w:rPr>
                <w:rFonts w:hint="eastAsia" w:ascii="宋体" w:hAnsi="宋体"/>
                <w:sz w:val="24"/>
                <w:highlight w:val="none"/>
              </w:rPr>
              <w:t>（是、否）</w:t>
            </w:r>
          </w:p>
          <w:p w14:paraId="55E93BC1">
            <w:pPr>
              <w:pStyle w:val="267"/>
              <w:rPr>
                <w:rFonts w:hint="default" w:eastAsia="宋体"/>
                <w:b/>
                <w:bCs/>
                <w:highlight w:val="none"/>
                <w:lang w:val="en-US" w:eastAsia="zh-CN"/>
              </w:rPr>
            </w:pPr>
            <w:r>
              <w:rPr>
                <w:rFonts w:hint="eastAsia" w:ascii="宋体" w:hAnsi="宋体"/>
                <w:b/>
                <w:bCs/>
                <w:sz w:val="24"/>
                <w:highlight w:val="none"/>
                <w:lang w:val="en-US" w:eastAsia="zh-CN"/>
              </w:rPr>
              <w:t>样品为：/。</w:t>
            </w:r>
          </w:p>
          <w:p w14:paraId="531136F9">
            <w:pPr>
              <w:spacing w:line="440" w:lineRule="exact"/>
              <w:rPr>
                <w:rFonts w:hint="eastAsia" w:ascii="宋体" w:hAnsi="宋体" w:cs="宋体"/>
                <w:b/>
                <w:bCs/>
                <w:kern w:val="2"/>
                <w:sz w:val="24"/>
                <w:highlight w:val="none"/>
                <w:lang w:val="en-US" w:eastAsia="zh-CN" w:bidi="ar-SA"/>
              </w:rPr>
            </w:pPr>
            <w:r>
              <w:rPr>
                <w:rFonts w:hint="eastAsia" w:ascii="宋体" w:hAnsi="宋体"/>
                <w:b/>
                <w:bCs/>
                <w:sz w:val="24"/>
                <w:szCs w:val="24"/>
                <w:highlight w:val="none"/>
                <w:lang w:val="en-US" w:eastAsia="zh-CN"/>
              </w:rPr>
              <w:t>各</w:t>
            </w:r>
            <w:r>
              <w:rPr>
                <w:rFonts w:hint="eastAsia" w:ascii="宋体" w:hAnsi="宋体" w:cs="宋体"/>
                <w:b/>
                <w:bCs/>
                <w:kern w:val="2"/>
                <w:sz w:val="24"/>
                <w:highlight w:val="none"/>
                <w:lang w:val="en-US" w:eastAsia="zh-CN" w:bidi="ar-SA"/>
              </w:rPr>
              <w:t>投标人</w:t>
            </w:r>
            <w:r>
              <w:rPr>
                <w:rFonts w:hint="default" w:ascii="宋体" w:hAnsi="宋体" w:eastAsia="宋体" w:cs="宋体"/>
                <w:b/>
                <w:bCs/>
                <w:kern w:val="2"/>
                <w:sz w:val="24"/>
                <w:highlight w:val="none"/>
                <w:lang w:val="en-US" w:eastAsia="zh-CN" w:bidi="ar-SA"/>
              </w:rPr>
              <w:t>提供</w:t>
            </w:r>
            <w:r>
              <w:rPr>
                <w:rFonts w:hint="eastAsia" w:ascii="宋体" w:hAnsi="宋体" w:eastAsia="宋体" w:cs="宋体"/>
                <w:b/>
                <w:bCs/>
                <w:kern w:val="2"/>
                <w:sz w:val="24"/>
                <w:highlight w:val="none"/>
                <w:lang w:val="en-US" w:eastAsia="zh-CN" w:bidi="ar-SA"/>
              </w:rPr>
              <w:t>的</w:t>
            </w:r>
            <w:r>
              <w:rPr>
                <w:rFonts w:hint="default" w:ascii="宋体" w:hAnsi="宋体" w:eastAsia="宋体" w:cs="宋体"/>
                <w:b/>
                <w:bCs/>
                <w:kern w:val="2"/>
                <w:sz w:val="24"/>
                <w:highlight w:val="none"/>
                <w:lang w:val="en-US" w:eastAsia="zh-CN" w:bidi="ar-SA"/>
              </w:rPr>
              <w:t>样品实物</w:t>
            </w:r>
            <w:r>
              <w:rPr>
                <w:rFonts w:hint="eastAsia" w:ascii="宋体" w:hAnsi="宋体" w:eastAsia="宋体" w:cs="宋体"/>
                <w:b/>
                <w:bCs/>
                <w:kern w:val="2"/>
                <w:sz w:val="24"/>
                <w:highlight w:val="none"/>
                <w:lang w:val="en-US" w:eastAsia="zh-CN" w:bidi="ar-SA"/>
              </w:rPr>
              <w:t>需在投标文件递交截止时间之前送至新疆乌鲁木齐高新区（新市区)四平路2288号创新广场(二期)G座</w:t>
            </w:r>
            <w:r>
              <w:rPr>
                <w:rFonts w:hint="eastAsia" w:ascii="宋体" w:hAnsi="宋体" w:cs="宋体"/>
                <w:b/>
                <w:bCs/>
                <w:kern w:val="2"/>
                <w:sz w:val="24"/>
                <w:highlight w:val="none"/>
                <w:lang w:val="en-US" w:eastAsia="zh-CN" w:bidi="ar-SA"/>
              </w:rPr>
              <w:t>。</w:t>
            </w:r>
          </w:p>
          <w:p w14:paraId="707927AB">
            <w:pPr>
              <w:spacing w:line="440" w:lineRule="exact"/>
              <w:rPr>
                <w:rFonts w:hint="default" w:ascii="宋体" w:hAnsi="宋体" w:eastAsia="宋体" w:cs="宋体"/>
                <w:b/>
                <w:bCs/>
                <w:kern w:val="2"/>
                <w:sz w:val="24"/>
                <w:highlight w:val="none"/>
                <w:lang w:val="en-US" w:eastAsia="zh-CN" w:bidi="ar-SA"/>
              </w:rPr>
            </w:pPr>
            <w:r>
              <w:rPr>
                <w:rFonts w:hint="eastAsia" w:ascii="宋体" w:hAnsi="宋体" w:cs="宋体"/>
                <w:b/>
                <w:bCs/>
                <w:kern w:val="2"/>
                <w:sz w:val="24"/>
                <w:highlight w:val="none"/>
                <w:lang w:val="en-US" w:eastAsia="zh-CN" w:bidi="ar-SA"/>
              </w:rPr>
              <w:t>样品摆放请电联：0991-6600851、18999129006</w:t>
            </w:r>
          </w:p>
          <w:p w14:paraId="236C354B">
            <w:pPr>
              <w:spacing w:line="440" w:lineRule="exact"/>
              <w:rPr>
                <w:rFonts w:hint="eastAsia" w:ascii="宋体" w:hAnsi="宋体" w:eastAsia="宋体" w:cs="宋体"/>
                <w:b/>
                <w:bCs/>
                <w:kern w:val="2"/>
                <w:sz w:val="24"/>
                <w:highlight w:val="none"/>
                <w:lang w:val="en-US" w:eastAsia="zh-CN" w:bidi="ar-SA"/>
              </w:rPr>
            </w:pPr>
            <w:r>
              <w:rPr>
                <w:rFonts w:hint="eastAsia" w:ascii="宋体" w:hAnsi="宋体" w:eastAsia="宋体" w:cs="宋体"/>
                <w:b/>
                <w:bCs/>
                <w:kern w:val="2"/>
                <w:sz w:val="24"/>
                <w:highlight w:val="none"/>
                <w:lang w:val="en-US" w:eastAsia="zh-CN" w:bidi="ar-SA"/>
              </w:rPr>
              <w:t>逾期送达得样品不予接收。</w:t>
            </w:r>
          </w:p>
          <w:p w14:paraId="27C1432C">
            <w:pPr>
              <w:spacing w:line="440" w:lineRule="exact"/>
              <w:rPr>
                <w:rFonts w:hint="eastAsia" w:ascii="宋体" w:hAnsi="宋体" w:eastAsia="宋体" w:cs="宋体"/>
                <w:b/>
                <w:bCs/>
                <w:kern w:val="2"/>
                <w:sz w:val="24"/>
                <w:highlight w:val="none"/>
                <w:lang w:val="en-US" w:eastAsia="zh-CN" w:bidi="ar-SA"/>
              </w:rPr>
            </w:pPr>
            <w:r>
              <w:rPr>
                <w:rFonts w:hint="eastAsia" w:ascii="宋体" w:hAnsi="宋体" w:eastAsia="宋体" w:cs="宋体"/>
                <w:b/>
                <w:bCs/>
                <w:kern w:val="2"/>
                <w:sz w:val="24"/>
                <w:highlight w:val="none"/>
                <w:lang w:val="en-US" w:eastAsia="zh-CN" w:bidi="ar-SA"/>
              </w:rPr>
              <w:t>注：中标人的样品需封存，履约验收的参考</w:t>
            </w:r>
            <w:r>
              <w:rPr>
                <w:rFonts w:hint="eastAsia" w:ascii="宋体" w:hAnsi="宋体" w:cs="宋体"/>
                <w:b/>
                <w:bCs/>
                <w:kern w:val="2"/>
                <w:sz w:val="24"/>
                <w:highlight w:val="none"/>
                <w:lang w:val="en-US" w:eastAsia="zh-CN" w:bidi="ar-SA"/>
              </w:rPr>
              <w:t>，后期退还</w:t>
            </w:r>
            <w:r>
              <w:rPr>
                <w:rFonts w:hint="eastAsia" w:ascii="宋体" w:hAnsi="宋体" w:eastAsia="宋体" w:cs="宋体"/>
                <w:b/>
                <w:bCs/>
                <w:kern w:val="2"/>
                <w:sz w:val="24"/>
                <w:highlight w:val="none"/>
                <w:lang w:val="en-US" w:eastAsia="zh-CN" w:bidi="ar-SA"/>
              </w:rPr>
              <w:t>。</w:t>
            </w:r>
          </w:p>
          <w:p w14:paraId="65A54436">
            <w:pPr>
              <w:spacing w:line="440" w:lineRule="exact"/>
              <w:rPr>
                <w:rFonts w:hint="default"/>
                <w:highlight w:val="none"/>
                <w:lang w:val="en-US" w:eastAsia="zh-CN"/>
              </w:rPr>
            </w:pPr>
            <w:r>
              <w:rPr>
                <w:rFonts w:hint="eastAsia" w:ascii="宋体" w:hAnsi="宋体" w:eastAsia="宋体" w:cs="宋体"/>
                <w:b/>
                <w:bCs/>
                <w:kern w:val="2"/>
                <w:sz w:val="24"/>
                <w:highlight w:val="none"/>
                <w:lang w:val="en-US" w:eastAsia="zh-CN" w:bidi="ar-SA"/>
              </w:rPr>
              <w:t>样品制作标准和要求按照招标文件中的技术参数执行，不需要随样品提交相关检测报告。</w:t>
            </w:r>
          </w:p>
          <w:p w14:paraId="65471CEC">
            <w:pPr>
              <w:spacing w:line="440" w:lineRule="exact"/>
              <w:rPr>
                <w:rFonts w:hint="default"/>
                <w:lang w:val="en-US"/>
              </w:rPr>
            </w:pPr>
            <w:r>
              <w:rPr>
                <w:rFonts w:hint="eastAsia" w:ascii="宋体" w:hAnsi="宋体" w:eastAsia="宋体" w:cs="宋体"/>
                <w:b/>
                <w:bCs/>
                <w:kern w:val="2"/>
                <w:sz w:val="24"/>
                <w:highlight w:val="none"/>
                <w:lang w:val="en-US" w:eastAsia="zh-CN" w:bidi="ar-SA"/>
              </w:rPr>
              <w:t>样品签收时投标</w:t>
            </w:r>
            <w:r>
              <w:rPr>
                <w:rFonts w:hint="eastAsia" w:ascii="宋体" w:hAnsi="宋体" w:cs="宋体"/>
                <w:b/>
                <w:bCs/>
                <w:kern w:val="2"/>
                <w:sz w:val="24"/>
                <w:highlight w:val="none"/>
                <w:lang w:val="en-US" w:eastAsia="zh-CN" w:bidi="ar-SA"/>
              </w:rPr>
              <w:t>人需</w:t>
            </w:r>
            <w:r>
              <w:rPr>
                <w:rFonts w:hint="eastAsia" w:ascii="宋体" w:hAnsi="宋体" w:eastAsia="宋体" w:cs="宋体"/>
                <w:b/>
                <w:bCs/>
                <w:kern w:val="2"/>
                <w:sz w:val="24"/>
                <w:highlight w:val="none"/>
                <w:lang w:val="en-US" w:eastAsia="zh-CN" w:bidi="ar-SA"/>
              </w:rPr>
              <w:t>在样品上明确标明所投项目名称、项目编号以及样品名称。</w:t>
            </w:r>
          </w:p>
        </w:tc>
      </w:tr>
    </w:tbl>
    <w:p w14:paraId="55B9662A">
      <w:pPr>
        <w:rPr>
          <w:rFonts w:ascii="宋体" w:cs="宋体"/>
          <w:w w:val="90"/>
          <w:highlight w:val="none"/>
        </w:rPr>
        <w:sectPr>
          <w:headerReference r:id="rId4" w:type="first"/>
          <w:headerReference r:id="rId3" w:type="default"/>
          <w:footerReference r:id="rId5" w:type="default"/>
          <w:pgSz w:w="11906" w:h="16838"/>
          <w:pgMar w:top="1440" w:right="1633" w:bottom="1440" w:left="1689" w:header="850" w:footer="992" w:gutter="0"/>
          <w:cols w:space="720" w:num="1"/>
          <w:titlePg/>
          <w:rtlGutter w:val="1"/>
          <w:docGrid w:type="lines" w:linePitch="312" w:charSpace="0"/>
        </w:sectPr>
      </w:pPr>
    </w:p>
    <w:p w14:paraId="7D3C683B">
      <w:pPr>
        <w:pStyle w:val="3"/>
        <w:tabs>
          <w:tab w:val="left" w:pos="2298"/>
          <w:tab w:val="center" w:pos="4206"/>
        </w:tabs>
        <w:spacing w:line="360" w:lineRule="auto"/>
        <w:jc w:val="left"/>
        <w:rPr>
          <w:rFonts w:ascii="宋体" w:cs="宋体"/>
          <w:w w:val="90"/>
          <w:highlight w:val="none"/>
        </w:rPr>
      </w:pPr>
      <w:bookmarkStart w:id="36" w:name="_Toc14776835"/>
      <w:bookmarkStart w:id="37" w:name="_Toc29287"/>
      <w:bookmarkStart w:id="38" w:name="_Toc2511968"/>
      <w:bookmarkStart w:id="39" w:name="_Toc44704903"/>
      <w:bookmarkStart w:id="40" w:name="_Toc44705050"/>
      <w:r>
        <w:rPr>
          <w:rFonts w:hint="eastAsia" w:ascii="宋体" w:hAnsi="宋体" w:cs="宋体"/>
          <w:w w:val="90"/>
          <w:highlight w:val="none"/>
          <w:lang w:eastAsia="zh-CN"/>
        </w:rPr>
        <w:tab/>
      </w:r>
      <w:r>
        <w:rPr>
          <w:rFonts w:hint="eastAsia" w:ascii="宋体" w:hAnsi="宋体" w:cs="宋体"/>
          <w:w w:val="90"/>
          <w:highlight w:val="none"/>
          <w:lang w:eastAsia="zh-CN"/>
        </w:rPr>
        <w:tab/>
      </w:r>
      <w:r>
        <w:rPr>
          <w:rFonts w:hint="eastAsia" w:ascii="宋体" w:hAnsi="宋体" w:cs="宋体"/>
          <w:w w:val="90"/>
          <w:highlight w:val="none"/>
        </w:rPr>
        <w:t>第三章</w:t>
      </w:r>
      <w:r>
        <w:rPr>
          <w:rFonts w:ascii="宋体" w:hAnsi="宋体" w:cs="宋体"/>
          <w:w w:val="90"/>
          <w:highlight w:val="none"/>
        </w:rPr>
        <w:t xml:space="preserve"> </w:t>
      </w:r>
      <w:r>
        <w:rPr>
          <w:rFonts w:hint="eastAsia" w:ascii="宋体" w:hAnsi="宋体" w:cs="宋体"/>
          <w:w w:val="90"/>
          <w:highlight w:val="none"/>
        </w:rPr>
        <w:t>投标人须知</w:t>
      </w:r>
      <w:bookmarkEnd w:id="36"/>
      <w:bookmarkEnd w:id="37"/>
      <w:bookmarkEnd w:id="38"/>
      <w:bookmarkEnd w:id="39"/>
      <w:bookmarkEnd w:id="40"/>
    </w:p>
    <w:p w14:paraId="644ED12A">
      <w:pPr>
        <w:spacing w:line="360" w:lineRule="auto"/>
        <w:rPr>
          <w:rFonts w:ascii="宋体" w:cs="宋体"/>
          <w:b/>
          <w:sz w:val="24"/>
          <w:szCs w:val="24"/>
          <w:highlight w:val="none"/>
        </w:rPr>
      </w:pPr>
      <w:r>
        <w:rPr>
          <w:rFonts w:hint="eastAsia" w:ascii="宋体" w:hAnsi="宋体" w:cs="宋体"/>
          <w:b/>
          <w:sz w:val="24"/>
          <w:szCs w:val="24"/>
          <w:highlight w:val="none"/>
        </w:rPr>
        <w:t>一、说明</w:t>
      </w:r>
    </w:p>
    <w:p w14:paraId="2DFF4D71">
      <w:pPr>
        <w:spacing w:line="360" w:lineRule="auto"/>
        <w:ind w:firstLine="482" w:firstLineChars="200"/>
        <w:rPr>
          <w:rFonts w:ascii="宋体" w:cs="宋体"/>
          <w:b/>
          <w:sz w:val="24"/>
          <w:szCs w:val="24"/>
          <w:highlight w:val="none"/>
        </w:rPr>
      </w:pPr>
      <w:r>
        <w:rPr>
          <w:rFonts w:ascii="宋体" w:hAnsi="宋体" w:cs="宋体"/>
          <w:b/>
          <w:sz w:val="24"/>
          <w:szCs w:val="24"/>
          <w:highlight w:val="none"/>
        </w:rPr>
        <w:t>1.</w:t>
      </w:r>
      <w:r>
        <w:rPr>
          <w:rFonts w:hint="eastAsia" w:ascii="宋体" w:hAnsi="宋体" w:cs="宋体"/>
          <w:b/>
          <w:sz w:val="24"/>
          <w:szCs w:val="24"/>
          <w:highlight w:val="none"/>
        </w:rPr>
        <w:t>项目说明</w:t>
      </w:r>
    </w:p>
    <w:p w14:paraId="7C0431C7">
      <w:pPr>
        <w:spacing w:line="360" w:lineRule="auto"/>
        <w:ind w:firstLine="480" w:firstLineChars="200"/>
        <w:rPr>
          <w:rFonts w:ascii="宋体" w:cs="宋体"/>
          <w:sz w:val="24"/>
          <w:szCs w:val="24"/>
          <w:highlight w:val="none"/>
        </w:rPr>
      </w:pPr>
      <w:r>
        <w:rPr>
          <w:rFonts w:ascii="宋体" w:hAnsi="宋体" w:cs="宋体"/>
          <w:sz w:val="24"/>
          <w:szCs w:val="24"/>
          <w:highlight w:val="none"/>
        </w:rPr>
        <w:t>1.1</w:t>
      </w:r>
      <w:r>
        <w:rPr>
          <w:rFonts w:hint="eastAsia" w:ascii="宋体" w:hAnsi="宋体" w:cs="宋体"/>
          <w:sz w:val="24"/>
          <w:szCs w:val="24"/>
          <w:highlight w:val="none"/>
        </w:rPr>
        <w:t>项目名称及编号：详见投标人须知前附表。</w:t>
      </w:r>
    </w:p>
    <w:p w14:paraId="2E2F28C3">
      <w:pPr>
        <w:spacing w:line="360" w:lineRule="auto"/>
        <w:ind w:firstLine="480" w:firstLineChars="200"/>
        <w:rPr>
          <w:rFonts w:ascii="宋体" w:cs="宋体"/>
          <w:sz w:val="24"/>
          <w:szCs w:val="24"/>
          <w:highlight w:val="none"/>
        </w:rPr>
      </w:pPr>
      <w:r>
        <w:rPr>
          <w:rFonts w:ascii="宋体" w:hAnsi="宋体" w:cs="宋体"/>
          <w:sz w:val="24"/>
          <w:szCs w:val="24"/>
          <w:highlight w:val="none"/>
        </w:rPr>
        <w:t>1.2</w:t>
      </w:r>
      <w:r>
        <w:rPr>
          <w:rFonts w:hint="eastAsia" w:ascii="宋体" w:hAnsi="宋体" w:cs="宋体"/>
          <w:sz w:val="24"/>
          <w:szCs w:val="24"/>
          <w:highlight w:val="none"/>
        </w:rPr>
        <w:t>资金来源：详见投标人须知前附表。采购人已获得足以支付本次采购后所签订的合同项下的款项（包括财政性资金和自筹资金）。</w:t>
      </w:r>
    </w:p>
    <w:p w14:paraId="599EC2E1">
      <w:pPr>
        <w:spacing w:line="360" w:lineRule="auto"/>
        <w:ind w:firstLine="482" w:firstLineChars="200"/>
        <w:rPr>
          <w:rFonts w:ascii="宋体" w:cs="宋体"/>
          <w:b/>
          <w:sz w:val="24"/>
          <w:szCs w:val="24"/>
          <w:highlight w:val="none"/>
        </w:rPr>
      </w:pPr>
      <w:r>
        <w:rPr>
          <w:rFonts w:ascii="宋体" w:hAnsi="宋体" w:cs="宋体"/>
          <w:b/>
          <w:sz w:val="24"/>
          <w:szCs w:val="24"/>
          <w:highlight w:val="none"/>
        </w:rPr>
        <w:t>2.</w:t>
      </w:r>
      <w:r>
        <w:rPr>
          <w:rFonts w:hint="eastAsia" w:ascii="宋体" w:hAnsi="宋体" w:cs="宋体"/>
          <w:b/>
          <w:sz w:val="24"/>
          <w:szCs w:val="24"/>
          <w:highlight w:val="none"/>
        </w:rPr>
        <w:t>采购人、采购代理机构、投标人、合格投标人</w:t>
      </w:r>
    </w:p>
    <w:p w14:paraId="6BE2C7F4">
      <w:pPr>
        <w:spacing w:line="360" w:lineRule="auto"/>
        <w:ind w:firstLine="480" w:firstLineChars="200"/>
        <w:rPr>
          <w:rFonts w:ascii="宋体" w:cs="宋体"/>
          <w:sz w:val="24"/>
          <w:szCs w:val="24"/>
          <w:highlight w:val="none"/>
          <w:u w:val="single"/>
        </w:rPr>
      </w:pPr>
      <w:r>
        <w:rPr>
          <w:rFonts w:ascii="宋体" w:hAnsi="宋体" w:cs="宋体"/>
          <w:sz w:val="24"/>
          <w:szCs w:val="24"/>
          <w:highlight w:val="none"/>
        </w:rPr>
        <w:t xml:space="preserve">2.1 </w:t>
      </w:r>
      <w:r>
        <w:rPr>
          <w:rFonts w:hint="eastAsia" w:ascii="宋体" w:hAnsi="宋体" w:cs="宋体"/>
          <w:sz w:val="24"/>
          <w:szCs w:val="24"/>
          <w:highlight w:val="none"/>
        </w:rPr>
        <w:t>采购人：详见投标人须知前附表。</w:t>
      </w:r>
    </w:p>
    <w:p w14:paraId="4506E63F">
      <w:pPr>
        <w:spacing w:line="360" w:lineRule="auto"/>
        <w:ind w:firstLine="480" w:firstLineChars="200"/>
        <w:rPr>
          <w:rFonts w:ascii="宋体" w:cs="宋体"/>
          <w:sz w:val="24"/>
          <w:szCs w:val="24"/>
          <w:highlight w:val="none"/>
        </w:rPr>
      </w:pPr>
      <w:r>
        <w:rPr>
          <w:rFonts w:ascii="宋体" w:hAnsi="宋体" w:cs="宋体"/>
          <w:sz w:val="24"/>
          <w:szCs w:val="24"/>
          <w:highlight w:val="none"/>
        </w:rPr>
        <w:t>2.2</w:t>
      </w:r>
      <w:r>
        <w:rPr>
          <w:rFonts w:hint="eastAsia" w:ascii="宋体" w:hAnsi="宋体" w:cs="宋体"/>
          <w:sz w:val="24"/>
          <w:szCs w:val="24"/>
          <w:highlight w:val="none"/>
        </w:rPr>
        <w:t>采购代理机构：详见投标人须知前附表。</w:t>
      </w:r>
    </w:p>
    <w:p w14:paraId="4FAC5510">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2.3 </w:t>
      </w:r>
      <w:r>
        <w:rPr>
          <w:rFonts w:hint="eastAsia" w:ascii="宋体" w:hAnsi="宋体" w:cs="宋体"/>
          <w:sz w:val="24"/>
          <w:szCs w:val="24"/>
          <w:highlight w:val="none"/>
        </w:rPr>
        <w:t>投标人</w:t>
      </w:r>
    </w:p>
    <w:p w14:paraId="12D2093E">
      <w:pPr>
        <w:numPr>
          <w:ilvl w:val="1"/>
          <w:numId w:val="5"/>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投标人必须向采购代理机构购买招标文件并登记备案，未向采购代理机构购买招标文件并登记备案的潜在投标人均无资格参加投标。</w:t>
      </w:r>
    </w:p>
    <w:p w14:paraId="372B2EF9">
      <w:pPr>
        <w:spacing w:line="360" w:lineRule="auto"/>
        <w:ind w:left="480"/>
        <w:rPr>
          <w:rFonts w:ascii="宋体" w:cs="宋体"/>
          <w:sz w:val="24"/>
          <w:szCs w:val="24"/>
          <w:highlight w:val="none"/>
        </w:rPr>
      </w:pPr>
      <w:r>
        <w:rPr>
          <w:rFonts w:ascii="宋体" w:hAnsi="宋体" w:cs="宋体"/>
          <w:sz w:val="24"/>
          <w:szCs w:val="24"/>
          <w:highlight w:val="none"/>
        </w:rPr>
        <w:t>2.4</w:t>
      </w:r>
      <w:r>
        <w:rPr>
          <w:rFonts w:hint="eastAsia" w:ascii="宋体" w:hAnsi="宋体" w:cs="宋体"/>
          <w:sz w:val="24"/>
          <w:szCs w:val="24"/>
          <w:highlight w:val="none"/>
        </w:rPr>
        <w:t>合格投标人</w:t>
      </w:r>
    </w:p>
    <w:p w14:paraId="4C431C56">
      <w:pPr>
        <w:numPr>
          <w:ilvl w:val="0"/>
          <w:numId w:val="7"/>
        </w:numPr>
        <w:spacing w:line="360" w:lineRule="auto"/>
        <w:rPr>
          <w:rFonts w:ascii="宋体" w:cs="宋体"/>
          <w:sz w:val="24"/>
          <w:szCs w:val="24"/>
          <w:highlight w:val="none"/>
        </w:rPr>
      </w:pPr>
      <w:r>
        <w:rPr>
          <w:rFonts w:hint="eastAsia" w:ascii="宋体" w:hAnsi="宋体" w:cs="宋体"/>
          <w:sz w:val="24"/>
          <w:szCs w:val="24"/>
          <w:highlight w:val="none"/>
        </w:rPr>
        <w:t>合格投标人是指依法通过资格审查的投标人。</w:t>
      </w:r>
    </w:p>
    <w:p w14:paraId="1A6AE9D1">
      <w:pPr>
        <w:spacing w:line="360" w:lineRule="auto"/>
        <w:ind w:firstLine="480" w:firstLineChars="200"/>
        <w:rPr>
          <w:rFonts w:ascii="宋体" w:cs="宋体"/>
          <w:sz w:val="24"/>
          <w:szCs w:val="24"/>
          <w:highlight w:val="none"/>
        </w:rPr>
      </w:pPr>
      <w:r>
        <w:rPr>
          <w:rFonts w:ascii="宋体" w:hAnsi="宋体" w:cs="宋体"/>
          <w:sz w:val="24"/>
          <w:szCs w:val="24"/>
          <w:highlight w:val="none"/>
        </w:rPr>
        <w:t>2.5</w:t>
      </w:r>
      <w:r>
        <w:rPr>
          <w:rFonts w:hint="eastAsia" w:ascii="宋体" w:hAnsi="宋体" w:cs="宋体"/>
          <w:sz w:val="24"/>
          <w:szCs w:val="24"/>
          <w:highlight w:val="none"/>
        </w:rPr>
        <w:t>联合体投标（不适用）</w:t>
      </w:r>
    </w:p>
    <w:p w14:paraId="1496A271">
      <w:pPr>
        <w:spacing w:line="360" w:lineRule="auto"/>
        <w:ind w:firstLine="480" w:firstLineChars="200"/>
        <w:rPr>
          <w:rFonts w:ascii="宋体" w:cs="宋体"/>
          <w:sz w:val="24"/>
          <w:szCs w:val="24"/>
          <w:highlight w:val="none"/>
        </w:rPr>
      </w:pPr>
      <w:r>
        <w:rPr>
          <w:rFonts w:ascii="宋体" w:hAnsi="宋体" w:cs="宋体"/>
          <w:sz w:val="24"/>
          <w:szCs w:val="24"/>
          <w:highlight w:val="none"/>
        </w:rPr>
        <w:t>2.5.1</w:t>
      </w:r>
      <w:r>
        <w:rPr>
          <w:rFonts w:hint="eastAsia" w:ascii="宋体" w:hAnsi="宋体" w:cs="宋体"/>
          <w:sz w:val="24"/>
          <w:szCs w:val="24"/>
          <w:highlight w:val="none"/>
        </w:rPr>
        <w:t>两个以上的自然人、法人或者其他组织可以组成一个联合体，以一个投标人的身份共同参加政府采购。</w:t>
      </w:r>
    </w:p>
    <w:p w14:paraId="2C93BF98">
      <w:pPr>
        <w:spacing w:line="360" w:lineRule="auto"/>
        <w:ind w:firstLine="480" w:firstLineChars="200"/>
        <w:rPr>
          <w:rFonts w:ascii="宋体" w:cs="宋体"/>
          <w:sz w:val="24"/>
          <w:szCs w:val="24"/>
          <w:highlight w:val="none"/>
        </w:rPr>
      </w:pPr>
      <w:r>
        <w:rPr>
          <w:rFonts w:ascii="宋体" w:hAnsi="宋体" w:cs="宋体"/>
          <w:sz w:val="24"/>
          <w:szCs w:val="24"/>
          <w:highlight w:val="none"/>
        </w:rPr>
        <w:t>2.5.2</w:t>
      </w:r>
      <w:r>
        <w:rPr>
          <w:rFonts w:hint="eastAsia" w:ascii="宋体" w:hAnsi="宋体" w:cs="宋体"/>
          <w:sz w:val="24"/>
          <w:szCs w:val="24"/>
          <w:highlight w:val="none"/>
        </w:rPr>
        <w:t>以联合体形式进行政府采购的，参加联合体的投标人均应当具备《中华人民共和国政府采购法》第二十二条规定的条件。采购人根据采购项目的特殊要求，规定投标人的特定条件，联合体各方中至少应当有一方符合采购人规定的特定条件。并应当向采购人提交联合协议，载明联合体各方承担的工作和义务。联合体投标协议应该在投标文件中提交。</w:t>
      </w:r>
    </w:p>
    <w:p w14:paraId="18CE0017">
      <w:pPr>
        <w:spacing w:line="360" w:lineRule="auto"/>
        <w:ind w:firstLine="480" w:firstLineChars="200"/>
        <w:rPr>
          <w:rFonts w:ascii="宋体" w:cs="宋体"/>
          <w:sz w:val="24"/>
          <w:szCs w:val="24"/>
          <w:highlight w:val="none"/>
        </w:rPr>
      </w:pPr>
      <w:r>
        <w:rPr>
          <w:rFonts w:ascii="宋体" w:hAnsi="宋体" w:cs="宋体"/>
          <w:sz w:val="24"/>
          <w:szCs w:val="24"/>
          <w:highlight w:val="none"/>
        </w:rPr>
        <w:t>2.5.3</w:t>
      </w:r>
      <w:r>
        <w:rPr>
          <w:rFonts w:hint="eastAsia" w:ascii="宋体" w:hAnsi="宋体" w:cs="宋体"/>
          <w:sz w:val="24"/>
          <w:szCs w:val="24"/>
          <w:highlight w:val="none"/>
        </w:rPr>
        <w:t>联合体中有同类资质的投标人按照联合体分工承担相同工作的，按照资质等级较低的投标人确定资质等级。</w:t>
      </w:r>
    </w:p>
    <w:p w14:paraId="3C201BB4">
      <w:pPr>
        <w:spacing w:line="360" w:lineRule="auto"/>
        <w:ind w:firstLine="480" w:firstLineChars="200"/>
        <w:rPr>
          <w:rFonts w:ascii="宋体" w:cs="宋体"/>
          <w:sz w:val="24"/>
          <w:szCs w:val="24"/>
          <w:highlight w:val="none"/>
        </w:rPr>
      </w:pPr>
      <w:r>
        <w:rPr>
          <w:rFonts w:ascii="宋体" w:hAnsi="宋体" w:cs="宋体"/>
          <w:sz w:val="24"/>
          <w:szCs w:val="24"/>
          <w:highlight w:val="none"/>
        </w:rPr>
        <w:t>2.5.4</w:t>
      </w:r>
      <w:r>
        <w:rPr>
          <w:rFonts w:hint="eastAsia" w:ascii="宋体" w:hAnsi="宋体" w:cs="宋体"/>
          <w:sz w:val="24"/>
          <w:szCs w:val="24"/>
          <w:highlight w:val="none"/>
        </w:rPr>
        <w:t>以联合体形式参加政府采购活动的，联合体各方不得再单独参加或者与其他投标人另外组成联合体参加同一合同项下的政府采购活动。</w:t>
      </w:r>
    </w:p>
    <w:p w14:paraId="6016E83A">
      <w:pPr>
        <w:spacing w:line="360" w:lineRule="auto"/>
        <w:ind w:firstLine="480" w:firstLineChars="200"/>
        <w:rPr>
          <w:rFonts w:ascii="宋体" w:cs="宋体"/>
          <w:sz w:val="24"/>
          <w:szCs w:val="24"/>
          <w:highlight w:val="none"/>
        </w:rPr>
      </w:pPr>
      <w:r>
        <w:rPr>
          <w:rFonts w:ascii="宋体" w:hAnsi="宋体" w:cs="宋体"/>
          <w:sz w:val="24"/>
          <w:szCs w:val="24"/>
          <w:highlight w:val="none"/>
        </w:rPr>
        <w:t>2.5.5</w:t>
      </w:r>
      <w:r>
        <w:rPr>
          <w:rFonts w:hint="eastAsia" w:ascii="宋体" w:hAnsi="宋体" w:cs="宋体"/>
          <w:sz w:val="24"/>
          <w:szCs w:val="24"/>
          <w:highlight w:val="none"/>
        </w:rPr>
        <w:t>联合体各方应当共同与采购人签订采购合同，就采购合同约定的事项对采购人承担连带责任。</w:t>
      </w:r>
    </w:p>
    <w:p w14:paraId="4661C299">
      <w:pPr>
        <w:spacing w:line="360" w:lineRule="auto"/>
        <w:ind w:firstLine="482" w:firstLineChars="200"/>
        <w:rPr>
          <w:rFonts w:ascii="宋体" w:cs="宋体"/>
          <w:b/>
          <w:sz w:val="24"/>
          <w:szCs w:val="24"/>
          <w:highlight w:val="none"/>
        </w:rPr>
      </w:pPr>
      <w:r>
        <w:rPr>
          <w:rFonts w:ascii="宋体" w:hAnsi="宋体" w:cs="宋体"/>
          <w:b/>
          <w:sz w:val="24"/>
          <w:szCs w:val="24"/>
          <w:highlight w:val="none"/>
        </w:rPr>
        <w:t>3.</w:t>
      </w:r>
      <w:r>
        <w:rPr>
          <w:rFonts w:hint="eastAsia" w:ascii="宋体" w:hAnsi="宋体" w:cs="宋体"/>
          <w:b/>
          <w:sz w:val="24"/>
          <w:szCs w:val="24"/>
          <w:highlight w:val="none"/>
        </w:rPr>
        <w:t>合格的货物和服务</w:t>
      </w:r>
    </w:p>
    <w:p w14:paraId="0CFDEC9D">
      <w:pPr>
        <w:tabs>
          <w:tab w:val="left" w:pos="900"/>
        </w:tabs>
        <w:spacing w:line="360" w:lineRule="auto"/>
        <w:ind w:firstLine="480" w:firstLineChars="200"/>
        <w:rPr>
          <w:rFonts w:ascii="宋体" w:cs="宋体"/>
          <w:sz w:val="24"/>
          <w:szCs w:val="24"/>
          <w:highlight w:val="none"/>
        </w:rPr>
      </w:pPr>
      <w:r>
        <w:rPr>
          <w:rFonts w:ascii="宋体" w:hAnsi="宋体" w:cs="宋体"/>
          <w:sz w:val="24"/>
          <w:szCs w:val="24"/>
          <w:highlight w:val="none"/>
        </w:rPr>
        <w:t>3.1</w:t>
      </w:r>
      <w:r>
        <w:rPr>
          <w:rFonts w:hint="eastAsia" w:ascii="宋体" w:hAnsi="宋体" w:cs="宋体"/>
          <w:sz w:val="24"/>
          <w:szCs w:val="24"/>
          <w:highlight w:val="none"/>
        </w:rPr>
        <w:t>合同中提供的所有货物及其有关服务，均应来自上述</w:t>
      </w:r>
      <w:r>
        <w:rPr>
          <w:rFonts w:ascii="宋体" w:hAnsi="宋体" w:cs="宋体"/>
          <w:sz w:val="24"/>
          <w:szCs w:val="24"/>
          <w:highlight w:val="none"/>
        </w:rPr>
        <w:t>2.4</w:t>
      </w:r>
      <w:r>
        <w:rPr>
          <w:rFonts w:hint="eastAsia" w:ascii="宋体" w:hAnsi="宋体" w:cs="宋体"/>
          <w:sz w:val="24"/>
          <w:szCs w:val="24"/>
          <w:highlight w:val="none"/>
        </w:rPr>
        <w:t>条款所规定的合格投标人。</w:t>
      </w:r>
    </w:p>
    <w:p w14:paraId="106B02C3">
      <w:pPr>
        <w:tabs>
          <w:tab w:val="left" w:pos="900"/>
        </w:tabs>
        <w:spacing w:line="360" w:lineRule="auto"/>
        <w:ind w:firstLine="480" w:firstLineChars="200"/>
        <w:rPr>
          <w:rFonts w:ascii="宋体" w:cs="宋体"/>
          <w:sz w:val="24"/>
          <w:szCs w:val="24"/>
          <w:highlight w:val="none"/>
        </w:rPr>
      </w:pPr>
      <w:r>
        <w:rPr>
          <w:rFonts w:ascii="宋体" w:hAnsi="宋体" w:cs="宋体"/>
          <w:sz w:val="24"/>
          <w:szCs w:val="24"/>
          <w:highlight w:val="none"/>
        </w:rPr>
        <w:t>3.2</w:t>
      </w:r>
      <w:r>
        <w:rPr>
          <w:rFonts w:hint="eastAsia" w:ascii="宋体" w:hAnsi="宋体" w:cs="宋体"/>
          <w:sz w:val="24"/>
          <w:szCs w:val="24"/>
          <w:highlight w:val="none"/>
        </w:rPr>
        <w:t>货物是指投标人按招标文件规定，须向采购人提供的符合招标文件要求的相关的货物。</w:t>
      </w:r>
    </w:p>
    <w:p w14:paraId="3DE69B2E">
      <w:pPr>
        <w:tabs>
          <w:tab w:val="left" w:pos="900"/>
        </w:tabs>
        <w:spacing w:line="360" w:lineRule="auto"/>
        <w:ind w:firstLine="480" w:firstLineChars="200"/>
        <w:rPr>
          <w:rFonts w:ascii="宋体" w:hAnsi="宋体" w:cs="宋体"/>
          <w:sz w:val="24"/>
          <w:szCs w:val="24"/>
          <w:highlight w:val="none"/>
        </w:rPr>
      </w:pPr>
      <w:r>
        <w:rPr>
          <w:rFonts w:ascii="宋体" w:hAnsi="宋体" w:cs="宋体"/>
          <w:sz w:val="24"/>
          <w:szCs w:val="24"/>
          <w:highlight w:val="none"/>
        </w:rPr>
        <w:t>3.3</w:t>
      </w:r>
      <w:r>
        <w:rPr>
          <w:rFonts w:hint="eastAsia" w:ascii="宋体" w:hAnsi="宋体" w:cs="宋体"/>
          <w:sz w:val="24"/>
          <w:szCs w:val="24"/>
          <w:highlight w:val="none"/>
        </w:rPr>
        <w:t>服务是指招标文件规定的投标人须承担的与投标货物有关的辅助服务</w:t>
      </w:r>
      <w:r>
        <w:rPr>
          <w:rFonts w:ascii="宋体" w:cs="宋体"/>
          <w:sz w:val="24"/>
          <w:szCs w:val="24"/>
          <w:highlight w:val="none"/>
        </w:rPr>
        <w:t>,</w:t>
      </w:r>
      <w:r>
        <w:rPr>
          <w:rFonts w:hint="eastAsia" w:ascii="宋体" w:hAnsi="宋体" w:cs="宋体"/>
          <w:sz w:val="24"/>
          <w:szCs w:val="24"/>
          <w:highlight w:val="none"/>
        </w:rPr>
        <w:t>如运输、保险、安装、调试、技术培训、售后服务等以及其他类似的义务。</w:t>
      </w:r>
    </w:p>
    <w:p w14:paraId="305F5274">
      <w:pPr>
        <w:pStyle w:val="21"/>
        <w:ind w:firstLine="480" w:firstLineChars="200"/>
        <w:rPr>
          <w:highlight w:val="none"/>
        </w:rPr>
      </w:pPr>
      <w:r>
        <w:rPr>
          <w:rFonts w:hint="eastAsia" w:ascii="宋体" w:hAnsi="宋体" w:cs="宋体"/>
          <w:szCs w:val="24"/>
          <w:highlight w:val="none"/>
        </w:rPr>
        <w:t>3</w:t>
      </w:r>
      <w:r>
        <w:rPr>
          <w:rFonts w:ascii="宋体" w:hAnsi="宋体" w:cs="宋体"/>
          <w:szCs w:val="24"/>
          <w:highlight w:val="none"/>
        </w:rPr>
        <w:t>.4</w:t>
      </w:r>
      <w:r>
        <w:rPr>
          <w:rFonts w:hint="eastAsia" w:ascii="宋体" w:hAnsi="宋体" w:cs="宋体"/>
          <w:szCs w:val="24"/>
          <w:highlight w:val="none"/>
        </w:rPr>
        <w:t>本项目的质保期：详见投标人须知前附表</w:t>
      </w:r>
    </w:p>
    <w:p w14:paraId="2942F60C">
      <w:pPr>
        <w:spacing w:line="360" w:lineRule="auto"/>
        <w:ind w:firstLine="482" w:firstLineChars="200"/>
        <w:rPr>
          <w:rFonts w:ascii="宋体" w:cs="宋体"/>
          <w:b/>
          <w:sz w:val="24"/>
          <w:szCs w:val="24"/>
          <w:highlight w:val="none"/>
        </w:rPr>
      </w:pPr>
      <w:r>
        <w:rPr>
          <w:rFonts w:ascii="宋体" w:hAnsi="宋体" w:cs="宋体"/>
          <w:b/>
          <w:sz w:val="24"/>
          <w:szCs w:val="24"/>
          <w:highlight w:val="none"/>
        </w:rPr>
        <w:t>4.</w:t>
      </w:r>
      <w:r>
        <w:rPr>
          <w:rFonts w:hint="eastAsia" w:ascii="宋体" w:hAnsi="宋体" w:cs="宋体"/>
          <w:b/>
          <w:sz w:val="24"/>
          <w:szCs w:val="24"/>
          <w:highlight w:val="none"/>
        </w:rPr>
        <w:t>投标费用</w:t>
      </w:r>
    </w:p>
    <w:p w14:paraId="3F2BC2D6">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4.1 </w:t>
      </w:r>
      <w:r>
        <w:rPr>
          <w:rFonts w:hint="eastAsia" w:ascii="宋体" w:hAnsi="宋体" w:cs="宋体"/>
          <w:sz w:val="24"/>
          <w:szCs w:val="24"/>
          <w:highlight w:val="none"/>
        </w:rPr>
        <w:t>投标人应承担所有与准备和参加投标有关的费用。不论投标的结果如何，采购人或采购代理机构均无义务和责任承担这些费用。</w:t>
      </w:r>
    </w:p>
    <w:p w14:paraId="54A17849">
      <w:pPr>
        <w:spacing w:line="360" w:lineRule="auto"/>
        <w:ind w:firstLine="480" w:firstLineChars="200"/>
        <w:rPr>
          <w:rFonts w:ascii="宋体" w:hAnsi="宋体" w:cs="宋体"/>
          <w:sz w:val="24"/>
          <w:szCs w:val="24"/>
          <w:highlight w:val="none"/>
        </w:rPr>
      </w:pPr>
      <w:r>
        <w:rPr>
          <w:rFonts w:ascii="宋体" w:hAnsi="宋体" w:cs="宋体"/>
          <w:sz w:val="24"/>
          <w:szCs w:val="24"/>
          <w:highlight w:val="none"/>
        </w:rPr>
        <w:t xml:space="preserve">4.2 </w:t>
      </w:r>
      <w:r>
        <w:rPr>
          <w:rFonts w:hint="eastAsia" w:ascii="宋体" w:hAnsi="宋体" w:cs="宋体"/>
          <w:sz w:val="24"/>
          <w:szCs w:val="24"/>
          <w:highlight w:val="none"/>
        </w:rPr>
        <w:t>无论招标结果如何，投标文件均不予退还。</w:t>
      </w:r>
    </w:p>
    <w:p w14:paraId="53D65320">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4</w:t>
      </w:r>
      <w:r>
        <w:rPr>
          <w:rFonts w:ascii="宋体" w:hAnsi="宋体" w:cs="宋体"/>
          <w:sz w:val="24"/>
          <w:szCs w:val="24"/>
          <w:highlight w:val="none"/>
        </w:rPr>
        <w:t>.3</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付款方式：详见投标人须知前附表。</w:t>
      </w:r>
    </w:p>
    <w:p w14:paraId="30509626">
      <w:pPr>
        <w:spacing w:line="360" w:lineRule="auto"/>
        <w:ind w:firstLine="482" w:firstLineChars="200"/>
        <w:rPr>
          <w:rFonts w:ascii="宋体" w:cs="宋体"/>
          <w:b/>
          <w:sz w:val="24"/>
          <w:szCs w:val="24"/>
          <w:highlight w:val="none"/>
        </w:rPr>
      </w:pPr>
      <w:r>
        <w:rPr>
          <w:rFonts w:ascii="宋体" w:hAnsi="宋体" w:cs="宋体"/>
          <w:b/>
          <w:sz w:val="24"/>
          <w:szCs w:val="24"/>
          <w:highlight w:val="none"/>
        </w:rPr>
        <w:t>5.</w:t>
      </w:r>
      <w:r>
        <w:rPr>
          <w:rFonts w:hint="eastAsia" w:ascii="宋体" w:hAnsi="宋体" w:cs="宋体"/>
          <w:b/>
          <w:sz w:val="24"/>
          <w:szCs w:val="24"/>
          <w:highlight w:val="none"/>
        </w:rPr>
        <w:t>废标说明</w:t>
      </w:r>
    </w:p>
    <w:p w14:paraId="408EFDB2">
      <w:pPr>
        <w:spacing w:line="360" w:lineRule="auto"/>
        <w:ind w:firstLine="482" w:firstLineChars="200"/>
        <w:rPr>
          <w:rFonts w:ascii="宋体" w:cs="宋体"/>
          <w:b/>
          <w:sz w:val="24"/>
          <w:szCs w:val="24"/>
          <w:highlight w:val="none"/>
          <w:u w:val="single"/>
        </w:rPr>
      </w:pPr>
      <w:r>
        <w:rPr>
          <w:rFonts w:hint="eastAsia" w:ascii="宋体" w:hAnsi="宋体" w:cs="宋体"/>
          <w:b/>
          <w:sz w:val="24"/>
          <w:szCs w:val="24"/>
          <w:highlight w:val="none"/>
          <w:u w:val="single"/>
        </w:rPr>
        <w:t>在招标采购中，出现下列情形之一的，应予废标：</w:t>
      </w:r>
    </w:p>
    <w:p w14:paraId="288F3C5F">
      <w:pPr>
        <w:spacing w:line="360" w:lineRule="auto"/>
        <w:ind w:firstLine="482" w:firstLineChars="200"/>
        <w:rPr>
          <w:rFonts w:ascii="宋体" w:cs="宋体"/>
          <w:b/>
          <w:sz w:val="24"/>
          <w:szCs w:val="24"/>
          <w:highlight w:val="none"/>
          <w:u w:val="single"/>
        </w:rPr>
      </w:pPr>
      <w:r>
        <w:rPr>
          <w:rFonts w:ascii="宋体" w:hAnsi="宋体" w:cs="宋体"/>
          <w:b/>
          <w:sz w:val="24"/>
          <w:szCs w:val="24"/>
          <w:highlight w:val="none"/>
          <w:u w:val="single"/>
        </w:rPr>
        <w:t>5.1</w:t>
      </w:r>
      <w:r>
        <w:rPr>
          <w:rFonts w:hint="eastAsia" w:ascii="宋体" w:hAnsi="宋体" w:cs="宋体"/>
          <w:b/>
          <w:sz w:val="24"/>
          <w:szCs w:val="24"/>
          <w:highlight w:val="none"/>
          <w:u w:val="single"/>
        </w:rPr>
        <w:t>符合专业条件的投标人或者对招标文件作实质响应的投标人不足三家的；</w:t>
      </w:r>
    </w:p>
    <w:p w14:paraId="47FD834A">
      <w:pPr>
        <w:spacing w:line="360" w:lineRule="auto"/>
        <w:ind w:firstLine="482" w:firstLineChars="200"/>
        <w:rPr>
          <w:rFonts w:ascii="宋体" w:cs="宋体"/>
          <w:b/>
          <w:sz w:val="24"/>
          <w:szCs w:val="24"/>
          <w:highlight w:val="none"/>
          <w:u w:val="single"/>
        </w:rPr>
      </w:pPr>
      <w:r>
        <w:rPr>
          <w:rFonts w:ascii="宋体" w:hAnsi="宋体" w:cs="宋体"/>
          <w:b/>
          <w:sz w:val="24"/>
          <w:szCs w:val="24"/>
          <w:highlight w:val="none"/>
          <w:u w:val="single"/>
        </w:rPr>
        <w:t>5.2</w:t>
      </w:r>
      <w:r>
        <w:rPr>
          <w:rFonts w:hint="eastAsia" w:ascii="宋体" w:hAnsi="宋体" w:cs="宋体"/>
          <w:b/>
          <w:sz w:val="24"/>
          <w:szCs w:val="24"/>
          <w:highlight w:val="none"/>
          <w:u w:val="single"/>
        </w:rPr>
        <w:t>出现影响采购公正的违法、违规行为的；</w:t>
      </w:r>
    </w:p>
    <w:p w14:paraId="01B35287">
      <w:pPr>
        <w:spacing w:line="360" w:lineRule="auto"/>
        <w:ind w:firstLine="482" w:firstLineChars="200"/>
        <w:rPr>
          <w:rFonts w:ascii="宋体" w:cs="宋体"/>
          <w:b/>
          <w:sz w:val="24"/>
          <w:szCs w:val="24"/>
          <w:highlight w:val="none"/>
          <w:u w:val="single"/>
        </w:rPr>
      </w:pPr>
      <w:r>
        <w:rPr>
          <w:rFonts w:ascii="宋体" w:hAnsi="宋体" w:cs="宋体"/>
          <w:b/>
          <w:sz w:val="24"/>
          <w:szCs w:val="24"/>
          <w:highlight w:val="none"/>
          <w:u w:val="single"/>
        </w:rPr>
        <w:t>5.3</w:t>
      </w:r>
      <w:r>
        <w:rPr>
          <w:rFonts w:hint="eastAsia" w:ascii="宋体" w:hAnsi="宋体" w:cs="宋体"/>
          <w:b/>
          <w:sz w:val="24"/>
          <w:szCs w:val="24"/>
          <w:highlight w:val="none"/>
          <w:u w:val="single"/>
        </w:rPr>
        <w:t>投标人的报价均超过了采购预算，采购人不能够支付的；</w:t>
      </w:r>
    </w:p>
    <w:p w14:paraId="02102656">
      <w:pPr>
        <w:spacing w:line="360" w:lineRule="auto"/>
        <w:ind w:firstLine="482" w:firstLineChars="200"/>
        <w:rPr>
          <w:rFonts w:ascii="宋体" w:cs="宋体"/>
          <w:b/>
          <w:sz w:val="24"/>
          <w:szCs w:val="24"/>
          <w:highlight w:val="none"/>
          <w:u w:val="single"/>
        </w:rPr>
      </w:pPr>
      <w:r>
        <w:rPr>
          <w:rFonts w:ascii="宋体" w:hAnsi="宋体" w:cs="宋体"/>
          <w:b/>
          <w:sz w:val="24"/>
          <w:szCs w:val="24"/>
          <w:highlight w:val="none"/>
          <w:u w:val="single"/>
        </w:rPr>
        <w:t>5.4</w:t>
      </w:r>
      <w:r>
        <w:rPr>
          <w:rFonts w:hint="eastAsia" w:ascii="宋体" w:hAnsi="宋体" w:cs="宋体"/>
          <w:b/>
          <w:sz w:val="24"/>
          <w:szCs w:val="24"/>
          <w:highlight w:val="none"/>
          <w:u w:val="single"/>
        </w:rPr>
        <w:t>因重大变故，采购任务取消的。</w:t>
      </w:r>
      <w:bookmarkStart w:id="41" w:name="_Toc322446890"/>
      <w:bookmarkStart w:id="42" w:name="_Toc497167392"/>
      <w:bookmarkStart w:id="43" w:name="_Toc2511970"/>
      <w:bookmarkStart w:id="44" w:name="_Toc2355229"/>
      <w:bookmarkStart w:id="45" w:name="_Toc493422649"/>
      <w:bookmarkStart w:id="46" w:name="_Toc14776837"/>
    </w:p>
    <w:p w14:paraId="4F1281E1">
      <w:pPr>
        <w:spacing w:line="360" w:lineRule="auto"/>
        <w:rPr>
          <w:rFonts w:ascii="宋体" w:cs="宋体"/>
          <w:b/>
          <w:sz w:val="24"/>
          <w:szCs w:val="24"/>
          <w:highlight w:val="none"/>
          <w:u w:val="single"/>
        </w:rPr>
      </w:pPr>
      <w:r>
        <w:rPr>
          <w:rFonts w:hint="eastAsia" w:ascii="宋体" w:hAnsi="宋体" w:cs="宋体"/>
          <w:b/>
          <w:sz w:val="24"/>
          <w:szCs w:val="24"/>
          <w:highlight w:val="none"/>
        </w:rPr>
        <w:t>二、招标文件</w:t>
      </w:r>
      <w:bookmarkEnd w:id="41"/>
      <w:bookmarkEnd w:id="42"/>
      <w:bookmarkEnd w:id="43"/>
      <w:bookmarkEnd w:id="44"/>
      <w:bookmarkEnd w:id="45"/>
      <w:bookmarkEnd w:id="46"/>
    </w:p>
    <w:p w14:paraId="32B1E5C3">
      <w:pPr>
        <w:spacing w:line="360" w:lineRule="auto"/>
        <w:ind w:firstLine="482" w:firstLineChars="200"/>
        <w:rPr>
          <w:rFonts w:ascii="宋体" w:cs="宋体"/>
          <w:b/>
          <w:sz w:val="24"/>
          <w:szCs w:val="24"/>
          <w:highlight w:val="none"/>
        </w:rPr>
      </w:pPr>
      <w:r>
        <w:rPr>
          <w:rFonts w:ascii="宋体" w:hAnsi="宋体" w:cs="宋体"/>
          <w:b/>
          <w:sz w:val="24"/>
          <w:szCs w:val="24"/>
          <w:highlight w:val="none"/>
        </w:rPr>
        <w:t>6.</w:t>
      </w:r>
      <w:r>
        <w:rPr>
          <w:rFonts w:hint="eastAsia" w:ascii="宋体" w:hAnsi="宋体" w:cs="宋体"/>
          <w:b/>
          <w:sz w:val="24"/>
          <w:szCs w:val="24"/>
          <w:highlight w:val="none"/>
        </w:rPr>
        <w:t>招标文件构成</w:t>
      </w:r>
    </w:p>
    <w:p w14:paraId="2B0E1055">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6.1 </w:t>
      </w:r>
      <w:r>
        <w:rPr>
          <w:rFonts w:hint="eastAsia" w:ascii="宋体" w:hAnsi="宋体" w:cs="宋体"/>
          <w:sz w:val="24"/>
          <w:szCs w:val="24"/>
          <w:highlight w:val="none"/>
        </w:rPr>
        <w:t>招标文件包括下列内容：</w:t>
      </w:r>
    </w:p>
    <w:p w14:paraId="44FA1673">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（一）招标文件的组成部分</w:t>
      </w:r>
    </w:p>
    <w:p w14:paraId="7BF47329">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投标邀请（招标公告）</w:t>
      </w:r>
    </w:p>
    <w:p w14:paraId="78EA13F7">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投标人须知前附表</w:t>
      </w:r>
    </w:p>
    <w:p w14:paraId="57BE4430">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投标人须知</w:t>
      </w:r>
    </w:p>
    <w:p w14:paraId="08C3F7CC">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合同文本格式</w:t>
      </w:r>
    </w:p>
    <w:p w14:paraId="771C7C14">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采购需求</w:t>
      </w:r>
    </w:p>
    <w:p w14:paraId="3E2885D1">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评标方法及评标标准</w:t>
      </w:r>
    </w:p>
    <w:p w14:paraId="75EE304B">
      <w:pPr>
        <w:numPr>
          <w:ilvl w:val="1"/>
          <w:numId w:val="8"/>
        </w:numPr>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投标文件格式</w:t>
      </w:r>
    </w:p>
    <w:p w14:paraId="28DCE5E1">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（二）采购人所作的一切有效的书面通知都是招标文件不可分割的组成部分。</w:t>
      </w:r>
    </w:p>
    <w:p w14:paraId="04717150">
      <w:pPr>
        <w:spacing w:line="360" w:lineRule="auto"/>
        <w:ind w:firstLine="482" w:firstLineChars="200"/>
        <w:rPr>
          <w:rFonts w:ascii="宋体" w:cs="宋体"/>
          <w:b/>
          <w:sz w:val="24"/>
          <w:szCs w:val="24"/>
          <w:highlight w:val="none"/>
        </w:rPr>
      </w:pPr>
      <w:r>
        <w:rPr>
          <w:rFonts w:ascii="宋体" w:hAnsi="宋体" w:cs="宋体"/>
          <w:b/>
          <w:sz w:val="24"/>
          <w:szCs w:val="24"/>
          <w:highlight w:val="none"/>
        </w:rPr>
        <w:t>7.</w:t>
      </w:r>
      <w:r>
        <w:rPr>
          <w:rFonts w:hint="eastAsia" w:ascii="宋体" w:hAnsi="宋体" w:cs="宋体"/>
          <w:b/>
          <w:sz w:val="24"/>
          <w:szCs w:val="24"/>
          <w:highlight w:val="none"/>
        </w:rPr>
        <w:t>招标文件的澄清</w:t>
      </w:r>
    </w:p>
    <w:p w14:paraId="09C4A018">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7.1 </w:t>
      </w:r>
      <w:r>
        <w:rPr>
          <w:rFonts w:hint="eastAsia" w:ascii="宋体" w:hAnsi="宋体" w:cs="宋体"/>
          <w:sz w:val="24"/>
          <w:szCs w:val="24"/>
          <w:highlight w:val="none"/>
        </w:rPr>
        <w:t>任何要求对招标文件进行澄清的投标人，均应以书面形式</w:t>
      </w:r>
      <w:r>
        <w:rPr>
          <w:rFonts w:hint="eastAsia" w:ascii="宋体" w:hAnsi="宋体" w:cs="宋体"/>
          <w:sz w:val="24"/>
          <w:szCs w:val="24"/>
          <w:highlight w:val="none"/>
          <w:lang w:val="en-US" w:eastAsia="zh-CN"/>
        </w:rPr>
        <w:t>或在政采云平台在线询问</w:t>
      </w:r>
      <w:r>
        <w:rPr>
          <w:rFonts w:hint="eastAsia" w:ascii="宋体" w:hAnsi="宋体" w:cs="宋体"/>
          <w:sz w:val="24"/>
          <w:szCs w:val="24"/>
          <w:highlight w:val="none"/>
        </w:rPr>
        <w:t>通知采购人或采购代理机构。采购人或者采购代理机构对在投标截止时间</w:t>
      </w:r>
      <w:r>
        <w:rPr>
          <w:rFonts w:ascii="宋体" w:hAnsi="宋体" w:cs="宋体"/>
          <w:sz w:val="24"/>
          <w:szCs w:val="24"/>
          <w:highlight w:val="none"/>
        </w:rPr>
        <w:t>15</w:t>
      </w:r>
      <w:r>
        <w:rPr>
          <w:rFonts w:hint="eastAsia" w:ascii="宋体" w:hAnsi="宋体" w:cs="宋体"/>
          <w:sz w:val="24"/>
          <w:szCs w:val="24"/>
          <w:highlight w:val="none"/>
        </w:rPr>
        <w:t>日以前收到的澄清要求应以书面形式</w:t>
      </w:r>
      <w:r>
        <w:rPr>
          <w:rFonts w:hint="eastAsia" w:ascii="宋体" w:hAnsi="宋体" w:cs="宋体"/>
          <w:sz w:val="24"/>
          <w:szCs w:val="24"/>
          <w:highlight w:val="none"/>
          <w:lang w:val="en-US" w:eastAsia="zh-CN"/>
        </w:rPr>
        <w:t>或在政采云平台</w:t>
      </w:r>
      <w:r>
        <w:rPr>
          <w:rFonts w:hint="eastAsia" w:ascii="宋体" w:hAnsi="宋体" w:cs="宋体"/>
          <w:sz w:val="24"/>
          <w:szCs w:val="24"/>
          <w:highlight w:val="none"/>
        </w:rPr>
        <w:t>予以答复。</w:t>
      </w:r>
    </w:p>
    <w:p w14:paraId="65ED6D6E">
      <w:pPr>
        <w:spacing w:line="360" w:lineRule="auto"/>
        <w:ind w:firstLine="482" w:firstLineChars="200"/>
        <w:rPr>
          <w:rFonts w:ascii="宋体" w:cs="宋体"/>
          <w:b/>
          <w:sz w:val="24"/>
          <w:szCs w:val="24"/>
          <w:highlight w:val="none"/>
        </w:rPr>
      </w:pPr>
      <w:r>
        <w:rPr>
          <w:rFonts w:ascii="宋体" w:hAnsi="宋体" w:cs="宋体"/>
          <w:b/>
          <w:sz w:val="24"/>
          <w:szCs w:val="24"/>
          <w:highlight w:val="none"/>
        </w:rPr>
        <w:t>8.</w:t>
      </w:r>
      <w:r>
        <w:rPr>
          <w:rFonts w:hint="eastAsia" w:ascii="宋体" w:hAnsi="宋体" w:cs="宋体"/>
          <w:b/>
          <w:sz w:val="24"/>
          <w:szCs w:val="24"/>
          <w:highlight w:val="none"/>
        </w:rPr>
        <w:t>招标文件的修改</w:t>
      </w:r>
    </w:p>
    <w:p w14:paraId="09B5AAA2">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8.1 </w:t>
      </w:r>
      <w:r>
        <w:rPr>
          <w:rFonts w:hint="eastAsia" w:ascii="宋体" w:hAnsi="宋体" w:cs="宋体"/>
          <w:sz w:val="24"/>
          <w:szCs w:val="24"/>
          <w:highlight w:val="none"/>
        </w:rPr>
        <w:t>在投标截止时间</w:t>
      </w:r>
      <w:r>
        <w:rPr>
          <w:rFonts w:ascii="宋体" w:hAnsi="宋体" w:cs="宋体"/>
          <w:sz w:val="24"/>
          <w:szCs w:val="24"/>
          <w:highlight w:val="none"/>
        </w:rPr>
        <w:t>15</w:t>
      </w:r>
      <w:r>
        <w:rPr>
          <w:rFonts w:hint="eastAsia" w:ascii="宋体" w:hAnsi="宋体" w:cs="宋体"/>
          <w:sz w:val="24"/>
          <w:szCs w:val="24"/>
          <w:highlight w:val="none"/>
        </w:rPr>
        <w:t>日前，无论出于何种原因，采购人或采购代理机构可主动地或在解答投标人提出的澄清问题时对招标文件进行修改，修改的内容为招标文件的组成部分。</w:t>
      </w:r>
    </w:p>
    <w:p w14:paraId="4A3D5701">
      <w:pPr>
        <w:spacing w:line="360" w:lineRule="auto"/>
        <w:ind w:firstLine="480" w:firstLineChars="200"/>
        <w:rPr>
          <w:rFonts w:hint="default" w:ascii="宋体" w:eastAsia="宋体" w:cs="宋体"/>
          <w:sz w:val="24"/>
          <w:szCs w:val="24"/>
          <w:highlight w:val="none"/>
          <w:lang w:val="en-US" w:eastAsia="zh-CN"/>
        </w:rPr>
      </w:pPr>
      <w:r>
        <w:rPr>
          <w:rFonts w:ascii="宋体" w:hAnsi="宋体" w:cs="宋体"/>
          <w:sz w:val="24"/>
          <w:szCs w:val="24"/>
          <w:highlight w:val="none"/>
        </w:rPr>
        <w:t xml:space="preserve">8.2 </w:t>
      </w:r>
      <w:r>
        <w:rPr>
          <w:rFonts w:hint="eastAsia" w:ascii="宋体" w:hAnsi="宋体" w:cs="宋体"/>
          <w:sz w:val="24"/>
          <w:szCs w:val="24"/>
          <w:highlight w:val="none"/>
        </w:rPr>
        <w:t>对招标文件的修改，将以变更形式上传至新疆政府采购网（政采云平台），澄清和修改将作为招标文件的组成部分，对所有投标人具有约束力。投标人自行网上查阅上传的每一份补充文件。如投标人因个人原因未在新疆政府采购网（政采云平台）查阅已上传的补充文件，造成的后果由投标人自行承担</w:t>
      </w:r>
      <w:r>
        <w:rPr>
          <w:rFonts w:hint="eastAsia" w:ascii="宋体" w:hAnsi="宋体" w:cs="宋体"/>
          <w:sz w:val="24"/>
          <w:szCs w:val="24"/>
          <w:highlight w:val="none"/>
          <w:lang w:val="en-US" w:eastAsia="zh-CN"/>
        </w:rPr>
        <w:t>。</w:t>
      </w:r>
    </w:p>
    <w:p w14:paraId="526F55CE">
      <w:pPr>
        <w:spacing w:line="360" w:lineRule="auto"/>
        <w:ind w:firstLine="480" w:firstLineChars="200"/>
        <w:rPr>
          <w:rFonts w:ascii="宋体" w:cs="宋体"/>
          <w:sz w:val="24"/>
          <w:szCs w:val="24"/>
          <w:highlight w:val="none"/>
        </w:rPr>
      </w:pPr>
      <w:r>
        <w:rPr>
          <w:rFonts w:ascii="宋体" w:hAnsi="宋体" w:cs="宋体"/>
          <w:sz w:val="24"/>
          <w:szCs w:val="24"/>
          <w:highlight w:val="none"/>
        </w:rPr>
        <w:t>8.3</w:t>
      </w:r>
      <w:r>
        <w:rPr>
          <w:rFonts w:hint="eastAsia" w:ascii="宋体" w:hAnsi="宋体" w:cs="宋体"/>
          <w:sz w:val="24"/>
          <w:szCs w:val="24"/>
          <w:highlight w:val="none"/>
        </w:rPr>
        <w:t>澄清或者修改的内容可能影响投标文件编制的，为使投标人准备投标时有充分时间对招标文件的修改部分进行研究，采购人或采购代理机构可适当延长投标截止时间。并以</w:t>
      </w:r>
      <w:r>
        <w:rPr>
          <w:rFonts w:hint="eastAsia" w:ascii="宋体" w:hAnsi="宋体" w:cs="宋体"/>
          <w:sz w:val="24"/>
          <w:szCs w:val="24"/>
          <w:highlight w:val="none"/>
          <w:lang w:val="en-US" w:eastAsia="zh-CN"/>
        </w:rPr>
        <w:t>书面</w:t>
      </w:r>
      <w:r>
        <w:rPr>
          <w:rFonts w:hint="eastAsia" w:ascii="宋体" w:hAnsi="宋体" w:cs="宋体"/>
          <w:sz w:val="24"/>
          <w:szCs w:val="24"/>
          <w:highlight w:val="none"/>
        </w:rPr>
        <w:t>形式通知所有购买招标文件的投标人。</w:t>
      </w:r>
    </w:p>
    <w:p w14:paraId="548A3ED4">
      <w:pPr>
        <w:spacing w:line="360" w:lineRule="auto"/>
        <w:ind w:firstLine="482" w:firstLineChars="200"/>
        <w:rPr>
          <w:rFonts w:ascii="宋体" w:cs="宋体"/>
          <w:b/>
          <w:sz w:val="24"/>
          <w:szCs w:val="24"/>
          <w:highlight w:val="none"/>
        </w:rPr>
      </w:pPr>
      <w:r>
        <w:rPr>
          <w:rFonts w:ascii="宋体" w:hAnsi="宋体" w:cs="宋体"/>
          <w:b/>
          <w:sz w:val="24"/>
          <w:szCs w:val="24"/>
          <w:highlight w:val="none"/>
        </w:rPr>
        <w:t>9.</w:t>
      </w:r>
      <w:r>
        <w:rPr>
          <w:rFonts w:hint="eastAsia" w:ascii="宋体" w:hAnsi="宋体" w:cs="宋体"/>
          <w:b/>
          <w:sz w:val="24"/>
          <w:szCs w:val="24"/>
          <w:highlight w:val="none"/>
        </w:rPr>
        <w:t>询问和质疑</w:t>
      </w:r>
    </w:p>
    <w:p w14:paraId="297A3EE6">
      <w:pPr>
        <w:spacing w:line="360" w:lineRule="auto"/>
        <w:ind w:firstLine="480" w:firstLineChars="200"/>
        <w:rPr>
          <w:rFonts w:ascii="宋体" w:cs="宋体"/>
          <w:sz w:val="24"/>
          <w:szCs w:val="24"/>
          <w:highlight w:val="none"/>
        </w:rPr>
      </w:pPr>
      <w:r>
        <w:rPr>
          <w:rFonts w:ascii="宋体" w:hAnsi="宋体" w:cs="宋体"/>
          <w:sz w:val="24"/>
          <w:szCs w:val="24"/>
          <w:highlight w:val="none"/>
        </w:rPr>
        <w:t>9.1</w:t>
      </w:r>
      <w:r>
        <w:rPr>
          <w:rFonts w:hint="eastAsia" w:ascii="宋体" w:hAnsi="宋体" w:cs="宋体"/>
          <w:sz w:val="24"/>
          <w:szCs w:val="24"/>
          <w:highlight w:val="none"/>
        </w:rPr>
        <w:t>投标人对政府采购活动事项有疑问的，可以提出询问；</w:t>
      </w:r>
    </w:p>
    <w:p w14:paraId="7B293C5D">
      <w:pPr>
        <w:spacing w:line="360" w:lineRule="auto"/>
        <w:ind w:firstLine="480" w:firstLineChars="200"/>
        <w:rPr>
          <w:rFonts w:ascii="宋体" w:cs="宋体"/>
          <w:sz w:val="24"/>
          <w:szCs w:val="24"/>
          <w:highlight w:val="none"/>
        </w:rPr>
      </w:pPr>
      <w:r>
        <w:rPr>
          <w:rFonts w:ascii="宋体" w:hAnsi="宋体" w:cs="宋体"/>
          <w:sz w:val="24"/>
          <w:szCs w:val="24"/>
          <w:highlight w:val="none"/>
        </w:rPr>
        <w:t>9.2</w:t>
      </w:r>
      <w:r>
        <w:rPr>
          <w:rFonts w:hint="eastAsia" w:ascii="宋体" w:hAnsi="宋体" w:cs="宋体"/>
          <w:sz w:val="24"/>
          <w:szCs w:val="24"/>
          <w:highlight w:val="none"/>
        </w:rPr>
        <w:t>投标人认为采购文件、采购过程、中标或者成交结果使自己的权益受到损害的，可以在知道或者应知权益受到损害之日起</w:t>
      </w:r>
      <w:r>
        <w:rPr>
          <w:rFonts w:ascii="宋体" w:hAnsi="宋体" w:cs="宋体"/>
          <w:sz w:val="24"/>
          <w:szCs w:val="24"/>
          <w:highlight w:val="none"/>
        </w:rPr>
        <w:t>7</w:t>
      </w:r>
      <w:r>
        <w:rPr>
          <w:rFonts w:hint="eastAsia" w:ascii="宋体" w:hAnsi="宋体" w:cs="宋体"/>
          <w:sz w:val="24"/>
          <w:szCs w:val="24"/>
          <w:highlight w:val="none"/>
        </w:rPr>
        <w:t>个工作日内，提出质疑。</w:t>
      </w:r>
    </w:p>
    <w:p w14:paraId="55E18209">
      <w:pPr>
        <w:spacing w:line="360" w:lineRule="auto"/>
        <w:ind w:firstLine="480" w:firstLineChars="200"/>
        <w:rPr>
          <w:rFonts w:ascii="宋体" w:cs="宋体"/>
          <w:sz w:val="24"/>
          <w:szCs w:val="24"/>
          <w:highlight w:val="none"/>
        </w:rPr>
      </w:pPr>
      <w:r>
        <w:rPr>
          <w:rFonts w:ascii="宋体" w:hAnsi="宋体" w:cs="宋体"/>
          <w:sz w:val="24"/>
          <w:szCs w:val="24"/>
          <w:highlight w:val="none"/>
        </w:rPr>
        <w:t>9.3</w:t>
      </w:r>
      <w:r>
        <w:rPr>
          <w:rFonts w:hint="eastAsia" w:ascii="宋体" w:hAnsi="宋体" w:cs="宋体"/>
          <w:sz w:val="24"/>
          <w:szCs w:val="24"/>
          <w:highlight w:val="none"/>
        </w:rPr>
        <w:t>接收质疑函的方式：投标人应提交书面质疑函，投标人应在法定质疑期内一次性提出针对同一采购程序环节的质疑。</w:t>
      </w:r>
    </w:p>
    <w:p w14:paraId="670D167C">
      <w:pPr>
        <w:spacing w:line="360" w:lineRule="auto"/>
        <w:ind w:firstLine="480" w:firstLineChars="200"/>
        <w:rPr>
          <w:rFonts w:ascii="宋体" w:cs="宋体"/>
          <w:sz w:val="24"/>
          <w:szCs w:val="24"/>
          <w:highlight w:val="none"/>
        </w:rPr>
      </w:pPr>
      <w:r>
        <w:rPr>
          <w:rFonts w:ascii="宋体" w:hAnsi="宋体" w:cs="宋体"/>
          <w:sz w:val="24"/>
          <w:szCs w:val="24"/>
          <w:highlight w:val="none"/>
        </w:rPr>
        <w:t>9.4</w:t>
      </w:r>
      <w:r>
        <w:rPr>
          <w:rFonts w:hint="eastAsia" w:ascii="宋体" w:hAnsi="宋体" w:cs="宋体"/>
          <w:sz w:val="24"/>
          <w:szCs w:val="24"/>
          <w:highlight w:val="none"/>
        </w:rPr>
        <w:t>投标人提出质疑应当提交质疑函和必要的证明材料。质疑函应当包括下列内容：</w:t>
      </w:r>
    </w:p>
    <w:p w14:paraId="3903BD1B">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）投标人的姓名或者名称、地址、邮编、联系人及联系电话；</w:t>
      </w:r>
    </w:p>
    <w:p w14:paraId="4A1A1E1E">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）质疑项目的名称、编号；</w:t>
      </w:r>
    </w:p>
    <w:p w14:paraId="14DA62EC">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3</w:t>
      </w:r>
      <w:r>
        <w:rPr>
          <w:rFonts w:hint="eastAsia" w:ascii="宋体" w:hAnsi="宋体" w:cs="宋体"/>
          <w:sz w:val="24"/>
          <w:szCs w:val="24"/>
          <w:highlight w:val="none"/>
        </w:rPr>
        <w:t>）具体、明确的质疑事项和与质疑事项相关的请求；</w:t>
      </w:r>
    </w:p>
    <w:p w14:paraId="6AD1198C">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4</w:t>
      </w:r>
      <w:r>
        <w:rPr>
          <w:rFonts w:hint="eastAsia" w:ascii="宋体" w:hAnsi="宋体" w:cs="宋体"/>
          <w:sz w:val="24"/>
          <w:szCs w:val="24"/>
          <w:highlight w:val="none"/>
        </w:rPr>
        <w:t>）事实依据；</w:t>
      </w:r>
    </w:p>
    <w:p w14:paraId="30A95B48">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5</w:t>
      </w:r>
      <w:r>
        <w:rPr>
          <w:rFonts w:hint="eastAsia" w:ascii="宋体" w:hAnsi="宋体" w:cs="宋体"/>
          <w:sz w:val="24"/>
          <w:szCs w:val="24"/>
          <w:highlight w:val="none"/>
        </w:rPr>
        <w:t>）必要的法律依据；</w:t>
      </w:r>
    </w:p>
    <w:p w14:paraId="705807CB">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6</w:t>
      </w:r>
      <w:r>
        <w:rPr>
          <w:rFonts w:hint="eastAsia" w:ascii="宋体" w:hAnsi="宋体" w:cs="宋体"/>
          <w:sz w:val="24"/>
          <w:szCs w:val="24"/>
          <w:highlight w:val="none"/>
        </w:rPr>
        <w:t>）提出质疑的日期。</w:t>
      </w:r>
    </w:p>
    <w:p w14:paraId="1C19F5DB">
      <w:pPr>
        <w:spacing w:line="360" w:lineRule="auto"/>
        <w:ind w:firstLine="480" w:firstLineChars="200"/>
        <w:rPr>
          <w:rFonts w:ascii="宋体" w:cs="宋体"/>
          <w:sz w:val="24"/>
          <w:szCs w:val="24"/>
          <w:highlight w:val="none"/>
        </w:rPr>
      </w:pPr>
      <w:r>
        <w:rPr>
          <w:rFonts w:ascii="宋体" w:hAnsi="宋体" w:cs="宋体"/>
          <w:sz w:val="24"/>
          <w:szCs w:val="24"/>
          <w:highlight w:val="none"/>
        </w:rPr>
        <w:t>9.5</w:t>
      </w:r>
      <w:r>
        <w:rPr>
          <w:rFonts w:hint="eastAsia" w:ascii="宋体" w:hAnsi="宋体" w:cs="宋体"/>
          <w:sz w:val="24"/>
          <w:szCs w:val="24"/>
          <w:highlight w:val="none"/>
        </w:rPr>
        <w:t>投标人为自然人的，质疑函应当由本人签字；投标人为法人或者其他组织的，质疑函应当由法定代表人、主要负责人，或者其授权代表签字或者盖章，并加盖公章。</w:t>
      </w:r>
    </w:p>
    <w:p w14:paraId="6CEC1A79">
      <w:pPr>
        <w:spacing w:line="360" w:lineRule="auto"/>
        <w:ind w:firstLine="480" w:firstLineChars="200"/>
        <w:rPr>
          <w:rFonts w:ascii="宋体" w:cs="宋体"/>
          <w:sz w:val="24"/>
          <w:szCs w:val="24"/>
          <w:highlight w:val="none"/>
        </w:rPr>
      </w:pPr>
      <w:r>
        <w:rPr>
          <w:rFonts w:ascii="宋体" w:hAnsi="宋体" w:cs="宋体"/>
          <w:sz w:val="24"/>
          <w:szCs w:val="24"/>
          <w:highlight w:val="none"/>
        </w:rPr>
        <w:t>9.6</w:t>
      </w:r>
      <w:r>
        <w:rPr>
          <w:rFonts w:hint="eastAsia" w:ascii="宋体" w:hAnsi="宋体" w:cs="宋体"/>
          <w:sz w:val="24"/>
          <w:szCs w:val="24"/>
          <w:highlight w:val="none"/>
        </w:rPr>
        <w:t>投标人委托代理人递交质疑函的，应提供法定代表人授权委托书和代理人身份证复印件。授权委托书应当载明代理人的姓名、授权事项、具体权限、期限和相关事项。投标人为自然人的，授权委托书应当由本人签字；投标人为法人或者其他组织的，授权委托书应当由法定代表人、主要负责人签字或者盖章，并加盖公章。</w:t>
      </w:r>
      <w:bookmarkStart w:id="47" w:name="_Toc497167393"/>
      <w:bookmarkStart w:id="48" w:name="_Toc2355230"/>
      <w:bookmarkStart w:id="49" w:name="_Toc14776838"/>
      <w:bookmarkStart w:id="50" w:name="_Toc493422650"/>
      <w:bookmarkStart w:id="51" w:name="_Toc322446891"/>
      <w:bookmarkStart w:id="52" w:name="_Toc2511971"/>
    </w:p>
    <w:p w14:paraId="27A549DE">
      <w:pPr>
        <w:spacing w:line="360" w:lineRule="auto"/>
        <w:rPr>
          <w:rFonts w:ascii="宋体" w:cs="宋体"/>
          <w:b/>
          <w:sz w:val="24"/>
          <w:szCs w:val="24"/>
          <w:highlight w:val="none"/>
        </w:rPr>
      </w:pPr>
      <w:r>
        <w:rPr>
          <w:rFonts w:hint="eastAsia" w:ascii="宋体" w:hAnsi="宋体" w:cs="宋体"/>
          <w:b/>
          <w:sz w:val="24"/>
          <w:szCs w:val="24"/>
          <w:highlight w:val="none"/>
        </w:rPr>
        <w:t>三、投标文件的编制</w:t>
      </w:r>
      <w:bookmarkEnd w:id="47"/>
      <w:bookmarkEnd w:id="48"/>
      <w:bookmarkEnd w:id="49"/>
      <w:bookmarkEnd w:id="50"/>
      <w:bookmarkEnd w:id="51"/>
      <w:bookmarkEnd w:id="52"/>
    </w:p>
    <w:p w14:paraId="1A4E4EA1">
      <w:pPr>
        <w:spacing w:line="360" w:lineRule="auto"/>
        <w:ind w:firstLine="482" w:firstLineChars="200"/>
        <w:rPr>
          <w:rFonts w:ascii="宋体" w:cs="宋体"/>
          <w:b/>
          <w:sz w:val="24"/>
          <w:szCs w:val="24"/>
          <w:highlight w:val="none"/>
        </w:rPr>
      </w:pPr>
      <w:r>
        <w:rPr>
          <w:rFonts w:ascii="宋体" w:hAnsi="宋体" w:cs="宋体"/>
          <w:b/>
          <w:sz w:val="24"/>
          <w:szCs w:val="24"/>
          <w:highlight w:val="none"/>
        </w:rPr>
        <w:t>10.</w:t>
      </w:r>
      <w:r>
        <w:rPr>
          <w:rFonts w:hint="eastAsia" w:ascii="宋体" w:hAnsi="宋体" w:cs="宋体"/>
          <w:b/>
          <w:sz w:val="24"/>
          <w:szCs w:val="24"/>
          <w:highlight w:val="none"/>
        </w:rPr>
        <w:t>编制要求</w:t>
      </w:r>
    </w:p>
    <w:p w14:paraId="7CB1B7F8">
      <w:pPr>
        <w:tabs>
          <w:tab w:val="left" w:pos="900"/>
        </w:tabs>
        <w:spacing w:line="360" w:lineRule="auto"/>
        <w:ind w:firstLine="480" w:firstLineChars="200"/>
        <w:rPr>
          <w:rFonts w:ascii="宋体" w:cs="宋体"/>
          <w:sz w:val="24"/>
          <w:szCs w:val="24"/>
          <w:highlight w:val="none"/>
        </w:rPr>
      </w:pPr>
      <w:r>
        <w:rPr>
          <w:rFonts w:ascii="宋体" w:hAnsi="宋体" w:cs="宋体"/>
          <w:sz w:val="24"/>
          <w:szCs w:val="24"/>
          <w:highlight w:val="none"/>
        </w:rPr>
        <w:t>10.1</w:t>
      </w:r>
      <w:r>
        <w:rPr>
          <w:rFonts w:hint="eastAsia" w:ascii="宋体" w:hAnsi="宋体" w:cs="宋体"/>
          <w:sz w:val="24"/>
          <w:szCs w:val="24"/>
          <w:highlight w:val="none"/>
        </w:rPr>
        <w:t>投标人应认真阅读招标文件的所有内容，按招标文件的要求提供投标文件，投标文件应当对招标文件提出的要求和条件作出明确响应，并保证所提供的全部资料的真实性、完整性，以使其投标文件对招标文件做出实质性响应。</w:t>
      </w:r>
    </w:p>
    <w:p w14:paraId="0101B66C">
      <w:pPr>
        <w:tabs>
          <w:tab w:val="left" w:pos="900"/>
        </w:tabs>
        <w:spacing w:line="360" w:lineRule="auto"/>
        <w:ind w:firstLine="480" w:firstLineChars="200"/>
        <w:rPr>
          <w:rFonts w:ascii="宋体" w:cs="宋体"/>
          <w:sz w:val="24"/>
          <w:szCs w:val="24"/>
          <w:highlight w:val="none"/>
        </w:rPr>
      </w:pPr>
      <w:r>
        <w:rPr>
          <w:rFonts w:ascii="宋体" w:hAnsi="宋体" w:cs="宋体"/>
          <w:sz w:val="24"/>
          <w:szCs w:val="24"/>
          <w:highlight w:val="none"/>
        </w:rPr>
        <w:t>10.2</w:t>
      </w:r>
      <w:r>
        <w:rPr>
          <w:rFonts w:hint="eastAsia" w:ascii="宋体" w:hAnsi="宋体" w:cs="宋体"/>
          <w:sz w:val="24"/>
          <w:szCs w:val="24"/>
          <w:highlight w:val="none"/>
        </w:rPr>
        <w:t>采购人或采购代理机构有权随时检查投标人所提供的全部资料的真实性。如果发现投标人在投标资料中使用有虚假的证明材料的，由此所产生的经济责任和法律责任由投标人自行承担。</w:t>
      </w:r>
    </w:p>
    <w:p w14:paraId="7B51E768">
      <w:pPr>
        <w:pStyle w:val="6"/>
        <w:tabs>
          <w:tab w:val="left" w:pos="840"/>
        </w:tabs>
        <w:spacing w:line="360" w:lineRule="auto"/>
        <w:ind w:firstLine="480" w:firstLineChars="200"/>
        <w:rPr>
          <w:rFonts w:ascii="宋体" w:cs="宋体"/>
          <w:sz w:val="24"/>
          <w:szCs w:val="24"/>
          <w:highlight w:val="none"/>
        </w:rPr>
      </w:pPr>
      <w:r>
        <w:rPr>
          <w:rFonts w:ascii="宋体" w:hAnsi="宋体" w:cs="宋体"/>
          <w:sz w:val="24"/>
          <w:szCs w:val="24"/>
          <w:highlight w:val="none"/>
        </w:rPr>
        <w:t>10.3</w:t>
      </w:r>
      <w:r>
        <w:rPr>
          <w:rFonts w:hint="eastAsia" w:ascii="宋体" w:hAnsi="宋体" w:cs="宋体"/>
          <w:sz w:val="24"/>
          <w:szCs w:val="24"/>
          <w:highlight w:val="none"/>
        </w:rPr>
        <w:t>投标的语言</w:t>
      </w:r>
    </w:p>
    <w:p w14:paraId="1ADA5AB6">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投标人提交的投标文件以及投标人与采购代理机构就有关投标的所有来往函电均应以中文书写，且以之为准。</w:t>
      </w:r>
    </w:p>
    <w:p w14:paraId="003BC762">
      <w:pPr>
        <w:spacing w:line="360" w:lineRule="auto"/>
        <w:ind w:firstLine="482" w:firstLineChars="200"/>
        <w:rPr>
          <w:rFonts w:ascii="宋体" w:cs="宋体"/>
          <w:b/>
          <w:sz w:val="24"/>
          <w:szCs w:val="24"/>
          <w:highlight w:val="none"/>
        </w:rPr>
      </w:pPr>
      <w:r>
        <w:rPr>
          <w:rFonts w:ascii="宋体" w:hAnsi="宋体" w:cs="宋体"/>
          <w:b/>
          <w:sz w:val="24"/>
          <w:szCs w:val="24"/>
          <w:highlight w:val="none"/>
        </w:rPr>
        <w:t>11.</w:t>
      </w:r>
      <w:r>
        <w:rPr>
          <w:rFonts w:hint="eastAsia" w:ascii="宋体" w:hAnsi="宋体" w:cs="宋体"/>
          <w:b/>
          <w:sz w:val="24"/>
          <w:szCs w:val="24"/>
          <w:highlight w:val="none"/>
        </w:rPr>
        <w:t>投标文件构成</w:t>
      </w:r>
    </w:p>
    <w:p w14:paraId="166B8750">
      <w:pPr>
        <w:spacing w:line="360" w:lineRule="auto"/>
        <w:ind w:firstLine="480" w:firstLineChars="200"/>
        <w:rPr>
          <w:rFonts w:ascii="宋体" w:cs="宋体"/>
          <w:sz w:val="24"/>
          <w:szCs w:val="24"/>
          <w:highlight w:val="none"/>
        </w:rPr>
      </w:pPr>
      <w:r>
        <w:rPr>
          <w:rFonts w:ascii="宋体" w:hAnsi="宋体" w:cs="宋体"/>
          <w:sz w:val="24"/>
          <w:szCs w:val="24"/>
          <w:highlight w:val="none"/>
        </w:rPr>
        <w:t>11.1</w:t>
      </w:r>
      <w:r>
        <w:rPr>
          <w:rFonts w:hint="eastAsia" w:ascii="宋体" w:hAnsi="宋体" w:cs="宋体"/>
          <w:sz w:val="24"/>
          <w:szCs w:val="24"/>
          <w:highlight w:val="none"/>
        </w:rPr>
        <w:t>投标人编写的投标文件应包括下列部分：</w:t>
      </w:r>
    </w:p>
    <w:p w14:paraId="2DD23912">
      <w:pPr>
        <w:tabs>
          <w:tab w:val="left" w:pos="900"/>
        </w:tabs>
        <w:spacing w:line="360" w:lineRule="auto"/>
        <w:ind w:firstLine="240" w:firstLineChars="1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）资格证明材料部分：按照本须知第</w:t>
      </w:r>
      <w:r>
        <w:rPr>
          <w:rFonts w:ascii="宋体" w:hAnsi="宋体" w:cs="宋体"/>
          <w:sz w:val="24"/>
          <w:szCs w:val="24"/>
          <w:highlight w:val="none"/>
        </w:rPr>
        <w:t>15</w:t>
      </w:r>
      <w:r>
        <w:rPr>
          <w:rFonts w:hint="eastAsia" w:ascii="宋体" w:hAnsi="宋体" w:cs="宋体"/>
          <w:sz w:val="24"/>
          <w:szCs w:val="24"/>
          <w:highlight w:val="none"/>
        </w:rPr>
        <w:t>条规定和第七章提供的格式提交。</w:t>
      </w:r>
    </w:p>
    <w:p w14:paraId="20D3810D">
      <w:pPr>
        <w:tabs>
          <w:tab w:val="left" w:pos="900"/>
        </w:tabs>
        <w:spacing w:line="360" w:lineRule="auto"/>
        <w:ind w:firstLine="240" w:firstLineChars="10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）商务部分：投标书、开标一览表、投标分项（明细）报价表、服务说明一览表、商务条款偏离表、法人代表授权书等，按照本须知第</w:t>
      </w:r>
      <w:r>
        <w:rPr>
          <w:rFonts w:ascii="宋体" w:hAnsi="宋体" w:cs="宋体"/>
          <w:sz w:val="24"/>
          <w:szCs w:val="24"/>
          <w:highlight w:val="none"/>
        </w:rPr>
        <w:t>15</w:t>
      </w:r>
      <w:r>
        <w:rPr>
          <w:rFonts w:hint="eastAsia" w:ascii="宋体" w:hAnsi="宋体" w:cs="宋体"/>
          <w:sz w:val="24"/>
          <w:szCs w:val="24"/>
          <w:highlight w:val="none"/>
        </w:rPr>
        <w:t>条规定和第七章提供的格式提交。</w:t>
      </w:r>
    </w:p>
    <w:p w14:paraId="521E6A2A">
      <w:pPr>
        <w:spacing w:line="360" w:lineRule="auto"/>
        <w:ind w:firstLine="240" w:firstLineChars="100"/>
        <w:rPr>
          <w:rFonts w:hint="eastAsia" w:ascii="宋体" w:eastAsia="宋体"/>
          <w:sz w:val="24"/>
          <w:highlight w:val="yellow"/>
          <w:lang w:eastAsia="zh-CN"/>
        </w:rPr>
      </w:pPr>
      <w:r>
        <w:rPr>
          <w:rFonts w:hint="eastAsia" w:ascii="宋体" w:hAnsi="宋体" w:cs="宋体"/>
          <w:sz w:val="24"/>
          <w:szCs w:val="24"/>
          <w:highlight w:val="none"/>
        </w:rPr>
        <w:t>（</w:t>
      </w:r>
      <w:r>
        <w:rPr>
          <w:rFonts w:ascii="宋体" w:hAnsi="宋体" w:cs="宋体"/>
          <w:sz w:val="24"/>
          <w:szCs w:val="24"/>
          <w:highlight w:val="none"/>
        </w:rPr>
        <w:t>3</w:t>
      </w:r>
      <w:r>
        <w:rPr>
          <w:rFonts w:hint="eastAsia" w:ascii="宋体" w:hAnsi="宋体" w:cs="宋体"/>
          <w:sz w:val="24"/>
          <w:szCs w:val="24"/>
          <w:highlight w:val="none"/>
        </w:rPr>
        <w:t>）技术部分：</w:t>
      </w:r>
      <w:r>
        <w:rPr>
          <w:rFonts w:hint="eastAsia" w:ascii="宋体"/>
          <w:sz w:val="24"/>
          <w:highlight w:val="none"/>
        </w:rPr>
        <w:t>技术参数、功能偏离表（按附件的格式提供，正、副本中均应附入）；</w:t>
      </w:r>
      <w:r>
        <w:rPr>
          <w:rFonts w:hint="eastAsia" w:ascii="宋体"/>
          <w:sz w:val="24"/>
          <w:highlight w:val="none"/>
          <w:lang w:val="en-US" w:eastAsia="zh-CN"/>
        </w:rPr>
        <w:t>项目实施方案、售后服务承诺</w:t>
      </w:r>
      <w:r>
        <w:rPr>
          <w:rFonts w:hint="eastAsia" w:ascii="宋体" w:hAnsi="宋体" w:cs="宋体"/>
          <w:sz w:val="24"/>
          <w:szCs w:val="22"/>
          <w:highlight w:val="none"/>
        </w:rPr>
        <w:t>等</w:t>
      </w:r>
      <w:r>
        <w:rPr>
          <w:rFonts w:hint="eastAsia" w:ascii="宋体" w:hAnsi="宋体" w:cs="宋体"/>
          <w:sz w:val="24"/>
          <w:szCs w:val="22"/>
          <w:highlight w:val="none"/>
          <w:lang w:eastAsia="zh-CN"/>
        </w:rPr>
        <w:t>、</w:t>
      </w:r>
      <w:r>
        <w:rPr>
          <w:rFonts w:hint="eastAsia" w:ascii="宋体" w:hAnsi="宋体"/>
          <w:sz w:val="24"/>
          <w:szCs w:val="24"/>
        </w:rPr>
        <w:t>培训方案</w:t>
      </w:r>
      <w:r>
        <w:rPr>
          <w:rFonts w:hint="eastAsia" w:ascii="宋体" w:hAnsi="宋体"/>
          <w:sz w:val="24"/>
          <w:szCs w:val="24"/>
          <w:lang w:eastAsia="zh-CN"/>
        </w:rPr>
        <w:t>、</w:t>
      </w:r>
      <w:r>
        <w:rPr>
          <w:rFonts w:hint="eastAsia" w:ascii="宋体" w:hAnsi="宋体"/>
          <w:sz w:val="24"/>
          <w:szCs w:val="24"/>
          <w:lang w:val="en-US" w:eastAsia="zh-CN"/>
        </w:rPr>
        <w:t>保密方案</w:t>
      </w:r>
      <w:r>
        <w:rPr>
          <w:rFonts w:hint="eastAsia" w:ascii="宋体" w:hAnsi="宋体" w:cs="宋体"/>
          <w:sz w:val="24"/>
          <w:szCs w:val="22"/>
          <w:highlight w:val="none"/>
          <w:lang w:eastAsia="zh-CN"/>
        </w:rPr>
        <w:t>；</w:t>
      </w:r>
    </w:p>
    <w:p w14:paraId="350048B8">
      <w:pPr>
        <w:spacing w:line="360" w:lineRule="auto"/>
        <w:ind w:firstLine="240" w:firstLineChars="100"/>
        <w:rPr>
          <w:rFonts w:ascii="宋体"/>
          <w:sz w:val="24"/>
          <w:highlight w:val="none"/>
        </w:rPr>
      </w:pPr>
      <w:r>
        <w:rPr>
          <w:rFonts w:hint="eastAsia" w:ascii="宋体"/>
          <w:sz w:val="24"/>
          <w:highlight w:val="none"/>
        </w:rPr>
        <w:t>（4）所提供产品的详细说明</w:t>
      </w:r>
      <w:r>
        <w:rPr>
          <w:rFonts w:hint="eastAsia" w:ascii="宋体" w:hAnsi="宋体"/>
          <w:sz w:val="24"/>
          <w:highlight w:val="none"/>
        </w:rPr>
        <w:t>（在招标文件中详细说明所提供技术规格、性能及辅助材料的品牌、型号规格、加工工艺等）及备品、备件、耗材表</w:t>
      </w:r>
      <w:r>
        <w:rPr>
          <w:rFonts w:hint="eastAsia" w:ascii="宋体"/>
          <w:sz w:val="24"/>
          <w:highlight w:val="none"/>
        </w:rPr>
        <w:t>；</w:t>
      </w:r>
    </w:p>
    <w:p w14:paraId="4E5D53A7">
      <w:pPr>
        <w:spacing w:line="360" w:lineRule="auto"/>
        <w:ind w:firstLine="240" w:firstLineChars="100"/>
        <w:rPr>
          <w:rFonts w:ascii="宋体"/>
          <w:sz w:val="24"/>
          <w:highlight w:val="none"/>
        </w:rPr>
      </w:pPr>
      <w:r>
        <w:rPr>
          <w:rFonts w:hint="eastAsia" w:ascii="宋体"/>
          <w:sz w:val="24"/>
          <w:highlight w:val="none"/>
        </w:rPr>
        <w:t>（5）所提供产品相关技术人员的配备情况；</w:t>
      </w:r>
    </w:p>
    <w:p w14:paraId="30DDE3F5">
      <w:pPr>
        <w:spacing w:line="360" w:lineRule="auto"/>
        <w:ind w:firstLine="240" w:firstLineChars="100"/>
        <w:rPr>
          <w:rFonts w:ascii="宋体"/>
          <w:sz w:val="24"/>
          <w:highlight w:val="none"/>
        </w:rPr>
      </w:pPr>
      <w:r>
        <w:rPr>
          <w:rFonts w:hint="eastAsia" w:ascii="宋体"/>
          <w:sz w:val="24"/>
          <w:highlight w:val="none"/>
        </w:rPr>
        <w:t>（6）产品质量检测报告；</w:t>
      </w:r>
    </w:p>
    <w:p w14:paraId="4A351717">
      <w:pPr>
        <w:spacing w:line="360" w:lineRule="auto"/>
        <w:ind w:firstLine="240" w:firstLineChars="100"/>
        <w:rPr>
          <w:rFonts w:ascii="宋体"/>
          <w:sz w:val="24"/>
          <w:highlight w:val="none"/>
        </w:rPr>
      </w:pPr>
      <w:r>
        <w:rPr>
          <w:rFonts w:hint="eastAsia" w:ascii="宋体"/>
          <w:sz w:val="24"/>
          <w:highlight w:val="none"/>
        </w:rPr>
        <w:t>（7）产品彩页、备品备件表；</w:t>
      </w:r>
    </w:p>
    <w:p w14:paraId="4534096E">
      <w:pPr>
        <w:adjustRightInd w:val="0"/>
        <w:spacing w:line="360" w:lineRule="auto"/>
        <w:ind w:firstLine="240" w:firstLineChars="100"/>
        <w:jc w:val="left"/>
        <w:textAlignment w:val="baseline"/>
        <w:rPr>
          <w:rFonts w:ascii="宋体" w:hAnsi="宋体"/>
          <w:kern w:val="0"/>
          <w:sz w:val="24"/>
          <w:szCs w:val="24"/>
          <w:highlight w:val="none"/>
        </w:rPr>
      </w:pPr>
      <w:r>
        <w:rPr>
          <w:rFonts w:hint="eastAsia" w:ascii="宋体"/>
          <w:sz w:val="24"/>
          <w:highlight w:val="none"/>
        </w:rPr>
        <w:t>（</w:t>
      </w:r>
      <w:r>
        <w:rPr>
          <w:rFonts w:ascii="宋体"/>
          <w:sz w:val="24"/>
          <w:highlight w:val="none"/>
        </w:rPr>
        <w:t>8</w:t>
      </w:r>
      <w:r>
        <w:rPr>
          <w:rFonts w:hint="eastAsia" w:ascii="宋体"/>
          <w:sz w:val="24"/>
          <w:highlight w:val="none"/>
        </w:rPr>
        <w:t>）</w:t>
      </w:r>
      <w:r>
        <w:rPr>
          <w:rFonts w:hint="eastAsia" w:ascii="宋体" w:hAnsi="宋体" w:cs="宋体"/>
          <w:sz w:val="24"/>
          <w:szCs w:val="24"/>
          <w:highlight w:val="none"/>
        </w:rPr>
        <w:t>证明投标人履约能力的文件（本须知</w:t>
      </w:r>
      <w:r>
        <w:rPr>
          <w:rFonts w:ascii="宋体" w:hAnsi="宋体" w:cs="宋体"/>
          <w:sz w:val="24"/>
          <w:szCs w:val="24"/>
          <w:highlight w:val="none"/>
        </w:rPr>
        <w:t>15</w:t>
      </w:r>
      <w:r>
        <w:rPr>
          <w:rFonts w:hint="eastAsia" w:ascii="宋体" w:hAnsi="宋体" w:cs="宋体"/>
          <w:sz w:val="24"/>
          <w:szCs w:val="24"/>
          <w:highlight w:val="none"/>
        </w:rPr>
        <w:t>条内容）</w:t>
      </w:r>
      <w:r>
        <w:rPr>
          <w:rFonts w:hint="eastAsia" w:ascii="宋体" w:hAnsi="宋体"/>
          <w:sz w:val="24"/>
          <w:szCs w:val="24"/>
          <w:highlight w:val="none"/>
        </w:rPr>
        <w:t>；</w:t>
      </w:r>
    </w:p>
    <w:p w14:paraId="2CE531E2">
      <w:pPr>
        <w:adjustRightInd w:val="0"/>
        <w:spacing w:line="360" w:lineRule="auto"/>
        <w:ind w:firstLine="480" w:firstLineChars="200"/>
        <w:jc w:val="left"/>
        <w:textAlignment w:val="baseline"/>
        <w:rPr>
          <w:highlight w:val="none"/>
        </w:rPr>
      </w:pPr>
      <w:r>
        <w:rPr>
          <w:rFonts w:hint="eastAsia" w:ascii="宋体" w:hAnsi="宋体"/>
          <w:sz w:val="24"/>
          <w:szCs w:val="24"/>
          <w:highlight w:val="none"/>
        </w:rPr>
        <w:t>投标人应将响应文件详列目录装订成册，并编制“目录、页码”，以便阅读。</w:t>
      </w:r>
    </w:p>
    <w:p w14:paraId="6D873DFD">
      <w:pPr>
        <w:spacing w:line="360" w:lineRule="auto"/>
        <w:ind w:firstLine="482" w:firstLineChars="200"/>
        <w:rPr>
          <w:rFonts w:ascii="宋体" w:cs="宋体"/>
          <w:b/>
          <w:sz w:val="24"/>
          <w:szCs w:val="24"/>
          <w:highlight w:val="none"/>
        </w:rPr>
      </w:pPr>
      <w:r>
        <w:rPr>
          <w:rFonts w:ascii="宋体" w:hAnsi="宋体" w:cs="宋体"/>
          <w:b/>
          <w:sz w:val="24"/>
          <w:szCs w:val="24"/>
          <w:highlight w:val="none"/>
        </w:rPr>
        <w:t>12.</w:t>
      </w:r>
      <w:r>
        <w:rPr>
          <w:rFonts w:hint="eastAsia" w:ascii="宋体" w:hAnsi="宋体" w:cs="宋体"/>
          <w:b/>
          <w:sz w:val="24"/>
          <w:szCs w:val="24"/>
          <w:highlight w:val="none"/>
        </w:rPr>
        <w:t>投标文件格式</w:t>
      </w:r>
    </w:p>
    <w:p w14:paraId="28889A0A">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12.1 </w:t>
      </w:r>
      <w:r>
        <w:rPr>
          <w:rFonts w:hint="eastAsia" w:ascii="宋体" w:hAnsi="宋体" w:cs="宋体"/>
          <w:sz w:val="24"/>
          <w:szCs w:val="24"/>
        </w:rPr>
        <w:t>投标人应按招标文件第</w:t>
      </w:r>
      <w:r>
        <w:rPr>
          <w:rFonts w:ascii="宋体" w:hAnsi="宋体" w:cs="宋体"/>
          <w:sz w:val="24"/>
          <w:szCs w:val="24"/>
        </w:rPr>
        <w:t>11</w:t>
      </w:r>
      <w:r>
        <w:rPr>
          <w:rFonts w:hint="eastAsia" w:ascii="宋体" w:hAnsi="宋体" w:cs="宋体"/>
          <w:sz w:val="24"/>
          <w:szCs w:val="24"/>
        </w:rPr>
        <w:t>条的内容与要求和第七章提供的格式编写其投标文件，投标人不得缺少或留空任何招标文件要求填写的表格或提交的资料。</w:t>
      </w:r>
    </w:p>
    <w:p w14:paraId="7744EF2F">
      <w:pPr>
        <w:spacing w:line="360" w:lineRule="auto"/>
        <w:ind w:firstLine="480" w:firstLineChars="200"/>
        <w:rPr>
          <w:rFonts w:ascii="宋体" w:cs="宋体"/>
          <w:sz w:val="24"/>
          <w:szCs w:val="24"/>
          <w:highlight w:val="none"/>
        </w:rPr>
      </w:pPr>
      <w:r>
        <w:rPr>
          <w:rFonts w:ascii="宋体" w:hAnsi="宋体" w:cs="宋体"/>
          <w:sz w:val="24"/>
          <w:szCs w:val="24"/>
          <w:highlight w:val="none"/>
        </w:rPr>
        <w:t>12.2</w:t>
      </w:r>
      <w:r>
        <w:rPr>
          <w:rFonts w:hint="eastAsia" w:ascii="宋体" w:hAnsi="宋体" w:cs="宋体"/>
          <w:sz w:val="24"/>
          <w:szCs w:val="24"/>
          <w:highlight w:val="none"/>
        </w:rPr>
        <w:t>投标人应将投标文件按第</w:t>
      </w:r>
      <w:r>
        <w:rPr>
          <w:rFonts w:ascii="宋体" w:hAnsi="宋体" w:cs="宋体"/>
          <w:sz w:val="24"/>
          <w:szCs w:val="24"/>
          <w:highlight w:val="none"/>
        </w:rPr>
        <w:t>11</w:t>
      </w:r>
      <w:r>
        <w:rPr>
          <w:rFonts w:hint="eastAsia" w:ascii="宋体" w:hAnsi="宋体" w:cs="宋体"/>
          <w:sz w:val="24"/>
          <w:szCs w:val="24"/>
          <w:highlight w:val="none"/>
        </w:rPr>
        <w:t>条规定的顺序编排、并应编制目录、逐页标注连续页码。</w:t>
      </w:r>
    </w:p>
    <w:p w14:paraId="537FABFF">
      <w:pPr>
        <w:spacing w:line="360" w:lineRule="auto"/>
        <w:ind w:firstLine="482" w:firstLineChars="200"/>
        <w:rPr>
          <w:rFonts w:ascii="宋体" w:cs="宋体"/>
          <w:b/>
          <w:sz w:val="24"/>
          <w:szCs w:val="24"/>
          <w:highlight w:val="none"/>
        </w:rPr>
      </w:pPr>
      <w:r>
        <w:rPr>
          <w:rFonts w:ascii="宋体" w:hAnsi="宋体" w:cs="宋体"/>
          <w:b/>
          <w:sz w:val="24"/>
          <w:szCs w:val="24"/>
          <w:highlight w:val="none"/>
        </w:rPr>
        <w:t>13.</w:t>
      </w:r>
      <w:r>
        <w:rPr>
          <w:rFonts w:hint="eastAsia" w:ascii="宋体" w:hAnsi="宋体" w:cs="宋体"/>
          <w:b/>
          <w:sz w:val="24"/>
          <w:szCs w:val="24"/>
          <w:highlight w:val="none"/>
        </w:rPr>
        <w:t>投标报价</w:t>
      </w:r>
    </w:p>
    <w:p w14:paraId="00E4B1BA">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13.1 </w:t>
      </w:r>
      <w:r>
        <w:rPr>
          <w:rFonts w:hint="eastAsia" w:ascii="宋体" w:hAnsi="宋体" w:cs="宋体"/>
          <w:sz w:val="24"/>
          <w:szCs w:val="24"/>
          <w:highlight w:val="none"/>
        </w:rPr>
        <w:t>投标人应在投标分项报价表上标明本合同拟提供货物</w:t>
      </w:r>
      <w:r>
        <w:rPr>
          <w:rFonts w:ascii="宋体" w:hAnsi="宋体" w:cs="宋体"/>
          <w:sz w:val="24"/>
          <w:szCs w:val="24"/>
          <w:highlight w:val="none"/>
        </w:rPr>
        <w:t>/</w:t>
      </w:r>
      <w:r>
        <w:rPr>
          <w:rFonts w:hint="eastAsia" w:ascii="宋体" w:hAnsi="宋体" w:cs="宋体"/>
          <w:sz w:val="24"/>
          <w:szCs w:val="24"/>
          <w:highlight w:val="none"/>
        </w:rPr>
        <w:t>服务的单价和总价。</w:t>
      </w:r>
    </w:p>
    <w:p w14:paraId="1FF7257C">
      <w:pPr>
        <w:numPr>
          <w:ilvl w:val="1"/>
          <w:numId w:val="9"/>
        </w:numPr>
        <w:spacing w:line="360" w:lineRule="auto"/>
        <w:rPr>
          <w:rFonts w:ascii="宋体" w:cs="宋体"/>
          <w:sz w:val="24"/>
          <w:szCs w:val="24"/>
          <w:highlight w:val="none"/>
        </w:rPr>
      </w:pPr>
      <w:r>
        <w:rPr>
          <w:rFonts w:hint="eastAsia" w:ascii="宋体" w:hAnsi="宋体" w:cs="宋体"/>
          <w:sz w:val="24"/>
          <w:szCs w:val="24"/>
          <w:highlight w:val="none"/>
        </w:rPr>
        <w:t>投标分项报价表上的价格应按下列方式分开填写：</w:t>
      </w:r>
    </w:p>
    <w:p w14:paraId="3D80DE4D">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13.3 </w:t>
      </w:r>
      <w:r>
        <w:rPr>
          <w:rFonts w:hint="eastAsia" w:ascii="宋体" w:hAnsi="宋体" w:cs="宋体"/>
          <w:sz w:val="24"/>
          <w:szCs w:val="24"/>
          <w:highlight w:val="none"/>
        </w:rPr>
        <w:t>投标人对每项服务只允许有一个报价，采购人不接受有任何选择的报价。</w:t>
      </w:r>
    </w:p>
    <w:p w14:paraId="41C20F61">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13.4 </w:t>
      </w:r>
      <w:r>
        <w:rPr>
          <w:rFonts w:hint="eastAsia" w:ascii="宋体" w:hAnsi="宋体" w:cs="宋体"/>
          <w:sz w:val="24"/>
          <w:szCs w:val="24"/>
          <w:highlight w:val="none"/>
        </w:rPr>
        <w:t>投标人根据本须知第</w:t>
      </w:r>
      <w:r>
        <w:rPr>
          <w:rFonts w:ascii="宋体" w:hAnsi="宋体" w:cs="宋体"/>
          <w:sz w:val="24"/>
          <w:szCs w:val="24"/>
          <w:highlight w:val="none"/>
        </w:rPr>
        <w:t>13.2</w:t>
      </w:r>
      <w:r>
        <w:rPr>
          <w:rFonts w:hint="eastAsia" w:ascii="宋体" w:hAnsi="宋体" w:cs="宋体"/>
          <w:sz w:val="24"/>
          <w:szCs w:val="24"/>
          <w:highlight w:val="none"/>
        </w:rPr>
        <w:t>条的规定将投标价分成几部分，只是为了方便采购人或采购代理机构对投标文件进行比较，并不限制采购人以上述任何条件订立合同的权利。</w:t>
      </w:r>
    </w:p>
    <w:p w14:paraId="2F1DF1B9">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13.5 </w:t>
      </w:r>
      <w:r>
        <w:rPr>
          <w:rFonts w:hint="eastAsia" w:ascii="宋体" w:hAnsi="宋体" w:cs="宋体"/>
          <w:sz w:val="24"/>
          <w:szCs w:val="24"/>
          <w:highlight w:val="none"/>
        </w:rPr>
        <w:t>投标人所报的投标价在合同执行过程中是固定不变的，不得以任何理由予以变更。任何包含价格调整要求的投标，将被认为是非响应性投标而作无效投标处理。</w:t>
      </w:r>
    </w:p>
    <w:p w14:paraId="245CB4B6">
      <w:pPr>
        <w:spacing w:line="360" w:lineRule="auto"/>
        <w:ind w:firstLine="480" w:firstLineChars="200"/>
        <w:rPr>
          <w:rFonts w:ascii="宋体" w:cs="宋体"/>
          <w:sz w:val="24"/>
          <w:szCs w:val="24"/>
          <w:highlight w:val="none"/>
        </w:rPr>
      </w:pPr>
      <w:r>
        <w:rPr>
          <w:rFonts w:ascii="宋体" w:hAnsi="宋体" w:cs="宋体"/>
          <w:sz w:val="24"/>
          <w:szCs w:val="24"/>
          <w:highlight w:val="none"/>
        </w:rPr>
        <w:t>13.6</w:t>
      </w:r>
      <w:r>
        <w:rPr>
          <w:rFonts w:hint="eastAsia" w:ascii="宋体" w:hAnsi="宋体" w:cs="宋体"/>
          <w:sz w:val="24"/>
          <w:szCs w:val="24"/>
          <w:highlight w:val="none"/>
        </w:rPr>
        <w:t>投标人不得违反《中华人民共和国反不正当竞争法》的规定，以低于成本的价格销售货物或服务，否则应对其价格构成情况做出详细说明并提供相关证明资料。</w:t>
      </w:r>
      <w:r>
        <w:rPr>
          <w:rFonts w:hint="eastAsia" w:ascii="宋体" w:hAnsi="宋体" w:cs="宋体"/>
          <w:b/>
          <w:sz w:val="24"/>
          <w:szCs w:val="24"/>
          <w:highlight w:val="none"/>
          <w:u w:val="single"/>
        </w:rPr>
        <w:t>评标委员会认为投标人的报价明显低于其他通过符合性审查投标人的报价，有可能影响服务质量或者不能诚信履约的，应当要求其在评标现场合理的时间内</w:t>
      </w:r>
      <w:r>
        <w:rPr>
          <w:rFonts w:hint="eastAsia" w:ascii="宋体" w:hAnsi="宋体" w:cs="宋体"/>
          <w:b/>
          <w:sz w:val="24"/>
          <w:szCs w:val="24"/>
          <w:highlight w:val="none"/>
          <w:u w:val="single"/>
          <w:lang w:val="en-US" w:eastAsia="zh-CN"/>
        </w:rPr>
        <w:t>在线</w:t>
      </w:r>
      <w:r>
        <w:rPr>
          <w:rFonts w:hint="eastAsia" w:ascii="宋体" w:hAnsi="宋体" w:cs="宋体"/>
          <w:b/>
          <w:sz w:val="24"/>
          <w:szCs w:val="24"/>
          <w:highlight w:val="none"/>
          <w:u w:val="single"/>
        </w:rPr>
        <w:t>提供书面说明，必要时提交相关证明材料；投标人不能证明其报价合理性的，评标委员会应当将其作为无效投标处理。</w:t>
      </w:r>
      <w:r>
        <w:rPr>
          <w:rFonts w:hint="eastAsia" w:ascii="宋体" w:hAnsi="宋体" w:cs="宋体"/>
          <w:sz w:val="24"/>
          <w:szCs w:val="24"/>
          <w:highlight w:val="none"/>
        </w:rPr>
        <w:t>投标人的澄清、说明或者补正应当采用书面形式，由其授权代表签字</w:t>
      </w:r>
      <w:r>
        <w:rPr>
          <w:rFonts w:hint="eastAsia" w:ascii="宋体" w:hAnsi="宋体" w:cs="宋体"/>
          <w:sz w:val="24"/>
          <w:szCs w:val="24"/>
          <w:highlight w:val="none"/>
          <w:lang w:val="en-US" w:eastAsia="zh-CN"/>
        </w:rPr>
        <w:t>或盖投标人公章（电子章）</w:t>
      </w:r>
      <w:r>
        <w:rPr>
          <w:rFonts w:hint="eastAsia" w:ascii="宋体" w:hAnsi="宋体" w:cs="宋体"/>
          <w:sz w:val="24"/>
          <w:szCs w:val="24"/>
          <w:highlight w:val="none"/>
        </w:rPr>
        <w:t>，并不得超出投标文件的范围或者改变投标文件的实质性内容，书面承诺为其投标文件的组成部分。</w:t>
      </w:r>
    </w:p>
    <w:p w14:paraId="7BFC87D7">
      <w:pPr>
        <w:spacing w:line="360" w:lineRule="auto"/>
        <w:ind w:firstLine="480" w:firstLineChars="200"/>
        <w:rPr>
          <w:rFonts w:ascii="宋体" w:cs="宋体"/>
          <w:sz w:val="24"/>
          <w:szCs w:val="24"/>
          <w:highlight w:val="none"/>
        </w:rPr>
      </w:pPr>
      <w:r>
        <w:rPr>
          <w:rFonts w:ascii="宋体" w:hAnsi="宋体" w:cs="宋体"/>
          <w:sz w:val="24"/>
          <w:szCs w:val="24"/>
          <w:highlight w:val="none"/>
        </w:rPr>
        <w:t>13.7</w:t>
      </w:r>
      <w:r>
        <w:rPr>
          <w:rFonts w:hint="eastAsia" w:ascii="宋体" w:hAnsi="宋体" w:cs="宋体"/>
          <w:sz w:val="24"/>
          <w:szCs w:val="24"/>
          <w:highlight w:val="none"/>
        </w:rPr>
        <w:t>对于投标报价不全，应当提交的报价而在标书中没有提交的投标人，将作无效投标处理。</w:t>
      </w:r>
    </w:p>
    <w:p w14:paraId="1418B4AB">
      <w:pPr>
        <w:spacing w:line="360" w:lineRule="auto"/>
        <w:ind w:firstLine="482" w:firstLineChars="200"/>
        <w:rPr>
          <w:rFonts w:ascii="宋体" w:cs="宋体"/>
          <w:b/>
          <w:sz w:val="24"/>
          <w:szCs w:val="24"/>
          <w:highlight w:val="none"/>
        </w:rPr>
      </w:pPr>
      <w:r>
        <w:rPr>
          <w:rFonts w:ascii="宋体" w:hAnsi="宋体" w:cs="宋体"/>
          <w:b/>
          <w:sz w:val="24"/>
          <w:szCs w:val="24"/>
          <w:highlight w:val="none"/>
        </w:rPr>
        <w:t>14.</w:t>
      </w:r>
      <w:r>
        <w:rPr>
          <w:rFonts w:hint="eastAsia" w:ascii="宋体" w:hAnsi="宋体" w:cs="宋体"/>
          <w:b/>
          <w:sz w:val="24"/>
          <w:szCs w:val="24"/>
          <w:highlight w:val="none"/>
        </w:rPr>
        <w:t>投标货币</w:t>
      </w:r>
    </w:p>
    <w:p w14:paraId="308F2B72">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14.1 </w:t>
      </w:r>
      <w:r>
        <w:rPr>
          <w:rFonts w:hint="eastAsia" w:ascii="宋体" w:hAnsi="宋体" w:cs="宋体"/>
          <w:sz w:val="24"/>
          <w:szCs w:val="24"/>
          <w:highlight w:val="none"/>
        </w:rPr>
        <w:t>投标人提供的货物和服务一律用人民币报价。</w:t>
      </w:r>
    </w:p>
    <w:p w14:paraId="0576BA41">
      <w:pPr>
        <w:spacing w:line="360" w:lineRule="auto"/>
        <w:ind w:firstLine="482" w:firstLineChars="200"/>
        <w:rPr>
          <w:rFonts w:ascii="宋体" w:cs="宋体"/>
          <w:b/>
          <w:sz w:val="24"/>
          <w:szCs w:val="24"/>
          <w:highlight w:val="none"/>
        </w:rPr>
      </w:pPr>
      <w:r>
        <w:rPr>
          <w:rFonts w:ascii="宋体" w:hAnsi="宋体" w:cs="宋体"/>
          <w:b/>
          <w:sz w:val="24"/>
          <w:szCs w:val="24"/>
          <w:highlight w:val="none"/>
        </w:rPr>
        <w:t>15.</w:t>
      </w:r>
      <w:r>
        <w:rPr>
          <w:rFonts w:hint="eastAsia" w:ascii="宋体" w:hAnsi="宋体" w:cs="宋体"/>
          <w:b/>
          <w:sz w:val="24"/>
          <w:szCs w:val="24"/>
          <w:highlight w:val="none"/>
        </w:rPr>
        <w:t>证明投标人合格的资格证明材料</w:t>
      </w:r>
    </w:p>
    <w:p w14:paraId="48C6504A">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15.1 </w:t>
      </w:r>
      <w:r>
        <w:rPr>
          <w:rFonts w:hint="eastAsia" w:ascii="宋体" w:hAnsi="宋体" w:cs="宋体"/>
          <w:sz w:val="24"/>
          <w:szCs w:val="24"/>
          <w:highlight w:val="none"/>
        </w:rPr>
        <w:t>投标人应提交证明其有资格参加投标和中标后有能力履行合同的材料，并作为其投标文件的一部分。</w:t>
      </w:r>
    </w:p>
    <w:p w14:paraId="455F56F5">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15.2 </w:t>
      </w:r>
      <w:r>
        <w:rPr>
          <w:rFonts w:hint="eastAsia" w:ascii="宋体" w:hAnsi="宋体" w:cs="宋体"/>
          <w:sz w:val="24"/>
          <w:szCs w:val="24"/>
          <w:highlight w:val="none"/>
        </w:rPr>
        <w:t>投标人提交的资格证明材料应符合第七章投标文件格式“一、投标文件</w:t>
      </w:r>
      <w:r>
        <w:rPr>
          <w:rFonts w:ascii="宋体" w:cs="宋体"/>
          <w:sz w:val="24"/>
          <w:szCs w:val="24"/>
          <w:highlight w:val="none"/>
        </w:rPr>
        <w:t>-</w:t>
      </w:r>
      <w:r>
        <w:rPr>
          <w:rFonts w:hint="eastAsia" w:ascii="宋体" w:hAnsi="宋体" w:cs="宋体"/>
          <w:sz w:val="24"/>
          <w:szCs w:val="24"/>
          <w:highlight w:val="none"/>
        </w:rPr>
        <w:t>资格证明材料”的要求。</w:t>
      </w:r>
    </w:p>
    <w:p w14:paraId="1AFF0940">
      <w:pPr>
        <w:spacing w:line="360" w:lineRule="auto"/>
        <w:ind w:firstLine="480" w:firstLineChars="200"/>
        <w:rPr>
          <w:rFonts w:ascii="宋体" w:hAnsi="宋体" w:cs="宋体"/>
          <w:sz w:val="24"/>
          <w:szCs w:val="24"/>
          <w:highlight w:val="none"/>
        </w:rPr>
      </w:pPr>
      <w:r>
        <w:rPr>
          <w:rFonts w:ascii="宋体" w:hAnsi="宋体" w:cs="宋体"/>
          <w:sz w:val="24"/>
          <w:szCs w:val="24"/>
          <w:highlight w:val="none"/>
        </w:rPr>
        <w:t>15.3</w:t>
      </w:r>
      <w:r>
        <w:rPr>
          <w:rFonts w:hint="eastAsia" w:ascii="宋体" w:hAnsi="宋体" w:cs="宋体"/>
          <w:sz w:val="24"/>
          <w:szCs w:val="24"/>
          <w:highlight w:val="none"/>
        </w:rPr>
        <w:t>投标人在收到中标通知书前后或签署合同前后对于采购人或采购代理机构提出的质疑能够在</w:t>
      </w:r>
      <w:r>
        <w:rPr>
          <w:rFonts w:ascii="宋体" w:hAnsi="宋体" w:cs="宋体"/>
          <w:sz w:val="24"/>
          <w:szCs w:val="24"/>
          <w:highlight w:val="none"/>
        </w:rPr>
        <w:t>3</w:t>
      </w:r>
      <w:r>
        <w:rPr>
          <w:rFonts w:hint="eastAsia" w:ascii="宋体" w:hAnsi="宋体" w:cs="宋体"/>
          <w:sz w:val="24"/>
          <w:szCs w:val="24"/>
          <w:highlight w:val="none"/>
        </w:rPr>
        <w:t>个工作日内给予满意合理的解释。</w:t>
      </w:r>
    </w:p>
    <w:p w14:paraId="1F894FF9">
      <w:pPr>
        <w:spacing w:line="360" w:lineRule="auto"/>
        <w:ind w:firstLine="482" w:firstLineChars="200"/>
        <w:rPr>
          <w:rFonts w:ascii="宋体" w:cs="宋体"/>
          <w:b/>
          <w:sz w:val="24"/>
          <w:szCs w:val="24"/>
          <w:highlight w:val="none"/>
        </w:rPr>
      </w:pPr>
      <w:r>
        <w:rPr>
          <w:rFonts w:ascii="宋体" w:hAnsi="宋体" w:cs="宋体"/>
          <w:b/>
          <w:sz w:val="24"/>
          <w:szCs w:val="24"/>
          <w:highlight w:val="none"/>
        </w:rPr>
        <w:t>16.</w:t>
      </w:r>
      <w:r>
        <w:rPr>
          <w:rFonts w:hint="eastAsia" w:ascii="宋体" w:hAnsi="宋体" w:cs="宋体"/>
          <w:b/>
          <w:sz w:val="24"/>
          <w:szCs w:val="24"/>
          <w:highlight w:val="none"/>
        </w:rPr>
        <w:t>证明货物或服务的合格性和符合招标文件规定的文件</w:t>
      </w:r>
    </w:p>
    <w:p w14:paraId="29AC7C8F">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16.1 </w:t>
      </w:r>
      <w:r>
        <w:rPr>
          <w:rFonts w:hint="eastAsia" w:ascii="宋体" w:hAnsi="宋体" w:cs="宋体"/>
          <w:sz w:val="24"/>
          <w:szCs w:val="24"/>
          <w:highlight w:val="none"/>
        </w:rPr>
        <w:t>投标人应提交证明文件证明其拟投标的货物的合格性符合招标文件规定。该证明文件作为投标文件的一部分。</w:t>
      </w:r>
    </w:p>
    <w:p w14:paraId="2C4C5FC1">
      <w:pPr>
        <w:spacing w:line="360" w:lineRule="auto"/>
        <w:ind w:firstLine="480" w:firstLineChars="200"/>
        <w:rPr>
          <w:rFonts w:ascii="宋体" w:hAnsi="宋体" w:cs="宋体"/>
          <w:sz w:val="24"/>
          <w:szCs w:val="24"/>
          <w:highlight w:val="none"/>
        </w:rPr>
      </w:pPr>
      <w:r>
        <w:rPr>
          <w:rFonts w:ascii="宋体" w:hAnsi="宋体" w:cs="宋体"/>
          <w:sz w:val="24"/>
          <w:szCs w:val="24"/>
          <w:highlight w:val="none"/>
        </w:rPr>
        <w:t xml:space="preserve">16.2 </w:t>
      </w:r>
      <w:r>
        <w:rPr>
          <w:rFonts w:hint="eastAsia" w:ascii="宋体" w:hAnsi="宋体" w:cs="宋体"/>
          <w:sz w:val="24"/>
          <w:szCs w:val="24"/>
          <w:highlight w:val="none"/>
        </w:rPr>
        <w:t>证明货物和服务与招标文件的要求一致的文件，可以是文字资料、图纸和数据，它包括但不限于以下内容：</w:t>
      </w:r>
    </w:p>
    <w:p w14:paraId="75B2DA22">
      <w:pPr>
        <w:spacing w:line="360" w:lineRule="auto"/>
        <w:ind w:firstLine="360" w:firstLineChars="150"/>
        <w:rPr>
          <w:rFonts w:ascii="宋体"/>
          <w:sz w:val="24"/>
          <w:highlight w:val="none"/>
        </w:rPr>
      </w:pPr>
      <w:r>
        <w:rPr>
          <w:rFonts w:hint="eastAsia" w:ascii="宋体"/>
          <w:sz w:val="24"/>
          <w:highlight w:val="none"/>
        </w:rPr>
        <w:t>（1）货物主要技术指标和性能的详细说明。</w:t>
      </w:r>
    </w:p>
    <w:p w14:paraId="7C83D507">
      <w:pPr>
        <w:spacing w:line="360" w:lineRule="auto"/>
        <w:ind w:firstLine="360" w:firstLineChars="150"/>
        <w:rPr>
          <w:rFonts w:ascii="宋体"/>
          <w:sz w:val="24"/>
          <w:highlight w:val="none"/>
        </w:rPr>
      </w:pPr>
      <w:r>
        <w:rPr>
          <w:rFonts w:hint="eastAsia" w:ascii="宋体"/>
          <w:sz w:val="24"/>
          <w:highlight w:val="none"/>
        </w:rPr>
        <w:t>（2）货物从采购人开始使用至“投标人须知前附表”中规定的周期内正常、连续地使用所必须的备品备件和专用工具清单，包括备品备件和专用工具的供货来源及现行价格。</w:t>
      </w:r>
    </w:p>
    <w:p w14:paraId="09459981">
      <w:pPr>
        <w:spacing w:line="360" w:lineRule="auto"/>
        <w:ind w:firstLine="360" w:firstLineChars="150"/>
        <w:rPr>
          <w:rFonts w:ascii="宋体"/>
          <w:sz w:val="24"/>
          <w:highlight w:val="none"/>
        </w:rPr>
      </w:pPr>
      <w:r>
        <w:rPr>
          <w:rFonts w:hint="eastAsia" w:ascii="宋体"/>
          <w:sz w:val="24"/>
          <w:highlight w:val="none"/>
        </w:rPr>
        <w:t>（3）对照招标文件技术规格、参数与要求，逐条说明所提供货物和服务已对</w:t>
      </w:r>
      <w:r>
        <w:rPr>
          <w:rFonts w:hint="eastAsia" w:ascii="宋体"/>
          <w:sz w:val="24"/>
          <w:highlight w:val="none"/>
          <w:lang w:val="en-US" w:eastAsia="zh-CN"/>
        </w:rPr>
        <w:t>采购</w:t>
      </w:r>
      <w:r>
        <w:rPr>
          <w:rFonts w:hint="eastAsia" w:ascii="宋体"/>
          <w:sz w:val="24"/>
          <w:highlight w:val="none"/>
        </w:rPr>
        <w:t>文件的技术规格、参数与要求做出了实质性的响应，或申明与技术规格、参数与要求条文的偏差和例外。特别对于有具体参数要求的指标，投标人必须提供所投设备的具体参数值, 技术偏离表完全复制文件参数没有检测报告或产品使用说明书或用户手册等材料予以佐证的，视为不响应招标文件技术要求。</w:t>
      </w:r>
      <w:r>
        <w:rPr>
          <w:rFonts w:ascii="宋体" w:hAnsi="宋体" w:cs="宋体"/>
          <w:sz w:val="24"/>
          <w:highlight w:val="none"/>
        </w:rPr>
        <w:t>技术支持资料以制造商公开发布的印刷资料、检测机构出具的检测报告或</w:t>
      </w:r>
      <w:r>
        <w:rPr>
          <w:rFonts w:hint="eastAsia" w:ascii="宋体" w:hAnsi="宋体" w:cs="宋体"/>
          <w:sz w:val="24"/>
          <w:highlight w:val="none"/>
        </w:rPr>
        <w:t>招标</w:t>
      </w:r>
      <w:r>
        <w:rPr>
          <w:rFonts w:ascii="宋体" w:hAnsi="宋体" w:cs="宋体"/>
          <w:sz w:val="24"/>
          <w:highlight w:val="none"/>
        </w:rPr>
        <w:t>文件中允许的其他形式为准，凡不符合上述要求的，应当视为无效技术支持资料。</w:t>
      </w:r>
    </w:p>
    <w:p w14:paraId="713D0444">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16.3 </w:t>
      </w:r>
      <w:r>
        <w:rPr>
          <w:rFonts w:hint="eastAsia" w:ascii="宋体" w:hAnsi="宋体" w:cs="宋体"/>
          <w:sz w:val="24"/>
          <w:szCs w:val="24"/>
          <w:highlight w:val="none"/>
        </w:rPr>
        <w:t>投标人在阐述上述第</w:t>
      </w:r>
      <w:r>
        <w:rPr>
          <w:rFonts w:ascii="宋体" w:hAnsi="宋体" w:cs="宋体"/>
          <w:sz w:val="24"/>
          <w:szCs w:val="24"/>
          <w:highlight w:val="none"/>
        </w:rPr>
        <w:t>16.2</w:t>
      </w:r>
      <w:r>
        <w:rPr>
          <w:rFonts w:hint="eastAsia" w:ascii="宋体" w:hAnsi="宋体" w:cs="宋体"/>
          <w:sz w:val="24"/>
          <w:szCs w:val="24"/>
          <w:highlight w:val="none"/>
        </w:rPr>
        <w:t>时应注意招标文件技术部分中“采购需求”指出的工艺、材料和设备的标准以及参照的牌号或分类号仅起说明作用，并没有任何限制性。投标人在投标中可以选用替代标准、牌号或分类号，但这些替代要实质上相当于</w:t>
      </w:r>
      <w:r>
        <w:rPr>
          <w:rFonts w:hint="eastAsia" w:ascii="宋体" w:hAnsi="宋体" w:cs="宋体"/>
          <w:color w:val="000000"/>
          <w:sz w:val="24"/>
          <w:szCs w:val="24"/>
          <w:highlight w:val="none"/>
        </w:rPr>
        <w:t>或优于</w:t>
      </w:r>
      <w:r>
        <w:rPr>
          <w:rFonts w:hint="eastAsia" w:ascii="宋体" w:hAnsi="宋体" w:cs="宋体"/>
          <w:sz w:val="24"/>
          <w:szCs w:val="24"/>
          <w:highlight w:val="none"/>
        </w:rPr>
        <w:t>技术规格（服务需求）的要求。</w:t>
      </w:r>
    </w:p>
    <w:p w14:paraId="7B7A231A">
      <w:pPr>
        <w:spacing w:line="360" w:lineRule="auto"/>
        <w:ind w:firstLine="482" w:firstLineChars="200"/>
        <w:rPr>
          <w:rFonts w:ascii="宋体" w:cs="宋体"/>
          <w:b/>
          <w:sz w:val="24"/>
          <w:szCs w:val="24"/>
          <w:highlight w:val="none"/>
        </w:rPr>
      </w:pPr>
      <w:r>
        <w:rPr>
          <w:rFonts w:ascii="宋体" w:hAnsi="宋体" w:cs="宋体"/>
          <w:b/>
          <w:sz w:val="24"/>
          <w:szCs w:val="24"/>
          <w:highlight w:val="none"/>
        </w:rPr>
        <w:t>17.</w:t>
      </w:r>
      <w:r>
        <w:rPr>
          <w:rFonts w:hint="eastAsia" w:ascii="宋体" w:hAnsi="宋体" w:cs="宋体"/>
          <w:b/>
          <w:sz w:val="24"/>
          <w:szCs w:val="24"/>
          <w:highlight w:val="none"/>
        </w:rPr>
        <w:t>投标保证金与中标服务费</w:t>
      </w:r>
    </w:p>
    <w:p w14:paraId="241AC8DF">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17.1 </w:t>
      </w:r>
      <w:r>
        <w:rPr>
          <w:rFonts w:hint="eastAsia" w:ascii="宋体" w:hAnsi="宋体" w:cs="宋体"/>
          <w:sz w:val="24"/>
          <w:szCs w:val="24"/>
          <w:highlight w:val="none"/>
        </w:rPr>
        <w:t>投标人应提交“投标人须知前附表”规定数额的投标保证金，并作为其投标的一部分，投标保证金的接收单位为</w:t>
      </w:r>
      <w:r>
        <w:rPr>
          <w:rFonts w:hint="eastAsia" w:ascii="宋体" w:hAnsi="宋体" w:cs="宋体"/>
          <w:sz w:val="24"/>
          <w:szCs w:val="24"/>
          <w:highlight w:val="none"/>
          <w:lang w:eastAsia="zh-CN"/>
        </w:rPr>
        <w:t>乌鲁木齐高新建设工程项目管理咨询有限公司</w:t>
      </w:r>
      <w:r>
        <w:rPr>
          <w:rFonts w:hint="eastAsia" w:ascii="宋体" w:hAnsi="宋体" w:cs="宋体"/>
          <w:sz w:val="24"/>
          <w:szCs w:val="24"/>
          <w:highlight w:val="none"/>
        </w:rPr>
        <w:t>，依据《中华人民共和国政府法采购实施》第三十三条相关规定，投标保证金不得超过采购项目预算金额的</w:t>
      </w:r>
      <w:r>
        <w:rPr>
          <w:rFonts w:hint="eastAsia" w:ascii="宋体" w:hAnsi="宋体" w:cs="宋体"/>
          <w:sz w:val="24"/>
          <w:szCs w:val="24"/>
          <w:highlight w:val="none"/>
          <w:lang w:val="en-US" w:eastAsia="zh-CN"/>
        </w:rPr>
        <w:t>1</w:t>
      </w:r>
      <w:r>
        <w:rPr>
          <w:rFonts w:ascii="宋体" w:hAnsi="宋体" w:cs="宋体"/>
          <w:sz w:val="24"/>
          <w:szCs w:val="24"/>
          <w:highlight w:val="none"/>
        </w:rPr>
        <w:t>%</w:t>
      </w:r>
      <w:r>
        <w:rPr>
          <w:rFonts w:hint="eastAsia" w:ascii="宋体" w:hAnsi="宋体" w:cs="宋体"/>
          <w:sz w:val="24"/>
          <w:szCs w:val="24"/>
          <w:highlight w:val="none"/>
        </w:rPr>
        <w:t>。</w:t>
      </w:r>
    </w:p>
    <w:p w14:paraId="19C31CC0">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17.2 </w:t>
      </w:r>
      <w:r>
        <w:rPr>
          <w:rFonts w:hint="eastAsia" w:ascii="宋体" w:hAnsi="宋体" w:cs="宋体"/>
          <w:sz w:val="24"/>
          <w:szCs w:val="24"/>
          <w:highlight w:val="none"/>
        </w:rPr>
        <w:t>投标保证金的货币为人民币，并采用下列任何一种形式：</w:t>
      </w:r>
    </w:p>
    <w:p w14:paraId="391A4F91">
      <w:pPr>
        <w:numPr>
          <w:ilvl w:val="0"/>
          <w:numId w:val="10"/>
        </w:numPr>
        <w:tabs>
          <w:tab w:val="left" w:pos="900"/>
          <w:tab w:val="clear" w:pos="1680"/>
        </w:tabs>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电汇；</w:t>
      </w:r>
      <w:r>
        <w:rPr>
          <w:rFonts w:ascii="宋体" w:hAnsi="宋体" w:cs="宋体"/>
          <w:sz w:val="24"/>
          <w:szCs w:val="24"/>
          <w:highlight w:val="none"/>
        </w:rPr>
        <w:t xml:space="preserve"> </w:t>
      </w:r>
    </w:p>
    <w:p w14:paraId="657A8754">
      <w:pPr>
        <w:numPr>
          <w:ilvl w:val="0"/>
          <w:numId w:val="10"/>
        </w:numPr>
        <w:tabs>
          <w:tab w:val="left" w:pos="900"/>
          <w:tab w:val="clear" w:pos="1680"/>
        </w:tabs>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支票（须提前一个工作日）；</w:t>
      </w:r>
      <w:r>
        <w:rPr>
          <w:rFonts w:ascii="宋体" w:hAnsi="宋体" w:cs="宋体"/>
          <w:sz w:val="24"/>
          <w:szCs w:val="24"/>
          <w:highlight w:val="none"/>
        </w:rPr>
        <w:t xml:space="preserve"> </w:t>
      </w:r>
    </w:p>
    <w:p w14:paraId="354BAAEE">
      <w:pPr>
        <w:numPr>
          <w:ilvl w:val="0"/>
          <w:numId w:val="10"/>
        </w:numPr>
        <w:tabs>
          <w:tab w:val="left" w:pos="900"/>
          <w:tab w:val="clear" w:pos="1680"/>
        </w:tabs>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银行汇票；</w:t>
      </w:r>
    </w:p>
    <w:p w14:paraId="3DE1E468">
      <w:pPr>
        <w:numPr>
          <w:ilvl w:val="0"/>
          <w:numId w:val="10"/>
        </w:numPr>
        <w:tabs>
          <w:tab w:val="left" w:pos="900"/>
          <w:tab w:val="clear" w:pos="1680"/>
        </w:tabs>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本票；</w:t>
      </w:r>
    </w:p>
    <w:p w14:paraId="05412C8B">
      <w:pPr>
        <w:numPr>
          <w:ilvl w:val="0"/>
          <w:numId w:val="10"/>
        </w:numPr>
        <w:tabs>
          <w:tab w:val="left" w:pos="900"/>
          <w:tab w:val="clear" w:pos="1680"/>
        </w:tabs>
        <w:spacing w:line="360" w:lineRule="auto"/>
        <w:ind w:left="0" w:firstLine="480" w:firstLineChars="200"/>
        <w:rPr>
          <w:rFonts w:ascii="宋体" w:cs="宋体"/>
          <w:sz w:val="24"/>
          <w:szCs w:val="24"/>
          <w:highlight w:val="none"/>
        </w:rPr>
      </w:pPr>
      <w:r>
        <w:rPr>
          <w:rFonts w:hint="eastAsia" w:ascii="宋体" w:hAnsi="宋体" w:cs="宋体"/>
          <w:sz w:val="24"/>
          <w:szCs w:val="24"/>
          <w:highlight w:val="none"/>
        </w:rPr>
        <w:t>金融机构、担保机构出具的保函。</w:t>
      </w:r>
    </w:p>
    <w:p w14:paraId="7DDFA4AE">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17.3 </w:t>
      </w:r>
      <w:r>
        <w:rPr>
          <w:rFonts w:hint="eastAsia" w:ascii="宋体" w:hAnsi="宋体" w:cs="宋体"/>
          <w:sz w:val="24"/>
          <w:szCs w:val="24"/>
          <w:highlight w:val="none"/>
        </w:rPr>
        <w:t>凡没有根据本须知第</w:t>
      </w:r>
      <w:r>
        <w:rPr>
          <w:rFonts w:ascii="宋体" w:hAnsi="宋体" w:cs="宋体"/>
          <w:sz w:val="24"/>
          <w:szCs w:val="24"/>
          <w:highlight w:val="none"/>
        </w:rPr>
        <w:t>17.1</w:t>
      </w:r>
      <w:r>
        <w:rPr>
          <w:rFonts w:hint="eastAsia" w:ascii="宋体" w:hAnsi="宋体" w:cs="宋体"/>
          <w:sz w:val="24"/>
          <w:szCs w:val="24"/>
          <w:highlight w:val="none"/>
        </w:rPr>
        <w:t>和</w:t>
      </w:r>
      <w:r>
        <w:rPr>
          <w:rFonts w:ascii="宋体" w:hAnsi="宋体" w:cs="宋体"/>
          <w:sz w:val="24"/>
          <w:szCs w:val="24"/>
          <w:highlight w:val="none"/>
        </w:rPr>
        <w:t>17.2</w:t>
      </w:r>
      <w:r>
        <w:rPr>
          <w:rFonts w:hint="eastAsia" w:ascii="宋体" w:hAnsi="宋体" w:cs="宋体"/>
          <w:sz w:val="24"/>
          <w:szCs w:val="24"/>
          <w:highlight w:val="none"/>
        </w:rPr>
        <w:t>条的规定随附投标保证金的投标，投标无效。投标人提交的投标保证金，将以转账形式予以退回。请各投标人在中标公告公布之后将单位退保证金公账户信息发送电子邮件至采购代理机构指定邮箱，如未发送，保证金逾期未退还将由投标人承担。</w:t>
      </w:r>
    </w:p>
    <w:p w14:paraId="2467D546">
      <w:pPr>
        <w:spacing w:line="360" w:lineRule="auto"/>
        <w:ind w:firstLine="480" w:firstLineChars="200"/>
        <w:rPr>
          <w:rFonts w:ascii="宋体" w:cs="宋体"/>
          <w:sz w:val="24"/>
          <w:highlight w:val="none"/>
        </w:rPr>
      </w:pPr>
      <w:r>
        <w:rPr>
          <w:rFonts w:ascii="宋体" w:hAnsi="宋体" w:cs="宋体"/>
          <w:sz w:val="24"/>
          <w:szCs w:val="24"/>
          <w:highlight w:val="none"/>
        </w:rPr>
        <w:t xml:space="preserve">17.4 </w:t>
      </w:r>
      <w:r>
        <w:rPr>
          <w:rFonts w:hint="eastAsia" w:ascii="宋体" w:hAnsi="宋体" w:cs="宋体"/>
          <w:sz w:val="24"/>
          <w:szCs w:val="24"/>
          <w:highlight w:val="none"/>
        </w:rPr>
        <w:t>未中标投标人的投标保证金</w:t>
      </w:r>
      <w:r>
        <w:rPr>
          <w:rFonts w:ascii="宋体" w:hAnsi="宋体" w:cs="宋体"/>
          <w:sz w:val="24"/>
          <w:szCs w:val="24"/>
          <w:highlight w:val="none"/>
        </w:rPr>
        <w:t xml:space="preserve">, </w:t>
      </w:r>
      <w:r>
        <w:rPr>
          <w:rFonts w:hint="eastAsia" w:ascii="宋体" w:hAnsi="宋体" w:cs="宋体"/>
          <w:sz w:val="24"/>
          <w:highlight w:val="none"/>
        </w:rPr>
        <w:t>自中标通知书发出之日起</w:t>
      </w:r>
      <w:r>
        <w:rPr>
          <w:rFonts w:ascii="宋体" w:hAnsi="宋体" w:cs="宋体"/>
          <w:sz w:val="24"/>
          <w:highlight w:val="none"/>
        </w:rPr>
        <w:t>5</w:t>
      </w:r>
      <w:r>
        <w:rPr>
          <w:rFonts w:hint="eastAsia" w:ascii="宋体" w:hAnsi="宋体" w:cs="宋体"/>
          <w:sz w:val="24"/>
          <w:highlight w:val="none"/>
        </w:rPr>
        <w:t>个工作日内退还投标人。</w:t>
      </w:r>
    </w:p>
    <w:p w14:paraId="2F55222A">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17.5 </w:t>
      </w:r>
      <w:r>
        <w:rPr>
          <w:rFonts w:hint="eastAsia" w:ascii="宋体" w:hAnsi="宋体" w:cs="宋体"/>
          <w:sz w:val="24"/>
          <w:szCs w:val="24"/>
          <w:highlight w:val="none"/>
        </w:rPr>
        <w:t>中标投标人的投标保证金，自政府采购合同签订之日起</w:t>
      </w:r>
      <w:r>
        <w:rPr>
          <w:rFonts w:ascii="宋体" w:hAnsi="宋体" w:cs="宋体"/>
          <w:sz w:val="24"/>
          <w:szCs w:val="24"/>
          <w:highlight w:val="none"/>
        </w:rPr>
        <w:t>5</w:t>
      </w:r>
      <w:r>
        <w:rPr>
          <w:rFonts w:hint="eastAsia" w:ascii="宋体" w:hAnsi="宋体" w:cs="宋体"/>
          <w:sz w:val="24"/>
          <w:szCs w:val="24"/>
          <w:highlight w:val="none"/>
        </w:rPr>
        <w:t>个工作日内退还。</w:t>
      </w:r>
    </w:p>
    <w:p w14:paraId="5A05D4CA">
      <w:pPr>
        <w:numPr>
          <w:ilvl w:val="1"/>
          <w:numId w:val="11"/>
        </w:numPr>
        <w:spacing w:line="360" w:lineRule="auto"/>
        <w:rPr>
          <w:rFonts w:ascii="宋体" w:cs="宋体"/>
          <w:sz w:val="24"/>
          <w:szCs w:val="24"/>
          <w:highlight w:val="none"/>
        </w:rPr>
      </w:pPr>
      <w:r>
        <w:rPr>
          <w:rFonts w:hint="eastAsia" w:ascii="宋体" w:hAnsi="宋体" w:cs="宋体"/>
          <w:sz w:val="24"/>
          <w:szCs w:val="24"/>
          <w:highlight w:val="none"/>
        </w:rPr>
        <w:t>下列任何情况发生时，投标保证金将不予退还：</w:t>
      </w:r>
    </w:p>
    <w:p w14:paraId="271B959D">
      <w:pPr>
        <w:tabs>
          <w:tab w:val="left" w:pos="900"/>
        </w:tabs>
        <w:spacing w:line="360" w:lineRule="auto"/>
        <w:ind w:left="48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）投标人在招标文件中规定的投标有效期内撤回其投标；</w:t>
      </w:r>
    </w:p>
    <w:p w14:paraId="5B34B6C1">
      <w:pPr>
        <w:tabs>
          <w:tab w:val="left" w:pos="900"/>
        </w:tabs>
        <w:spacing w:line="360" w:lineRule="auto"/>
        <w:ind w:left="48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）投标人行贿采购人或采购代理机构或评标专家或试图影响招标结果的行为；</w:t>
      </w:r>
    </w:p>
    <w:p w14:paraId="5D92B615">
      <w:pPr>
        <w:tabs>
          <w:tab w:val="left" w:pos="900"/>
        </w:tabs>
        <w:spacing w:line="360" w:lineRule="auto"/>
        <w:ind w:left="48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3</w:t>
      </w:r>
      <w:r>
        <w:rPr>
          <w:rFonts w:hint="eastAsia" w:ascii="宋体" w:hAnsi="宋体" w:cs="宋体"/>
          <w:sz w:val="24"/>
          <w:szCs w:val="24"/>
          <w:highlight w:val="none"/>
        </w:rPr>
        <w:t>）中标人在规定期限内未能根据本须知第</w:t>
      </w:r>
      <w:r>
        <w:rPr>
          <w:rFonts w:ascii="宋体" w:hAnsi="宋体" w:cs="宋体"/>
          <w:sz w:val="24"/>
          <w:szCs w:val="24"/>
          <w:highlight w:val="none"/>
        </w:rPr>
        <w:t>31</w:t>
      </w:r>
      <w:r>
        <w:rPr>
          <w:rFonts w:hint="eastAsia" w:ascii="宋体" w:hAnsi="宋体" w:cs="宋体"/>
          <w:sz w:val="24"/>
          <w:szCs w:val="24"/>
          <w:highlight w:val="none"/>
        </w:rPr>
        <w:t>条规定签订合同；</w:t>
      </w:r>
    </w:p>
    <w:p w14:paraId="23C3D004">
      <w:pPr>
        <w:tabs>
          <w:tab w:val="left" w:pos="900"/>
        </w:tabs>
        <w:spacing w:line="360" w:lineRule="auto"/>
        <w:ind w:left="480"/>
        <w:rPr>
          <w:rFonts w:ascii="宋体" w:cs="宋体"/>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4</w:t>
      </w:r>
      <w:r>
        <w:rPr>
          <w:rFonts w:hint="eastAsia" w:ascii="宋体" w:hAnsi="宋体" w:cs="宋体"/>
          <w:sz w:val="24"/>
          <w:szCs w:val="24"/>
          <w:highlight w:val="none"/>
        </w:rPr>
        <w:t>）投标人在提交投标文件时或答复质疑及澄清时提供虚假或伪造的证明材料及数据；</w:t>
      </w:r>
    </w:p>
    <w:p w14:paraId="410348E6">
      <w:pPr>
        <w:spacing w:line="360" w:lineRule="auto"/>
        <w:ind w:left="480"/>
        <w:rPr>
          <w:rFonts w:ascii="宋体" w:cs="宋体"/>
          <w:color w:val="000000"/>
          <w:sz w:val="24"/>
          <w:szCs w:val="24"/>
          <w:highlight w:val="none"/>
        </w:rPr>
      </w:pPr>
      <w:r>
        <w:rPr>
          <w:rFonts w:hint="eastAsia" w:ascii="宋体" w:hAnsi="宋体" w:cs="宋体"/>
          <w:color w:val="000000"/>
          <w:kern w:val="0"/>
          <w:sz w:val="24"/>
          <w:szCs w:val="24"/>
          <w:highlight w:val="none"/>
        </w:rPr>
        <w:t>（</w:t>
      </w:r>
      <w:r>
        <w:rPr>
          <w:rFonts w:ascii="宋体" w:hAnsi="宋体" w:cs="宋体"/>
          <w:color w:val="000000"/>
          <w:kern w:val="0"/>
          <w:sz w:val="24"/>
          <w:szCs w:val="24"/>
          <w:highlight w:val="none"/>
        </w:rPr>
        <w:t>5</w:t>
      </w:r>
      <w:r>
        <w:rPr>
          <w:rFonts w:hint="eastAsia" w:ascii="宋体" w:hAnsi="宋体" w:cs="宋体"/>
          <w:color w:val="000000"/>
          <w:kern w:val="0"/>
          <w:sz w:val="24"/>
          <w:szCs w:val="24"/>
          <w:highlight w:val="none"/>
        </w:rPr>
        <w:t>）</w:t>
      </w:r>
      <w:r>
        <w:rPr>
          <w:rFonts w:hint="eastAsia" w:ascii="宋体" w:hAnsi="宋体" w:cs="宋体"/>
          <w:color w:val="000000"/>
          <w:kern w:val="0"/>
          <w:sz w:val="24"/>
          <w:szCs w:val="24"/>
          <w:highlight w:val="none"/>
          <w:lang w:val="zh-CN"/>
        </w:rPr>
        <w:t>法律、行政法规和招标文件规定的其他情况。</w:t>
      </w:r>
    </w:p>
    <w:p w14:paraId="5707C3A8">
      <w:pPr>
        <w:spacing w:line="360" w:lineRule="auto"/>
        <w:ind w:firstLine="482" w:firstLineChars="200"/>
        <w:rPr>
          <w:rFonts w:ascii="宋体" w:cs="宋体"/>
          <w:b/>
          <w:kern w:val="0"/>
          <w:sz w:val="24"/>
          <w:szCs w:val="24"/>
          <w:highlight w:val="none"/>
          <w:lang w:val="zh-CN"/>
        </w:rPr>
      </w:pPr>
      <w:r>
        <w:rPr>
          <w:rFonts w:ascii="宋体" w:hAnsi="宋体" w:cs="宋体"/>
          <w:b/>
          <w:color w:val="000000"/>
          <w:sz w:val="24"/>
          <w:szCs w:val="24"/>
          <w:highlight w:val="none"/>
        </w:rPr>
        <w:t>1</w:t>
      </w:r>
      <w:r>
        <w:rPr>
          <w:rFonts w:ascii="宋体" w:hAnsi="宋体" w:cs="宋体"/>
          <w:b/>
          <w:kern w:val="0"/>
          <w:sz w:val="24"/>
          <w:szCs w:val="24"/>
          <w:highlight w:val="none"/>
          <w:lang w:val="zh-CN"/>
        </w:rPr>
        <w:t xml:space="preserve">7.7 </w:t>
      </w:r>
      <w:r>
        <w:rPr>
          <w:rFonts w:hint="eastAsia" w:ascii="宋体" w:hAnsi="宋体" w:cs="宋体"/>
          <w:b/>
          <w:kern w:val="0"/>
          <w:sz w:val="24"/>
          <w:szCs w:val="24"/>
          <w:highlight w:val="none"/>
          <w:lang w:val="zh-CN"/>
        </w:rPr>
        <w:t>中标服务费</w:t>
      </w:r>
    </w:p>
    <w:p w14:paraId="5B1B1A67">
      <w:pPr>
        <w:spacing w:line="360" w:lineRule="auto"/>
        <w:ind w:firstLine="482" w:firstLineChars="200"/>
        <w:rPr>
          <w:rFonts w:ascii="宋体" w:cs="宋体"/>
          <w:b/>
          <w:sz w:val="24"/>
          <w:szCs w:val="24"/>
          <w:highlight w:val="none"/>
        </w:rPr>
      </w:pPr>
      <w:r>
        <w:rPr>
          <w:rFonts w:ascii="宋体" w:hAnsi="宋体" w:cs="宋体"/>
          <w:b/>
          <w:kern w:val="0"/>
          <w:sz w:val="24"/>
          <w:szCs w:val="24"/>
          <w:highlight w:val="none"/>
          <w:lang w:val="zh-CN"/>
        </w:rPr>
        <w:t>17.7.1</w:t>
      </w:r>
      <w:r>
        <w:rPr>
          <w:rFonts w:hint="eastAsia" w:ascii="宋体" w:hAnsi="宋体" w:cs="宋体"/>
          <w:b/>
          <w:kern w:val="0"/>
          <w:sz w:val="24"/>
          <w:szCs w:val="24"/>
          <w:highlight w:val="none"/>
          <w:lang w:val="zh-CN"/>
        </w:rPr>
        <w:t>中标人应</w:t>
      </w:r>
      <w:r>
        <w:rPr>
          <w:rFonts w:hint="eastAsia" w:ascii="宋体" w:hAnsi="宋体" w:cs="宋体"/>
          <w:b/>
          <w:sz w:val="24"/>
          <w:szCs w:val="24"/>
          <w:highlight w:val="none"/>
        </w:rPr>
        <w:t>在领取中标通知书时向采购代理机构交纳中标服务费。</w:t>
      </w:r>
    </w:p>
    <w:p w14:paraId="0B09C8D4">
      <w:pPr>
        <w:spacing w:line="360" w:lineRule="auto"/>
        <w:ind w:firstLine="482" w:firstLineChars="200"/>
        <w:rPr>
          <w:rFonts w:ascii="宋体" w:cs="宋体"/>
          <w:b/>
          <w:sz w:val="24"/>
          <w:szCs w:val="24"/>
          <w:highlight w:val="none"/>
        </w:rPr>
      </w:pPr>
      <w:r>
        <w:rPr>
          <w:rFonts w:ascii="宋体" w:hAnsi="宋体" w:cs="宋体"/>
          <w:b/>
          <w:sz w:val="24"/>
          <w:szCs w:val="24"/>
          <w:highlight w:val="none"/>
        </w:rPr>
        <w:t>17.7.2</w:t>
      </w:r>
      <w:r>
        <w:rPr>
          <w:rFonts w:hint="eastAsia" w:ascii="宋体" w:hAnsi="宋体" w:cs="宋体"/>
          <w:b/>
          <w:sz w:val="24"/>
          <w:szCs w:val="24"/>
          <w:highlight w:val="none"/>
        </w:rPr>
        <w:t>中标服务费</w:t>
      </w:r>
      <w:r>
        <w:rPr>
          <w:rFonts w:hint="eastAsia" w:ascii="宋体" w:hAnsi="宋体" w:cs="宋体"/>
          <w:b/>
          <w:sz w:val="24"/>
          <w:highlight w:val="none"/>
        </w:rPr>
        <w:t>以中标通知书的中标金额作为收取的计算基数，参照原《招标代理服务收费管理暂行办法》（计价格</w:t>
      </w:r>
      <w:r>
        <w:rPr>
          <w:rFonts w:ascii="宋体" w:hAnsi="宋体" w:cs="宋体"/>
          <w:b/>
          <w:sz w:val="24"/>
          <w:highlight w:val="none"/>
        </w:rPr>
        <w:t>[2002]1980</w:t>
      </w:r>
      <w:r>
        <w:rPr>
          <w:rFonts w:hint="eastAsia" w:ascii="宋体" w:hAnsi="宋体" w:cs="宋体"/>
          <w:b/>
          <w:sz w:val="24"/>
          <w:highlight w:val="none"/>
        </w:rPr>
        <w:t>号）的规定，按差额定率累进法计算。</w:t>
      </w:r>
    </w:p>
    <w:p w14:paraId="4579C904">
      <w:pPr>
        <w:spacing w:line="360" w:lineRule="auto"/>
        <w:ind w:firstLine="482" w:firstLineChars="200"/>
        <w:rPr>
          <w:rFonts w:ascii="宋体" w:cs="宋体"/>
          <w:b/>
          <w:sz w:val="24"/>
          <w:szCs w:val="24"/>
          <w:highlight w:val="none"/>
        </w:rPr>
      </w:pPr>
      <w:r>
        <w:rPr>
          <w:rFonts w:ascii="宋体" w:hAnsi="宋体" w:cs="宋体"/>
          <w:b/>
          <w:sz w:val="24"/>
          <w:szCs w:val="24"/>
          <w:highlight w:val="none"/>
        </w:rPr>
        <w:t>18.</w:t>
      </w:r>
      <w:r>
        <w:rPr>
          <w:rFonts w:hint="eastAsia" w:ascii="宋体" w:hAnsi="宋体" w:cs="宋体"/>
          <w:b/>
          <w:sz w:val="24"/>
          <w:szCs w:val="24"/>
          <w:highlight w:val="none"/>
        </w:rPr>
        <w:t>投标有效期</w:t>
      </w:r>
    </w:p>
    <w:p w14:paraId="75723664">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18.1 </w:t>
      </w:r>
      <w:r>
        <w:rPr>
          <w:rFonts w:hint="eastAsia" w:ascii="宋体" w:hAnsi="宋体" w:cs="宋体"/>
          <w:sz w:val="24"/>
          <w:szCs w:val="24"/>
          <w:highlight w:val="none"/>
        </w:rPr>
        <w:t>投标应自本须知第</w:t>
      </w:r>
      <w:r>
        <w:rPr>
          <w:rFonts w:ascii="宋体" w:hAnsi="宋体" w:cs="宋体"/>
          <w:sz w:val="24"/>
          <w:szCs w:val="24"/>
          <w:highlight w:val="none"/>
        </w:rPr>
        <w:t>24.1</w:t>
      </w:r>
      <w:r>
        <w:rPr>
          <w:rFonts w:hint="eastAsia" w:ascii="宋体" w:hAnsi="宋体" w:cs="宋体"/>
          <w:sz w:val="24"/>
          <w:szCs w:val="24"/>
          <w:highlight w:val="none"/>
        </w:rPr>
        <w:t>条规定的开标日起，并在“投标人须知前附表”中所述时期内保持有效。投标有效期不足的投标将被视为非响应性投标而作无效投标处理。</w:t>
      </w:r>
    </w:p>
    <w:p w14:paraId="74B748D0">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18.2 </w:t>
      </w:r>
      <w:r>
        <w:rPr>
          <w:rFonts w:hint="eastAsia" w:ascii="宋体" w:hAnsi="宋体" w:cs="宋体"/>
          <w:sz w:val="24"/>
          <w:szCs w:val="24"/>
          <w:highlight w:val="none"/>
        </w:rPr>
        <w:t>特殊情况下，在原投标有效期截止之前，采购人可要求合格投标人同意延长投标有效期。这种要求与答复均应以书面形式提交。合格投标人可拒绝采购代理机构的这种要求，其投标保证金将予以退还。接受延长投标有效期的合格投标人将不会被要求和允许修正其投标，而只会被要求相应地延长其投标保证金的有效期。在这种情况下，本须知第</w:t>
      </w:r>
      <w:r>
        <w:rPr>
          <w:rFonts w:ascii="宋体" w:hAnsi="宋体" w:cs="宋体"/>
          <w:sz w:val="24"/>
          <w:szCs w:val="24"/>
          <w:highlight w:val="none"/>
        </w:rPr>
        <w:t>17</w:t>
      </w:r>
      <w:r>
        <w:rPr>
          <w:rFonts w:hint="eastAsia" w:ascii="宋体" w:hAnsi="宋体" w:cs="宋体"/>
          <w:sz w:val="24"/>
          <w:szCs w:val="24"/>
          <w:highlight w:val="none"/>
        </w:rPr>
        <w:t>条有关投标保证金的退还和不予退还的规定将在延长了的有效期内继续有效。</w:t>
      </w:r>
    </w:p>
    <w:p w14:paraId="1EA3AF4D">
      <w:pPr>
        <w:spacing w:line="360" w:lineRule="auto"/>
        <w:ind w:firstLine="482" w:firstLineChars="200"/>
        <w:rPr>
          <w:rFonts w:ascii="宋体" w:cs="宋体"/>
          <w:b/>
          <w:sz w:val="24"/>
          <w:szCs w:val="24"/>
          <w:highlight w:val="none"/>
        </w:rPr>
      </w:pPr>
      <w:r>
        <w:rPr>
          <w:rFonts w:ascii="宋体" w:hAnsi="宋体" w:cs="宋体"/>
          <w:b/>
          <w:sz w:val="24"/>
          <w:szCs w:val="24"/>
          <w:highlight w:val="none"/>
        </w:rPr>
        <w:t>19.</w:t>
      </w:r>
      <w:r>
        <w:rPr>
          <w:rFonts w:hint="eastAsia" w:ascii="宋体" w:hAnsi="宋体" w:cs="宋体"/>
          <w:b/>
          <w:sz w:val="24"/>
          <w:szCs w:val="24"/>
          <w:highlight w:val="none"/>
        </w:rPr>
        <w:t>投标文件的制作和签署</w:t>
      </w:r>
    </w:p>
    <w:p w14:paraId="6CE18E14">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19.1 </w:t>
      </w:r>
      <w:r>
        <w:rPr>
          <w:rFonts w:hint="eastAsia" w:ascii="宋体" w:hAnsi="宋体" w:cs="宋体"/>
          <w:sz w:val="24"/>
          <w:szCs w:val="24"/>
          <w:highlight w:val="none"/>
        </w:rPr>
        <w:t>投标人应准备一份投标文件正本，</w:t>
      </w:r>
      <w:r>
        <w:rPr>
          <w:rFonts w:hint="eastAsia" w:ascii="宋体" w:hAnsi="宋体" w:cs="宋体"/>
          <w:sz w:val="24"/>
          <w:szCs w:val="24"/>
          <w:highlight w:val="none"/>
          <w:lang w:val="en-US" w:eastAsia="zh-CN"/>
        </w:rPr>
        <w:t>并按要求上传至政采云平台（https://www.zcygov.cn/）</w:t>
      </w:r>
      <w:r>
        <w:rPr>
          <w:rFonts w:hint="eastAsia" w:ascii="宋体" w:hAnsi="宋体" w:cs="宋体"/>
          <w:sz w:val="24"/>
          <w:szCs w:val="24"/>
          <w:highlight w:val="none"/>
        </w:rPr>
        <w:t>。</w:t>
      </w:r>
    </w:p>
    <w:p w14:paraId="1DFD5426">
      <w:pPr>
        <w:spacing w:line="360" w:lineRule="auto"/>
        <w:ind w:firstLine="480" w:firstLineChars="200"/>
        <w:rPr>
          <w:rFonts w:hint="eastAsia" w:ascii="宋体" w:eastAsia="宋体" w:cs="宋体"/>
          <w:b/>
          <w:bCs/>
          <w:sz w:val="24"/>
          <w:szCs w:val="24"/>
          <w:highlight w:val="none"/>
          <w:lang w:eastAsia="zh-CN"/>
        </w:rPr>
      </w:pPr>
      <w:r>
        <w:rPr>
          <w:rFonts w:ascii="宋体" w:hAnsi="宋体" w:cs="宋体"/>
          <w:sz w:val="24"/>
          <w:szCs w:val="24"/>
          <w:highlight w:val="none"/>
        </w:rPr>
        <w:t xml:space="preserve">19.2 </w:t>
      </w:r>
      <w:r>
        <w:rPr>
          <w:rFonts w:hint="eastAsia" w:ascii="宋体" w:hAnsi="宋体" w:cs="宋体"/>
          <w:sz w:val="24"/>
          <w:szCs w:val="24"/>
          <w:highlight w:val="none"/>
        </w:rPr>
        <w:t>投标文件的正本建议双面打印，并由投标人法定代表人或经正式授权的代表在投标文件上签字或盖章并加盖公司公章。投标文件的副本可采用正本签字盖章后的复印件（双面复印）加盖公司公章。</w:t>
      </w: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仅针对中标人</w:t>
      </w:r>
      <w:r>
        <w:rPr>
          <w:rFonts w:hint="eastAsia" w:ascii="宋体" w:hAnsi="宋体" w:cs="宋体"/>
          <w:b/>
          <w:bCs/>
          <w:sz w:val="24"/>
          <w:szCs w:val="24"/>
          <w:highlight w:val="none"/>
          <w:lang w:eastAsia="zh-CN"/>
        </w:rPr>
        <w:t>）</w:t>
      </w:r>
    </w:p>
    <w:p w14:paraId="5BAB855D">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19.3 </w:t>
      </w:r>
      <w:r>
        <w:rPr>
          <w:rFonts w:hint="eastAsia" w:ascii="宋体" w:hAnsi="宋体" w:cs="宋体"/>
          <w:sz w:val="24"/>
          <w:szCs w:val="24"/>
          <w:highlight w:val="none"/>
        </w:rPr>
        <w:t>任何行间插字、涂改或增删，必须由投标文件签字人姓或首字母在旁边签字才有效。</w:t>
      </w:r>
    </w:p>
    <w:p w14:paraId="03172AFC">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19.4 </w:t>
      </w:r>
      <w:r>
        <w:rPr>
          <w:rFonts w:hint="eastAsia" w:ascii="宋体" w:hAnsi="宋体" w:cs="宋体"/>
          <w:sz w:val="24"/>
          <w:szCs w:val="24"/>
          <w:highlight w:val="none"/>
        </w:rPr>
        <w:t>投标文件应包含资格性证明材料部分、商务部分和技术部分。投标文件正本需要经正式授权的授权代表签字并加盖公章</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电子章</w:t>
      </w:r>
      <w:r>
        <w:rPr>
          <w:rFonts w:hint="eastAsia" w:ascii="宋体" w:hAnsi="宋体" w:cs="宋体"/>
          <w:sz w:val="24"/>
          <w:szCs w:val="24"/>
          <w:highlight w:val="none"/>
          <w:lang w:eastAsia="zh-CN"/>
        </w:rPr>
        <w:t>）</w:t>
      </w:r>
      <w:r>
        <w:rPr>
          <w:rFonts w:hint="eastAsia" w:ascii="宋体" w:hAnsi="宋体" w:cs="宋体"/>
          <w:sz w:val="24"/>
          <w:szCs w:val="24"/>
          <w:highlight w:val="none"/>
        </w:rPr>
        <w:t>。</w:t>
      </w:r>
    </w:p>
    <w:p w14:paraId="3525D9DF">
      <w:pPr>
        <w:spacing w:line="360" w:lineRule="auto"/>
        <w:ind w:firstLine="480" w:firstLineChars="200"/>
        <w:rPr>
          <w:rFonts w:ascii="宋体" w:cs="宋体"/>
          <w:sz w:val="24"/>
          <w:highlight w:val="none"/>
        </w:rPr>
      </w:pPr>
      <w:bookmarkStart w:id="53" w:name="_Toc322446892"/>
      <w:r>
        <w:rPr>
          <w:rFonts w:ascii="宋体" w:hAnsi="宋体" w:cs="宋体"/>
          <w:sz w:val="24"/>
          <w:szCs w:val="24"/>
          <w:highlight w:val="none"/>
        </w:rPr>
        <w:t>19.5</w:t>
      </w:r>
      <w:r>
        <w:rPr>
          <w:rFonts w:hint="eastAsia" w:ascii="宋体" w:hAnsi="宋体" w:cs="宋体"/>
          <w:sz w:val="24"/>
          <w:highlight w:val="none"/>
        </w:rPr>
        <w:t>投标文件封面应标注： “投标文件”、项目名称、招标编号、投标人名称并加盖投标人公章</w:t>
      </w:r>
      <w:r>
        <w:rPr>
          <w:rFonts w:hint="eastAsia" w:ascii="宋体" w:hAnsi="宋体" w:cs="宋体"/>
          <w:sz w:val="24"/>
          <w:highlight w:val="none"/>
          <w:lang w:eastAsia="zh-CN"/>
        </w:rPr>
        <w:t>（</w:t>
      </w:r>
      <w:r>
        <w:rPr>
          <w:rFonts w:hint="eastAsia" w:ascii="宋体" w:hAnsi="宋体" w:cs="宋体"/>
          <w:sz w:val="24"/>
          <w:highlight w:val="none"/>
          <w:lang w:val="en-US" w:eastAsia="zh-CN"/>
        </w:rPr>
        <w:t>电子章</w:t>
      </w:r>
      <w:r>
        <w:rPr>
          <w:rFonts w:hint="eastAsia" w:ascii="宋体" w:hAnsi="宋体" w:cs="宋体"/>
          <w:sz w:val="24"/>
          <w:highlight w:val="none"/>
          <w:lang w:eastAsia="zh-CN"/>
        </w:rPr>
        <w:t>）</w:t>
      </w:r>
      <w:r>
        <w:rPr>
          <w:rFonts w:hint="eastAsia" w:ascii="宋体" w:hAnsi="宋体" w:cs="宋体"/>
          <w:sz w:val="24"/>
          <w:highlight w:val="none"/>
        </w:rPr>
        <w:t>、正本或副本。</w:t>
      </w:r>
      <w:bookmarkStart w:id="54" w:name="_Toc2511972"/>
      <w:bookmarkStart w:id="55" w:name="_Toc14776839"/>
      <w:bookmarkStart w:id="56" w:name="_Toc2355231"/>
      <w:bookmarkStart w:id="57" w:name="_Toc493422651"/>
    </w:p>
    <w:p w14:paraId="418E1C5A">
      <w:pPr>
        <w:spacing w:line="360" w:lineRule="auto"/>
        <w:rPr>
          <w:rFonts w:ascii="宋体" w:cs="宋体"/>
          <w:b/>
          <w:sz w:val="24"/>
          <w:szCs w:val="24"/>
          <w:highlight w:val="none"/>
        </w:rPr>
      </w:pPr>
      <w:r>
        <w:rPr>
          <w:rFonts w:hint="eastAsia" w:ascii="宋体" w:hAnsi="宋体" w:cs="宋体"/>
          <w:b/>
          <w:sz w:val="24"/>
          <w:szCs w:val="24"/>
          <w:highlight w:val="none"/>
        </w:rPr>
        <w:t>四、投标文件的密封和递交</w:t>
      </w:r>
      <w:bookmarkEnd w:id="53"/>
      <w:bookmarkEnd w:id="54"/>
      <w:bookmarkEnd w:id="55"/>
      <w:bookmarkEnd w:id="56"/>
      <w:bookmarkEnd w:id="57"/>
    </w:p>
    <w:p w14:paraId="0EC77DA9">
      <w:pPr>
        <w:spacing w:line="360" w:lineRule="auto"/>
        <w:ind w:firstLine="482" w:firstLineChars="200"/>
        <w:rPr>
          <w:rFonts w:ascii="宋体" w:cs="宋体"/>
          <w:b/>
          <w:sz w:val="24"/>
          <w:szCs w:val="24"/>
          <w:highlight w:val="none"/>
        </w:rPr>
      </w:pPr>
      <w:r>
        <w:rPr>
          <w:rFonts w:ascii="宋体" w:hAnsi="宋体" w:cs="宋体"/>
          <w:b/>
          <w:sz w:val="24"/>
          <w:szCs w:val="24"/>
          <w:highlight w:val="none"/>
        </w:rPr>
        <w:t>20.</w:t>
      </w:r>
      <w:r>
        <w:rPr>
          <w:rFonts w:hint="eastAsia" w:ascii="宋体" w:hAnsi="宋体" w:cs="宋体"/>
          <w:b/>
          <w:sz w:val="24"/>
          <w:szCs w:val="24"/>
          <w:highlight w:val="none"/>
        </w:rPr>
        <w:t>投标文件的密封和标记（</w:t>
      </w:r>
      <w:r>
        <w:rPr>
          <w:rFonts w:hint="eastAsia" w:ascii="宋体" w:hAnsi="宋体" w:cs="宋体"/>
          <w:b/>
          <w:sz w:val="24"/>
          <w:szCs w:val="24"/>
          <w:highlight w:val="none"/>
          <w:lang w:val="en-US" w:eastAsia="zh-CN"/>
        </w:rPr>
        <w:t>采用</w:t>
      </w:r>
      <w:r>
        <w:rPr>
          <w:rFonts w:hint="eastAsia" w:ascii="宋体" w:hAnsi="宋体" w:cs="宋体"/>
          <w:b/>
          <w:sz w:val="24"/>
          <w:szCs w:val="24"/>
          <w:highlight w:val="none"/>
        </w:rPr>
        <w:t>电子开评标</w:t>
      </w:r>
      <w:r>
        <w:rPr>
          <w:rFonts w:hint="eastAsia" w:ascii="宋体" w:hAnsi="宋体" w:cs="宋体"/>
          <w:b/>
          <w:sz w:val="24"/>
          <w:szCs w:val="24"/>
          <w:highlight w:val="none"/>
          <w:lang w:val="en-US" w:eastAsia="zh-CN"/>
        </w:rPr>
        <w:t>的，在确定中标单位前，所有投标人的投标文件均</w:t>
      </w:r>
      <w:r>
        <w:rPr>
          <w:rFonts w:hint="eastAsia" w:ascii="宋体" w:hAnsi="宋体" w:cs="宋体"/>
          <w:b/>
          <w:sz w:val="24"/>
          <w:szCs w:val="24"/>
          <w:highlight w:val="none"/>
        </w:rPr>
        <w:t>无需</w:t>
      </w:r>
      <w:r>
        <w:rPr>
          <w:rFonts w:hint="eastAsia" w:ascii="宋体" w:hAnsi="宋体" w:cs="宋体"/>
          <w:b/>
          <w:sz w:val="24"/>
          <w:szCs w:val="24"/>
          <w:highlight w:val="none"/>
          <w:lang w:val="en-US" w:eastAsia="zh-CN"/>
        </w:rPr>
        <w:t>打印、胶装、</w:t>
      </w:r>
      <w:r>
        <w:rPr>
          <w:rFonts w:hint="eastAsia" w:ascii="宋体" w:hAnsi="宋体" w:cs="宋体"/>
          <w:b/>
          <w:sz w:val="24"/>
          <w:szCs w:val="24"/>
          <w:highlight w:val="none"/>
        </w:rPr>
        <w:t>密封</w:t>
      </w:r>
      <w:r>
        <w:rPr>
          <w:rFonts w:hint="eastAsia" w:ascii="宋体" w:hAnsi="宋体" w:cs="宋体"/>
          <w:b/>
          <w:sz w:val="24"/>
          <w:szCs w:val="24"/>
          <w:highlight w:val="none"/>
          <w:lang w:eastAsia="zh-CN"/>
        </w:rPr>
        <w:t>，</w:t>
      </w:r>
      <w:r>
        <w:rPr>
          <w:rFonts w:hint="eastAsia" w:ascii="宋体" w:hAnsi="宋体" w:cs="宋体"/>
          <w:b/>
          <w:sz w:val="24"/>
          <w:szCs w:val="24"/>
          <w:highlight w:val="none"/>
          <w:lang w:val="en-US" w:eastAsia="zh-CN"/>
        </w:rPr>
        <w:t>任何纸质投标文件的要求仅针对中标单位</w:t>
      </w:r>
      <w:r>
        <w:rPr>
          <w:rFonts w:hint="eastAsia" w:ascii="宋体" w:hAnsi="宋体" w:cs="宋体"/>
          <w:b/>
          <w:sz w:val="24"/>
          <w:szCs w:val="24"/>
          <w:highlight w:val="none"/>
        </w:rPr>
        <w:t>）</w:t>
      </w:r>
    </w:p>
    <w:p w14:paraId="6AD48395">
      <w:pPr>
        <w:spacing w:line="360" w:lineRule="auto"/>
        <w:ind w:firstLine="480" w:firstLineChars="200"/>
        <w:rPr>
          <w:rFonts w:ascii="宋体" w:cs="宋体"/>
          <w:sz w:val="24"/>
          <w:szCs w:val="24"/>
          <w:highlight w:val="none"/>
        </w:rPr>
      </w:pPr>
      <w:r>
        <w:rPr>
          <w:rFonts w:ascii="宋体" w:hAnsi="宋体" w:cs="宋体"/>
          <w:sz w:val="24"/>
          <w:szCs w:val="24"/>
          <w:highlight w:val="none"/>
        </w:rPr>
        <w:t>20.1</w:t>
      </w:r>
      <w:r>
        <w:rPr>
          <w:rFonts w:hint="eastAsia" w:ascii="宋体" w:hAnsi="宋体" w:cs="宋体"/>
          <w:sz w:val="24"/>
          <w:szCs w:val="24"/>
          <w:highlight w:val="none"/>
        </w:rPr>
        <w:t>投标人应完整地按招标文件要求填写投标文件，“投标文件</w:t>
      </w:r>
      <w:r>
        <w:rPr>
          <w:rFonts w:ascii="宋体" w:cs="宋体"/>
          <w:sz w:val="24"/>
          <w:szCs w:val="24"/>
          <w:highlight w:val="none"/>
        </w:rPr>
        <w:t>-</w:t>
      </w:r>
      <w:r>
        <w:rPr>
          <w:rFonts w:hint="eastAsia" w:ascii="宋体" w:hAnsi="宋体" w:cs="宋体"/>
          <w:sz w:val="24"/>
          <w:szCs w:val="24"/>
          <w:highlight w:val="none"/>
        </w:rPr>
        <w:t>资格证明材料”和“投标文件”所有部分胶装成一册，所有文件均须左侧胶装，胶装须牢固不易拆散和换页，不得采用活页方式装订。</w:t>
      </w:r>
    </w:p>
    <w:p w14:paraId="1C3D1064">
      <w:pPr>
        <w:spacing w:line="360" w:lineRule="auto"/>
        <w:ind w:firstLine="480" w:firstLineChars="200"/>
        <w:rPr>
          <w:rFonts w:ascii="宋体" w:cs="宋体"/>
          <w:sz w:val="24"/>
          <w:szCs w:val="24"/>
          <w:highlight w:val="none"/>
        </w:rPr>
      </w:pPr>
      <w:r>
        <w:rPr>
          <w:rFonts w:ascii="宋体" w:hAnsi="宋体" w:cs="宋体"/>
          <w:sz w:val="24"/>
          <w:szCs w:val="24"/>
          <w:highlight w:val="none"/>
        </w:rPr>
        <w:t>20.</w:t>
      </w:r>
      <w:r>
        <w:rPr>
          <w:rFonts w:hint="eastAsia" w:ascii="宋体" w:hAnsi="宋体" w:cs="宋体"/>
          <w:sz w:val="24"/>
          <w:szCs w:val="24"/>
          <w:highlight w:val="none"/>
          <w:lang w:val="en-US" w:eastAsia="zh-CN"/>
        </w:rPr>
        <w:t>2</w:t>
      </w:r>
      <w:r>
        <w:rPr>
          <w:rFonts w:hint="eastAsia" w:ascii="宋体" w:hAnsi="宋体" w:cs="宋体"/>
          <w:sz w:val="24"/>
          <w:szCs w:val="24"/>
          <w:highlight w:val="none"/>
        </w:rPr>
        <w:t>采购人、采购代理机构对误投或过早启封概不负责。</w:t>
      </w:r>
      <w:r>
        <w:rPr>
          <w:rFonts w:hint="eastAsia" w:ascii="宋体" w:hAnsi="宋体" w:cs="宋体"/>
          <w:b/>
          <w:sz w:val="24"/>
          <w:szCs w:val="24"/>
          <w:highlight w:val="none"/>
          <w:u w:val="single"/>
        </w:rPr>
        <w:t>逾期送达或者未按照招标文件要求密封的投标文件，采购人、采购代理机构应当拒收。</w:t>
      </w:r>
    </w:p>
    <w:p w14:paraId="3B2DA2B4">
      <w:pPr>
        <w:spacing w:line="360" w:lineRule="auto"/>
        <w:ind w:firstLine="482" w:firstLineChars="200"/>
        <w:rPr>
          <w:rFonts w:ascii="宋体" w:cs="宋体"/>
          <w:b/>
          <w:sz w:val="24"/>
          <w:szCs w:val="24"/>
          <w:highlight w:val="none"/>
        </w:rPr>
      </w:pPr>
      <w:r>
        <w:rPr>
          <w:rFonts w:ascii="宋体" w:hAnsi="宋体" w:cs="宋体"/>
          <w:b/>
          <w:sz w:val="24"/>
          <w:szCs w:val="24"/>
          <w:highlight w:val="none"/>
        </w:rPr>
        <w:t>21.</w:t>
      </w:r>
      <w:r>
        <w:rPr>
          <w:rFonts w:hint="eastAsia" w:ascii="宋体" w:hAnsi="宋体" w:cs="宋体"/>
          <w:b/>
          <w:sz w:val="24"/>
          <w:szCs w:val="24"/>
          <w:highlight w:val="none"/>
        </w:rPr>
        <w:t>投标截止时间</w:t>
      </w:r>
    </w:p>
    <w:p w14:paraId="6FFABF99">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21.1 </w:t>
      </w:r>
      <w:r>
        <w:rPr>
          <w:rFonts w:hint="eastAsia" w:ascii="宋体" w:hAnsi="宋体" w:cs="宋体"/>
          <w:sz w:val="24"/>
          <w:szCs w:val="24"/>
          <w:highlight w:val="none"/>
        </w:rPr>
        <w:t>投标人应当在投标截止时间（详见“投标人须知前附表”）前将投标文件送达至指定的投标文件递交地点，递交地点应是“投标人须知前附表”中指明的地址。</w:t>
      </w:r>
    </w:p>
    <w:p w14:paraId="2E12C620">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21.2 </w:t>
      </w:r>
      <w:r>
        <w:rPr>
          <w:rFonts w:hint="eastAsia" w:ascii="宋体" w:hAnsi="宋体" w:cs="宋体"/>
          <w:sz w:val="24"/>
          <w:szCs w:val="24"/>
          <w:highlight w:val="none"/>
        </w:rPr>
        <w:t>采购代理机构可以按本须知第</w:t>
      </w:r>
      <w:r>
        <w:rPr>
          <w:rFonts w:ascii="宋体" w:hAnsi="宋体" w:cs="宋体"/>
          <w:sz w:val="24"/>
          <w:szCs w:val="24"/>
          <w:highlight w:val="none"/>
        </w:rPr>
        <w:t>8</w:t>
      </w:r>
      <w:r>
        <w:rPr>
          <w:rFonts w:hint="eastAsia" w:ascii="宋体" w:hAnsi="宋体" w:cs="宋体"/>
          <w:sz w:val="24"/>
          <w:szCs w:val="24"/>
          <w:highlight w:val="none"/>
        </w:rPr>
        <w:t>条规定，通知修改招标文件适当延长投标截止时间。在此情况下，采购代理机构、采购人和投标人受投标截止时间制约的所有权利和义务均应延长至新的截止期。</w:t>
      </w:r>
    </w:p>
    <w:p w14:paraId="1F0FECD2">
      <w:pPr>
        <w:spacing w:line="360" w:lineRule="auto"/>
        <w:ind w:firstLine="482" w:firstLineChars="200"/>
        <w:rPr>
          <w:rFonts w:ascii="宋体" w:cs="宋体"/>
          <w:b/>
          <w:sz w:val="24"/>
          <w:szCs w:val="24"/>
          <w:highlight w:val="none"/>
        </w:rPr>
      </w:pPr>
      <w:r>
        <w:rPr>
          <w:rFonts w:ascii="宋体" w:hAnsi="宋体" w:cs="宋体"/>
          <w:b/>
          <w:sz w:val="24"/>
          <w:szCs w:val="24"/>
          <w:highlight w:val="none"/>
        </w:rPr>
        <w:t>22.</w:t>
      </w:r>
      <w:r>
        <w:rPr>
          <w:rFonts w:hint="eastAsia" w:ascii="宋体" w:hAnsi="宋体" w:cs="宋体"/>
          <w:b/>
          <w:sz w:val="24"/>
          <w:szCs w:val="24"/>
          <w:highlight w:val="none"/>
        </w:rPr>
        <w:t>迟交的投标文件</w:t>
      </w:r>
    </w:p>
    <w:p w14:paraId="47547E2B">
      <w:pPr>
        <w:spacing w:line="360" w:lineRule="auto"/>
        <w:ind w:firstLine="482" w:firstLineChars="200"/>
        <w:rPr>
          <w:rFonts w:ascii="宋体" w:cs="宋体"/>
          <w:b/>
          <w:sz w:val="24"/>
          <w:szCs w:val="24"/>
          <w:highlight w:val="none"/>
        </w:rPr>
      </w:pPr>
      <w:r>
        <w:rPr>
          <w:rFonts w:ascii="宋体" w:hAnsi="宋体" w:cs="宋体"/>
          <w:b/>
          <w:sz w:val="24"/>
          <w:szCs w:val="24"/>
          <w:highlight w:val="none"/>
        </w:rPr>
        <w:t xml:space="preserve">22.1 </w:t>
      </w:r>
      <w:r>
        <w:rPr>
          <w:rFonts w:hint="eastAsia" w:ascii="宋体" w:hAnsi="宋体" w:cs="宋体"/>
          <w:b/>
          <w:sz w:val="24"/>
          <w:szCs w:val="24"/>
          <w:highlight w:val="none"/>
        </w:rPr>
        <w:t>采购人、采购代理机构将拒绝接收在本须知第</w:t>
      </w:r>
      <w:r>
        <w:rPr>
          <w:rFonts w:ascii="宋体" w:hAnsi="宋体" w:cs="宋体"/>
          <w:b/>
          <w:sz w:val="24"/>
          <w:szCs w:val="24"/>
          <w:highlight w:val="none"/>
        </w:rPr>
        <w:t>21</w:t>
      </w:r>
      <w:r>
        <w:rPr>
          <w:rFonts w:hint="eastAsia" w:ascii="宋体" w:hAnsi="宋体" w:cs="宋体"/>
          <w:b/>
          <w:sz w:val="24"/>
          <w:szCs w:val="24"/>
          <w:highlight w:val="none"/>
        </w:rPr>
        <w:t>条规定的截止期后送达的任何投标文件。</w:t>
      </w:r>
      <w:r>
        <w:rPr>
          <w:rFonts w:ascii="宋体" w:hAnsi="宋体" w:cs="宋体"/>
          <w:b/>
          <w:sz w:val="24"/>
          <w:szCs w:val="24"/>
          <w:highlight w:val="none"/>
        </w:rPr>
        <w:t xml:space="preserve"> </w:t>
      </w:r>
    </w:p>
    <w:p w14:paraId="44826A30">
      <w:pPr>
        <w:spacing w:line="360" w:lineRule="auto"/>
        <w:ind w:firstLine="482" w:firstLineChars="200"/>
        <w:rPr>
          <w:rFonts w:ascii="宋体" w:cs="宋体"/>
          <w:b/>
          <w:sz w:val="24"/>
          <w:szCs w:val="24"/>
          <w:highlight w:val="none"/>
        </w:rPr>
      </w:pPr>
      <w:r>
        <w:rPr>
          <w:rFonts w:ascii="宋体" w:hAnsi="宋体" w:cs="宋体"/>
          <w:b/>
          <w:sz w:val="24"/>
          <w:szCs w:val="24"/>
          <w:highlight w:val="none"/>
        </w:rPr>
        <w:t>23.</w:t>
      </w:r>
      <w:r>
        <w:rPr>
          <w:rFonts w:hint="eastAsia" w:ascii="宋体" w:hAnsi="宋体" w:cs="宋体"/>
          <w:b/>
          <w:sz w:val="24"/>
          <w:szCs w:val="24"/>
          <w:highlight w:val="none"/>
        </w:rPr>
        <w:t>投标文件的修改与撤回</w:t>
      </w:r>
    </w:p>
    <w:p w14:paraId="2DDF622E">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23.1 </w:t>
      </w:r>
      <w:r>
        <w:rPr>
          <w:rFonts w:hint="eastAsia" w:ascii="宋体" w:hAnsi="宋体" w:cs="宋体"/>
          <w:sz w:val="24"/>
          <w:szCs w:val="24"/>
          <w:highlight w:val="none"/>
          <w:lang w:val="en-US" w:eastAsia="zh-CN"/>
        </w:rPr>
        <w:t>投标人</w:t>
      </w:r>
      <w:r>
        <w:rPr>
          <w:rFonts w:hint="eastAsia" w:ascii="宋体" w:hAnsi="宋体" w:cs="宋体"/>
          <w:sz w:val="24"/>
          <w:szCs w:val="24"/>
          <w:highlight w:val="none"/>
        </w:rPr>
        <w:t>应通过电子</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文件制作工具严格按</w:t>
      </w:r>
      <w:r>
        <w:rPr>
          <w:rFonts w:hint="eastAsia" w:ascii="宋体" w:hAnsi="宋体" w:cs="宋体"/>
          <w:sz w:val="24"/>
          <w:szCs w:val="24"/>
          <w:highlight w:val="none"/>
          <w:lang w:val="en-US" w:eastAsia="zh-CN"/>
        </w:rPr>
        <w:t>采购</w:t>
      </w:r>
      <w:r>
        <w:rPr>
          <w:rFonts w:hint="eastAsia" w:ascii="宋体" w:hAnsi="宋体" w:cs="宋体"/>
          <w:sz w:val="24"/>
          <w:szCs w:val="24"/>
          <w:highlight w:val="none"/>
        </w:rPr>
        <w:t>文件要求制作</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文件，在</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截止时间前完成上传经过数字证书电子签章并加密的</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文件（加密和解密须用同一把数字证书）。</w:t>
      </w:r>
      <w:r>
        <w:rPr>
          <w:rFonts w:hint="eastAsia" w:ascii="宋体" w:hAnsi="宋体" w:cs="宋体"/>
          <w:sz w:val="24"/>
          <w:szCs w:val="24"/>
          <w:highlight w:val="none"/>
          <w:lang w:val="en-US" w:eastAsia="zh-CN"/>
        </w:rPr>
        <w:t>投标人</w:t>
      </w:r>
      <w:r>
        <w:rPr>
          <w:rFonts w:hint="eastAsia" w:ascii="宋体" w:hAnsi="宋体" w:cs="宋体"/>
          <w:sz w:val="24"/>
          <w:szCs w:val="24"/>
          <w:highlight w:val="none"/>
        </w:rPr>
        <w:t>在响应截止时间前，可以对其所递交的</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文件进行修改并重新上传，但以</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截止时间前最后一次上传的</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文件为有效</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文件。</w:t>
      </w:r>
    </w:p>
    <w:p w14:paraId="7561DA4E">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23.2 </w:t>
      </w:r>
      <w:r>
        <w:rPr>
          <w:rFonts w:hint="eastAsia" w:ascii="宋体" w:hAnsi="宋体" w:cs="宋体"/>
          <w:sz w:val="24"/>
          <w:szCs w:val="24"/>
          <w:highlight w:val="none"/>
        </w:rPr>
        <w:t>投标人的修改或撤回通知应按本须知第</w:t>
      </w:r>
      <w:r>
        <w:rPr>
          <w:rFonts w:ascii="宋体" w:hAnsi="宋体" w:cs="宋体"/>
          <w:sz w:val="24"/>
          <w:szCs w:val="24"/>
          <w:highlight w:val="none"/>
        </w:rPr>
        <w:t>20</w:t>
      </w:r>
      <w:r>
        <w:rPr>
          <w:rFonts w:hint="eastAsia" w:ascii="宋体" w:hAnsi="宋体" w:cs="宋体"/>
          <w:sz w:val="24"/>
          <w:szCs w:val="24"/>
          <w:highlight w:val="none"/>
        </w:rPr>
        <w:t>条规定编制、标记和递交。</w:t>
      </w:r>
    </w:p>
    <w:p w14:paraId="6F7199CF">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23.3 </w:t>
      </w:r>
      <w:r>
        <w:rPr>
          <w:rFonts w:hint="eastAsia" w:ascii="宋体" w:hAnsi="宋体" w:cs="宋体"/>
          <w:sz w:val="24"/>
          <w:szCs w:val="24"/>
          <w:highlight w:val="none"/>
        </w:rPr>
        <w:t>在投标截止时间之后，投标人不得对其投标做任何修改。</w:t>
      </w:r>
    </w:p>
    <w:p w14:paraId="44D20B7B">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23.4 </w:t>
      </w:r>
      <w:r>
        <w:rPr>
          <w:rFonts w:hint="eastAsia" w:ascii="宋体" w:hAnsi="宋体" w:cs="宋体"/>
          <w:sz w:val="24"/>
          <w:szCs w:val="24"/>
          <w:highlight w:val="none"/>
        </w:rPr>
        <w:t>从投标截止时间至投标人在投标书格式中确定的投标有效期期满这段时间内，投标人不得撤回其投标，否则其投标保证金将按照本须知第</w:t>
      </w:r>
      <w:r>
        <w:rPr>
          <w:rFonts w:ascii="宋体" w:hAnsi="宋体" w:cs="宋体"/>
          <w:sz w:val="24"/>
          <w:szCs w:val="24"/>
          <w:highlight w:val="none"/>
        </w:rPr>
        <w:t>17.7</w:t>
      </w:r>
      <w:r>
        <w:rPr>
          <w:rFonts w:hint="eastAsia" w:ascii="宋体" w:hAnsi="宋体" w:cs="宋体"/>
          <w:sz w:val="24"/>
          <w:szCs w:val="24"/>
          <w:highlight w:val="none"/>
        </w:rPr>
        <w:t>条的规定不予退还。</w:t>
      </w:r>
      <w:bookmarkStart w:id="58" w:name="_Toc2355232"/>
      <w:bookmarkStart w:id="59" w:name="_Toc322446893"/>
      <w:bookmarkStart w:id="60" w:name="_Toc493422652"/>
      <w:bookmarkStart w:id="61" w:name="_Toc14776840"/>
      <w:bookmarkStart w:id="62" w:name="_Toc2511973"/>
    </w:p>
    <w:p w14:paraId="7DF6BF30">
      <w:pPr>
        <w:spacing w:line="360" w:lineRule="auto"/>
        <w:rPr>
          <w:rFonts w:ascii="宋体" w:cs="宋体"/>
          <w:b/>
          <w:sz w:val="24"/>
          <w:szCs w:val="24"/>
          <w:highlight w:val="none"/>
        </w:rPr>
      </w:pPr>
      <w:r>
        <w:rPr>
          <w:rFonts w:hint="eastAsia" w:ascii="宋体" w:hAnsi="宋体" w:cs="宋体"/>
          <w:b/>
          <w:sz w:val="24"/>
          <w:szCs w:val="24"/>
          <w:highlight w:val="none"/>
        </w:rPr>
        <w:t>五、开标与评标</w:t>
      </w:r>
      <w:bookmarkEnd w:id="58"/>
      <w:bookmarkEnd w:id="59"/>
      <w:bookmarkEnd w:id="60"/>
      <w:bookmarkEnd w:id="61"/>
      <w:bookmarkEnd w:id="62"/>
    </w:p>
    <w:p w14:paraId="5FED08F4">
      <w:pPr>
        <w:spacing w:line="360" w:lineRule="auto"/>
        <w:ind w:firstLine="482" w:firstLineChars="200"/>
        <w:rPr>
          <w:rFonts w:ascii="宋体" w:cs="宋体"/>
          <w:b/>
          <w:sz w:val="24"/>
          <w:szCs w:val="24"/>
          <w:highlight w:val="none"/>
        </w:rPr>
      </w:pPr>
      <w:r>
        <w:rPr>
          <w:rFonts w:ascii="宋体" w:hAnsi="宋体" w:cs="宋体"/>
          <w:b/>
          <w:sz w:val="24"/>
          <w:szCs w:val="24"/>
          <w:highlight w:val="none"/>
        </w:rPr>
        <w:t>24.</w:t>
      </w:r>
      <w:r>
        <w:rPr>
          <w:rFonts w:hint="eastAsia" w:ascii="宋体" w:hAnsi="宋体" w:cs="宋体"/>
          <w:b/>
          <w:sz w:val="24"/>
          <w:szCs w:val="24"/>
          <w:highlight w:val="none"/>
        </w:rPr>
        <w:t>开标</w:t>
      </w:r>
    </w:p>
    <w:p w14:paraId="7CF730BF">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24.1 </w:t>
      </w:r>
      <w:r>
        <w:rPr>
          <w:rFonts w:hint="eastAsia" w:ascii="宋体" w:hAnsi="宋体"/>
          <w:kern w:val="0"/>
          <w:sz w:val="24"/>
          <w:szCs w:val="24"/>
        </w:rPr>
        <w:t>采购单位</w:t>
      </w:r>
      <w:r>
        <w:rPr>
          <w:rFonts w:hint="eastAsia" w:ascii="宋体" w:hAnsi="宋体"/>
          <w:kern w:val="0"/>
          <w:sz w:val="24"/>
          <w:szCs w:val="21"/>
        </w:rPr>
        <w:t>应当按采购邀请的规定，在响应文件递交截止时间的同一时间和预先确定的</w:t>
      </w:r>
      <w:r>
        <w:rPr>
          <w:rFonts w:hint="eastAsia" w:ascii="宋体" w:hAnsi="宋体"/>
          <w:kern w:val="0"/>
          <w:sz w:val="24"/>
          <w:szCs w:val="21"/>
          <w:lang w:val="en-US" w:eastAsia="zh-CN"/>
        </w:rPr>
        <w:t>平台网址</w:t>
      </w:r>
      <w:r>
        <w:rPr>
          <w:rFonts w:hint="eastAsia" w:ascii="宋体" w:hAnsi="宋体"/>
          <w:kern w:val="0"/>
          <w:sz w:val="24"/>
          <w:szCs w:val="21"/>
        </w:rPr>
        <w:t>组织</w:t>
      </w:r>
      <w:r>
        <w:rPr>
          <w:rFonts w:hint="eastAsia" w:ascii="宋体" w:hAnsi="宋体"/>
          <w:kern w:val="0"/>
          <w:sz w:val="24"/>
          <w:szCs w:val="21"/>
          <w:lang w:val="en-US" w:eastAsia="zh-CN"/>
        </w:rPr>
        <w:t>采购</w:t>
      </w:r>
      <w:r>
        <w:rPr>
          <w:rFonts w:hint="eastAsia" w:ascii="宋体" w:hAnsi="宋体"/>
          <w:kern w:val="0"/>
          <w:sz w:val="24"/>
          <w:szCs w:val="21"/>
        </w:rPr>
        <w:t>活动，并邀请所有</w:t>
      </w:r>
      <w:r>
        <w:rPr>
          <w:rFonts w:hint="eastAsia" w:ascii="宋体" w:hAnsi="宋体"/>
          <w:kern w:val="0"/>
          <w:sz w:val="24"/>
          <w:szCs w:val="21"/>
          <w:lang w:val="en-US" w:eastAsia="zh-CN"/>
        </w:rPr>
        <w:t>投标人</w:t>
      </w:r>
      <w:r>
        <w:rPr>
          <w:rFonts w:hint="eastAsia" w:ascii="宋体" w:hAnsi="宋体"/>
          <w:kern w:val="0"/>
          <w:sz w:val="24"/>
          <w:szCs w:val="21"/>
        </w:rPr>
        <w:t>代表参加。</w:t>
      </w:r>
      <w:r>
        <w:rPr>
          <w:rFonts w:hint="eastAsia" w:ascii="宋体" w:hAnsi="宋体"/>
          <w:kern w:val="0"/>
          <w:sz w:val="24"/>
          <w:szCs w:val="21"/>
          <w:lang w:val="en-US" w:eastAsia="zh-CN"/>
        </w:rPr>
        <w:t>投标人</w:t>
      </w:r>
      <w:r>
        <w:rPr>
          <w:rFonts w:hint="eastAsia" w:ascii="宋体" w:hAnsi="宋体"/>
          <w:kern w:val="0"/>
          <w:sz w:val="24"/>
          <w:szCs w:val="21"/>
        </w:rPr>
        <w:t>代表应签名报到以证明其出席</w:t>
      </w:r>
      <w:r>
        <w:rPr>
          <w:rFonts w:hint="eastAsia" w:ascii="宋体" w:hAnsi="宋体"/>
          <w:kern w:val="0"/>
          <w:sz w:val="24"/>
          <w:szCs w:val="21"/>
          <w:lang w:eastAsia="zh-CN"/>
        </w:rPr>
        <w:t>，</w:t>
      </w:r>
      <w:r>
        <w:rPr>
          <w:rFonts w:hint="eastAsia" w:ascii="宋体" w:hAnsi="宋体"/>
          <w:kern w:val="0"/>
          <w:sz w:val="24"/>
          <w:szCs w:val="21"/>
          <w:lang w:val="en-US" w:eastAsia="zh-CN"/>
        </w:rPr>
        <w:t>并在开启环节全程保持在线</w:t>
      </w:r>
      <w:r>
        <w:rPr>
          <w:rFonts w:hint="eastAsia" w:ascii="宋体" w:hAnsi="宋体"/>
          <w:kern w:val="0"/>
          <w:sz w:val="24"/>
          <w:szCs w:val="21"/>
        </w:rPr>
        <w:t>。采购代理机构在线上开启</w:t>
      </w:r>
      <w:r>
        <w:rPr>
          <w:rFonts w:hint="eastAsia" w:ascii="宋体" w:hAnsi="宋体"/>
          <w:kern w:val="0"/>
          <w:sz w:val="24"/>
          <w:szCs w:val="21"/>
          <w:lang w:val="en-US" w:eastAsia="zh-CN"/>
        </w:rPr>
        <w:t>投标</w:t>
      </w:r>
      <w:r>
        <w:rPr>
          <w:rFonts w:hint="eastAsia" w:ascii="宋体" w:hAnsi="宋体"/>
          <w:kern w:val="0"/>
          <w:sz w:val="24"/>
          <w:szCs w:val="21"/>
        </w:rPr>
        <w:t>文件解密，后由各</w:t>
      </w:r>
      <w:r>
        <w:rPr>
          <w:rFonts w:hint="eastAsia" w:ascii="宋体" w:hAnsi="宋体"/>
          <w:kern w:val="0"/>
          <w:sz w:val="24"/>
          <w:szCs w:val="21"/>
          <w:lang w:val="en-US" w:eastAsia="zh-CN"/>
        </w:rPr>
        <w:t>投标人</w:t>
      </w:r>
      <w:r>
        <w:rPr>
          <w:rFonts w:hint="eastAsia" w:ascii="宋体" w:hAnsi="宋体"/>
          <w:kern w:val="0"/>
          <w:sz w:val="24"/>
          <w:szCs w:val="21"/>
        </w:rPr>
        <w:t>在规定时间内在线解密</w:t>
      </w:r>
      <w:r>
        <w:rPr>
          <w:rFonts w:hint="eastAsia" w:ascii="宋体" w:hAnsi="宋体"/>
          <w:kern w:val="0"/>
          <w:sz w:val="24"/>
          <w:szCs w:val="21"/>
          <w:lang w:val="en-US" w:eastAsia="zh-CN"/>
        </w:rPr>
        <w:t>其投标</w:t>
      </w:r>
      <w:r>
        <w:rPr>
          <w:rFonts w:hint="eastAsia" w:ascii="宋体" w:hAnsi="宋体"/>
          <w:kern w:val="0"/>
          <w:sz w:val="24"/>
          <w:szCs w:val="21"/>
        </w:rPr>
        <w:t>文件。未在规定时间内解密</w:t>
      </w:r>
      <w:r>
        <w:rPr>
          <w:rFonts w:hint="eastAsia" w:ascii="宋体" w:hAnsi="宋体"/>
          <w:kern w:val="0"/>
          <w:sz w:val="24"/>
          <w:szCs w:val="21"/>
          <w:lang w:val="en-US" w:eastAsia="zh-CN"/>
        </w:rPr>
        <w:t>投标</w:t>
      </w:r>
      <w:r>
        <w:rPr>
          <w:rFonts w:hint="eastAsia" w:ascii="宋体" w:hAnsi="宋体"/>
          <w:kern w:val="0"/>
          <w:sz w:val="24"/>
          <w:szCs w:val="21"/>
        </w:rPr>
        <w:t>文件的视为放弃</w:t>
      </w:r>
      <w:r>
        <w:rPr>
          <w:rFonts w:hint="eastAsia" w:ascii="宋体" w:hAnsi="宋体"/>
          <w:kern w:val="0"/>
          <w:sz w:val="24"/>
          <w:szCs w:val="21"/>
          <w:lang w:val="en-US" w:eastAsia="zh-CN"/>
        </w:rPr>
        <w:t>投标</w:t>
      </w:r>
      <w:r>
        <w:rPr>
          <w:rFonts w:hint="eastAsia" w:ascii="宋体" w:hAnsi="宋体"/>
          <w:kern w:val="0"/>
          <w:sz w:val="24"/>
          <w:szCs w:val="21"/>
        </w:rPr>
        <w:t>资格，</w:t>
      </w:r>
      <w:r>
        <w:rPr>
          <w:rFonts w:hint="eastAsia" w:ascii="宋体" w:hAnsi="宋体"/>
          <w:kern w:val="0"/>
          <w:sz w:val="24"/>
          <w:szCs w:val="21"/>
          <w:lang w:val="en-US" w:eastAsia="zh-CN"/>
        </w:rPr>
        <w:t>投标</w:t>
      </w:r>
      <w:r>
        <w:rPr>
          <w:rFonts w:hint="eastAsia" w:ascii="宋体" w:hAnsi="宋体"/>
          <w:kern w:val="0"/>
          <w:sz w:val="24"/>
          <w:szCs w:val="21"/>
        </w:rPr>
        <w:t>文件在线解密时长为30分钟，因</w:t>
      </w:r>
      <w:r>
        <w:rPr>
          <w:rFonts w:hint="eastAsia" w:ascii="宋体" w:hAnsi="宋体"/>
          <w:kern w:val="0"/>
          <w:sz w:val="24"/>
          <w:szCs w:val="21"/>
          <w:lang w:val="en-US" w:eastAsia="zh-CN"/>
        </w:rPr>
        <w:t>投标人</w:t>
      </w:r>
      <w:r>
        <w:rPr>
          <w:rFonts w:hint="eastAsia" w:ascii="宋体" w:hAnsi="宋体"/>
          <w:kern w:val="0"/>
          <w:sz w:val="24"/>
          <w:szCs w:val="21"/>
        </w:rPr>
        <w:t>自身原因未在规定时间内解密</w:t>
      </w:r>
      <w:r>
        <w:rPr>
          <w:rFonts w:hint="eastAsia" w:ascii="宋体" w:hAnsi="宋体"/>
          <w:kern w:val="0"/>
          <w:sz w:val="24"/>
          <w:szCs w:val="21"/>
          <w:lang w:val="en-US" w:eastAsia="zh-CN"/>
        </w:rPr>
        <w:t>投标</w:t>
      </w:r>
      <w:r>
        <w:rPr>
          <w:rFonts w:hint="eastAsia" w:ascii="宋体" w:hAnsi="宋体"/>
          <w:kern w:val="0"/>
          <w:sz w:val="24"/>
          <w:szCs w:val="21"/>
        </w:rPr>
        <w:t>文件导致废标的，由</w:t>
      </w:r>
      <w:r>
        <w:rPr>
          <w:rFonts w:hint="eastAsia" w:ascii="宋体" w:hAnsi="宋体"/>
          <w:kern w:val="0"/>
          <w:sz w:val="24"/>
          <w:szCs w:val="21"/>
          <w:lang w:val="en-US" w:eastAsia="zh-CN"/>
        </w:rPr>
        <w:t>投标人</w:t>
      </w:r>
      <w:r>
        <w:rPr>
          <w:rFonts w:hint="eastAsia" w:ascii="宋体" w:hAnsi="宋体"/>
          <w:kern w:val="0"/>
          <w:sz w:val="24"/>
          <w:szCs w:val="21"/>
        </w:rPr>
        <w:t>自行承担后果。除了按照本须知第</w:t>
      </w:r>
      <w:r>
        <w:rPr>
          <w:rFonts w:hint="eastAsia" w:ascii="宋体" w:hAnsi="宋体"/>
          <w:kern w:val="0"/>
          <w:sz w:val="24"/>
          <w:szCs w:val="21"/>
          <w:lang w:val="en-US" w:eastAsia="zh-CN"/>
        </w:rPr>
        <w:t>19</w:t>
      </w:r>
      <w:r>
        <w:rPr>
          <w:rFonts w:hint="eastAsia" w:ascii="宋体" w:hAnsi="宋体"/>
          <w:kern w:val="0"/>
          <w:sz w:val="24"/>
          <w:szCs w:val="21"/>
        </w:rPr>
        <w:t>条的规定原封退回迟到的</w:t>
      </w:r>
      <w:r>
        <w:rPr>
          <w:rFonts w:hint="eastAsia" w:ascii="宋体" w:hAnsi="宋体"/>
          <w:kern w:val="0"/>
          <w:sz w:val="24"/>
          <w:szCs w:val="21"/>
          <w:lang w:val="en-US" w:eastAsia="zh-CN"/>
        </w:rPr>
        <w:t>投标人</w:t>
      </w:r>
      <w:r>
        <w:rPr>
          <w:rFonts w:hint="eastAsia" w:ascii="宋体" w:hAnsi="宋体"/>
          <w:kern w:val="0"/>
          <w:sz w:val="24"/>
          <w:szCs w:val="21"/>
        </w:rPr>
        <w:t>之外，</w:t>
      </w:r>
      <w:r>
        <w:rPr>
          <w:rFonts w:hint="eastAsia" w:ascii="宋体" w:hAnsi="宋体"/>
          <w:kern w:val="0"/>
          <w:sz w:val="24"/>
          <w:szCs w:val="21"/>
          <w:lang w:val="en-US" w:eastAsia="zh-CN"/>
        </w:rPr>
        <w:t>开启</w:t>
      </w:r>
      <w:r>
        <w:rPr>
          <w:rFonts w:hint="eastAsia" w:ascii="宋体" w:hAnsi="宋体"/>
          <w:kern w:val="0"/>
          <w:sz w:val="24"/>
          <w:szCs w:val="21"/>
        </w:rPr>
        <w:t>时将不得拒绝任何投标。</w:t>
      </w:r>
    </w:p>
    <w:p w14:paraId="39B5CD56">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24.2 </w:t>
      </w:r>
      <w:r>
        <w:rPr>
          <w:rFonts w:hint="eastAsia" w:ascii="宋体" w:hAnsi="宋体" w:cs="宋体"/>
          <w:sz w:val="24"/>
          <w:szCs w:val="24"/>
        </w:rPr>
        <w:t>开标时，</w:t>
      </w:r>
      <w:r>
        <w:rPr>
          <w:rFonts w:hint="eastAsia" w:ascii="宋体" w:hAnsi="宋体"/>
          <w:b w:val="0"/>
          <w:bCs w:val="0"/>
          <w:sz w:val="24"/>
          <w:szCs w:val="24"/>
          <w:lang w:val="en-US" w:eastAsia="zh-CN"/>
        </w:rPr>
        <w:t>采购代理机构在线上开启投标文件解密，后由各投标人在规定时间内在线解密投标文件</w:t>
      </w:r>
      <w:r>
        <w:rPr>
          <w:rFonts w:hint="eastAsia" w:ascii="宋体" w:hAnsi="宋体" w:cs="宋体"/>
          <w:sz w:val="24"/>
          <w:szCs w:val="24"/>
        </w:rPr>
        <w:t>。</w:t>
      </w:r>
      <w:r>
        <w:rPr>
          <w:rFonts w:hint="eastAsia" w:ascii="宋体" w:hAnsi="宋体" w:cs="宋体"/>
          <w:sz w:val="24"/>
          <w:szCs w:val="24"/>
          <w:lang w:val="en-US" w:eastAsia="zh-CN"/>
        </w:rPr>
        <w:t>未在规定时间内解密投标文件的视为放弃投标资格，投标文件在线解密时长为30分钟，因投标人自身原因未在规定时间内解密投标文件导致废标的，由投标人自行承担后果。在所有投标人解密投标文件或投标文件解密时间截止后，由采购代理机构在线公布投标人的报价、合同履行期限等内容。</w:t>
      </w:r>
      <w:r>
        <w:rPr>
          <w:rFonts w:hint="eastAsia" w:ascii="宋体" w:hAnsi="宋体" w:cs="宋体"/>
          <w:sz w:val="24"/>
          <w:szCs w:val="24"/>
        </w:rPr>
        <w:t>除了按照本须知第</w:t>
      </w:r>
      <w:r>
        <w:rPr>
          <w:rFonts w:ascii="宋体" w:hAnsi="宋体" w:cs="宋体"/>
          <w:sz w:val="24"/>
          <w:szCs w:val="24"/>
        </w:rPr>
        <w:t>22</w:t>
      </w:r>
      <w:r>
        <w:rPr>
          <w:rFonts w:hint="eastAsia" w:ascii="宋体" w:hAnsi="宋体" w:cs="宋体"/>
          <w:sz w:val="24"/>
          <w:szCs w:val="24"/>
        </w:rPr>
        <w:t>条的规定原封退回迟到的投标之外，开标时将不得拒绝任何投标。</w:t>
      </w:r>
    </w:p>
    <w:p w14:paraId="5B6590A7">
      <w:pPr>
        <w:spacing w:line="360" w:lineRule="auto"/>
        <w:ind w:firstLine="480" w:firstLineChars="200"/>
        <w:rPr>
          <w:rFonts w:ascii="宋体" w:cs="宋体"/>
          <w:sz w:val="24"/>
          <w:szCs w:val="24"/>
          <w:highlight w:val="none"/>
        </w:rPr>
      </w:pPr>
      <w:r>
        <w:rPr>
          <w:rFonts w:ascii="宋体" w:hAnsi="宋体" w:cs="宋体"/>
          <w:sz w:val="24"/>
          <w:szCs w:val="24"/>
          <w:highlight w:val="none"/>
        </w:rPr>
        <w:t>24.3</w:t>
      </w:r>
      <w:r>
        <w:rPr>
          <w:rFonts w:hint="eastAsia" w:ascii="宋体" w:hAnsi="宋体" w:cs="宋体"/>
          <w:sz w:val="24"/>
          <w:szCs w:val="24"/>
          <w:highlight w:val="none"/>
        </w:rPr>
        <w:t>投标人授权代表对开标过程和开标记录有疑义，以及认为采购人、采购代理机构相关工作人员有需要回避的情形的，应当场提出询问或者回避申请。</w:t>
      </w:r>
      <w:r>
        <w:rPr>
          <w:rFonts w:hint="eastAsia" w:ascii="宋体" w:hAnsi="宋体" w:cs="宋体"/>
          <w:sz w:val="24"/>
          <w:szCs w:val="32"/>
          <w:highlight w:val="none"/>
        </w:rPr>
        <w:t>若投标人当场未提出疑义，则认为投标人已确认开标过程和开标记录。</w:t>
      </w:r>
    </w:p>
    <w:p w14:paraId="23FDEBD9">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24.4 </w:t>
      </w:r>
      <w:r>
        <w:rPr>
          <w:rFonts w:hint="eastAsia" w:ascii="宋体" w:hAnsi="宋体" w:cs="宋体"/>
          <w:sz w:val="24"/>
          <w:szCs w:val="24"/>
          <w:highlight w:val="none"/>
        </w:rPr>
        <w:t>开标过程由采购代理机构将做开标记录，由参加开标的各投标人代表</w:t>
      </w:r>
      <w:r>
        <w:rPr>
          <w:rFonts w:hint="eastAsia" w:ascii="宋体" w:hAnsi="宋体" w:cs="宋体"/>
          <w:sz w:val="24"/>
          <w:szCs w:val="24"/>
          <w:highlight w:val="none"/>
          <w:lang w:val="en-US" w:eastAsia="zh-CN"/>
        </w:rPr>
        <w:t>在线</w:t>
      </w:r>
      <w:r>
        <w:rPr>
          <w:rFonts w:hint="eastAsia" w:ascii="宋体" w:hAnsi="宋体" w:cs="宋体"/>
          <w:sz w:val="24"/>
          <w:szCs w:val="24"/>
          <w:highlight w:val="none"/>
        </w:rPr>
        <w:t>签字确认。</w:t>
      </w:r>
    </w:p>
    <w:p w14:paraId="2288A10C">
      <w:pPr>
        <w:spacing w:line="360" w:lineRule="auto"/>
        <w:ind w:firstLine="482" w:firstLineChars="200"/>
        <w:rPr>
          <w:rFonts w:ascii="宋体" w:cs="宋体"/>
          <w:b/>
          <w:sz w:val="24"/>
          <w:szCs w:val="24"/>
          <w:highlight w:val="none"/>
        </w:rPr>
      </w:pPr>
      <w:r>
        <w:rPr>
          <w:rFonts w:ascii="宋体" w:hAnsi="宋体" w:cs="宋体"/>
          <w:b/>
          <w:sz w:val="24"/>
          <w:szCs w:val="24"/>
          <w:highlight w:val="none"/>
        </w:rPr>
        <w:t>25.</w:t>
      </w:r>
      <w:r>
        <w:rPr>
          <w:rFonts w:hint="eastAsia" w:ascii="宋体" w:hAnsi="宋体" w:cs="宋体"/>
          <w:b/>
          <w:sz w:val="24"/>
          <w:szCs w:val="24"/>
          <w:highlight w:val="none"/>
        </w:rPr>
        <w:t>投标人的资格性审查</w:t>
      </w:r>
    </w:p>
    <w:p w14:paraId="013AE4E3">
      <w:pPr>
        <w:spacing w:line="360" w:lineRule="auto"/>
        <w:ind w:firstLine="480" w:firstLineChars="200"/>
        <w:jc w:val="left"/>
        <w:rPr>
          <w:rFonts w:ascii="宋体" w:cs="宋体"/>
          <w:sz w:val="24"/>
          <w:szCs w:val="24"/>
          <w:highlight w:val="none"/>
        </w:rPr>
      </w:pPr>
      <w:r>
        <w:rPr>
          <w:rFonts w:hint="eastAsia" w:ascii="宋体" w:hAnsi="宋体" w:cs="宋体"/>
          <w:sz w:val="24"/>
          <w:szCs w:val="24"/>
          <w:highlight w:val="none"/>
        </w:rPr>
        <w:t>公开招标采购项目开标结束后，采购人或采购代理机构对投标人提交的资格证明材料进行审查，并在对应的审查意见一栏记录审查意见，合格投标人不足</w:t>
      </w:r>
      <w:r>
        <w:rPr>
          <w:rFonts w:ascii="宋体" w:hAnsi="宋体" w:cs="宋体"/>
          <w:sz w:val="24"/>
          <w:szCs w:val="24"/>
          <w:highlight w:val="none"/>
        </w:rPr>
        <w:t>3</w:t>
      </w:r>
      <w:r>
        <w:rPr>
          <w:rFonts w:hint="eastAsia" w:ascii="宋体" w:hAnsi="宋体" w:cs="宋体"/>
          <w:sz w:val="24"/>
          <w:szCs w:val="24"/>
          <w:highlight w:val="none"/>
        </w:rPr>
        <w:t>家的，不再开展评标工作。</w:t>
      </w:r>
    </w:p>
    <w:p w14:paraId="2F08AB4D">
      <w:pPr>
        <w:spacing w:line="360" w:lineRule="auto"/>
        <w:ind w:firstLine="482" w:firstLineChars="200"/>
        <w:rPr>
          <w:rFonts w:ascii="宋体" w:cs="宋体"/>
          <w:sz w:val="24"/>
          <w:szCs w:val="24"/>
          <w:highlight w:val="none"/>
        </w:rPr>
      </w:pPr>
      <w:r>
        <w:rPr>
          <w:rFonts w:ascii="宋体" w:hAnsi="宋体" w:cs="宋体"/>
          <w:b/>
          <w:sz w:val="24"/>
          <w:szCs w:val="24"/>
          <w:highlight w:val="none"/>
        </w:rPr>
        <w:t>26.</w:t>
      </w:r>
      <w:r>
        <w:rPr>
          <w:rFonts w:hint="eastAsia" w:ascii="宋体" w:hAnsi="宋体" w:cs="宋体"/>
          <w:b/>
          <w:sz w:val="24"/>
          <w:szCs w:val="24"/>
          <w:highlight w:val="none"/>
        </w:rPr>
        <w:t>评标</w:t>
      </w:r>
    </w:p>
    <w:p w14:paraId="60DE48C9">
      <w:pPr>
        <w:spacing w:line="360" w:lineRule="auto"/>
        <w:ind w:firstLine="482" w:firstLineChars="200"/>
        <w:rPr>
          <w:rFonts w:ascii="宋体" w:cs="宋体"/>
          <w:sz w:val="24"/>
          <w:szCs w:val="24"/>
          <w:highlight w:val="none"/>
        </w:rPr>
      </w:pPr>
      <w:r>
        <w:rPr>
          <w:rFonts w:ascii="宋体" w:hAnsi="宋体" w:cs="宋体"/>
          <w:b/>
          <w:bCs/>
          <w:sz w:val="24"/>
          <w:szCs w:val="24"/>
          <w:highlight w:val="none"/>
        </w:rPr>
        <w:t xml:space="preserve">26.1 </w:t>
      </w:r>
      <w:r>
        <w:rPr>
          <w:rFonts w:hint="eastAsia" w:ascii="宋体" w:hAnsi="宋体" w:cs="宋体"/>
          <w:b/>
          <w:bCs/>
          <w:sz w:val="24"/>
          <w:szCs w:val="24"/>
          <w:highlight w:val="none"/>
        </w:rPr>
        <w:t>评标委员会</w:t>
      </w:r>
    </w:p>
    <w:p w14:paraId="67DF16FA">
      <w:pPr>
        <w:spacing w:line="360" w:lineRule="auto"/>
        <w:ind w:firstLine="480" w:firstLineChars="200"/>
        <w:rPr>
          <w:rFonts w:ascii="宋体" w:cs="宋体"/>
          <w:sz w:val="24"/>
          <w:szCs w:val="24"/>
          <w:highlight w:val="none"/>
        </w:rPr>
      </w:pPr>
      <w:r>
        <w:rPr>
          <w:rFonts w:ascii="宋体" w:hAnsi="宋体" w:cs="宋体"/>
          <w:sz w:val="24"/>
          <w:szCs w:val="24"/>
          <w:highlight w:val="none"/>
        </w:rPr>
        <w:t>26.1.1</w:t>
      </w:r>
      <w:r>
        <w:rPr>
          <w:rFonts w:hint="eastAsia" w:ascii="宋体" w:hAnsi="宋体" w:cs="宋体"/>
          <w:sz w:val="24"/>
          <w:szCs w:val="24"/>
          <w:highlight w:val="none"/>
        </w:rPr>
        <w:t>采购人或者采购代理机构将从新疆政府采购网的政府采购评审专家库中，通过随机方式抽取评审专家。</w:t>
      </w:r>
    </w:p>
    <w:p w14:paraId="14B1A96B">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26.1.2 评标委员会由采购人代表和评审专家组成，成员人数应当为5人以上单数，其中评审专家不得少于成员总数的三分之二。</w:t>
      </w:r>
    </w:p>
    <w:p w14:paraId="2E79D03A">
      <w:pPr>
        <w:spacing w:line="360" w:lineRule="auto"/>
        <w:ind w:firstLine="480" w:firstLineChars="200"/>
        <w:rPr>
          <w:rFonts w:ascii="宋体" w:cs="宋体"/>
          <w:sz w:val="24"/>
          <w:szCs w:val="24"/>
          <w:highlight w:val="none"/>
        </w:rPr>
      </w:pPr>
      <w:r>
        <w:rPr>
          <w:rFonts w:ascii="宋体" w:hAnsi="宋体" w:cs="宋体"/>
          <w:sz w:val="24"/>
          <w:szCs w:val="24"/>
          <w:highlight w:val="none"/>
        </w:rPr>
        <w:t>26.1.3</w:t>
      </w:r>
      <w:r>
        <w:rPr>
          <w:rFonts w:hint="eastAsia" w:ascii="宋体" w:hAnsi="宋体" w:cs="宋体"/>
          <w:sz w:val="24"/>
          <w:szCs w:val="24"/>
          <w:highlight w:val="none"/>
        </w:rPr>
        <w:t>评标委员会负责评标工作，应当对合格投标人（通过资格审查）的投标文件进行审查、评价投标文件是否符合招标文件的商务、技术等实质性要求，要求投标人对投标文件有关事项作出澄清或者说明，对投标文件进行比较和评价等，确定中标候选人名单或根据采购人委托直接确定中标人，根据全体评标成员签字的原始评标记录和评标结果编写评标报告。</w:t>
      </w:r>
    </w:p>
    <w:p w14:paraId="15B741C6">
      <w:pPr>
        <w:spacing w:line="360" w:lineRule="auto"/>
        <w:ind w:firstLine="482" w:firstLineChars="200"/>
        <w:rPr>
          <w:rFonts w:ascii="宋体" w:cs="宋体"/>
          <w:b/>
          <w:bCs/>
          <w:sz w:val="24"/>
          <w:szCs w:val="24"/>
          <w:highlight w:val="none"/>
        </w:rPr>
      </w:pPr>
      <w:r>
        <w:rPr>
          <w:rFonts w:ascii="宋体" w:hAnsi="宋体" w:cs="宋体"/>
          <w:b/>
          <w:bCs/>
          <w:sz w:val="24"/>
          <w:szCs w:val="24"/>
          <w:highlight w:val="none"/>
        </w:rPr>
        <w:t>26.2</w:t>
      </w:r>
      <w:r>
        <w:rPr>
          <w:rFonts w:hint="eastAsia" w:ascii="宋体" w:hAnsi="宋体" w:cs="宋体"/>
          <w:b/>
          <w:bCs/>
          <w:sz w:val="24"/>
          <w:szCs w:val="24"/>
          <w:highlight w:val="none"/>
        </w:rPr>
        <w:t>评标方法：</w:t>
      </w:r>
      <w:r>
        <w:rPr>
          <w:rFonts w:hint="eastAsia" w:ascii="宋体" w:hAnsi="宋体" w:cs="宋体"/>
          <w:sz w:val="24"/>
          <w:szCs w:val="24"/>
          <w:highlight w:val="none"/>
        </w:rPr>
        <w:t>详见投标人须知前附表。</w:t>
      </w:r>
    </w:p>
    <w:p w14:paraId="7D8CFDAC">
      <w:pPr>
        <w:spacing w:line="360" w:lineRule="auto"/>
        <w:ind w:firstLine="482" w:firstLineChars="200"/>
        <w:rPr>
          <w:rFonts w:ascii="宋体" w:cs="宋体"/>
          <w:sz w:val="24"/>
          <w:szCs w:val="24"/>
          <w:highlight w:val="none"/>
        </w:rPr>
      </w:pPr>
      <w:r>
        <w:rPr>
          <w:rFonts w:ascii="宋体" w:hAnsi="宋体" w:cs="宋体"/>
          <w:b/>
          <w:bCs/>
          <w:sz w:val="24"/>
          <w:szCs w:val="24"/>
          <w:highlight w:val="none"/>
        </w:rPr>
        <w:t xml:space="preserve">26.3 </w:t>
      </w:r>
      <w:r>
        <w:rPr>
          <w:rFonts w:hint="eastAsia" w:ascii="宋体" w:hAnsi="宋体" w:cs="宋体"/>
          <w:b/>
          <w:bCs/>
          <w:sz w:val="24"/>
          <w:szCs w:val="24"/>
          <w:highlight w:val="none"/>
        </w:rPr>
        <w:t>投标文件的澄清</w:t>
      </w:r>
    </w:p>
    <w:p w14:paraId="1340DAEC">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26.3.1 </w:t>
      </w:r>
      <w:r>
        <w:rPr>
          <w:rFonts w:hint="eastAsia" w:ascii="宋体" w:hAnsi="宋体" w:cs="宋体"/>
          <w:sz w:val="24"/>
          <w:szCs w:val="24"/>
          <w:highlight w:val="none"/>
        </w:rPr>
        <w:t>在评标期间，对于投标文件中含义不明确、同类问题表述不一致或者有明显文字和计算错误的内容，评标委员会应当</w:t>
      </w:r>
      <w:r>
        <w:rPr>
          <w:rFonts w:hint="eastAsia" w:ascii="宋体" w:hAnsi="宋体" w:cs="宋体"/>
          <w:sz w:val="24"/>
          <w:szCs w:val="24"/>
          <w:highlight w:val="none"/>
          <w:lang w:val="en-US" w:eastAsia="zh-CN"/>
        </w:rPr>
        <w:t>在线</w:t>
      </w:r>
      <w:r>
        <w:rPr>
          <w:rFonts w:hint="eastAsia" w:ascii="宋体" w:hAnsi="宋体" w:cs="宋体"/>
          <w:sz w:val="24"/>
          <w:szCs w:val="24"/>
          <w:highlight w:val="none"/>
        </w:rPr>
        <w:t>以书面形式要求投标人作出必要的澄清、说明或者补正。投标人的澄清、说明或者补正应当采用书面形式</w:t>
      </w:r>
      <w:r>
        <w:rPr>
          <w:rFonts w:hint="eastAsia" w:ascii="宋体" w:hAnsi="宋体" w:cs="宋体"/>
          <w:sz w:val="24"/>
          <w:szCs w:val="24"/>
          <w:highlight w:val="none"/>
          <w:lang w:val="en-US" w:eastAsia="zh-CN"/>
        </w:rPr>
        <w:t>线上回函</w:t>
      </w:r>
      <w:r>
        <w:rPr>
          <w:rFonts w:hint="eastAsia" w:ascii="宋体" w:hAnsi="宋体" w:cs="宋体"/>
          <w:sz w:val="24"/>
          <w:szCs w:val="24"/>
          <w:highlight w:val="none"/>
        </w:rPr>
        <w:t>，并加盖公章</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lang w:eastAsia="zh-CN"/>
        </w:rPr>
        <w:t>）</w:t>
      </w:r>
      <w:r>
        <w:rPr>
          <w:rFonts w:hint="eastAsia" w:ascii="宋体" w:hAnsi="宋体" w:cs="宋体"/>
          <w:sz w:val="24"/>
          <w:szCs w:val="24"/>
          <w:highlight w:val="none"/>
        </w:rPr>
        <w:t>，或者由法定代表人或其授权的代表签字。投标人的澄清、说明或者补正不得超出投标文件的范围或者改变投标文件的实质性内容。澄清的内容为投标文件的组成部分。</w:t>
      </w:r>
    </w:p>
    <w:p w14:paraId="769F15D4">
      <w:pPr>
        <w:spacing w:line="360" w:lineRule="auto"/>
        <w:ind w:firstLine="482" w:firstLineChars="200"/>
        <w:rPr>
          <w:rFonts w:ascii="宋体" w:cs="宋体"/>
          <w:sz w:val="24"/>
          <w:szCs w:val="24"/>
          <w:highlight w:val="none"/>
        </w:rPr>
      </w:pPr>
      <w:r>
        <w:rPr>
          <w:rFonts w:ascii="宋体" w:hAnsi="宋体" w:cs="宋体"/>
          <w:b/>
          <w:bCs/>
          <w:sz w:val="24"/>
          <w:szCs w:val="24"/>
          <w:highlight w:val="none"/>
        </w:rPr>
        <w:t xml:space="preserve">26.4 </w:t>
      </w:r>
      <w:r>
        <w:rPr>
          <w:rFonts w:hint="eastAsia" w:ascii="宋体" w:hAnsi="宋体" w:cs="宋体"/>
          <w:b/>
          <w:sz w:val="24"/>
          <w:szCs w:val="24"/>
          <w:highlight w:val="none"/>
        </w:rPr>
        <w:t>投标文件的初审（符合性审查）</w:t>
      </w:r>
    </w:p>
    <w:p w14:paraId="6F2314FD">
      <w:pPr>
        <w:spacing w:line="360" w:lineRule="auto"/>
        <w:ind w:firstLine="480" w:firstLineChars="200"/>
        <w:rPr>
          <w:rFonts w:ascii="宋体" w:cs="宋体"/>
          <w:sz w:val="24"/>
          <w:szCs w:val="24"/>
          <w:highlight w:val="none"/>
        </w:rPr>
      </w:pPr>
      <w:r>
        <w:rPr>
          <w:rFonts w:ascii="宋体" w:hAnsi="宋体" w:cs="宋体"/>
          <w:sz w:val="24"/>
          <w:szCs w:val="24"/>
          <w:highlight w:val="none"/>
        </w:rPr>
        <w:t>26.4.1</w:t>
      </w:r>
      <w:r>
        <w:rPr>
          <w:rFonts w:hint="eastAsia" w:ascii="宋体" w:hAnsi="宋体" w:cs="宋体"/>
          <w:sz w:val="24"/>
          <w:szCs w:val="24"/>
          <w:highlight w:val="none"/>
        </w:rPr>
        <w:t>评标委员会将对符合资格的投标人的投标文件进行符合性审查，以确定其是否满足招标文件的实质性要求。</w:t>
      </w:r>
    </w:p>
    <w:p w14:paraId="4EF28C25">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26.4.2 </w:t>
      </w:r>
      <w:r>
        <w:rPr>
          <w:rFonts w:hint="eastAsia" w:ascii="宋体" w:hAnsi="宋体" w:cs="宋体"/>
          <w:sz w:val="24"/>
          <w:szCs w:val="24"/>
          <w:highlight w:val="none"/>
        </w:rPr>
        <w:t>投标文件报价出现前后不一致的，按照下列规定修正：</w:t>
      </w:r>
    </w:p>
    <w:p w14:paraId="518B7800">
      <w:pPr>
        <w:spacing w:line="360" w:lineRule="auto"/>
        <w:ind w:firstLine="480" w:firstLineChars="200"/>
        <w:rPr>
          <w:rFonts w:ascii="宋体" w:cs="宋体"/>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）开标一览表内容与投标文件中相应内容不一致的，以开标一览表为准；</w:t>
      </w:r>
    </w:p>
    <w:p w14:paraId="7E95A332">
      <w:pPr>
        <w:spacing w:line="360" w:lineRule="auto"/>
        <w:ind w:firstLine="480" w:firstLineChars="200"/>
        <w:rPr>
          <w:rFonts w:ascii="宋体" w:cs="宋体"/>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）大写金额和小写金额不一致的，以大写金额为准；</w:t>
      </w:r>
    </w:p>
    <w:p w14:paraId="09FF5B63">
      <w:pPr>
        <w:spacing w:line="360" w:lineRule="auto"/>
        <w:ind w:firstLine="480" w:firstLineChars="200"/>
        <w:rPr>
          <w:rFonts w:ascii="宋体" w:cs="宋体"/>
          <w:sz w:val="24"/>
          <w:szCs w:val="24"/>
          <w:highlight w:val="none"/>
        </w:rPr>
      </w:pPr>
      <w:r>
        <w:rPr>
          <w:rFonts w:ascii="宋体" w:hAnsi="宋体" w:cs="宋体"/>
          <w:sz w:val="24"/>
          <w:szCs w:val="24"/>
          <w:highlight w:val="none"/>
        </w:rPr>
        <w:t>3</w:t>
      </w:r>
      <w:r>
        <w:rPr>
          <w:rFonts w:hint="eastAsia" w:ascii="宋体" w:hAnsi="宋体" w:cs="宋体"/>
          <w:sz w:val="24"/>
          <w:szCs w:val="24"/>
          <w:highlight w:val="none"/>
        </w:rPr>
        <w:t>）单价金额小数点或者百分比有明显错位的，以开标一览表的总价为准，并修改单价；</w:t>
      </w:r>
    </w:p>
    <w:p w14:paraId="24294850">
      <w:pPr>
        <w:spacing w:line="360" w:lineRule="auto"/>
        <w:ind w:firstLine="480" w:firstLineChars="200"/>
        <w:rPr>
          <w:rFonts w:ascii="宋体" w:cs="宋体"/>
          <w:sz w:val="24"/>
          <w:szCs w:val="24"/>
          <w:highlight w:val="none"/>
        </w:rPr>
      </w:pPr>
      <w:r>
        <w:rPr>
          <w:rFonts w:ascii="宋体" w:hAnsi="宋体" w:cs="宋体"/>
          <w:sz w:val="24"/>
          <w:szCs w:val="24"/>
          <w:highlight w:val="none"/>
        </w:rPr>
        <w:t>4</w:t>
      </w:r>
      <w:r>
        <w:rPr>
          <w:rFonts w:hint="eastAsia" w:ascii="宋体" w:hAnsi="宋体" w:cs="宋体"/>
          <w:sz w:val="24"/>
          <w:szCs w:val="24"/>
          <w:highlight w:val="none"/>
        </w:rPr>
        <w:t>）总价金额与按单价汇总金额不一致的，以单价金额计算结果为准。</w:t>
      </w:r>
    </w:p>
    <w:p w14:paraId="696E8DD2">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同时出现两种以上不一致的，按照前款规定的顺序修正。修正后的报价按照本须知第</w:t>
      </w:r>
      <w:r>
        <w:rPr>
          <w:rFonts w:ascii="宋体" w:hAnsi="宋体" w:cs="宋体"/>
          <w:sz w:val="24"/>
          <w:szCs w:val="24"/>
          <w:highlight w:val="none"/>
        </w:rPr>
        <w:t>26.3.1</w:t>
      </w:r>
      <w:r>
        <w:rPr>
          <w:rFonts w:hint="eastAsia" w:ascii="宋体" w:hAnsi="宋体" w:cs="宋体"/>
          <w:sz w:val="24"/>
          <w:szCs w:val="24"/>
          <w:highlight w:val="none"/>
        </w:rPr>
        <w:t>条的规定经投标人确认后产生约束力，投标人不确认的，其投标无效。</w:t>
      </w:r>
    </w:p>
    <w:p w14:paraId="056B9F58">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26.4.3 </w:t>
      </w:r>
      <w:r>
        <w:rPr>
          <w:rFonts w:hint="eastAsia" w:ascii="宋体" w:hAnsi="宋体" w:cs="宋体"/>
          <w:sz w:val="24"/>
          <w:szCs w:val="24"/>
          <w:highlight w:val="none"/>
        </w:rPr>
        <w:t>对于投标文件中不构成实质性偏差的不正规、不一致或不规则，评标委员会将进行综合打分。</w:t>
      </w:r>
    </w:p>
    <w:p w14:paraId="702E3396">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26.4.4 </w:t>
      </w:r>
      <w:r>
        <w:rPr>
          <w:rFonts w:hint="eastAsia" w:ascii="宋体" w:hAnsi="宋体" w:cs="宋体"/>
          <w:sz w:val="24"/>
          <w:szCs w:val="24"/>
          <w:highlight w:val="none"/>
        </w:rPr>
        <w:t>在详细评标之前，根据本须知第</w:t>
      </w:r>
      <w:r>
        <w:rPr>
          <w:rFonts w:ascii="宋体" w:hAnsi="宋体" w:cs="宋体"/>
          <w:sz w:val="24"/>
          <w:szCs w:val="24"/>
          <w:highlight w:val="none"/>
        </w:rPr>
        <w:t>26.4.5</w:t>
      </w:r>
      <w:r>
        <w:rPr>
          <w:rFonts w:hint="eastAsia" w:ascii="宋体" w:hAnsi="宋体" w:cs="宋体"/>
          <w:sz w:val="24"/>
          <w:szCs w:val="24"/>
          <w:highlight w:val="none"/>
        </w:rPr>
        <w:t>条和第</w:t>
      </w:r>
      <w:r>
        <w:rPr>
          <w:rFonts w:ascii="宋体" w:hAnsi="宋体" w:cs="宋体"/>
          <w:sz w:val="24"/>
          <w:szCs w:val="24"/>
          <w:highlight w:val="none"/>
        </w:rPr>
        <w:t>26.4.6</w:t>
      </w:r>
      <w:r>
        <w:rPr>
          <w:rFonts w:hint="eastAsia" w:ascii="宋体" w:hAnsi="宋体" w:cs="宋体"/>
          <w:sz w:val="24"/>
          <w:szCs w:val="24"/>
          <w:highlight w:val="none"/>
        </w:rPr>
        <w:t>条的规定，评标委员会要审查每份投标文件是否实质上响应了招标文件的要求。实质上响应的投标应该是与招标文件要求的全部条款、条件和规格参数相符，没有重大偏离的投标。对关键条文的偏离、保留或反对将被认为是实质上的偏离。评标委员会决定投标的响应性只根据投标本身的内容，而不寻求外部的证据。</w:t>
      </w:r>
    </w:p>
    <w:p w14:paraId="3AAB0E5F">
      <w:pPr>
        <w:spacing w:line="360" w:lineRule="auto"/>
        <w:ind w:firstLine="482" w:firstLineChars="200"/>
        <w:rPr>
          <w:rFonts w:ascii="宋体" w:cs="宋体"/>
          <w:b/>
          <w:sz w:val="24"/>
          <w:szCs w:val="24"/>
          <w:highlight w:val="none"/>
        </w:rPr>
      </w:pPr>
      <w:r>
        <w:rPr>
          <w:rFonts w:ascii="宋体" w:hAnsi="宋体" w:cs="宋体"/>
          <w:b/>
          <w:sz w:val="24"/>
          <w:szCs w:val="24"/>
          <w:highlight w:val="none"/>
        </w:rPr>
        <w:t xml:space="preserve">26.4.5 </w:t>
      </w:r>
      <w:r>
        <w:rPr>
          <w:rFonts w:hint="eastAsia" w:ascii="宋体" w:hAnsi="宋体" w:cs="宋体"/>
          <w:b/>
          <w:sz w:val="24"/>
          <w:szCs w:val="24"/>
          <w:highlight w:val="none"/>
        </w:rPr>
        <w:t>没有实质上响应招标文件要求的投标将作无效投标处理。投标人不得通过修正或撤销不合要求的偏离或保留从而使其投标成为实质上响应的投标。投标人存在下列情况之一的，投标无效：</w:t>
      </w:r>
    </w:p>
    <w:p w14:paraId="33B1BBD4">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投标文件未按照招标文件要求签署、盖章、提交的，或签字人无法定代表人有效委托书的；</w:t>
      </w:r>
    </w:p>
    <w:p w14:paraId="5C1B83A0">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报价超过招标文件中规定的预算金额或者最高限价的；</w:t>
      </w:r>
    </w:p>
    <w:p w14:paraId="5CB3893B">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投标文件含有采购人不能接受的附加条件的；</w:t>
      </w:r>
    </w:p>
    <w:p w14:paraId="7BF813D0">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投标有效期不足；</w:t>
      </w:r>
    </w:p>
    <w:p w14:paraId="6AD84850">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投标报价不全，或投标人在同一份投标文件中对同一招标货物或服务报有两个或多个报价的，但招标文件要求提交备选投标的除外；</w:t>
      </w:r>
    </w:p>
    <w:p w14:paraId="2691D538">
      <w:pPr>
        <w:numPr>
          <w:ilvl w:val="0"/>
          <w:numId w:val="12"/>
        </w:numPr>
        <w:tabs>
          <w:tab w:val="left" w:pos="780"/>
          <w:tab w:val="left" w:pos="900"/>
        </w:tabs>
        <w:spacing w:line="360" w:lineRule="auto"/>
        <w:ind w:left="0" w:firstLine="482" w:firstLineChars="200"/>
        <w:rPr>
          <w:rFonts w:ascii="宋体" w:cs="宋体"/>
          <w:b/>
          <w:sz w:val="24"/>
          <w:szCs w:val="24"/>
          <w:highlight w:val="none"/>
          <w:u w:val="single"/>
        </w:rPr>
      </w:pPr>
      <w:r>
        <w:rPr>
          <w:rFonts w:hint="eastAsia" w:ascii="宋体" w:hAnsi="宋体" w:cs="宋体"/>
          <w:b/>
          <w:sz w:val="24"/>
          <w:szCs w:val="24"/>
          <w:highlight w:val="none"/>
          <w:u w:val="single"/>
        </w:rPr>
        <w:t>不接受评委对投标文件报价出现前后不一致的修正；</w:t>
      </w:r>
    </w:p>
    <w:p w14:paraId="218855B9">
      <w:pPr>
        <w:numPr>
          <w:ilvl w:val="0"/>
          <w:numId w:val="12"/>
        </w:numPr>
        <w:tabs>
          <w:tab w:val="left" w:pos="780"/>
          <w:tab w:val="left" w:pos="900"/>
        </w:tabs>
        <w:spacing w:line="360" w:lineRule="auto"/>
        <w:ind w:left="0" w:firstLine="482" w:firstLineChars="200"/>
        <w:rPr>
          <w:rFonts w:hint="eastAsia" w:ascii="宋体" w:hAnsi="宋体" w:cs="宋体"/>
          <w:b/>
          <w:sz w:val="24"/>
          <w:szCs w:val="24"/>
          <w:highlight w:val="none"/>
          <w:u w:val="single"/>
        </w:rPr>
      </w:pPr>
      <w:r>
        <w:rPr>
          <w:rFonts w:hint="eastAsia" w:ascii="宋体" w:hAnsi="宋体" w:cs="宋体"/>
          <w:b/>
          <w:sz w:val="24"/>
          <w:szCs w:val="24"/>
          <w:highlight w:val="none"/>
          <w:u w:val="single"/>
        </w:rPr>
        <w:t>投标人有串通投标、弄虚作假、行贿等违法行为；</w:t>
      </w:r>
    </w:p>
    <w:p w14:paraId="4FCA431D">
      <w:pPr>
        <w:numPr>
          <w:ilvl w:val="0"/>
          <w:numId w:val="12"/>
        </w:numPr>
        <w:tabs>
          <w:tab w:val="left" w:pos="780"/>
          <w:tab w:val="left" w:pos="900"/>
        </w:tabs>
        <w:spacing w:line="360" w:lineRule="auto"/>
        <w:ind w:left="0" w:firstLine="482" w:firstLineChars="200"/>
        <w:rPr>
          <w:rFonts w:hint="eastAsia" w:ascii="宋体" w:hAnsi="宋体" w:cs="宋体"/>
          <w:b/>
          <w:sz w:val="24"/>
          <w:szCs w:val="24"/>
          <w:highlight w:val="none"/>
          <w:u w:val="single"/>
        </w:rPr>
      </w:pPr>
      <w:r>
        <w:rPr>
          <w:rFonts w:hint="eastAsia" w:ascii="宋体" w:hAnsi="宋体" w:cs="宋体"/>
          <w:b/>
          <w:sz w:val="24"/>
          <w:szCs w:val="24"/>
          <w:highlight w:val="none"/>
          <w:u w:val="single"/>
        </w:rPr>
        <w:t>投标文件没有对招标文件的实质性要求和条件作出响应的；</w:t>
      </w:r>
    </w:p>
    <w:p w14:paraId="3165F900">
      <w:pPr>
        <w:numPr>
          <w:ilvl w:val="0"/>
          <w:numId w:val="12"/>
        </w:numPr>
        <w:tabs>
          <w:tab w:val="left" w:pos="780"/>
          <w:tab w:val="left" w:pos="900"/>
        </w:tabs>
        <w:spacing w:line="360" w:lineRule="auto"/>
        <w:ind w:left="0" w:firstLine="482" w:firstLineChars="200"/>
        <w:rPr>
          <w:rFonts w:hint="default" w:ascii="宋体" w:hAnsi="宋体" w:cs="宋体"/>
          <w:b/>
          <w:sz w:val="24"/>
          <w:szCs w:val="24"/>
          <w:highlight w:val="none"/>
          <w:u w:val="single"/>
          <w:lang w:val="en-US" w:eastAsia="zh-CN"/>
        </w:rPr>
      </w:pPr>
      <w:r>
        <w:rPr>
          <w:rFonts w:hint="eastAsia" w:ascii="宋体" w:hAnsi="宋体" w:cs="宋体"/>
          <w:b/>
          <w:sz w:val="24"/>
          <w:szCs w:val="24"/>
          <w:highlight w:val="none"/>
          <w:u w:val="single"/>
          <w:lang w:val="en-US" w:eastAsia="zh-CN"/>
        </w:rPr>
        <w:t>合同履行期不满足招标文件要求；</w:t>
      </w:r>
    </w:p>
    <w:p w14:paraId="370826C8">
      <w:pPr>
        <w:numPr>
          <w:ilvl w:val="0"/>
          <w:numId w:val="12"/>
        </w:numPr>
        <w:tabs>
          <w:tab w:val="left" w:pos="780"/>
          <w:tab w:val="left" w:pos="900"/>
        </w:tabs>
        <w:spacing w:line="360" w:lineRule="auto"/>
        <w:ind w:left="0" w:firstLine="482" w:firstLineChars="200"/>
        <w:rPr>
          <w:rFonts w:hint="default" w:ascii="宋体" w:hAnsi="宋体" w:cs="宋体"/>
          <w:b/>
          <w:sz w:val="24"/>
          <w:szCs w:val="24"/>
          <w:highlight w:val="none"/>
          <w:u w:val="single"/>
          <w:lang w:val="en-US" w:eastAsia="zh-CN"/>
        </w:rPr>
      </w:pPr>
      <w:r>
        <w:rPr>
          <w:rFonts w:hint="eastAsia" w:ascii="宋体" w:hAnsi="宋体" w:cs="宋体"/>
          <w:b/>
          <w:sz w:val="24"/>
          <w:szCs w:val="24"/>
          <w:highlight w:val="none"/>
          <w:u w:val="single"/>
          <w:lang w:val="en-US" w:eastAsia="zh-CN"/>
        </w:rPr>
        <w:t>投标文件中所提供的货物数量不满足招标文件所要求的实际数量；</w:t>
      </w:r>
    </w:p>
    <w:p w14:paraId="3742762C">
      <w:pPr>
        <w:numPr>
          <w:ilvl w:val="0"/>
          <w:numId w:val="12"/>
        </w:numPr>
        <w:tabs>
          <w:tab w:val="left" w:pos="780"/>
          <w:tab w:val="left" w:pos="900"/>
        </w:tabs>
        <w:spacing w:line="360" w:lineRule="auto"/>
        <w:ind w:left="0" w:firstLine="482" w:firstLineChars="200"/>
        <w:rPr>
          <w:rFonts w:hint="eastAsia" w:ascii="宋体" w:hAnsi="宋体" w:cs="宋体"/>
          <w:b/>
          <w:sz w:val="24"/>
          <w:szCs w:val="24"/>
          <w:highlight w:val="none"/>
          <w:u w:val="single"/>
        </w:rPr>
      </w:pPr>
      <w:r>
        <w:rPr>
          <w:rFonts w:hint="eastAsia" w:ascii="宋体" w:hAnsi="宋体" w:cs="宋体"/>
          <w:b/>
          <w:sz w:val="24"/>
          <w:szCs w:val="24"/>
          <w:highlight w:val="none"/>
          <w:u w:val="single"/>
          <w:lang w:val="en-US" w:eastAsia="zh-CN"/>
        </w:rPr>
        <w:t>法律、法</w:t>
      </w:r>
      <w:r>
        <w:rPr>
          <w:rFonts w:hint="eastAsia" w:ascii="宋体" w:hAnsi="宋体" w:cs="宋体"/>
          <w:b/>
          <w:sz w:val="24"/>
          <w:szCs w:val="24"/>
          <w:highlight w:val="none"/>
          <w:u w:val="single"/>
        </w:rPr>
        <w:t>规和招标文件中规定的其他无效情形。</w:t>
      </w:r>
    </w:p>
    <w:p w14:paraId="129071DF">
      <w:pPr>
        <w:tabs>
          <w:tab w:val="left" w:pos="780"/>
          <w:tab w:val="left" w:pos="900"/>
        </w:tabs>
        <w:spacing w:line="360" w:lineRule="auto"/>
        <w:ind w:left="482"/>
        <w:rPr>
          <w:rFonts w:ascii="宋体" w:cs="宋体"/>
          <w:b/>
          <w:sz w:val="24"/>
          <w:szCs w:val="24"/>
          <w:highlight w:val="none"/>
        </w:rPr>
      </w:pPr>
      <w:r>
        <w:rPr>
          <w:rFonts w:ascii="宋体" w:hAnsi="宋体" w:cs="宋体"/>
          <w:b/>
          <w:sz w:val="24"/>
          <w:szCs w:val="24"/>
          <w:highlight w:val="none"/>
        </w:rPr>
        <w:t>26.4.6</w:t>
      </w:r>
      <w:r>
        <w:rPr>
          <w:rFonts w:hint="eastAsia" w:ascii="宋体" w:hAnsi="宋体" w:cs="宋体"/>
          <w:b/>
          <w:sz w:val="24"/>
          <w:szCs w:val="24"/>
          <w:highlight w:val="none"/>
        </w:rPr>
        <w:t>有下列情形之一的，视为投标人串通投标，其投标无效：</w:t>
      </w:r>
    </w:p>
    <w:p w14:paraId="03FCE97C">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1</w:t>
      </w:r>
      <w:r>
        <w:rPr>
          <w:rFonts w:hint="eastAsia" w:ascii="宋体" w:hAnsi="宋体" w:cs="宋体"/>
          <w:b/>
          <w:sz w:val="24"/>
          <w:szCs w:val="24"/>
          <w:highlight w:val="none"/>
          <w:u w:val="single"/>
        </w:rPr>
        <w:t>）不同投标人的投标文件由同一单位或者个人编制；</w:t>
      </w:r>
    </w:p>
    <w:p w14:paraId="0523C0FD">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2</w:t>
      </w:r>
      <w:r>
        <w:rPr>
          <w:rFonts w:hint="eastAsia" w:ascii="宋体" w:hAnsi="宋体" w:cs="宋体"/>
          <w:b/>
          <w:sz w:val="24"/>
          <w:szCs w:val="24"/>
          <w:highlight w:val="none"/>
          <w:u w:val="single"/>
        </w:rPr>
        <w:t>）不同投标人委托同一单位或者个人办理投标事宜；</w:t>
      </w:r>
    </w:p>
    <w:p w14:paraId="6FE85D97">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3</w:t>
      </w:r>
      <w:r>
        <w:rPr>
          <w:rFonts w:hint="eastAsia" w:ascii="宋体" w:hAnsi="宋体" w:cs="宋体"/>
          <w:b/>
          <w:sz w:val="24"/>
          <w:szCs w:val="24"/>
          <w:highlight w:val="none"/>
          <w:u w:val="single"/>
        </w:rPr>
        <w:t>）不同投标人的投标文件载明的项目管理成员或者联系人员为同一人；</w:t>
      </w:r>
    </w:p>
    <w:p w14:paraId="24AB99DB">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4</w:t>
      </w:r>
      <w:r>
        <w:rPr>
          <w:rFonts w:hint="eastAsia" w:ascii="宋体" w:hAnsi="宋体" w:cs="宋体"/>
          <w:b/>
          <w:sz w:val="24"/>
          <w:szCs w:val="24"/>
          <w:highlight w:val="none"/>
          <w:u w:val="single"/>
        </w:rPr>
        <w:t>）不同投标人的投标文件异常一致或者投标报价呈规律性差异；</w:t>
      </w:r>
    </w:p>
    <w:p w14:paraId="04DE1E2C">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5</w:t>
      </w:r>
      <w:r>
        <w:rPr>
          <w:rFonts w:hint="eastAsia" w:ascii="宋体" w:hAnsi="宋体" w:cs="宋体"/>
          <w:b/>
          <w:sz w:val="24"/>
          <w:szCs w:val="24"/>
          <w:highlight w:val="none"/>
          <w:u w:val="single"/>
        </w:rPr>
        <w:t>）不同投标人的投标文件相互混装；</w:t>
      </w:r>
    </w:p>
    <w:p w14:paraId="7BEBC414">
      <w:pPr>
        <w:tabs>
          <w:tab w:val="left" w:pos="780"/>
          <w:tab w:val="left" w:pos="900"/>
        </w:tabs>
        <w:spacing w:line="360" w:lineRule="auto"/>
        <w:ind w:left="482"/>
        <w:rPr>
          <w:rFonts w:ascii="宋体" w:cs="宋体"/>
          <w:b/>
          <w:sz w:val="24"/>
          <w:szCs w:val="24"/>
          <w:highlight w:val="none"/>
          <w:u w:val="single"/>
        </w:rPr>
      </w:pPr>
      <w:r>
        <w:rPr>
          <w:rFonts w:ascii="宋体" w:hAnsi="宋体" w:cs="宋体"/>
          <w:b/>
          <w:sz w:val="24"/>
          <w:szCs w:val="24"/>
          <w:highlight w:val="none"/>
          <w:u w:val="single"/>
        </w:rPr>
        <w:t>6</w:t>
      </w:r>
      <w:r>
        <w:rPr>
          <w:rFonts w:hint="eastAsia" w:ascii="宋体" w:hAnsi="宋体" w:cs="宋体"/>
          <w:b/>
          <w:sz w:val="24"/>
          <w:szCs w:val="24"/>
          <w:highlight w:val="none"/>
          <w:u w:val="single"/>
        </w:rPr>
        <w:t>）不同投标人的投标保证金从同一单位或者个人的账户转出。</w:t>
      </w:r>
    </w:p>
    <w:p w14:paraId="7CF8AEB0">
      <w:pPr>
        <w:spacing w:line="360" w:lineRule="auto"/>
        <w:ind w:firstLine="482" w:firstLineChars="200"/>
        <w:rPr>
          <w:rFonts w:ascii="宋体" w:cs="宋体"/>
          <w:sz w:val="24"/>
          <w:szCs w:val="24"/>
          <w:highlight w:val="none"/>
        </w:rPr>
      </w:pPr>
      <w:r>
        <w:rPr>
          <w:rFonts w:ascii="宋体" w:hAnsi="宋体" w:cs="宋体"/>
          <w:b/>
          <w:bCs/>
          <w:sz w:val="24"/>
          <w:szCs w:val="24"/>
          <w:highlight w:val="none"/>
        </w:rPr>
        <w:t xml:space="preserve">26.5 </w:t>
      </w:r>
      <w:r>
        <w:rPr>
          <w:rFonts w:hint="eastAsia" w:ascii="宋体" w:hAnsi="宋体" w:cs="宋体"/>
          <w:b/>
          <w:sz w:val="24"/>
          <w:szCs w:val="24"/>
          <w:highlight w:val="none"/>
        </w:rPr>
        <w:t>投标文件的详细评审</w:t>
      </w:r>
    </w:p>
    <w:p w14:paraId="7D208B13">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26.5.1 </w:t>
      </w:r>
      <w:r>
        <w:rPr>
          <w:rFonts w:hint="eastAsia" w:ascii="宋体" w:hAnsi="宋体" w:cs="宋体"/>
          <w:sz w:val="24"/>
          <w:szCs w:val="24"/>
          <w:highlight w:val="none"/>
        </w:rPr>
        <w:t>评标委员会将按照本须知第</w:t>
      </w:r>
      <w:r>
        <w:rPr>
          <w:rFonts w:ascii="宋体" w:hAnsi="宋体" w:cs="宋体"/>
          <w:sz w:val="24"/>
          <w:szCs w:val="24"/>
          <w:highlight w:val="none"/>
        </w:rPr>
        <w:t>26.4</w:t>
      </w:r>
      <w:r>
        <w:rPr>
          <w:rFonts w:hint="eastAsia" w:ascii="宋体" w:hAnsi="宋体" w:cs="宋体"/>
          <w:sz w:val="24"/>
          <w:szCs w:val="24"/>
          <w:highlight w:val="none"/>
        </w:rPr>
        <w:t>条规定，只对确定为实质上响应招标文件要求的投标进行详细评审。</w:t>
      </w:r>
    </w:p>
    <w:p w14:paraId="5D9057ED">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26.5.2 </w:t>
      </w:r>
      <w:r>
        <w:rPr>
          <w:rFonts w:hint="eastAsia" w:ascii="宋体" w:hAnsi="宋体" w:cs="宋体"/>
          <w:sz w:val="24"/>
          <w:szCs w:val="24"/>
          <w:highlight w:val="none"/>
        </w:rPr>
        <w:t>详细评审即以招标文件为依据，对所有实质上响应的投标分别从“商务”、“技术”和“价格”三个方面进行评审并按照百分制进行综合打分（详见第六章评标标准）。</w:t>
      </w:r>
    </w:p>
    <w:p w14:paraId="3D48F0F1">
      <w:pPr>
        <w:spacing w:line="360" w:lineRule="auto"/>
        <w:ind w:firstLine="482" w:firstLineChars="200"/>
        <w:rPr>
          <w:rFonts w:ascii="宋体" w:cs="宋体"/>
          <w:b/>
          <w:sz w:val="24"/>
          <w:szCs w:val="24"/>
          <w:highlight w:val="none"/>
        </w:rPr>
      </w:pPr>
      <w:r>
        <w:rPr>
          <w:rFonts w:ascii="宋体" w:hAnsi="宋体" w:cs="宋体"/>
          <w:b/>
          <w:sz w:val="24"/>
          <w:szCs w:val="24"/>
          <w:highlight w:val="none"/>
        </w:rPr>
        <w:t>26.6</w:t>
      </w:r>
      <w:r>
        <w:rPr>
          <w:rFonts w:hint="eastAsia" w:ascii="宋体" w:hAnsi="宋体" w:cs="宋体"/>
          <w:b/>
          <w:sz w:val="24"/>
          <w:szCs w:val="24"/>
          <w:highlight w:val="none"/>
        </w:rPr>
        <w:t>中标人的确定</w:t>
      </w:r>
    </w:p>
    <w:p w14:paraId="04A5BEF9">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评标委员会对进入详细评审的投标人进行综合评分并按得分由高到低顺序排列，得分相同的，按投标报价由低到高顺序排列，得分且投标报价相同的，按评审因素的技术指标评审得分高低顺序。由采购人按照评标委员会推荐的中标候选人顺序确定中标投标人。</w:t>
      </w:r>
    </w:p>
    <w:p w14:paraId="79F96B9C">
      <w:pPr>
        <w:spacing w:line="360" w:lineRule="auto"/>
        <w:ind w:firstLine="482" w:firstLineChars="200"/>
        <w:rPr>
          <w:rFonts w:ascii="宋体" w:cs="宋体"/>
          <w:b/>
          <w:sz w:val="24"/>
          <w:szCs w:val="24"/>
          <w:highlight w:val="none"/>
        </w:rPr>
      </w:pPr>
      <w:r>
        <w:rPr>
          <w:rFonts w:ascii="宋体" w:hAnsi="宋体" w:cs="宋体"/>
          <w:b/>
          <w:sz w:val="24"/>
          <w:szCs w:val="24"/>
          <w:highlight w:val="none"/>
        </w:rPr>
        <w:t>27.</w:t>
      </w:r>
      <w:r>
        <w:rPr>
          <w:rFonts w:hint="eastAsia" w:ascii="宋体" w:hAnsi="宋体" w:cs="宋体"/>
          <w:b/>
          <w:sz w:val="24"/>
          <w:szCs w:val="24"/>
          <w:highlight w:val="none"/>
        </w:rPr>
        <w:t>与采购代理机构、采购人和评标委员会的接触</w:t>
      </w:r>
    </w:p>
    <w:p w14:paraId="62B7443F">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27.1 </w:t>
      </w:r>
      <w:r>
        <w:rPr>
          <w:rFonts w:hint="eastAsia" w:ascii="宋体" w:hAnsi="宋体" w:cs="宋体"/>
          <w:sz w:val="24"/>
          <w:szCs w:val="24"/>
          <w:highlight w:val="none"/>
        </w:rPr>
        <w:t>除本须知第</w:t>
      </w:r>
      <w:r>
        <w:rPr>
          <w:rFonts w:ascii="宋体" w:hAnsi="宋体" w:cs="宋体"/>
          <w:sz w:val="24"/>
          <w:szCs w:val="24"/>
          <w:highlight w:val="none"/>
        </w:rPr>
        <w:t>26.3</w:t>
      </w:r>
      <w:r>
        <w:rPr>
          <w:rFonts w:hint="eastAsia" w:ascii="宋体" w:hAnsi="宋体" w:cs="宋体"/>
          <w:sz w:val="24"/>
          <w:szCs w:val="24"/>
          <w:highlight w:val="none"/>
        </w:rPr>
        <w:t>条的规定外，从开标之日起至公布中标结果之日止，投标人不得就与其投标有关的事项与采购人以及评标委员会成员接触，但经评标委员会同意的澄清、答疑期间除外。</w:t>
      </w:r>
    </w:p>
    <w:p w14:paraId="56091829">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27.2 </w:t>
      </w:r>
      <w:r>
        <w:rPr>
          <w:rFonts w:hint="eastAsia" w:ascii="宋体" w:hAnsi="宋体" w:cs="宋体"/>
          <w:sz w:val="24"/>
          <w:szCs w:val="24"/>
          <w:highlight w:val="none"/>
        </w:rPr>
        <w:t>投标人试图对采购代理机构、采购人和评标委员会的评标、比较或授予合同的决定进行影响，都可能导致其投标无效。</w:t>
      </w:r>
      <w:bookmarkStart w:id="63" w:name="_Toc322446894"/>
      <w:bookmarkStart w:id="64" w:name="_Toc2511974"/>
      <w:bookmarkStart w:id="65" w:name="_Toc14776841"/>
      <w:bookmarkStart w:id="66" w:name="_Toc493422653"/>
      <w:bookmarkStart w:id="67" w:name="_Toc2355233"/>
    </w:p>
    <w:p w14:paraId="1BEB7B35">
      <w:pPr>
        <w:spacing w:line="360" w:lineRule="auto"/>
        <w:rPr>
          <w:rFonts w:ascii="宋体" w:cs="宋体"/>
          <w:b/>
          <w:sz w:val="24"/>
          <w:szCs w:val="24"/>
          <w:highlight w:val="none"/>
        </w:rPr>
      </w:pPr>
      <w:r>
        <w:rPr>
          <w:rFonts w:hint="eastAsia" w:ascii="宋体" w:hAnsi="宋体" w:cs="宋体"/>
          <w:b/>
          <w:sz w:val="24"/>
          <w:szCs w:val="24"/>
          <w:highlight w:val="none"/>
        </w:rPr>
        <w:t>六、授予合同</w:t>
      </w:r>
      <w:bookmarkEnd w:id="63"/>
      <w:bookmarkEnd w:id="64"/>
      <w:bookmarkEnd w:id="65"/>
      <w:bookmarkEnd w:id="66"/>
      <w:bookmarkEnd w:id="67"/>
    </w:p>
    <w:p w14:paraId="3079C6E1">
      <w:pPr>
        <w:spacing w:line="360" w:lineRule="auto"/>
        <w:ind w:firstLine="482" w:firstLineChars="200"/>
        <w:rPr>
          <w:rFonts w:ascii="宋体" w:cs="宋体"/>
          <w:b/>
          <w:sz w:val="24"/>
          <w:szCs w:val="24"/>
          <w:highlight w:val="none"/>
        </w:rPr>
      </w:pPr>
      <w:r>
        <w:rPr>
          <w:rFonts w:ascii="宋体" w:hAnsi="宋体" w:cs="宋体"/>
          <w:b/>
          <w:sz w:val="24"/>
          <w:szCs w:val="24"/>
          <w:highlight w:val="none"/>
        </w:rPr>
        <w:t>28.</w:t>
      </w:r>
      <w:r>
        <w:rPr>
          <w:rFonts w:hint="eastAsia" w:ascii="宋体" w:hAnsi="宋体" w:cs="宋体"/>
          <w:b/>
          <w:sz w:val="24"/>
          <w:szCs w:val="24"/>
          <w:highlight w:val="none"/>
        </w:rPr>
        <w:t>合同授予标准</w:t>
      </w:r>
    </w:p>
    <w:p w14:paraId="4398A678">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28.1 </w:t>
      </w:r>
      <w:r>
        <w:rPr>
          <w:rFonts w:hint="eastAsia" w:ascii="宋体" w:hAnsi="宋体" w:cs="宋体"/>
          <w:sz w:val="24"/>
          <w:szCs w:val="24"/>
          <w:highlight w:val="none"/>
        </w:rPr>
        <w:t>除第</w:t>
      </w:r>
      <w:r>
        <w:rPr>
          <w:rFonts w:ascii="宋体" w:hAnsi="宋体" w:cs="宋体"/>
          <w:sz w:val="24"/>
          <w:szCs w:val="24"/>
          <w:highlight w:val="none"/>
        </w:rPr>
        <w:t>31</w:t>
      </w:r>
      <w:r>
        <w:rPr>
          <w:rFonts w:hint="eastAsia" w:ascii="宋体" w:hAnsi="宋体" w:cs="宋体"/>
          <w:sz w:val="24"/>
          <w:szCs w:val="24"/>
          <w:highlight w:val="none"/>
        </w:rPr>
        <w:t>条的规定之外，采购代理机构将把合同授予被确定为实质上响应招标文件的要求并有履行合同能力的具有合理报价的合格投标人。</w:t>
      </w:r>
    </w:p>
    <w:p w14:paraId="6FC9F8CE">
      <w:pPr>
        <w:spacing w:line="360" w:lineRule="auto"/>
        <w:ind w:firstLine="482" w:firstLineChars="200"/>
        <w:rPr>
          <w:rFonts w:ascii="宋体" w:cs="宋体"/>
          <w:b/>
          <w:sz w:val="24"/>
          <w:szCs w:val="24"/>
          <w:highlight w:val="none"/>
        </w:rPr>
      </w:pPr>
      <w:r>
        <w:rPr>
          <w:rFonts w:ascii="宋体" w:hAnsi="宋体" w:cs="宋体"/>
          <w:b/>
          <w:sz w:val="24"/>
          <w:szCs w:val="24"/>
          <w:highlight w:val="none"/>
        </w:rPr>
        <w:t>29.</w:t>
      </w:r>
      <w:r>
        <w:rPr>
          <w:rFonts w:hint="eastAsia" w:ascii="宋体" w:hAnsi="宋体" w:cs="宋体"/>
          <w:b/>
          <w:sz w:val="24"/>
          <w:szCs w:val="24"/>
          <w:highlight w:val="none"/>
        </w:rPr>
        <w:t>接受和拒绝任何或所有投标的权利</w:t>
      </w:r>
    </w:p>
    <w:p w14:paraId="3B240B4F">
      <w:pPr>
        <w:spacing w:line="360" w:lineRule="auto"/>
        <w:ind w:firstLine="480" w:firstLineChars="200"/>
        <w:rPr>
          <w:rFonts w:ascii="宋体" w:cs="宋体"/>
          <w:sz w:val="24"/>
          <w:szCs w:val="24"/>
          <w:highlight w:val="none"/>
        </w:rPr>
      </w:pPr>
      <w:r>
        <w:rPr>
          <w:rFonts w:ascii="宋体" w:hAnsi="宋体" w:cs="宋体"/>
          <w:sz w:val="24"/>
          <w:szCs w:val="24"/>
          <w:highlight w:val="none"/>
        </w:rPr>
        <w:t>29.1</w:t>
      </w:r>
      <w:r>
        <w:rPr>
          <w:rFonts w:hint="eastAsia" w:ascii="宋体" w:hAnsi="宋体" w:cs="宋体"/>
          <w:sz w:val="24"/>
          <w:szCs w:val="24"/>
          <w:highlight w:val="none"/>
        </w:rPr>
        <w:t>采购人或采购代理机构保留依法定事由、不可抗力或政府采购主管部门相关要求，拒绝任何或所有投标的权利，或宣布招标无效的权利。对受影响的投标人不承担任何责任。</w:t>
      </w:r>
    </w:p>
    <w:p w14:paraId="54C88D4F">
      <w:pPr>
        <w:spacing w:line="360" w:lineRule="auto"/>
        <w:ind w:firstLine="482" w:firstLineChars="200"/>
        <w:rPr>
          <w:rFonts w:ascii="宋体" w:cs="宋体"/>
          <w:b/>
          <w:sz w:val="24"/>
          <w:szCs w:val="24"/>
          <w:highlight w:val="none"/>
        </w:rPr>
      </w:pPr>
      <w:r>
        <w:rPr>
          <w:rFonts w:ascii="宋体" w:hAnsi="宋体" w:cs="宋体"/>
          <w:b/>
          <w:sz w:val="24"/>
          <w:szCs w:val="24"/>
          <w:highlight w:val="none"/>
        </w:rPr>
        <w:t>30.</w:t>
      </w:r>
      <w:r>
        <w:rPr>
          <w:rFonts w:hint="eastAsia" w:ascii="宋体" w:hAnsi="宋体" w:cs="宋体"/>
          <w:b/>
          <w:sz w:val="24"/>
          <w:szCs w:val="24"/>
          <w:highlight w:val="none"/>
        </w:rPr>
        <w:t>中标通知书</w:t>
      </w:r>
    </w:p>
    <w:p w14:paraId="7BD7D04B">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30.1 </w:t>
      </w:r>
      <w:r>
        <w:rPr>
          <w:rFonts w:hint="eastAsia" w:ascii="宋体" w:hAnsi="宋体" w:cs="宋体"/>
          <w:sz w:val="24"/>
          <w:szCs w:val="24"/>
          <w:highlight w:val="none"/>
        </w:rPr>
        <w:t>中标人确定后，采购代理机构将向中标人发出中标通知书，告知未中标人本人的评审得分与排序。</w:t>
      </w:r>
    </w:p>
    <w:p w14:paraId="2269472E">
      <w:pPr>
        <w:spacing w:line="360" w:lineRule="auto"/>
        <w:ind w:firstLine="480" w:firstLineChars="200"/>
        <w:rPr>
          <w:rFonts w:ascii="宋体" w:cs="宋体"/>
          <w:sz w:val="24"/>
          <w:szCs w:val="24"/>
          <w:highlight w:val="none"/>
        </w:rPr>
      </w:pPr>
      <w:r>
        <w:rPr>
          <w:rFonts w:ascii="宋体" w:hAnsi="宋体" w:cs="宋体"/>
          <w:sz w:val="24"/>
          <w:szCs w:val="24"/>
          <w:highlight w:val="none"/>
        </w:rPr>
        <w:t xml:space="preserve">30.2 </w:t>
      </w:r>
      <w:r>
        <w:rPr>
          <w:rFonts w:hint="eastAsia" w:ascii="宋体" w:hAnsi="宋体" w:cs="宋体"/>
          <w:sz w:val="24"/>
          <w:szCs w:val="24"/>
          <w:highlight w:val="none"/>
        </w:rPr>
        <w:t>中标通知书是合同的一个组成部分，没有提交书面中标通知书所签署的合同属于无效合同。</w:t>
      </w:r>
    </w:p>
    <w:p w14:paraId="02631948">
      <w:pPr>
        <w:spacing w:line="360" w:lineRule="auto"/>
        <w:ind w:firstLine="480" w:firstLineChars="200"/>
        <w:rPr>
          <w:rFonts w:ascii="宋体" w:cs="宋体"/>
          <w:sz w:val="24"/>
          <w:szCs w:val="24"/>
          <w:highlight w:val="none"/>
        </w:rPr>
      </w:pPr>
      <w:r>
        <w:rPr>
          <w:rFonts w:ascii="宋体" w:hAnsi="宋体" w:cs="宋体"/>
          <w:sz w:val="24"/>
          <w:szCs w:val="24"/>
          <w:highlight w:val="none"/>
        </w:rPr>
        <w:t>30.3</w:t>
      </w:r>
      <w:r>
        <w:rPr>
          <w:rFonts w:hint="eastAsia" w:ascii="宋体" w:hAnsi="宋体" w:cs="宋体"/>
          <w:sz w:val="24"/>
          <w:szCs w:val="24"/>
          <w:highlight w:val="none"/>
        </w:rPr>
        <w:t>中标结果公告发布后，中标人到代理机构领取中标通知书。</w:t>
      </w:r>
    </w:p>
    <w:p w14:paraId="59E282F9">
      <w:pPr>
        <w:spacing w:line="360" w:lineRule="auto"/>
        <w:ind w:firstLine="482" w:firstLineChars="200"/>
        <w:rPr>
          <w:rFonts w:ascii="宋体" w:cs="宋体"/>
          <w:b/>
          <w:sz w:val="24"/>
          <w:szCs w:val="24"/>
          <w:highlight w:val="none"/>
        </w:rPr>
      </w:pPr>
      <w:r>
        <w:rPr>
          <w:rFonts w:ascii="宋体" w:hAnsi="宋体" w:cs="宋体"/>
          <w:b/>
          <w:sz w:val="24"/>
          <w:szCs w:val="24"/>
          <w:highlight w:val="none"/>
        </w:rPr>
        <w:t>31.</w:t>
      </w:r>
      <w:r>
        <w:rPr>
          <w:rFonts w:hint="eastAsia" w:ascii="宋体" w:hAnsi="宋体" w:cs="宋体"/>
          <w:b/>
          <w:sz w:val="24"/>
          <w:szCs w:val="24"/>
          <w:highlight w:val="none"/>
        </w:rPr>
        <w:t>签订合同</w:t>
      </w:r>
    </w:p>
    <w:p w14:paraId="4B7F9243">
      <w:pPr>
        <w:spacing w:line="360" w:lineRule="auto"/>
        <w:ind w:firstLine="480" w:firstLineChars="200"/>
        <w:rPr>
          <w:rFonts w:ascii="宋体" w:cs="宋体"/>
          <w:sz w:val="24"/>
          <w:szCs w:val="24"/>
          <w:highlight w:val="none"/>
        </w:rPr>
      </w:pPr>
      <w:r>
        <w:rPr>
          <w:rFonts w:ascii="宋体" w:hAnsi="宋体" w:cs="宋体"/>
          <w:sz w:val="24"/>
          <w:szCs w:val="24"/>
          <w:highlight w:val="none"/>
        </w:rPr>
        <w:t>31.1</w:t>
      </w:r>
      <w:r>
        <w:rPr>
          <w:rFonts w:hint="eastAsia" w:ascii="宋体" w:hAnsi="宋体" w:cs="宋体"/>
          <w:sz w:val="24"/>
          <w:szCs w:val="24"/>
          <w:highlight w:val="none"/>
        </w:rPr>
        <w:t>中标人应当自中标通知书发出之日起三十日内，按照招标文件和中标人投标文件的约定，与采购人签订书面合同。所签订的合同不得对招标文件和中标</w:t>
      </w:r>
      <w:r>
        <w:rPr>
          <w:rFonts w:hint="eastAsia" w:ascii="宋体" w:hAnsi="宋体" w:cs="宋体"/>
          <w:sz w:val="24"/>
          <w:szCs w:val="24"/>
          <w:highlight w:val="none"/>
          <w:lang w:val="en-US" w:eastAsia="zh-CN"/>
        </w:rPr>
        <w:t>人</w:t>
      </w:r>
      <w:r>
        <w:rPr>
          <w:rFonts w:hint="eastAsia" w:ascii="宋体" w:hAnsi="宋体" w:cs="宋体"/>
          <w:sz w:val="24"/>
          <w:szCs w:val="24"/>
          <w:highlight w:val="none"/>
        </w:rPr>
        <w:t>投标文件作实质性修改。</w:t>
      </w:r>
    </w:p>
    <w:p w14:paraId="1A78DFB2">
      <w:pPr>
        <w:spacing w:line="360" w:lineRule="auto"/>
        <w:ind w:firstLine="480" w:firstLineChars="200"/>
        <w:rPr>
          <w:rFonts w:ascii="宋体" w:hAnsi="宋体" w:cs="宋体"/>
          <w:sz w:val="24"/>
          <w:highlight w:val="none"/>
        </w:rPr>
      </w:pPr>
      <w:r>
        <w:rPr>
          <w:rFonts w:ascii="宋体" w:hAnsi="宋体" w:cs="宋体"/>
          <w:sz w:val="24"/>
          <w:szCs w:val="24"/>
          <w:highlight w:val="none"/>
        </w:rPr>
        <w:t>31.2</w:t>
      </w:r>
      <w:r>
        <w:rPr>
          <w:rFonts w:hint="eastAsia" w:ascii="宋体" w:hAnsi="宋体" w:cs="宋体"/>
          <w:sz w:val="24"/>
          <w:highlight w:val="none"/>
        </w:rPr>
        <w:t>如中标人没有按照本须知</w:t>
      </w:r>
      <w:r>
        <w:rPr>
          <w:rFonts w:ascii="宋体" w:hAnsi="宋体" w:cs="宋体"/>
          <w:sz w:val="24"/>
          <w:highlight w:val="none"/>
        </w:rPr>
        <w:t>31.1</w:t>
      </w:r>
      <w:r>
        <w:rPr>
          <w:rFonts w:hint="eastAsia" w:ascii="宋体" w:hAnsi="宋体" w:cs="宋体"/>
          <w:sz w:val="24"/>
          <w:highlight w:val="none"/>
        </w:rPr>
        <w:t>条规定执行，应当依法承担法律责任，投标保证金也将不予退还。在此情况下，采购单位可将合同授予排名在中标人下一位的中标候选人，也可以重新招标。</w:t>
      </w:r>
    </w:p>
    <w:p w14:paraId="36BF64F8">
      <w:pPr>
        <w:pStyle w:val="21"/>
        <w:ind w:firstLine="480" w:firstLineChars="200"/>
        <w:rPr>
          <w:rFonts w:ascii="宋体" w:hAnsi="宋体" w:cs="宋体"/>
          <w:highlight w:val="none"/>
        </w:rPr>
        <w:sectPr>
          <w:pgSz w:w="11906" w:h="16838"/>
          <w:pgMar w:top="1440" w:right="1800" w:bottom="1440" w:left="1800" w:header="851" w:footer="992" w:gutter="0"/>
          <w:cols w:space="720" w:num="1"/>
          <w:docGrid w:type="lines" w:linePitch="312" w:charSpace="0"/>
        </w:sectPr>
      </w:pPr>
      <w:r>
        <w:rPr>
          <w:rFonts w:hint="eastAsia" w:ascii="宋体" w:hAnsi="宋体" w:cs="宋体"/>
          <w:highlight w:val="none"/>
        </w:rPr>
        <w:t>31.3政府采购合同履行中，采购人需追加与合同标的相同的货物、工程或者服务的，在不改变合同其他条款的前提下，可以与投标人协商签订补充合同，但所有补充合同的采购金额不得超过原合同采购金额的百分之十。</w:t>
      </w:r>
    </w:p>
    <w:p w14:paraId="1746BCBE">
      <w:pPr>
        <w:rPr>
          <w:rFonts w:ascii="宋体" w:cs="宋体"/>
          <w:w w:val="90"/>
          <w:sz w:val="36"/>
          <w:highlight w:val="none"/>
        </w:rPr>
      </w:pPr>
      <w:bookmarkStart w:id="68" w:name="_Toc2511975"/>
      <w:bookmarkStart w:id="69" w:name="_Toc14776842"/>
    </w:p>
    <w:p w14:paraId="30135BBA">
      <w:pPr>
        <w:rPr>
          <w:rFonts w:ascii="宋体" w:cs="宋体"/>
          <w:w w:val="90"/>
          <w:sz w:val="36"/>
          <w:highlight w:val="none"/>
        </w:rPr>
      </w:pPr>
    </w:p>
    <w:p w14:paraId="1D76B379">
      <w:pPr>
        <w:rPr>
          <w:rFonts w:ascii="宋体" w:cs="宋体"/>
          <w:w w:val="90"/>
          <w:sz w:val="36"/>
          <w:highlight w:val="none"/>
        </w:rPr>
      </w:pPr>
    </w:p>
    <w:p w14:paraId="5066C75C">
      <w:pPr>
        <w:rPr>
          <w:rFonts w:ascii="宋体" w:cs="宋体"/>
          <w:w w:val="90"/>
          <w:sz w:val="36"/>
          <w:highlight w:val="none"/>
        </w:rPr>
      </w:pPr>
    </w:p>
    <w:p w14:paraId="0FB25395">
      <w:pPr>
        <w:pStyle w:val="21"/>
        <w:rPr>
          <w:highlight w:val="none"/>
        </w:rPr>
      </w:pPr>
    </w:p>
    <w:p w14:paraId="676A3D82">
      <w:pPr>
        <w:pStyle w:val="21"/>
        <w:rPr>
          <w:highlight w:val="none"/>
        </w:rPr>
      </w:pPr>
    </w:p>
    <w:p w14:paraId="2C24C646">
      <w:pPr>
        <w:pStyle w:val="21"/>
        <w:rPr>
          <w:highlight w:val="none"/>
        </w:rPr>
      </w:pPr>
    </w:p>
    <w:p w14:paraId="45306B92">
      <w:pPr>
        <w:pStyle w:val="21"/>
        <w:rPr>
          <w:highlight w:val="none"/>
        </w:rPr>
      </w:pPr>
    </w:p>
    <w:p w14:paraId="43C6195A">
      <w:pPr>
        <w:pStyle w:val="21"/>
        <w:rPr>
          <w:highlight w:val="none"/>
        </w:rPr>
      </w:pPr>
    </w:p>
    <w:p w14:paraId="02BEFF26">
      <w:pPr>
        <w:pStyle w:val="3"/>
        <w:spacing w:before="100" w:beforeAutospacing="1" w:after="100" w:afterAutospacing="1" w:line="360" w:lineRule="auto"/>
        <w:jc w:val="center"/>
        <w:rPr>
          <w:rFonts w:ascii="宋体" w:cs="宋体"/>
          <w:w w:val="90"/>
          <w:sz w:val="36"/>
          <w:highlight w:val="none"/>
        </w:rPr>
        <w:sectPr>
          <w:footerReference r:id="rId6" w:type="default"/>
          <w:pgSz w:w="11907" w:h="16840"/>
          <w:pgMar w:top="1440" w:right="1469" w:bottom="1440" w:left="1622" w:header="851" w:footer="992" w:gutter="0"/>
          <w:cols w:space="720" w:num="1"/>
          <w:docGrid w:linePitch="312" w:charSpace="0"/>
        </w:sectPr>
      </w:pPr>
      <w:bookmarkStart w:id="70" w:name="_Toc3859"/>
      <w:bookmarkStart w:id="71" w:name="_Toc44705051"/>
      <w:bookmarkStart w:id="72" w:name="_Toc44704904"/>
      <w:r>
        <w:rPr>
          <w:rFonts w:hint="eastAsia" w:ascii="宋体" w:hAnsi="宋体" w:cs="宋体"/>
          <w:w w:val="90"/>
          <w:highlight w:val="none"/>
        </w:rPr>
        <w:t>第四章</w:t>
      </w:r>
      <w:r>
        <w:rPr>
          <w:rFonts w:ascii="宋体" w:hAnsi="宋体" w:cs="宋体"/>
          <w:w w:val="90"/>
          <w:highlight w:val="none"/>
        </w:rPr>
        <w:t xml:space="preserve"> </w:t>
      </w:r>
      <w:r>
        <w:rPr>
          <w:rFonts w:hint="eastAsia" w:ascii="宋体" w:hAnsi="宋体" w:cs="宋体"/>
          <w:w w:val="90"/>
          <w:highlight w:val="none"/>
        </w:rPr>
        <w:t>合同文本格式</w:t>
      </w:r>
      <w:bookmarkEnd w:id="68"/>
      <w:bookmarkEnd w:id="69"/>
      <w:bookmarkEnd w:id="70"/>
      <w:bookmarkEnd w:id="71"/>
      <w:bookmarkEnd w:id="72"/>
    </w:p>
    <w:p w14:paraId="4DAE34CB">
      <w:pPr>
        <w:jc w:val="center"/>
        <w:rPr>
          <w:rFonts w:ascii="宋体" w:hAnsi="宋体"/>
          <w:sz w:val="44"/>
          <w:szCs w:val="44"/>
          <w:highlight w:val="none"/>
        </w:rPr>
      </w:pPr>
      <w:bookmarkStart w:id="73" w:name="_Toc44700089"/>
      <w:bookmarkStart w:id="74" w:name="_Toc2511976"/>
      <w:bookmarkStart w:id="75" w:name="_Toc44704905"/>
      <w:bookmarkStart w:id="76" w:name="_Toc14776843"/>
      <w:bookmarkStart w:id="77" w:name="_Toc44705052"/>
      <w:r>
        <w:rPr>
          <w:rFonts w:hint="eastAsia" w:ascii="宋体" w:hAnsi="宋体"/>
          <w:sz w:val="44"/>
          <w:szCs w:val="44"/>
          <w:highlight w:val="none"/>
        </w:rPr>
        <w:t>第四章 政府采购合同</w:t>
      </w:r>
      <w:bookmarkEnd w:id="73"/>
    </w:p>
    <w:p w14:paraId="541E0648">
      <w:pPr>
        <w:rPr>
          <w:rFonts w:ascii="宋体" w:hAnsi="宋体"/>
          <w:sz w:val="24"/>
          <w:szCs w:val="24"/>
          <w:highlight w:val="none"/>
        </w:rPr>
      </w:pPr>
    </w:p>
    <w:p w14:paraId="4DCB52E7">
      <w:pPr>
        <w:spacing w:line="360" w:lineRule="auto"/>
        <w:jc w:val="center"/>
        <w:rPr>
          <w:rFonts w:ascii="宋体"/>
          <w:b/>
          <w:sz w:val="32"/>
          <w:szCs w:val="32"/>
          <w:highlight w:val="none"/>
        </w:rPr>
      </w:pPr>
      <w:r>
        <w:rPr>
          <w:rFonts w:hint="eastAsia" w:ascii="宋体" w:hAnsi="宋体"/>
          <w:b/>
          <w:sz w:val="28"/>
          <w:szCs w:val="28"/>
          <w:highlight w:val="none"/>
        </w:rPr>
        <w:t>合同一般条款（合同以实际签订为准）</w:t>
      </w:r>
    </w:p>
    <w:p w14:paraId="2FC4FD56">
      <w:pPr>
        <w:rPr>
          <w:highlight w:val="none"/>
        </w:rPr>
      </w:pPr>
    </w:p>
    <w:p w14:paraId="19FEF782">
      <w:pPr>
        <w:spacing w:line="360" w:lineRule="auto"/>
        <w:ind w:firstLine="720" w:firstLineChars="300"/>
        <w:rPr>
          <w:rFonts w:ascii="宋体"/>
          <w:sz w:val="24"/>
          <w:highlight w:val="none"/>
        </w:rPr>
      </w:pPr>
      <w:r>
        <w:rPr>
          <w:rFonts w:hint="eastAsia" w:ascii="宋体"/>
          <w:sz w:val="24"/>
          <w:highlight w:val="none"/>
          <w:u w:val="single"/>
        </w:rPr>
        <w:t xml:space="preserve">                                         项目</w:t>
      </w:r>
      <w:r>
        <w:rPr>
          <w:rFonts w:hint="eastAsia" w:ascii="宋体"/>
          <w:sz w:val="24"/>
          <w:highlight w:val="none"/>
        </w:rPr>
        <w:t>合同</w:t>
      </w:r>
    </w:p>
    <w:p w14:paraId="43CD2F74">
      <w:pPr>
        <w:spacing w:line="360" w:lineRule="auto"/>
        <w:ind w:firstLine="480" w:firstLineChars="200"/>
        <w:rPr>
          <w:rFonts w:ascii="宋体"/>
          <w:sz w:val="24"/>
          <w:highlight w:val="none"/>
        </w:rPr>
      </w:pPr>
      <w:r>
        <w:rPr>
          <w:rFonts w:hint="eastAsia" w:ascii="宋体"/>
          <w:sz w:val="24"/>
          <w:highlight w:val="none"/>
        </w:rPr>
        <w:t>根据“</w:t>
      </w:r>
      <w:r>
        <w:rPr>
          <w:rFonts w:hint="eastAsia" w:ascii="宋体"/>
          <w:sz w:val="24"/>
          <w:highlight w:val="none"/>
          <w:lang w:eastAsia="zh-CN"/>
        </w:rPr>
        <w:t>乌鲁木齐高新区（新市区）某单位ZFBA中心硬件设施采购项目</w:t>
      </w:r>
      <w:r>
        <w:rPr>
          <w:rFonts w:hint="eastAsia" w:ascii="宋体"/>
          <w:sz w:val="24"/>
          <w:highlight w:val="none"/>
        </w:rPr>
        <w:t>”【招标文件编号：</w:t>
      </w:r>
      <w:r>
        <w:rPr>
          <w:rFonts w:hint="eastAsia" w:ascii="宋体"/>
          <w:sz w:val="24"/>
          <w:highlight w:val="none"/>
          <w:lang w:eastAsia="zh-CN"/>
        </w:rPr>
        <w:t>GXXG-2025-ZFCG017</w:t>
      </w:r>
      <w:r>
        <w:rPr>
          <w:rFonts w:hint="eastAsia" w:ascii="宋体"/>
          <w:sz w:val="24"/>
          <w:highlight w:val="none"/>
        </w:rPr>
        <w:t xml:space="preserve"> 】的中标结果，</w:t>
      </w:r>
      <w:r>
        <w:rPr>
          <w:rFonts w:hint="eastAsia" w:ascii="宋体"/>
          <w:sz w:val="24"/>
          <w:highlight w:val="none"/>
          <w:u w:val="single"/>
        </w:rPr>
        <w:t>（以下简称需方）</w:t>
      </w:r>
      <w:r>
        <w:rPr>
          <w:rFonts w:hint="eastAsia" w:ascii="宋体"/>
          <w:sz w:val="24"/>
          <w:highlight w:val="none"/>
        </w:rPr>
        <w:t xml:space="preserve">与   </w:t>
      </w:r>
      <w:r>
        <w:rPr>
          <w:rFonts w:hint="eastAsia" w:ascii="宋体"/>
          <w:sz w:val="24"/>
          <w:highlight w:val="none"/>
          <w:u w:val="single"/>
        </w:rPr>
        <w:t>（以下简称供方）</w:t>
      </w:r>
      <w:r>
        <w:rPr>
          <w:rFonts w:hint="eastAsia" w:ascii="宋体"/>
          <w:sz w:val="24"/>
          <w:highlight w:val="none"/>
        </w:rPr>
        <w:t>签订本合同。</w:t>
      </w:r>
    </w:p>
    <w:p w14:paraId="5E637670">
      <w:pPr>
        <w:numPr>
          <w:ilvl w:val="0"/>
          <w:numId w:val="13"/>
        </w:numPr>
        <w:spacing w:line="360" w:lineRule="auto"/>
        <w:ind w:firstLine="480" w:firstLineChars="200"/>
        <w:rPr>
          <w:rFonts w:ascii="宋体"/>
          <w:sz w:val="24"/>
          <w:highlight w:val="none"/>
        </w:rPr>
      </w:pPr>
      <w:r>
        <w:rPr>
          <w:rFonts w:hint="eastAsia" w:ascii="宋体"/>
          <w:sz w:val="24"/>
          <w:highlight w:val="none"/>
        </w:rPr>
        <w:t>合同编号：</w:t>
      </w:r>
    </w:p>
    <w:p w14:paraId="42B7508B">
      <w:pPr>
        <w:spacing w:line="360" w:lineRule="auto"/>
        <w:ind w:firstLine="480" w:firstLineChars="200"/>
        <w:rPr>
          <w:rFonts w:ascii="宋体"/>
          <w:sz w:val="24"/>
          <w:highlight w:val="none"/>
        </w:rPr>
      </w:pPr>
      <w:r>
        <w:rPr>
          <w:rFonts w:hint="eastAsia" w:ascii="宋体"/>
          <w:sz w:val="24"/>
          <w:highlight w:val="none"/>
        </w:rPr>
        <w:t>二、签订地点：</w:t>
      </w:r>
    </w:p>
    <w:p w14:paraId="1B9A158E">
      <w:pPr>
        <w:spacing w:line="360" w:lineRule="auto"/>
        <w:ind w:firstLine="480" w:firstLineChars="200"/>
        <w:rPr>
          <w:rFonts w:ascii="宋体"/>
          <w:sz w:val="24"/>
          <w:highlight w:val="none"/>
        </w:rPr>
      </w:pPr>
      <w:r>
        <w:rPr>
          <w:rFonts w:hint="eastAsia" w:ascii="宋体"/>
          <w:sz w:val="24"/>
          <w:highlight w:val="none"/>
        </w:rPr>
        <w:t>三、时间： 年 月 日</w:t>
      </w:r>
    </w:p>
    <w:p w14:paraId="6A7968F2">
      <w:pPr>
        <w:spacing w:line="360" w:lineRule="auto"/>
        <w:ind w:firstLine="480" w:firstLineChars="200"/>
        <w:rPr>
          <w:rFonts w:ascii="宋体"/>
          <w:sz w:val="24"/>
          <w:highlight w:val="none"/>
        </w:rPr>
      </w:pPr>
      <w:r>
        <w:rPr>
          <w:rFonts w:hint="eastAsia" w:ascii="宋体"/>
          <w:sz w:val="24"/>
          <w:highlight w:val="none"/>
        </w:rPr>
        <w:t>四、合同内容：根据《中华人民共和国民法典》及【招标文件编号：</w:t>
      </w:r>
      <w:r>
        <w:rPr>
          <w:rFonts w:hint="eastAsia" w:ascii="宋体"/>
          <w:sz w:val="24"/>
          <w:highlight w:val="none"/>
          <w:lang w:eastAsia="zh-CN"/>
        </w:rPr>
        <w:t>GXXG-2025-ZFCG017</w:t>
      </w:r>
      <w:r>
        <w:rPr>
          <w:rFonts w:hint="eastAsia" w:ascii="宋体"/>
          <w:sz w:val="24"/>
          <w:highlight w:val="none"/>
        </w:rPr>
        <w:t xml:space="preserve"> 】投标文件的规定，供需双方协商一致，签订本合同。</w:t>
      </w:r>
    </w:p>
    <w:p w14:paraId="7752117A">
      <w:pPr>
        <w:spacing w:line="360" w:lineRule="auto"/>
        <w:ind w:firstLine="480" w:firstLineChars="200"/>
        <w:rPr>
          <w:rFonts w:ascii="宋体"/>
          <w:sz w:val="24"/>
          <w:highlight w:val="none"/>
        </w:rPr>
      </w:pPr>
      <w:r>
        <w:rPr>
          <w:rFonts w:hint="eastAsia" w:ascii="宋体"/>
          <w:sz w:val="24"/>
          <w:highlight w:val="none"/>
        </w:rPr>
        <w:t>1、货物品名、生产厂商、规格、数量等信息详见供货一览表 。</w:t>
      </w:r>
    </w:p>
    <w:p w14:paraId="0EF8EC1E">
      <w:pPr>
        <w:spacing w:line="360" w:lineRule="auto"/>
        <w:ind w:firstLine="480" w:firstLineChars="200"/>
        <w:rPr>
          <w:rFonts w:ascii="宋体"/>
          <w:sz w:val="24"/>
          <w:highlight w:val="none"/>
        </w:rPr>
      </w:pPr>
      <w:r>
        <w:rPr>
          <w:rFonts w:hint="eastAsia" w:ascii="宋体"/>
          <w:sz w:val="24"/>
          <w:highlight w:val="none"/>
        </w:rPr>
        <w:t>2、价格解释：合同价格包括成本、税款、包装、运费、售后服务等全部费用，价格一次确定不再变更。</w:t>
      </w:r>
    </w:p>
    <w:p w14:paraId="7C19BF74">
      <w:pPr>
        <w:spacing w:line="360" w:lineRule="auto"/>
        <w:ind w:firstLine="480" w:firstLineChars="200"/>
        <w:rPr>
          <w:rFonts w:ascii="宋体"/>
          <w:sz w:val="24"/>
          <w:highlight w:val="none"/>
        </w:rPr>
      </w:pPr>
      <w:r>
        <w:rPr>
          <w:rFonts w:hint="eastAsia" w:ascii="宋体"/>
          <w:sz w:val="24"/>
          <w:highlight w:val="none"/>
        </w:rPr>
        <w:t>五、投标文件，招标文件，中标</w:t>
      </w:r>
      <w:r>
        <w:rPr>
          <w:rFonts w:hint="eastAsia" w:ascii="宋体"/>
          <w:sz w:val="24"/>
          <w:highlight w:val="none"/>
          <w:lang w:val="en-US" w:eastAsia="zh-CN"/>
        </w:rPr>
        <w:t>通知书</w:t>
      </w:r>
      <w:r>
        <w:rPr>
          <w:rFonts w:hint="eastAsia" w:ascii="宋体"/>
          <w:sz w:val="24"/>
          <w:highlight w:val="none"/>
        </w:rPr>
        <w:t>，合同所附供货一览表均为本合同不可分割的一部分。如果供货一览表的内容与投标文件和中标</w:t>
      </w:r>
      <w:r>
        <w:rPr>
          <w:rFonts w:hint="eastAsia" w:ascii="宋体"/>
          <w:sz w:val="24"/>
          <w:highlight w:val="none"/>
          <w:lang w:val="en-US" w:eastAsia="zh-CN"/>
        </w:rPr>
        <w:t>通知书</w:t>
      </w:r>
      <w:r>
        <w:rPr>
          <w:rFonts w:hint="eastAsia" w:ascii="宋体"/>
          <w:sz w:val="24"/>
          <w:highlight w:val="none"/>
        </w:rPr>
        <w:t>不一致时，以投标文件和中标结果表为准。</w:t>
      </w:r>
    </w:p>
    <w:p w14:paraId="247C0EA3">
      <w:pPr>
        <w:spacing w:line="360" w:lineRule="auto"/>
        <w:ind w:firstLine="480" w:firstLineChars="200"/>
        <w:rPr>
          <w:rFonts w:ascii="宋体"/>
          <w:sz w:val="24"/>
          <w:highlight w:val="none"/>
        </w:rPr>
      </w:pPr>
      <w:r>
        <w:rPr>
          <w:rFonts w:hint="eastAsia" w:ascii="宋体"/>
          <w:sz w:val="24"/>
          <w:highlight w:val="none"/>
        </w:rPr>
        <w:t>六、合同金额：</w:t>
      </w:r>
      <w:r>
        <w:rPr>
          <w:rFonts w:hint="eastAsia" w:ascii="宋体"/>
          <w:sz w:val="24"/>
          <w:highlight w:val="none"/>
          <w:u w:val="single"/>
        </w:rPr>
        <w:t xml:space="preserve">                                </w:t>
      </w:r>
      <w:r>
        <w:rPr>
          <w:rFonts w:hint="eastAsia" w:ascii="宋体"/>
          <w:sz w:val="24"/>
          <w:highlight w:val="none"/>
        </w:rPr>
        <w:t>（￥ 元）</w:t>
      </w:r>
    </w:p>
    <w:p w14:paraId="5317726B">
      <w:pPr>
        <w:spacing w:line="360" w:lineRule="auto"/>
        <w:ind w:firstLine="480" w:firstLineChars="200"/>
        <w:rPr>
          <w:rFonts w:ascii="宋体"/>
          <w:sz w:val="24"/>
          <w:highlight w:val="none"/>
        </w:rPr>
      </w:pPr>
      <w:r>
        <w:rPr>
          <w:rFonts w:hint="eastAsia" w:ascii="宋体"/>
          <w:sz w:val="24"/>
          <w:highlight w:val="none"/>
        </w:rPr>
        <w:t>七、一般条款：</w:t>
      </w:r>
    </w:p>
    <w:p w14:paraId="50C368E5">
      <w:pPr>
        <w:spacing w:line="360" w:lineRule="auto"/>
        <w:ind w:firstLine="480" w:firstLineChars="200"/>
        <w:rPr>
          <w:rFonts w:hint="default" w:ascii="宋体"/>
          <w:sz w:val="24"/>
          <w:highlight w:val="none"/>
          <w:u w:val="single"/>
          <w:lang w:val="en-US" w:eastAsia="zh-CN"/>
        </w:rPr>
      </w:pPr>
      <w:r>
        <w:rPr>
          <w:rFonts w:hint="eastAsia" w:ascii="宋体"/>
          <w:sz w:val="24"/>
          <w:highlight w:val="none"/>
        </w:rPr>
        <w:t>1、供方所提供的货物符合国家现行有效标准，并为正规制造厂商生产的合格产品，因质量问题而发生的任何故障由供方负责。本项目质保期为</w:t>
      </w:r>
      <w:r>
        <w:rPr>
          <w:rFonts w:ascii="宋体"/>
          <w:sz w:val="24"/>
          <w:highlight w:val="none"/>
          <w:u w:val="single"/>
        </w:rPr>
        <w:t xml:space="preserve">      </w:t>
      </w:r>
      <w:r>
        <w:rPr>
          <w:rFonts w:hint="eastAsia" w:ascii="宋体"/>
          <w:sz w:val="24"/>
          <w:highlight w:val="none"/>
          <w:u w:val="none"/>
        </w:rPr>
        <w:t>年。</w:t>
      </w:r>
      <w:r>
        <w:rPr>
          <w:rFonts w:hint="default" w:ascii="宋体"/>
          <w:sz w:val="24"/>
          <w:highlight w:val="none"/>
          <w:lang w:val="en-US" w:eastAsia="zh-CN"/>
        </w:rPr>
        <w:t>运维期限</w:t>
      </w:r>
      <w:r>
        <w:rPr>
          <w:rFonts w:hint="eastAsia" w:ascii="宋体"/>
          <w:sz w:val="24"/>
          <w:highlight w:val="none"/>
          <w:u w:val="single"/>
          <w:lang w:val="en-US" w:eastAsia="zh-CN"/>
        </w:rPr>
        <w:t xml:space="preserve">   </w:t>
      </w:r>
      <w:r>
        <w:rPr>
          <w:rFonts w:hint="default" w:ascii="宋体"/>
          <w:sz w:val="24"/>
          <w:highlight w:val="none"/>
          <w:lang w:val="en-US" w:eastAsia="zh-CN"/>
        </w:rPr>
        <w:t>年</w:t>
      </w:r>
      <w:r>
        <w:rPr>
          <w:rFonts w:hint="eastAsia" w:ascii="宋体"/>
          <w:sz w:val="24"/>
          <w:highlight w:val="none"/>
          <w:lang w:val="en-US" w:eastAsia="zh-CN"/>
        </w:rPr>
        <w:t>。</w:t>
      </w:r>
    </w:p>
    <w:p w14:paraId="06872BFC">
      <w:pPr>
        <w:spacing w:line="360" w:lineRule="auto"/>
        <w:ind w:firstLine="480" w:firstLineChars="200"/>
        <w:rPr>
          <w:rFonts w:ascii="宋体"/>
          <w:sz w:val="24"/>
          <w:highlight w:val="none"/>
        </w:rPr>
      </w:pPr>
      <w:r>
        <w:rPr>
          <w:rFonts w:hint="eastAsia" w:ascii="宋体"/>
          <w:sz w:val="24"/>
          <w:highlight w:val="none"/>
        </w:rPr>
        <w:t>2、供方承担交货前的一切责任和费用。</w:t>
      </w:r>
    </w:p>
    <w:p w14:paraId="210FAE8E">
      <w:pPr>
        <w:spacing w:line="360" w:lineRule="auto"/>
        <w:ind w:firstLine="480" w:firstLineChars="200"/>
        <w:rPr>
          <w:rFonts w:ascii="宋体"/>
          <w:sz w:val="24"/>
          <w:highlight w:val="none"/>
        </w:rPr>
      </w:pPr>
      <w:r>
        <w:rPr>
          <w:rFonts w:hint="eastAsia" w:ascii="宋体"/>
          <w:sz w:val="24"/>
          <w:highlight w:val="none"/>
        </w:rPr>
        <w:t>3、需方在交货地点验收，如发现损坏、缺件等问题，由供方负责。</w:t>
      </w:r>
    </w:p>
    <w:p w14:paraId="2251D447">
      <w:pPr>
        <w:spacing w:line="360" w:lineRule="auto"/>
        <w:ind w:firstLine="480" w:firstLineChars="200"/>
        <w:rPr>
          <w:rFonts w:ascii="宋体"/>
          <w:sz w:val="24"/>
          <w:highlight w:val="none"/>
        </w:rPr>
      </w:pPr>
      <w:r>
        <w:rPr>
          <w:rFonts w:hint="eastAsia" w:ascii="宋体"/>
          <w:sz w:val="24"/>
          <w:highlight w:val="none"/>
        </w:rPr>
        <w:t>4、付款方式：</w:t>
      </w:r>
    </w:p>
    <w:p w14:paraId="750341C4">
      <w:pPr>
        <w:spacing w:line="360" w:lineRule="auto"/>
        <w:ind w:firstLine="480" w:firstLineChars="200"/>
        <w:rPr>
          <w:rFonts w:hint="default" w:ascii="宋体"/>
          <w:sz w:val="24"/>
          <w:highlight w:val="none"/>
          <w:u w:val="single"/>
          <w:lang w:val="en-US"/>
        </w:rPr>
      </w:pPr>
      <w:r>
        <w:rPr>
          <w:rFonts w:hint="eastAsia" w:ascii="宋体"/>
          <w:sz w:val="24"/>
          <w:highlight w:val="none"/>
        </w:rPr>
        <w:t>付款方式：</w:t>
      </w:r>
      <w:r>
        <w:rPr>
          <w:rFonts w:hint="eastAsia" w:ascii="宋体"/>
          <w:sz w:val="24"/>
          <w:highlight w:val="none"/>
          <w:u w:val="single"/>
        </w:rPr>
        <w:t xml:space="preserve">  </w:t>
      </w:r>
      <w:r>
        <w:rPr>
          <w:rFonts w:hint="eastAsia" w:ascii="宋体"/>
          <w:sz w:val="24"/>
          <w:highlight w:val="none"/>
          <w:u w:val="single"/>
          <w:lang w:val="en-US" w:eastAsia="zh-CN"/>
        </w:rPr>
        <w:t xml:space="preserve">  分期支付          </w:t>
      </w:r>
    </w:p>
    <w:p w14:paraId="5A2A69D7">
      <w:pPr>
        <w:numPr>
          <w:ilvl w:val="0"/>
          <w:numId w:val="14"/>
        </w:numPr>
        <w:spacing w:line="360" w:lineRule="auto"/>
        <w:ind w:firstLine="480" w:firstLineChars="200"/>
        <w:rPr>
          <w:rFonts w:ascii="宋体"/>
          <w:sz w:val="24"/>
          <w:highlight w:val="none"/>
        </w:rPr>
      </w:pPr>
      <w:r>
        <w:rPr>
          <w:rFonts w:hint="eastAsia" w:ascii="宋体"/>
          <w:sz w:val="24"/>
          <w:highlight w:val="none"/>
          <w:u w:val="single"/>
        </w:rPr>
        <w:t xml:space="preserve">                         </w:t>
      </w:r>
      <w:r>
        <w:rPr>
          <w:rFonts w:hint="eastAsia" w:ascii="宋体"/>
          <w:sz w:val="24"/>
          <w:highlight w:val="none"/>
        </w:rPr>
        <w:t xml:space="preserve"> ，买方支付合同总额 </w:t>
      </w:r>
      <w:r>
        <w:rPr>
          <w:rFonts w:hint="eastAsia" w:ascii="宋体"/>
          <w:sz w:val="24"/>
          <w:highlight w:val="none"/>
          <w:u w:val="single"/>
        </w:rPr>
        <w:t xml:space="preserve">   </w:t>
      </w:r>
      <w:r>
        <w:rPr>
          <w:rFonts w:hint="eastAsia" w:ascii="宋体"/>
          <w:sz w:val="24"/>
          <w:highlight w:val="none"/>
        </w:rPr>
        <w:t>%。</w:t>
      </w:r>
    </w:p>
    <w:p w14:paraId="7D8484A5">
      <w:pPr>
        <w:numPr>
          <w:ilvl w:val="0"/>
          <w:numId w:val="14"/>
        </w:numPr>
        <w:spacing w:line="360" w:lineRule="auto"/>
        <w:ind w:firstLine="480" w:firstLineChars="200"/>
        <w:rPr>
          <w:rFonts w:ascii="宋体"/>
          <w:sz w:val="24"/>
          <w:highlight w:val="none"/>
        </w:rPr>
      </w:pPr>
      <w:r>
        <w:rPr>
          <w:rFonts w:hint="eastAsia" w:ascii="宋体"/>
          <w:sz w:val="24"/>
          <w:highlight w:val="none"/>
          <w:u w:val="single"/>
        </w:rPr>
        <w:t xml:space="preserve">                         </w:t>
      </w:r>
      <w:r>
        <w:rPr>
          <w:rFonts w:hint="eastAsia" w:ascii="宋体"/>
          <w:sz w:val="24"/>
          <w:highlight w:val="none"/>
        </w:rPr>
        <w:t xml:space="preserve"> ，由买方支付合同总额 </w:t>
      </w:r>
      <w:r>
        <w:rPr>
          <w:rFonts w:hint="eastAsia" w:ascii="宋体"/>
          <w:sz w:val="24"/>
          <w:highlight w:val="none"/>
          <w:u w:val="single"/>
        </w:rPr>
        <w:t xml:space="preserve">    </w:t>
      </w:r>
      <w:r>
        <w:rPr>
          <w:rFonts w:hint="eastAsia" w:ascii="宋体"/>
          <w:sz w:val="24"/>
          <w:highlight w:val="none"/>
        </w:rPr>
        <w:t>%。</w:t>
      </w:r>
    </w:p>
    <w:p w14:paraId="1E4BE7DA">
      <w:pPr>
        <w:spacing w:line="360" w:lineRule="auto"/>
        <w:ind w:firstLine="480" w:firstLineChars="200"/>
        <w:rPr>
          <w:rFonts w:ascii="宋体"/>
          <w:sz w:val="24"/>
          <w:highlight w:val="none"/>
        </w:rPr>
      </w:pPr>
      <w:r>
        <w:rPr>
          <w:rFonts w:hint="eastAsia" w:ascii="宋体"/>
          <w:sz w:val="24"/>
          <w:highlight w:val="none"/>
        </w:rPr>
        <w:t>5、供需双方签订的合同，应在政府采购监管部门的监督下认真履行。</w:t>
      </w:r>
    </w:p>
    <w:p w14:paraId="491982F5">
      <w:pPr>
        <w:spacing w:line="360" w:lineRule="auto"/>
        <w:ind w:firstLine="480" w:firstLineChars="200"/>
        <w:rPr>
          <w:rFonts w:ascii="宋体"/>
          <w:sz w:val="24"/>
          <w:highlight w:val="none"/>
        </w:rPr>
      </w:pPr>
      <w:r>
        <w:rPr>
          <w:rFonts w:hint="eastAsia" w:ascii="宋体"/>
          <w:sz w:val="24"/>
          <w:highlight w:val="none"/>
        </w:rPr>
        <w:t>6、违约责任：供方应依据合同规定时间按时交货，如不能，由此给需方带来的损失由供方负责。</w:t>
      </w:r>
    </w:p>
    <w:p w14:paraId="3AE86174">
      <w:pPr>
        <w:spacing w:line="360" w:lineRule="auto"/>
        <w:ind w:firstLine="480" w:firstLineChars="200"/>
        <w:rPr>
          <w:rFonts w:ascii="宋体"/>
          <w:sz w:val="24"/>
          <w:highlight w:val="none"/>
        </w:rPr>
      </w:pPr>
      <w:r>
        <w:rPr>
          <w:rFonts w:hint="eastAsia" w:ascii="宋体"/>
          <w:sz w:val="24"/>
          <w:highlight w:val="none"/>
        </w:rPr>
        <w:t>7、质量验收：</w:t>
      </w:r>
    </w:p>
    <w:p w14:paraId="194E9DC8">
      <w:pPr>
        <w:spacing w:line="360" w:lineRule="auto"/>
        <w:ind w:firstLine="480" w:firstLineChars="200"/>
        <w:rPr>
          <w:rFonts w:ascii="宋体"/>
          <w:sz w:val="24"/>
          <w:highlight w:val="none"/>
        </w:rPr>
      </w:pPr>
      <w:r>
        <w:rPr>
          <w:rFonts w:hint="eastAsia" w:ascii="宋体"/>
          <w:sz w:val="24"/>
          <w:highlight w:val="none"/>
        </w:rPr>
        <w:t>（1）到货后需方组织专人进行验收，验收合格后在验收单上签署 “验收合格”字样，逾期验收视为验收合格。</w:t>
      </w:r>
    </w:p>
    <w:p w14:paraId="69B08696">
      <w:pPr>
        <w:spacing w:line="360" w:lineRule="auto"/>
        <w:ind w:firstLine="480" w:firstLineChars="200"/>
        <w:rPr>
          <w:rFonts w:ascii="宋体"/>
          <w:sz w:val="24"/>
          <w:highlight w:val="none"/>
        </w:rPr>
      </w:pPr>
      <w:r>
        <w:rPr>
          <w:rFonts w:hint="eastAsia" w:ascii="宋体"/>
          <w:sz w:val="24"/>
          <w:highlight w:val="none"/>
        </w:rPr>
        <w:t>（2）需方在验收中发现货物质量不符合合同要求和验收标准或有异议时，应及时通知供方，供方应在接到通知后三天内给予答复，并负责处理，若需送法定质检部门检验，检验费用由供方承担。如发现货物质量严重不符合质量要求的，需方可通知供方停止供货，解除合同。</w:t>
      </w:r>
    </w:p>
    <w:p w14:paraId="3F06EACB">
      <w:pPr>
        <w:spacing w:line="360" w:lineRule="auto"/>
        <w:ind w:firstLine="480" w:firstLineChars="200"/>
        <w:rPr>
          <w:rFonts w:ascii="宋体"/>
          <w:sz w:val="24"/>
          <w:highlight w:val="none"/>
        </w:rPr>
      </w:pPr>
      <w:r>
        <w:rPr>
          <w:rFonts w:hint="eastAsia" w:ascii="宋体"/>
          <w:sz w:val="24"/>
          <w:highlight w:val="none"/>
        </w:rPr>
        <w:t>（3）供方</w:t>
      </w:r>
      <w:r>
        <w:rPr>
          <w:rFonts w:hint="eastAsia" w:ascii="宋体"/>
          <w:sz w:val="24"/>
          <w:highlight w:val="none"/>
          <w:lang w:val="en-US" w:eastAsia="zh-CN"/>
        </w:rPr>
        <w:t>中标</w:t>
      </w:r>
      <w:r>
        <w:rPr>
          <w:rFonts w:hint="eastAsia" w:ascii="宋体"/>
          <w:sz w:val="24"/>
          <w:highlight w:val="none"/>
        </w:rPr>
        <w:t xml:space="preserve">后货物调整的数量必须控制在 </w:t>
      </w:r>
      <w:r>
        <w:rPr>
          <w:rFonts w:hint="eastAsia" w:ascii="宋体"/>
          <w:sz w:val="24"/>
          <w:highlight w:val="none"/>
          <w:u w:val="single"/>
        </w:rPr>
        <w:t xml:space="preserve">     </w:t>
      </w:r>
      <w:r>
        <w:rPr>
          <w:rFonts w:hint="eastAsia" w:ascii="宋体"/>
          <w:sz w:val="24"/>
          <w:highlight w:val="none"/>
        </w:rPr>
        <w:t>%以内，如不符合要求的，需方可通知供方停止供货，解除合同。</w:t>
      </w:r>
    </w:p>
    <w:p w14:paraId="159C0BBB">
      <w:pPr>
        <w:spacing w:line="360" w:lineRule="auto"/>
        <w:ind w:firstLine="480" w:firstLineChars="200"/>
        <w:rPr>
          <w:rFonts w:ascii="宋体"/>
          <w:sz w:val="24"/>
          <w:highlight w:val="none"/>
        </w:rPr>
      </w:pPr>
      <w:r>
        <w:rPr>
          <w:rFonts w:hint="eastAsia" w:ascii="宋体"/>
          <w:sz w:val="24"/>
          <w:highlight w:val="none"/>
        </w:rPr>
        <w:t>八、交货时间、交货地点和验收单位：</w:t>
      </w:r>
    </w:p>
    <w:p w14:paraId="739041C6">
      <w:pPr>
        <w:spacing w:line="360" w:lineRule="auto"/>
        <w:ind w:firstLine="480" w:firstLineChars="200"/>
        <w:rPr>
          <w:rFonts w:ascii="宋体"/>
          <w:sz w:val="24"/>
          <w:highlight w:val="none"/>
        </w:rPr>
      </w:pPr>
      <w:r>
        <w:rPr>
          <w:rFonts w:hint="eastAsia" w:ascii="宋体"/>
          <w:sz w:val="24"/>
          <w:highlight w:val="none"/>
        </w:rPr>
        <w:t>1、交货时间：自合同签订之日起</w:t>
      </w:r>
      <w:r>
        <w:rPr>
          <w:rFonts w:hint="eastAsia" w:ascii="宋体"/>
          <w:sz w:val="24"/>
          <w:highlight w:val="none"/>
          <w:u w:val="single"/>
        </w:rPr>
        <w:t xml:space="preserve">           </w:t>
      </w:r>
      <w:r>
        <w:rPr>
          <w:rFonts w:hint="eastAsia" w:ascii="宋体"/>
          <w:sz w:val="24"/>
          <w:highlight w:val="none"/>
        </w:rPr>
        <w:t>日内完成交货、安装至验收合格。</w:t>
      </w:r>
    </w:p>
    <w:p w14:paraId="3C6FF7A1">
      <w:pPr>
        <w:spacing w:line="360" w:lineRule="auto"/>
        <w:ind w:firstLine="480" w:firstLineChars="200"/>
        <w:rPr>
          <w:rFonts w:ascii="宋体"/>
          <w:sz w:val="24"/>
          <w:highlight w:val="none"/>
        </w:rPr>
      </w:pPr>
      <w:r>
        <w:rPr>
          <w:rFonts w:hint="eastAsia" w:ascii="宋体"/>
          <w:sz w:val="24"/>
          <w:highlight w:val="none"/>
        </w:rPr>
        <w:t>2、交货地点：采购人指定的交货地点</w:t>
      </w:r>
    </w:p>
    <w:p w14:paraId="05F09A0B">
      <w:pPr>
        <w:spacing w:line="360" w:lineRule="auto"/>
        <w:ind w:firstLine="480" w:firstLineChars="200"/>
        <w:rPr>
          <w:rFonts w:hint="eastAsia" w:ascii="宋体"/>
          <w:sz w:val="24"/>
          <w:highlight w:val="none"/>
          <w:u w:val="single"/>
          <w:lang w:val="en-US" w:eastAsia="zh-CN"/>
        </w:rPr>
      </w:pPr>
      <w:r>
        <w:rPr>
          <w:rFonts w:hint="eastAsia" w:ascii="宋体"/>
          <w:sz w:val="24"/>
          <w:highlight w:val="none"/>
        </w:rPr>
        <w:t>3、验收单位：</w:t>
      </w:r>
      <w:r>
        <w:rPr>
          <w:rFonts w:hint="eastAsia" w:ascii="宋体"/>
          <w:sz w:val="24"/>
          <w:highlight w:val="none"/>
          <w:u w:val="single"/>
          <w:lang w:val="en-US" w:eastAsia="zh-CN"/>
        </w:rPr>
        <w:t xml:space="preserve">               </w:t>
      </w:r>
    </w:p>
    <w:p w14:paraId="68D48920">
      <w:pPr>
        <w:spacing w:line="360" w:lineRule="auto"/>
        <w:ind w:firstLine="480" w:firstLineChars="200"/>
        <w:rPr>
          <w:rFonts w:ascii="宋体"/>
          <w:sz w:val="24"/>
          <w:highlight w:val="none"/>
        </w:rPr>
      </w:pPr>
      <w:r>
        <w:rPr>
          <w:rFonts w:hint="eastAsia" w:ascii="宋体"/>
          <w:sz w:val="24"/>
          <w:highlight w:val="none"/>
        </w:rPr>
        <w:t>九、经济责任：</w:t>
      </w:r>
    </w:p>
    <w:p w14:paraId="1AB55FB3">
      <w:pPr>
        <w:spacing w:line="360" w:lineRule="auto"/>
        <w:ind w:firstLine="480" w:firstLineChars="200"/>
        <w:rPr>
          <w:rFonts w:ascii="宋体"/>
          <w:sz w:val="24"/>
          <w:highlight w:val="none"/>
        </w:rPr>
      </w:pPr>
      <w:r>
        <w:rPr>
          <w:rFonts w:hint="eastAsia" w:ascii="宋体"/>
          <w:sz w:val="24"/>
          <w:highlight w:val="none"/>
        </w:rPr>
        <w:t>（一）供方责任</w:t>
      </w:r>
    </w:p>
    <w:p w14:paraId="1387CCF6">
      <w:pPr>
        <w:spacing w:line="360" w:lineRule="auto"/>
        <w:ind w:firstLine="480" w:firstLineChars="200"/>
        <w:rPr>
          <w:rFonts w:ascii="宋体"/>
          <w:sz w:val="24"/>
          <w:highlight w:val="none"/>
        </w:rPr>
      </w:pPr>
      <w:r>
        <w:rPr>
          <w:rFonts w:hint="eastAsia" w:ascii="宋体"/>
          <w:sz w:val="24"/>
          <w:highlight w:val="none"/>
        </w:rPr>
        <w:t>（1）供方不履行合同或交付的货物全部或部分不符合合同要求的，需方有权拒收不符合质量要求的全部或部分货物，供方须向需方支付拒收货物价款总额10%的违约金。</w:t>
      </w:r>
    </w:p>
    <w:p w14:paraId="0E5BD97C">
      <w:pPr>
        <w:spacing w:line="360" w:lineRule="auto"/>
        <w:ind w:firstLine="480" w:firstLineChars="200"/>
        <w:rPr>
          <w:rFonts w:ascii="宋体"/>
          <w:sz w:val="24"/>
          <w:highlight w:val="none"/>
        </w:rPr>
      </w:pPr>
      <w:r>
        <w:rPr>
          <w:rFonts w:hint="eastAsia" w:ascii="宋体"/>
          <w:sz w:val="24"/>
          <w:highlight w:val="none"/>
        </w:rPr>
        <w:t>（2）货物质量不符合合同规定时，需方同意利用的按质论价，不能利用的，供方负责包退包换。由于上述原因导致延误交货时间的，每延误一日，供应方应按逾期交货部分货物价款总值的 5‰向需方偿付违约金。</w:t>
      </w:r>
    </w:p>
    <w:p w14:paraId="3113F408">
      <w:pPr>
        <w:spacing w:line="360" w:lineRule="auto"/>
        <w:ind w:firstLine="480" w:firstLineChars="200"/>
        <w:rPr>
          <w:rFonts w:ascii="宋体"/>
          <w:sz w:val="24"/>
          <w:highlight w:val="none"/>
        </w:rPr>
      </w:pPr>
      <w:r>
        <w:rPr>
          <w:rFonts w:hint="eastAsia" w:ascii="宋体"/>
          <w:sz w:val="24"/>
          <w:highlight w:val="none"/>
        </w:rPr>
        <w:t>（3）供方必须按合同规定的日期交货，每逾期一日，供方必须向需方支付逾期交货部分货物总额 5‰的违约金。逾期交货超过 30 日，需方有权解除合同，履约保证金不予退还。</w:t>
      </w:r>
    </w:p>
    <w:p w14:paraId="27CA5D5E">
      <w:pPr>
        <w:spacing w:line="360" w:lineRule="auto"/>
        <w:ind w:firstLine="480" w:firstLineChars="200"/>
        <w:rPr>
          <w:rFonts w:ascii="宋体"/>
          <w:sz w:val="24"/>
          <w:highlight w:val="none"/>
        </w:rPr>
      </w:pPr>
      <w:r>
        <w:rPr>
          <w:rFonts w:hint="eastAsia" w:ascii="宋体"/>
          <w:sz w:val="24"/>
          <w:highlight w:val="none"/>
        </w:rPr>
        <w:t xml:space="preserve">（4）供方提供的不符合质量要求的（尺寸大小负责包换，不视为质量问题）货物超过本合同总量的 </w:t>
      </w:r>
      <w:r>
        <w:rPr>
          <w:rFonts w:hint="eastAsia" w:ascii="宋体"/>
          <w:sz w:val="24"/>
          <w:highlight w:val="none"/>
          <w:u w:val="single"/>
        </w:rPr>
        <w:t xml:space="preserve">        </w:t>
      </w:r>
      <w:r>
        <w:rPr>
          <w:rFonts w:hint="eastAsia" w:ascii="宋体"/>
          <w:sz w:val="24"/>
          <w:highlight w:val="none"/>
        </w:rPr>
        <w:t>%时，视为整批货物不合格。</w:t>
      </w:r>
    </w:p>
    <w:p w14:paraId="7DACE1A5">
      <w:pPr>
        <w:spacing w:line="360" w:lineRule="auto"/>
        <w:ind w:firstLine="480" w:firstLineChars="200"/>
        <w:rPr>
          <w:rFonts w:ascii="宋体"/>
          <w:sz w:val="24"/>
          <w:highlight w:val="none"/>
        </w:rPr>
      </w:pPr>
      <w:r>
        <w:rPr>
          <w:rFonts w:hint="eastAsia" w:ascii="宋体"/>
          <w:sz w:val="24"/>
          <w:highlight w:val="none"/>
        </w:rPr>
        <w:t>（二）、需方责任</w:t>
      </w:r>
    </w:p>
    <w:p w14:paraId="79BB0A83">
      <w:pPr>
        <w:spacing w:line="360" w:lineRule="auto"/>
        <w:ind w:firstLine="480" w:firstLineChars="200"/>
        <w:rPr>
          <w:rFonts w:ascii="宋体"/>
          <w:sz w:val="24"/>
          <w:highlight w:val="none"/>
        </w:rPr>
      </w:pPr>
      <w:r>
        <w:rPr>
          <w:rFonts w:hint="eastAsia" w:ascii="宋体"/>
          <w:sz w:val="24"/>
          <w:highlight w:val="none"/>
        </w:rPr>
        <w:t xml:space="preserve">需方无正当理由，中途退货或拒绝收货，应向供方支付退货部分货款总额 </w:t>
      </w:r>
      <w:r>
        <w:rPr>
          <w:rFonts w:hint="eastAsia" w:ascii="宋体"/>
          <w:sz w:val="24"/>
          <w:highlight w:val="none"/>
          <w:u w:val="single"/>
        </w:rPr>
        <w:t xml:space="preserve">   </w:t>
      </w:r>
      <w:r>
        <w:rPr>
          <w:rFonts w:hint="eastAsia" w:ascii="宋体"/>
          <w:sz w:val="24"/>
          <w:highlight w:val="none"/>
        </w:rPr>
        <w:t>%的违约金，并承担因此造成的经济损失及运输费用。</w:t>
      </w:r>
    </w:p>
    <w:p w14:paraId="1B544256">
      <w:pPr>
        <w:spacing w:line="360" w:lineRule="auto"/>
        <w:ind w:firstLine="480" w:firstLineChars="200"/>
        <w:rPr>
          <w:rFonts w:ascii="宋体"/>
          <w:sz w:val="24"/>
          <w:highlight w:val="none"/>
        </w:rPr>
      </w:pPr>
      <w:r>
        <w:rPr>
          <w:rFonts w:hint="eastAsia" w:ascii="宋体"/>
          <w:sz w:val="24"/>
          <w:highlight w:val="none"/>
        </w:rPr>
        <w:t>十、合同解释：</w:t>
      </w:r>
    </w:p>
    <w:p w14:paraId="2211DBA9">
      <w:pPr>
        <w:spacing w:line="360" w:lineRule="auto"/>
        <w:ind w:firstLine="480" w:firstLineChars="200"/>
        <w:rPr>
          <w:rFonts w:ascii="宋体"/>
          <w:sz w:val="24"/>
          <w:highlight w:val="none"/>
        </w:rPr>
      </w:pPr>
      <w:r>
        <w:rPr>
          <w:rFonts w:hint="eastAsia" w:ascii="宋体"/>
          <w:sz w:val="24"/>
          <w:highlight w:val="none"/>
        </w:rPr>
        <w:t>如合同条文存在歧义，《民法典》又无明文规定，依照交易习惯和采购当事人订立合同的目的做合理并且善意的解释，以维护交易安全和社会的公序良俗。</w:t>
      </w:r>
    </w:p>
    <w:p w14:paraId="6C98EAD2">
      <w:pPr>
        <w:spacing w:line="360" w:lineRule="auto"/>
        <w:ind w:firstLine="480" w:firstLineChars="200"/>
        <w:rPr>
          <w:rFonts w:ascii="宋体"/>
          <w:sz w:val="24"/>
          <w:highlight w:val="none"/>
        </w:rPr>
      </w:pPr>
      <w:r>
        <w:rPr>
          <w:rFonts w:hint="eastAsia" w:ascii="宋体"/>
          <w:sz w:val="24"/>
          <w:highlight w:val="none"/>
        </w:rPr>
        <w:t>十一、合同执行过程中发生的一切争议，双方应通过友好协商解决，如协商不能解决，应按《中华人民共和国民法典》有关规定解决。</w:t>
      </w:r>
    </w:p>
    <w:p w14:paraId="01FF95D8">
      <w:pPr>
        <w:spacing w:line="360" w:lineRule="auto"/>
        <w:ind w:firstLine="480" w:firstLineChars="200"/>
        <w:rPr>
          <w:rFonts w:ascii="宋体"/>
          <w:sz w:val="24"/>
          <w:highlight w:val="none"/>
        </w:rPr>
      </w:pPr>
      <w:r>
        <w:rPr>
          <w:rFonts w:hint="eastAsia" w:ascii="宋体"/>
          <w:sz w:val="24"/>
          <w:highlight w:val="none"/>
        </w:rPr>
        <w:t>十二、其它未尽事宜由供需双方协商约定。</w:t>
      </w:r>
    </w:p>
    <w:p w14:paraId="0355952A">
      <w:pPr>
        <w:spacing w:line="360" w:lineRule="auto"/>
        <w:ind w:firstLine="480" w:firstLineChars="200"/>
        <w:rPr>
          <w:rFonts w:ascii="宋体"/>
          <w:sz w:val="24"/>
          <w:highlight w:val="none"/>
        </w:rPr>
      </w:pPr>
      <w:r>
        <w:rPr>
          <w:rFonts w:hint="eastAsia" w:ascii="宋体"/>
          <w:sz w:val="24"/>
          <w:highlight w:val="none"/>
        </w:rPr>
        <w:t>十三、本合同一式肆份，经供需双方签字盖章后生效，需方壹份，供方壹份，财政局采购办备案壹份，采购代理机构备案壹份，均具有同等法律效力。</w:t>
      </w:r>
    </w:p>
    <w:p w14:paraId="6FF85E87">
      <w:pPr>
        <w:spacing w:line="360" w:lineRule="auto"/>
        <w:ind w:firstLine="480" w:firstLineChars="200"/>
        <w:rPr>
          <w:rFonts w:ascii="宋体"/>
          <w:sz w:val="24"/>
          <w:highlight w:val="none"/>
        </w:rPr>
      </w:pPr>
      <w:r>
        <w:rPr>
          <w:rFonts w:hint="eastAsia" w:ascii="宋体"/>
          <w:sz w:val="24"/>
          <w:highlight w:val="none"/>
        </w:rPr>
        <w:t>供方:（章）</w:t>
      </w:r>
      <w:r>
        <w:rPr>
          <w:rFonts w:hint="eastAsia" w:ascii="宋体"/>
          <w:sz w:val="24"/>
          <w:highlight w:val="none"/>
          <w:lang w:val="en-US" w:eastAsia="zh-CN"/>
        </w:rPr>
        <w:t xml:space="preserve">                               </w:t>
      </w:r>
      <w:r>
        <w:rPr>
          <w:rFonts w:hint="eastAsia" w:ascii="宋体"/>
          <w:sz w:val="24"/>
          <w:highlight w:val="none"/>
        </w:rPr>
        <w:t>需方:（章）</w:t>
      </w:r>
    </w:p>
    <w:p w14:paraId="66E93575">
      <w:pPr>
        <w:spacing w:line="360" w:lineRule="auto"/>
        <w:ind w:firstLine="480" w:firstLineChars="200"/>
        <w:rPr>
          <w:rFonts w:ascii="宋体"/>
          <w:sz w:val="24"/>
          <w:highlight w:val="none"/>
        </w:rPr>
      </w:pPr>
      <w:r>
        <w:rPr>
          <w:rFonts w:hint="eastAsia" w:ascii="宋体"/>
          <w:sz w:val="24"/>
          <w:highlight w:val="none"/>
        </w:rPr>
        <w:t>地址:</w:t>
      </w:r>
      <w:r>
        <w:rPr>
          <w:rFonts w:hint="eastAsia" w:ascii="宋体"/>
          <w:sz w:val="24"/>
          <w:highlight w:val="none"/>
          <w:lang w:val="en-US" w:eastAsia="zh-CN"/>
        </w:rPr>
        <w:t xml:space="preserve">                                     </w:t>
      </w:r>
      <w:r>
        <w:rPr>
          <w:rFonts w:hint="eastAsia" w:ascii="宋体"/>
          <w:sz w:val="24"/>
          <w:highlight w:val="none"/>
        </w:rPr>
        <w:t>地址:</w:t>
      </w:r>
    </w:p>
    <w:p w14:paraId="6387B458">
      <w:pPr>
        <w:spacing w:line="360" w:lineRule="auto"/>
        <w:ind w:firstLine="480" w:firstLineChars="200"/>
        <w:rPr>
          <w:rFonts w:ascii="宋体"/>
          <w:sz w:val="24"/>
          <w:highlight w:val="none"/>
        </w:rPr>
      </w:pPr>
      <w:r>
        <w:rPr>
          <w:rFonts w:hint="eastAsia" w:ascii="宋体"/>
          <w:sz w:val="24"/>
          <w:highlight w:val="none"/>
        </w:rPr>
        <w:t>电话:</w:t>
      </w:r>
      <w:r>
        <w:rPr>
          <w:rFonts w:hint="eastAsia" w:ascii="宋体"/>
          <w:sz w:val="24"/>
          <w:highlight w:val="none"/>
          <w:lang w:val="en-US" w:eastAsia="zh-CN"/>
        </w:rPr>
        <w:t xml:space="preserve">                                     </w:t>
      </w:r>
      <w:r>
        <w:rPr>
          <w:rFonts w:hint="eastAsia" w:ascii="宋体"/>
          <w:sz w:val="24"/>
          <w:highlight w:val="none"/>
        </w:rPr>
        <w:t>电话:</w:t>
      </w:r>
    </w:p>
    <w:p w14:paraId="6AAC4B16">
      <w:pPr>
        <w:spacing w:line="360" w:lineRule="auto"/>
        <w:ind w:firstLine="480" w:firstLineChars="200"/>
        <w:rPr>
          <w:rFonts w:ascii="宋体"/>
          <w:sz w:val="24"/>
          <w:highlight w:val="none"/>
        </w:rPr>
      </w:pPr>
      <w:r>
        <w:rPr>
          <w:rFonts w:hint="eastAsia" w:ascii="宋体"/>
          <w:sz w:val="24"/>
          <w:highlight w:val="none"/>
        </w:rPr>
        <w:t>邮编:</w:t>
      </w:r>
      <w:r>
        <w:rPr>
          <w:rFonts w:hint="eastAsia" w:ascii="宋体"/>
          <w:sz w:val="24"/>
          <w:highlight w:val="none"/>
          <w:lang w:val="en-US" w:eastAsia="zh-CN"/>
        </w:rPr>
        <w:t xml:space="preserve">                                     </w:t>
      </w:r>
      <w:r>
        <w:rPr>
          <w:rFonts w:hint="eastAsia" w:ascii="宋体"/>
          <w:sz w:val="24"/>
          <w:highlight w:val="none"/>
        </w:rPr>
        <w:t>邮编:</w:t>
      </w:r>
    </w:p>
    <w:p w14:paraId="760AC028">
      <w:pPr>
        <w:spacing w:line="360" w:lineRule="auto"/>
        <w:ind w:firstLine="480" w:firstLineChars="200"/>
        <w:rPr>
          <w:rFonts w:ascii="宋体"/>
          <w:sz w:val="24"/>
          <w:highlight w:val="none"/>
        </w:rPr>
      </w:pPr>
      <w:r>
        <w:rPr>
          <w:rFonts w:hint="eastAsia" w:ascii="宋体"/>
          <w:sz w:val="24"/>
          <w:highlight w:val="none"/>
        </w:rPr>
        <w:t>法定代表人:</w:t>
      </w:r>
      <w:r>
        <w:rPr>
          <w:rFonts w:hint="eastAsia" w:ascii="宋体"/>
          <w:sz w:val="24"/>
          <w:highlight w:val="none"/>
          <w:lang w:val="en-US" w:eastAsia="zh-CN"/>
        </w:rPr>
        <w:t xml:space="preserve">                               </w:t>
      </w:r>
      <w:r>
        <w:rPr>
          <w:rFonts w:hint="eastAsia" w:ascii="宋体"/>
          <w:sz w:val="24"/>
          <w:highlight w:val="none"/>
        </w:rPr>
        <w:t>法定代表人:</w:t>
      </w:r>
    </w:p>
    <w:p w14:paraId="1E7719B4">
      <w:pPr>
        <w:spacing w:line="360" w:lineRule="auto"/>
        <w:ind w:firstLine="480" w:firstLineChars="200"/>
        <w:rPr>
          <w:rFonts w:ascii="宋体"/>
          <w:sz w:val="24"/>
          <w:highlight w:val="none"/>
        </w:rPr>
      </w:pPr>
      <w:r>
        <w:rPr>
          <w:rFonts w:hint="eastAsia" w:ascii="宋体"/>
          <w:sz w:val="24"/>
          <w:highlight w:val="none"/>
        </w:rPr>
        <w:t>经办人：</w:t>
      </w:r>
      <w:r>
        <w:rPr>
          <w:rFonts w:hint="eastAsia" w:ascii="宋体"/>
          <w:sz w:val="24"/>
          <w:highlight w:val="none"/>
          <w:lang w:val="en-US" w:eastAsia="zh-CN"/>
        </w:rPr>
        <w:t xml:space="preserve">                                  </w:t>
      </w:r>
      <w:r>
        <w:rPr>
          <w:rFonts w:hint="eastAsia" w:ascii="宋体"/>
          <w:sz w:val="24"/>
          <w:highlight w:val="none"/>
        </w:rPr>
        <w:t>经办人：</w:t>
      </w:r>
    </w:p>
    <w:p w14:paraId="2CA988C3">
      <w:pPr>
        <w:spacing w:line="360" w:lineRule="auto"/>
        <w:ind w:firstLine="480" w:firstLineChars="200"/>
        <w:rPr>
          <w:rFonts w:ascii="宋体"/>
          <w:sz w:val="24"/>
          <w:highlight w:val="none"/>
        </w:rPr>
      </w:pPr>
      <w:r>
        <w:rPr>
          <w:rFonts w:hint="eastAsia" w:ascii="宋体"/>
          <w:sz w:val="24"/>
          <w:highlight w:val="none"/>
        </w:rPr>
        <w:t>签字日期:</w:t>
      </w:r>
      <w:r>
        <w:rPr>
          <w:rFonts w:hint="eastAsia" w:ascii="宋体"/>
          <w:sz w:val="24"/>
          <w:highlight w:val="none"/>
          <w:lang w:val="en-US" w:eastAsia="zh-CN"/>
        </w:rPr>
        <w:t xml:space="preserve">                                 </w:t>
      </w:r>
      <w:r>
        <w:rPr>
          <w:rFonts w:hint="eastAsia" w:ascii="宋体"/>
          <w:sz w:val="24"/>
          <w:highlight w:val="none"/>
        </w:rPr>
        <w:t>签字日期:</w:t>
      </w:r>
    </w:p>
    <w:p w14:paraId="4832329F">
      <w:pPr>
        <w:spacing w:line="360" w:lineRule="auto"/>
        <w:ind w:firstLine="480" w:firstLineChars="200"/>
        <w:rPr>
          <w:rFonts w:ascii="宋体"/>
          <w:sz w:val="24"/>
          <w:highlight w:val="none"/>
        </w:rPr>
      </w:pPr>
      <w:r>
        <w:rPr>
          <w:rFonts w:hint="eastAsia" w:ascii="宋体"/>
          <w:sz w:val="24"/>
          <w:highlight w:val="none"/>
        </w:rPr>
        <w:t>科室负责人：</w:t>
      </w:r>
    </w:p>
    <w:p w14:paraId="027E91A2">
      <w:pPr>
        <w:spacing w:line="360" w:lineRule="auto"/>
        <w:ind w:firstLine="480" w:firstLineChars="200"/>
        <w:rPr>
          <w:rFonts w:ascii="宋体"/>
          <w:sz w:val="24"/>
          <w:highlight w:val="none"/>
        </w:rPr>
      </w:pPr>
      <w:r>
        <w:rPr>
          <w:rFonts w:hint="eastAsia" w:ascii="宋体"/>
          <w:sz w:val="24"/>
          <w:highlight w:val="none"/>
        </w:rPr>
        <w:t>签字日期：</w:t>
      </w:r>
    </w:p>
    <w:p w14:paraId="4138A13A">
      <w:pPr>
        <w:spacing w:line="360" w:lineRule="auto"/>
        <w:ind w:firstLine="420" w:firstLineChars="200"/>
        <w:rPr>
          <w:rFonts w:hint="eastAsia" w:ascii="宋体"/>
          <w:sz w:val="24"/>
          <w:highlight w:val="none"/>
        </w:rPr>
      </w:pPr>
      <w:r>
        <w:rPr>
          <w:rFonts w:hint="eastAsia" w:ascii="宋体"/>
          <w:highlight w:val="none"/>
        </w:rPr>
        <w:t xml:space="preserve">   </w:t>
      </w:r>
      <w:bookmarkStart w:id="78" w:name="_Toc380404623"/>
      <w:bookmarkStart w:id="79" w:name="_Toc497666659"/>
      <w:r>
        <w:rPr>
          <w:rFonts w:hint="eastAsia" w:ascii="宋体"/>
          <w:sz w:val="24"/>
          <w:highlight w:val="none"/>
        </w:rPr>
        <w:t xml:space="preserve">              </w:t>
      </w:r>
    </w:p>
    <w:p w14:paraId="439C126B">
      <w:pPr>
        <w:spacing w:line="360" w:lineRule="auto"/>
        <w:ind w:firstLine="480" w:firstLineChars="200"/>
        <w:rPr>
          <w:rFonts w:hint="eastAsia" w:ascii="宋体"/>
          <w:sz w:val="24"/>
          <w:highlight w:val="none"/>
        </w:rPr>
      </w:pPr>
    </w:p>
    <w:p w14:paraId="17823B36">
      <w:pPr>
        <w:spacing w:line="360" w:lineRule="auto"/>
        <w:ind w:firstLine="560" w:firstLineChars="200"/>
        <w:jc w:val="center"/>
        <w:rPr>
          <w:rFonts w:hint="eastAsia" w:ascii="宋体" w:hAnsi="宋体"/>
          <w:sz w:val="28"/>
          <w:szCs w:val="28"/>
          <w:highlight w:val="none"/>
        </w:rPr>
        <w:sectPr>
          <w:pgSz w:w="11907" w:h="16840"/>
          <w:pgMar w:top="1418" w:right="1418" w:bottom="1247" w:left="1418" w:header="964" w:footer="850" w:gutter="0"/>
          <w:cols w:space="720" w:num="1"/>
          <w:titlePg/>
          <w:docGrid w:linePitch="286" w:charSpace="0"/>
        </w:sectPr>
      </w:pPr>
    </w:p>
    <w:p w14:paraId="2A1DAC4F">
      <w:pPr>
        <w:spacing w:line="360" w:lineRule="auto"/>
        <w:ind w:firstLine="560" w:firstLineChars="200"/>
        <w:jc w:val="center"/>
        <w:rPr>
          <w:rFonts w:ascii="宋体" w:hAnsi="宋体"/>
          <w:sz w:val="28"/>
          <w:szCs w:val="28"/>
          <w:highlight w:val="none"/>
        </w:rPr>
      </w:pPr>
      <w:r>
        <w:rPr>
          <w:rFonts w:hint="eastAsia" w:ascii="宋体" w:hAnsi="宋体"/>
          <w:sz w:val="28"/>
          <w:szCs w:val="28"/>
          <w:highlight w:val="none"/>
        </w:rPr>
        <w:t>合同特殊条款</w:t>
      </w:r>
      <w:bookmarkEnd w:id="78"/>
      <w:bookmarkEnd w:id="79"/>
    </w:p>
    <w:p w14:paraId="01E64AFC">
      <w:pPr>
        <w:spacing w:line="360" w:lineRule="auto"/>
        <w:ind w:firstLine="480" w:firstLineChars="200"/>
        <w:rPr>
          <w:rFonts w:ascii="宋体" w:hAnsi="宋体"/>
          <w:sz w:val="24"/>
          <w:highlight w:val="none"/>
        </w:rPr>
      </w:pPr>
      <w:r>
        <w:rPr>
          <w:rFonts w:hint="eastAsia" w:ascii="宋体" w:hAnsi="宋体"/>
          <w:sz w:val="24"/>
          <w:highlight w:val="none"/>
        </w:rPr>
        <w:t>合同特殊条款是对合同一般条款的补充和修改，如果两者之间有不一致之处时，应以特殊条款为准。</w:t>
      </w:r>
    </w:p>
    <w:p w14:paraId="31C08544">
      <w:pPr>
        <w:spacing w:line="360" w:lineRule="auto"/>
        <w:ind w:firstLine="482" w:firstLineChars="200"/>
        <w:rPr>
          <w:rFonts w:ascii="宋体" w:hAnsi="宋体"/>
          <w:b/>
          <w:sz w:val="24"/>
          <w:highlight w:val="none"/>
        </w:rPr>
      </w:pPr>
      <w:r>
        <w:rPr>
          <w:rFonts w:hint="eastAsia" w:ascii="宋体" w:hAnsi="宋体"/>
          <w:b/>
          <w:sz w:val="24"/>
          <w:highlight w:val="none"/>
        </w:rPr>
        <w:t>1. 培训</w:t>
      </w:r>
    </w:p>
    <w:p w14:paraId="38CEB801">
      <w:pPr>
        <w:pStyle w:val="6"/>
        <w:spacing w:line="360" w:lineRule="auto"/>
        <w:ind w:firstLine="480"/>
        <w:rPr>
          <w:rFonts w:hint="eastAsia" w:ascii="宋体" w:hAnsi="宋体" w:eastAsia="宋体" w:cs="Times New Roman"/>
          <w:kern w:val="2"/>
          <w:sz w:val="24"/>
          <w:highlight w:val="none"/>
          <w:lang w:val="en-US" w:eastAsia="zh-CN" w:bidi="ar-SA"/>
        </w:rPr>
      </w:pPr>
      <w:r>
        <w:rPr>
          <w:rFonts w:hint="eastAsia" w:ascii="宋体" w:hAnsi="宋体" w:eastAsia="宋体" w:cs="Times New Roman"/>
          <w:kern w:val="2"/>
          <w:sz w:val="24"/>
          <w:highlight w:val="none"/>
          <w:lang w:val="en-US" w:eastAsia="zh-CN" w:bidi="ar-SA"/>
        </w:rPr>
        <w:t>1.1 卖方的安装调试人员有义务对买方的设备维修人员及使用人员进行培训，使维修人员能对设备进行日常维护和一般性故障的查找及故障的排除，使用人员能够熟练掌握设备的各项功能和操作。所有的维修图纸、维修手册免费提供。</w:t>
      </w:r>
    </w:p>
    <w:p w14:paraId="4DEC081B">
      <w:pPr>
        <w:pStyle w:val="6"/>
        <w:spacing w:line="360" w:lineRule="auto"/>
        <w:ind w:firstLine="480"/>
        <w:rPr>
          <w:rFonts w:ascii="宋体" w:hAnsi="宋体"/>
          <w:highlight w:val="none"/>
        </w:rPr>
      </w:pPr>
      <w:r>
        <w:rPr>
          <w:rFonts w:hint="eastAsia" w:ascii="宋体" w:hAnsi="宋体"/>
          <w:highlight w:val="none"/>
        </w:rPr>
        <w:t>1.2</w:t>
      </w:r>
      <w:r>
        <w:rPr>
          <w:rFonts w:hint="eastAsia" w:ascii="宋体" w:hAnsi="宋体"/>
          <w:highlight w:val="none"/>
          <w:lang w:val="en-US" w:eastAsia="zh-CN"/>
        </w:rPr>
        <w:t xml:space="preserve"> </w:t>
      </w:r>
      <w:r>
        <w:rPr>
          <w:rFonts w:hint="eastAsia" w:ascii="宋体" w:hAnsi="宋体"/>
          <w:highlight w:val="none"/>
        </w:rPr>
        <w:t>中标人应对采购人的操作人员进行培训，直到用户熟练或满意为止。</w:t>
      </w:r>
    </w:p>
    <w:p w14:paraId="49AE9C8F">
      <w:pPr>
        <w:spacing w:line="360" w:lineRule="auto"/>
        <w:ind w:firstLine="480" w:firstLineChars="200"/>
        <w:rPr>
          <w:rFonts w:ascii="宋体" w:hAnsi="宋体"/>
          <w:sz w:val="24"/>
          <w:highlight w:val="none"/>
        </w:rPr>
      </w:pPr>
      <w:r>
        <w:rPr>
          <w:rFonts w:hint="eastAsia" w:ascii="宋体" w:hAnsi="宋体"/>
          <w:sz w:val="24"/>
          <w:highlight w:val="none"/>
        </w:rPr>
        <w:t xml:space="preserve">1.3 </w:t>
      </w:r>
      <w:r>
        <w:rPr>
          <w:rFonts w:hint="eastAsia" w:ascii="宋体" w:hAnsi="宋体"/>
          <w:highlight w:val="none"/>
        </w:rPr>
        <w:t>中标人</w:t>
      </w:r>
      <w:r>
        <w:rPr>
          <w:rFonts w:hint="eastAsia" w:ascii="宋体" w:hAnsi="宋体"/>
          <w:sz w:val="24"/>
          <w:highlight w:val="none"/>
        </w:rPr>
        <w:t>对上述内容的实现方式、地点、人数、时间在响应文件中应详细说明。</w:t>
      </w:r>
    </w:p>
    <w:p w14:paraId="0F561A49">
      <w:pPr>
        <w:spacing w:line="360" w:lineRule="auto"/>
        <w:ind w:firstLine="482" w:firstLineChars="200"/>
        <w:rPr>
          <w:rFonts w:ascii="宋体" w:hAnsi="宋体"/>
          <w:b/>
          <w:sz w:val="24"/>
          <w:highlight w:val="none"/>
        </w:rPr>
      </w:pPr>
      <w:r>
        <w:rPr>
          <w:rFonts w:hint="eastAsia" w:ascii="宋体" w:hAnsi="宋体"/>
          <w:b/>
          <w:sz w:val="24"/>
          <w:highlight w:val="none"/>
        </w:rPr>
        <w:t>2. 检验及验收</w:t>
      </w:r>
    </w:p>
    <w:p w14:paraId="1467328F">
      <w:pPr>
        <w:spacing w:line="360" w:lineRule="auto"/>
        <w:ind w:firstLine="480" w:firstLineChars="200"/>
        <w:rPr>
          <w:rFonts w:ascii="宋体" w:hAnsi="宋体"/>
          <w:sz w:val="24"/>
          <w:highlight w:val="none"/>
        </w:rPr>
      </w:pPr>
      <w:r>
        <w:rPr>
          <w:rFonts w:hint="eastAsia" w:ascii="宋体" w:hAnsi="宋体"/>
          <w:sz w:val="24"/>
          <w:highlight w:val="none"/>
        </w:rPr>
        <w:t>2.1 卖方提供的所有货物应符合国际及国内通行的标准，并应附有相应的测试报告和合同证书。</w:t>
      </w:r>
    </w:p>
    <w:p w14:paraId="08C18210">
      <w:pPr>
        <w:spacing w:line="360" w:lineRule="auto"/>
        <w:ind w:firstLine="480" w:firstLineChars="200"/>
        <w:rPr>
          <w:rFonts w:ascii="宋体" w:hAnsi="宋体"/>
          <w:sz w:val="24"/>
          <w:highlight w:val="none"/>
        </w:rPr>
      </w:pPr>
      <w:r>
        <w:rPr>
          <w:rFonts w:hint="eastAsia" w:ascii="宋体" w:hAnsi="宋体"/>
          <w:sz w:val="24"/>
          <w:highlight w:val="none"/>
        </w:rPr>
        <w:t>2.2 对于卖方提供的所有货物, 买方可按货物的一定比例委托自治区质量监督部门进行抽检，验收合格后，所产生的费用由买方承担，经检验不合格时，所产生的费用由卖方承担。</w:t>
      </w:r>
    </w:p>
    <w:p w14:paraId="093C7297">
      <w:pPr>
        <w:spacing w:line="360" w:lineRule="auto"/>
        <w:ind w:firstLine="480" w:firstLineChars="200"/>
        <w:rPr>
          <w:rFonts w:ascii="宋体" w:hAnsi="宋体"/>
          <w:sz w:val="24"/>
          <w:highlight w:val="none"/>
        </w:rPr>
      </w:pPr>
      <w:r>
        <w:rPr>
          <w:rFonts w:hint="eastAsia" w:ascii="宋体" w:hAnsi="宋体"/>
          <w:sz w:val="24"/>
          <w:highlight w:val="none"/>
        </w:rPr>
        <w:t>2.3 具体的国际或国内检验标准按卖方在投标文件中承诺的并经买方确认的规定执行。</w:t>
      </w:r>
    </w:p>
    <w:p w14:paraId="183BC1C1">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2.4验 收</w:t>
      </w:r>
    </w:p>
    <w:p w14:paraId="6123304A">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2.4.1 货物到达现场后，中标人应在使用单位人员在场情况下当面共同清点、检查外观，双方签字确认。</w:t>
      </w:r>
    </w:p>
    <w:p w14:paraId="44F3358A">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2.4.2 中标人应保证货物到达用户所在地完好无损，如有缺漏、损坏，由中标人负责调换、补齐或赔偿。</w:t>
      </w:r>
    </w:p>
    <w:p w14:paraId="70900055">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 xml:space="preserve">2.4.3 </w:t>
      </w:r>
      <w:r>
        <w:rPr>
          <w:rFonts w:hint="eastAsia" w:ascii="宋体"/>
          <w:kern w:val="2"/>
          <w:sz w:val="24"/>
          <w:szCs w:val="24"/>
          <w:highlight w:val="none"/>
          <w:lang w:val="en-US" w:eastAsia="zh-CN"/>
        </w:rPr>
        <w:t>中</w:t>
      </w:r>
      <w:r>
        <w:rPr>
          <w:rFonts w:hint="eastAsia" w:ascii="宋体"/>
          <w:kern w:val="2"/>
          <w:sz w:val="24"/>
          <w:szCs w:val="24"/>
          <w:highlight w:val="none"/>
        </w:rPr>
        <w:t>标人应提供完备的技术资料、合格证等，并派遣专业技术人员进行现场安装调试。验收合格条件如下：</w:t>
      </w:r>
    </w:p>
    <w:p w14:paraId="3AB65731">
      <w:pPr>
        <w:pStyle w:val="36"/>
        <w:spacing w:line="360" w:lineRule="auto"/>
        <w:ind w:firstLine="120" w:firstLineChars="50"/>
        <w:rPr>
          <w:rFonts w:ascii="宋体"/>
          <w:kern w:val="2"/>
          <w:sz w:val="24"/>
          <w:szCs w:val="24"/>
          <w:highlight w:val="none"/>
        </w:rPr>
      </w:pPr>
      <w:r>
        <w:rPr>
          <w:rFonts w:hint="eastAsia" w:ascii="宋体"/>
          <w:kern w:val="2"/>
          <w:sz w:val="24"/>
          <w:szCs w:val="24"/>
          <w:highlight w:val="none"/>
        </w:rPr>
        <w:t>（1）货物技术参数与采购合同一致，性能指标达到规定的标准。</w:t>
      </w:r>
    </w:p>
    <w:p w14:paraId="781C35A5">
      <w:pPr>
        <w:pStyle w:val="36"/>
        <w:spacing w:line="360" w:lineRule="auto"/>
        <w:ind w:firstLine="120" w:firstLineChars="50"/>
        <w:rPr>
          <w:rFonts w:ascii="宋体"/>
          <w:kern w:val="2"/>
          <w:sz w:val="24"/>
          <w:szCs w:val="24"/>
          <w:highlight w:val="none"/>
        </w:rPr>
      </w:pPr>
      <w:r>
        <w:rPr>
          <w:rFonts w:hint="eastAsia" w:ascii="宋体"/>
          <w:kern w:val="2"/>
          <w:sz w:val="24"/>
          <w:szCs w:val="24"/>
          <w:highlight w:val="none"/>
        </w:rPr>
        <w:t>（2）货物技术资料、装箱单、合格证、说明书等资料齐全。</w:t>
      </w:r>
    </w:p>
    <w:p w14:paraId="48B35960">
      <w:pPr>
        <w:pStyle w:val="36"/>
        <w:spacing w:line="360" w:lineRule="auto"/>
        <w:ind w:firstLine="120" w:firstLineChars="50"/>
        <w:rPr>
          <w:rFonts w:ascii="宋体"/>
          <w:kern w:val="2"/>
          <w:sz w:val="24"/>
          <w:szCs w:val="24"/>
          <w:highlight w:val="none"/>
        </w:rPr>
      </w:pPr>
      <w:r>
        <w:rPr>
          <w:rFonts w:hint="eastAsia" w:ascii="宋体"/>
          <w:kern w:val="2"/>
          <w:sz w:val="24"/>
          <w:szCs w:val="24"/>
          <w:highlight w:val="none"/>
        </w:rPr>
        <w:t>（3）在维保期内所出现的问题得到解决，并保证车辆运行正常。</w:t>
      </w:r>
    </w:p>
    <w:p w14:paraId="722D197F">
      <w:pPr>
        <w:pStyle w:val="36"/>
        <w:spacing w:line="360" w:lineRule="auto"/>
        <w:ind w:firstLine="120" w:firstLineChars="50"/>
        <w:rPr>
          <w:rFonts w:ascii="宋体"/>
          <w:kern w:val="2"/>
          <w:sz w:val="24"/>
          <w:szCs w:val="24"/>
          <w:highlight w:val="none"/>
        </w:rPr>
      </w:pPr>
      <w:r>
        <w:rPr>
          <w:rFonts w:hint="eastAsia" w:ascii="宋体"/>
          <w:kern w:val="2"/>
          <w:sz w:val="24"/>
          <w:szCs w:val="24"/>
          <w:highlight w:val="none"/>
        </w:rPr>
        <w:t>（4）在规定时间内完成交货并验收，并经</w:t>
      </w:r>
      <w:r>
        <w:rPr>
          <w:rFonts w:hint="eastAsia" w:ascii="宋体"/>
          <w:kern w:val="2"/>
          <w:sz w:val="24"/>
          <w:szCs w:val="24"/>
          <w:highlight w:val="none"/>
          <w:lang w:val="en-US" w:eastAsia="zh-CN"/>
        </w:rPr>
        <w:t>采购</w:t>
      </w:r>
      <w:r>
        <w:rPr>
          <w:rFonts w:hint="eastAsia" w:ascii="宋体"/>
          <w:kern w:val="2"/>
          <w:sz w:val="24"/>
          <w:szCs w:val="24"/>
          <w:highlight w:val="none"/>
        </w:rPr>
        <w:t>人确认。</w:t>
      </w:r>
    </w:p>
    <w:p w14:paraId="3D932672">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2.4.4中标人提供的货物未达到招标文件规定要求，且对采购人造成损失的，由</w:t>
      </w:r>
      <w:r>
        <w:rPr>
          <w:rFonts w:hint="eastAsia" w:ascii="宋体"/>
          <w:kern w:val="2"/>
          <w:sz w:val="24"/>
          <w:szCs w:val="24"/>
          <w:highlight w:val="none"/>
          <w:lang w:val="en-US" w:eastAsia="zh-CN"/>
        </w:rPr>
        <w:t>中</w:t>
      </w:r>
      <w:r>
        <w:rPr>
          <w:rFonts w:hint="eastAsia" w:ascii="宋体"/>
          <w:kern w:val="2"/>
          <w:sz w:val="24"/>
          <w:szCs w:val="24"/>
          <w:highlight w:val="none"/>
        </w:rPr>
        <w:t>标人承担一切责任，并赔偿所造成的损失。</w:t>
      </w:r>
    </w:p>
    <w:p w14:paraId="7ADF1F4B">
      <w:pPr>
        <w:pStyle w:val="36"/>
        <w:spacing w:line="360" w:lineRule="auto"/>
        <w:ind w:firstLine="360" w:firstLineChars="150"/>
        <w:rPr>
          <w:rFonts w:ascii="宋体"/>
          <w:kern w:val="2"/>
          <w:sz w:val="24"/>
          <w:szCs w:val="24"/>
          <w:highlight w:val="none"/>
        </w:rPr>
      </w:pPr>
      <w:r>
        <w:rPr>
          <w:rFonts w:hint="eastAsia" w:ascii="宋体"/>
          <w:kern w:val="2"/>
          <w:sz w:val="24"/>
          <w:szCs w:val="24"/>
          <w:highlight w:val="none"/>
        </w:rPr>
        <w:t>2.4.5 采购人需要所供产品制造厂家对中标人交付的产品（包括质量、技术参数等）进行确认的，中标人及投标产品制造厂家应予以配合，并出具书面意见。</w:t>
      </w:r>
    </w:p>
    <w:p w14:paraId="64FFAF98">
      <w:pPr>
        <w:pStyle w:val="36"/>
        <w:spacing w:line="360" w:lineRule="auto"/>
        <w:ind w:firstLine="480" w:firstLineChars="200"/>
        <w:rPr>
          <w:rFonts w:ascii="宋体"/>
          <w:kern w:val="2"/>
          <w:sz w:val="24"/>
          <w:szCs w:val="24"/>
          <w:highlight w:val="none"/>
        </w:rPr>
      </w:pPr>
      <w:r>
        <w:rPr>
          <w:rFonts w:hint="eastAsia" w:ascii="宋体"/>
          <w:kern w:val="2"/>
          <w:sz w:val="24"/>
          <w:szCs w:val="24"/>
          <w:highlight w:val="none"/>
        </w:rPr>
        <w:t>2.4.6 产品包装材料归采购人所有。</w:t>
      </w:r>
    </w:p>
    <w:p w14:paraId="34C32A99">
      <w:pPr>
        <w:spacing w:line="360" w:lineRule="auto"/>
        <w:ind w:firstLine="482" w:firstLineChars="200"/>
        <w:rPr>
          <w:rFonts w:ascii="宋体" w:hAnsi="宋体"/>
          <w:b/>
          <w:sz w:val="24"/>
          <w:highlight w:val="none"/>
        </w:rPr>
      </w:pPr>
      <w:r>
        <w:rPr>
          <w:rFonts w:hint="eastAsia" w:ascii="宋体" w:hAnsi="宋体"/>
          <w:b/>
          <w:sz w:val="24"/>
          <w:highlight w:val="none"/>
        </w:rPr>
        <w:t>3. 安装调试</w:t>
      </w:r>
    </w:p>
    <w:p w14:paraId="60CEC750">
      <w:pPr>
        <w:spacing w:line="360" w:lineRule="auto"/>
        <w:ind w:firstLine="480" w:firstLineChars="200"/>
        <w:rPr>
          <w:rFonts w:ascii="宋体" w:hAnsi="宋体"/>
          <w:sz w:val="24"/>
          <w:highlight w:val="none"/>
        </w:rPr>
      </w:pPr>
      <w:r>
        <w:rPr>
          <w:rFonts w:hint="eastAsia" w:ascii="宋体" w:hAnsi="宋体"/>
          <w:sz w:val="24"/>
          <w:highlight w:val="none"/>
        </w:rPr>
        <w:t>3.1 卖方必须在合同签订后将所有的安装调试条件、需买方配合的事项以书面方式通知用户。</w:t>
      </w:r>
    </w:p>
    <w:p w14:paraId="4E10C797">
      <w:pPr>
        <w:spacing w:line="360" w:lineRule="auto"/>
        <w:ind w:firstLine="480" w:firstLineChars="200"/>
        <w:rPr>
          <w:rFonts w:ascii="宋体" w:hAnsi="宋体"/>
          <w:sz w:val="24"/>
          <w:highlight w:val="none"/>
        </w:rPr>
      </w:pPr>
      <w:r>
        <w:rPr>
          <w:rFonts w:hint="eastAsia" w:ascii="宋体" w:hAnsi="宋体"/>
          <w:sz w:val="24"/>
          <w:highlight w:val="none"/>
        </w:rPr>
        <w:t>3.2 卖方免费负责设备在买方的安装、调试，买方协助开展工作。</w:t>
      </w:r>
    </w:p>
    <w:p w14:paraId="27F09960">
      <w:pPr>
        <w:spacing w:line="360" w:lineRule="auto"/>
        <w:ind w:firstLine="480" w:firstLineChars="200"/>
        <w:rPr>
          <w:rFonts w:ascii="宋体" w:hAnsi="宋体"/>
          <w:sz w:val="24"/>
          <w:highlight w:val="none"/>
        </w:rPr>
      </w:pPr>
      <w:r>
        <w:rPr>
          <w:rFonts w:hint="eastAsia" w:ascii="宋体" w:hAnsi="宋体"/>
          <w:sz w:val="24"/>
          <w:highlight w:val="none"/>
        </w:rPr>
        <w:t>3.3 卖方安装调试专家人员应及时到达买方现场，直至安装调试结束、通过验收。</w:t>
      </w:r>
    </w:p>
    <w:p w14:paraId="279E58E2">
      <w:pPr>
        <w:spacing w:line="360" w:lineRule="auto"/>
        <w:ind w:firstLine="480" w:firstLineChars="200"/>
        <w:rPr>
          <w:rFonts w:ascii="宋体" w:hAnsi="宋体"/>
          <w:sz w:val="24"/>
          <w:highlight w:val="none"/>
        </w:rPr>
      </w:pPr>
      <w:r>
        <w:rPr>
          <w:rFonts w:hint="eastAsia" w:ascii="宋体" w:hAnsi="宋体"/>
          <w:sz w:val="24"/>
          <w:highlight w:val="none"/>
        </w:rPr>
        <w:t>3.4 卖方负责安装调试期间（包括错发或运输中）可能损坏的元器件、测试材料的准备，如因时间关系，买方可以考虑使用随机的易损件进行更换，但卖方应及时给买方补齐（中间产生的任何费用，均由卖方承担）。</w:t>
      </w:r>
    </w:p>
    <w:p w14:paraId="19E783D2">
      <w:pPr>
        <w:spacing w:line="360" w:lineRule="auto"/>
        <w:ind w:firstLine="480" w:firstLineChars="200"/>
        <w:rPr>
          <w:rFonts w:ascii="宋体" w:hAnsi="宋体"/>
          <w:sz w:val="24"/>
          <w:highlight w:val="none"/>
        </w:rPr>
      </w:pPr>
      <w:r>
        <w:rPr>
          <w:rFonts w:hint="eastAsia" w:ascii="宋体" w:hAnsi="宋体"/>
          <w:sz w:val="24"/>
          <w:highlight w:val="none"/>
        </w:rPr>
        <w:t>3.5上述安装调试完成后，买方按相应的卖方在投标文件中所提供的技术指标进行验收。</w:t>
      </w:r>
    </w:p>
    <w:p w14:paraId="34131A0A">
      <w:pPr>
        <w:spacing w:line="360" w:lineRule="auto"/>
        <w:ind w:firstLine="480" w:firstLineChars="200"/>
        <w:rPr>
          <w:rFonts w:ascii="宋体" w:hAnsi="宋体"/>
          <w:sz w:val="24"/>
          <w:highlight w:val="none"/>
        </w:rPr>
      </w:pPr>
      <w:r>
        <w:rPr>
          <w:rFonts w:hint="eastAsia" w:ascii="宋体" w:hAnsi="宋体"/>
          <w:sz w:val="24"/>
          <w:highlight w:val="none"/>
        </w:rPr>
        <w:t>3.6 卖方如不能按时完成安装、调试工作，应赔偿由此买方造成的所有损失。</w:t>
      </w:r>
    </w:p>
    <w:p w14:paraId="3452B9CC">
      <w:pPr>
        <w:spacing w:line="360" w:lineRule="auto"/>
        <w:ind w:firstLine="480" w:firstLineChars="200"/>
        <w:rPr>
          <w:rFonts w:ascii="宋体" w:hAnsi="宋体"/>
          <w:sz w:val="24"/>
          <w:highlight w:val="none"/>
        </w:rPr>
      </w:pPr>
      <w:r>
        <w:rPr>
          <w:rFonts w:hint="eastAsia" w:ascii="宋体" w:hAnsi="宋体"/>
          <w:sz w:val="24"/>
          <w:highlight w:val="none"/>
        </w:rPr>
        <w:t>3.7符合中华人民共和国国家有关技术规范要求和技术标准。所有的软件和硬件必须保证同时安装到位。</w:t>
      </w:r>
    </w:p>
    <w:p w14:paraId="276DF4B9">
      <w:pPr>
        <w:spacing w:line="360" w:lineRule="auto"/>
        <w:ind w:firstLine="480" w:firstLineChars="200"/>
        <w:rPr>
          <w:rFonts w:ascii="宋体" w:hAnsi="宋体"/>
          <w:sz w:val="24"/>
          <w:highlight w:val="none"/>
        </w:rPr>
      </w:pPr>
      <w:r>
        <w:rPr>
          <w:rFonts w:hint="eastAsia" w:ascii="宋体" w:hAnsi="宋体"/>
          <w:sz w:val="24"/>
          <w:highlight w:val="none"/>
        </w:rPr>
        <w:t>3.8最终的测试验收报告由甲乙双方代表签字认可后生效。</w:t>
      </w:r>
    </w:p>
    <w:p w14:paraId="4851A6AA">
      <w:pPr>
        <w:spacing w:line="360" w:lineRule="auto"/>
        <w:ind w:firstLine="480" w:firstLineChars="200"/>
        <w:rPr>
          <w:rFonts w:ascii="宋体" w:hAnsi="宋体"/>
          <w:sz w:val="24"/>
          <w:highlight w:val="none"/>
        </w:rPr>
      </w:pPr>
      <w:r>
        <w:rPr>
          <w:rFonts w:hint="eastAsia" w:ascii="宋体" w:hAnsi="宋体"/>
          <w:sz w:val="24"/>
          <w:highlight w:val="none"/>
        </w:rPr>
        <w:t>3.9如买方需要，卖方应按买方要求进行分批供货。</w:t>
      </w:r>
    </w:p>
    <w:p w14:paraId="0A417E63">
      <w:pPr>
        <w:spacing w:line="360" w:lineRule="auto"/>
        <w:ind w:firstLine="482" w:firstLineChars="200"/>
        <w:rPr>
          <w:rFonts w:ascii="宋体" w:hAnsi="宋体"/>
          <w:b/>
          <w:sz w:val="24"/>
          <w:highlight w:val="none"/>
        </w:rPr>
      </w:pPr>
      <w:r>
        <w:rPr>
          <w:rFonts w:hint="eastAsia" w:ascii="宋体" w:hAnsi="宋体"/>
          <w:b/>
          <w:sz w:val="24"/>
          <w:highlight w:val="none"/>
        </w:rPr>
        <w:t>4. 质量保证</w:t>
      </w:r>
    </w:p>
    <w:p w14:paraId="5997C802">
      <w:pPr>
        <w:spacing w:line="360" w:lineRule="auto"/>
        <w:ind w:firstLine="480" w:firstLineChars="200"/>
        <w:rPr>
          <w:rFonts w:ascii="宋体" w:hAnsi="宋体"/>
          <w:sz w:val="24"/>
          <w:highlight w:val="none"/>
        </w:rPr>
      </w:pPr>
      <w:r>
        <w:rPr>
          <w:rFonts w:hint="eastAsia" w:ascii="宋体" w:hAnsi="宋体"/>
          <w:sz w:val="24"/>
          <w:highlight w:val="none"/>
        </w:rPr>
        <w:t>4.1因卖方原因造成买方不能按时使用（根据合同有关条款）所购买货物（设备）时，卖方应根据合同规定向买方做出赔偿。</w:t>
      </w:r>
    </w:p>
    <w:p w14:paraId="5AF2A895">
      <w:pPr>
        <w:spacing w:line="360" w:lineRule="auto"/>
        <w:ind w:firstLine="480" w:firstLineChars="200"/>
        <w:rPr>
          <w:rFonts w:ascii="宋体" w:hAnsi="宋体"/>
          <w:sz w:val="24"/>
          <w:highlight w:val="none"/>
        </w:rPr>
      </w:pPr>
      <w:r>
        <w:rPr>
          <w:rFonts w:hint="eastAsia" w:ascii="宋体" w:hAnsi="宋体"/>
          <w:sz w:val="24"/>
          <w:highlight w:val="none"/>
        </w:rPr>
        <w:t>4.2 卖方对合同项下设备提供招标文件中规定的保修服务，保修期自验收合格双方签字时算起。在保修期内，卖方需提供免费的维修零配件。</w:t>
      </w:r>
    </w:p>
    <w:p w14:paraId="63CA7FED">
      <w:pPr>
        <w:spacing w:line="360" w:lineRule="auto"/>
        <w:ind w:firstLine="482" w:firstLineChars="200"/>
        <w:rPr>
          <w:rFonts w:ascii="宋体" w:hAnsi="宋体"/>
          <w:b/>
          <w:sz w:val="24"/>
          <w:highlight w:val="none"/>
        </w:rPr>
      </w:pPr>
      <w:r>
        <w:rPr>
          <w:rFonts w:hint="eastAsia" w:ascii="宋体" w:hAnsi="宋体"/>
          <w:b/>
          <w:sz w:val="24"/>
          <w:highlight w:val="none"/>
        </w:rPr>
        <w:t>4.3卖方对合同项下设备按照要求提供质保、软件免费升级，质保期限自验收合格双方签字时算起。在保修期内，卖方需提供免费的维修零配件及人工。质保期结束后，以当时市场价维修。</w:t>
      </w:r>
    </w:p>
    <w:p w14:paraId="73E3D711">
      <w:pPr>
        <w:spacing w:line="360" w:lineRule="auto"/>
        <w:ind w:firstLine="482" w:firstLineChars="200"/>
        <w:rPr>
          <w:rFonts w:ascii="宋体" w:hAnsi="宋体"/>
          <w:b/>
          <w:sz w:val="24"/>
          <w:highlight w:val="none"/>
        </w:rPr>
      </w:pPr>
      <w:r>
        <w:rPr>
          <w:rFonts w:hint="eastAsia" w:ascii="宋体" w:hAnsi="宋体"/>
          <w:b/>
          <w:sz w:val="24"/>
          <w:highlight w:val="none"/>
        </w:rPr>
        <w:t>5. 售后服务</w:t>
      </w:r>
    </w:p>
    <w:p w14:paraId="017DC957">
      <w:pPr>
        <w:spacing w:line="360" w:lineRule="auto"/>
        <w:ind w:firstLine="480" w:firstLineChars="200"/>
        <w:rPr>
          <w:rFonts w:ascii="宋体" w:hAnsi="宋体"/>
          <w:sz w:val="24"/>
          <w:highlight w:val="none"/>
        </w:rPr>
      </w:pPr>
      <w:r>
        <w:rPr>
          <w:rFonts w:hint="eastAsia" w:ascii="宋体" w:hAnsi="宋体"/>
          <w:sz w:val="24"/>
          <w:highlight w:val="none"/>
        </w:rPr>
        <w:t>5.1 提供给买方详细的设备清单及相应的使用、维修、故障查询手册。</w:t>
      </w:r>
    </w:p>
    <w:p w14:paraId="6FD5675F">
      <w:pPr>
        <w:spacing w:line="360" w:lineRule="auto"/>
        <w:ind w:firstLine="480" w:firstLineChars="200"/>
        <w:rPr>
          <w:rFonts w:ascii="宋体" w:hAnsi="宋体"/>
          <w:sz w:val="24"/>
          <w:highlight w:val="none"/>
        </w:rPr>
      </w:pPr>
      <w:r>
        <w:rPr>
          <w:rFonts w:hint="eastAsia" w:ascii="宋体" w:hAnsi="宋体"/>
          <w:sz w:val="24"/>
          <w:highlight w:val="none"/>
        </w:rPr>
        <w:t>5.2 在买方发出要求服务通知的</w:t>
      </w:r>
      <w:r>
        <w:rPr>
          <w:rFonts w:hint="eastAsia" w:ascii="宋体" w:hAnsi="宋体"/>
          <w:sz w:val="24"/>
          <w:highlight w:val="none"/>
          <w:lang w:val="en-US" w:eastAsia="zh-CN"/>
        </w:rPr>
        <w:t>规定时间内</w:t>
      </w:r>
      <w:r>
        <w:rPr>
          <w:rFonts w:hint="eastAsia" w:ascii="宋体" w:hAnsi="宋体"/>
          <w:sz w:val="24"/>
          <w:highlight w:val="none"/>
        </w:rPr>
        <w:t>，卖方指派的服务人员必须到达买方现场，对设备出现的较大问题，解决时间不应超过3个日历日。</w:t>
      </w:r>
    </w:p>
    <w:p w14:paraId="2392C607">
      <w:pPr>
        <w:spacing w:line="360" w:lineRule="auto"/>
        <w:ind w:firstLine="480" w:firstLineChars="200"/>
        <w:rPr>
          <w:rFonts w:ascii="宋体" w:hAnsi="宋体"/>
          <w:sz w:val="24"/>
          <w:highlight w:val="none"/>
        </w:rPr>
      </w:pPr>
      <w:r>
        <w:rPr>
          <w:rFonts w:hint="eastAsia" w:ascii="宋体" w:hAnsi="宋体"/>
          <w:sz w:val="24"/>
          <w:highlight w:val="none"/>
        </w:rPr>
        <w:t>5.3 在保修期内，如</w:t>
      </w:r>
      <w:r>
        <w:rPr>
          <w:rFonts w:hint="eastAsia" w:ascii="宋体" w:hAnsi="宋体"/>
          <w:sz w:val="24"/>
          <w:highlight w:val="none"/>
          <w:lang w:val="en-US" w:eastAsia="zh-CN"/>
        </w:rPr>
        <w:t>产品</w:t>
      </w:r>
      <w:r>
        <w:rPr>
          <w:rFonts w:hint="eastAsia" w:ascii="宋体" w:hAnsi="宋体"/>
          <w:sz w:val="24"/>
          <w:highlight w:val="none"/>
        </w:rPr>
        <w:t>出现故障，必须在3个日历日内完成维修工作，否则更换新</w:t>
      </w:r>
      <w:r>
        <w:rPr>
          <w:rFonts w:hint="eastAsia" w:ascii="宋体" w:hAnsi="宋体"/>
          <w:sz w:val="24"/>
          <w:highlight w:val="none"/>
          <w:lang w:val="en-US" w:eastAsia="zh-CN"/>
        </w:rPr>
        <w:t>产品</w:t>
      </w:r>
      <w:r>
        <w:rPr>
          <w:rFonts w:hint="eastAsia" w:ascii="宋体" w:hAnsi="宋体"/>
          <w:sz w:val="24"/>
          <w:highlight w:val="none"/>
        </w:rPr>
        <w:t>。</w:t>
      </w:r>
    </w:p>
    <w:p w14:paraId="0343B8DA">
      <w:pPr>
        <w:spacing w:line="360" w:lineRule="auto"/>
        <w:ind w:firstLine="480" w:firstLineChars="200"/>
        <w:rPr>
          <w:rFonts w:ascii="宋体" w:hAnsi="宋体"/>
          <w:sz w:val="24"/>
          <w:highlight w:val="none"/>
        </w:rPr>
      </w:pPr>
      <w:r>
        <w:rPr>
          <w:rFonts w:hint="eastAsia" w:ascii="宋体" w:hAnsi="宋体"/>
          <w:sz w:val="24"/>
          <w:highlight w:val="none"/>
        </w:rPr>
        <w:t>5.4 提供相应的售后服务承诺（需要设备生产企业协助的部分，须由该生产企业做出相应的服务承诺），并附在投标文件中。</w:t>
      </w:r>
    </w:p>
    <w:p w14:paraId="37B76017">
      <w:pPr>
        <w:spacing w:line="360" w:lineRule="auto"/>
        <w:ind w:firstLine="480" w:firstLineChars="200"/>
        <w:rPr>
          <w:rFonts w:ascii="宋体" w:hAnsi="宋体"/>
          <w:sz w:val="24"/>
          <w:highlight w:val="none"/>
        </w:rPr>
      </w:pPr>
      <w:r>
        <w:rPr>
          <w:rFonts w:hint="eastAsia" w:ascii="宋体" w:hAnsi="宋体"/>
          <w:sz w:val="24"/>
          <w:highlight w:val="none"/>
        </w:rPr>
        <w:t>5.5 在保修期内中标人应经常回访，对提供的所有仪器设备进行例行规检查、调整。中标人如遇公司变更或是维修代理权变更，应当及时通知采购人设备管理人员。</w:t>
      </w:r>
    </w:p>
    <w:p w14:paraId="5E2E56CF">
      <w:pPr>
        <w:spacing w:line="360" w:lineRule="auto"/>
        <w:ind w:firstLine="482" w:firstLineChars="200"/>
        <w:rPr>
          <w:rFonts w:ascii="宋体" w:hAnsi="宋体"/>
          <w:b/>
          <w:sz w:val="24"/>
          <w:highlight w:val="none"/>
        </w:rPr>
      </w:pPr>
      <w:r>
        <w:rPr>
          <w:rFonts w:hint="eastAsia" w:ascii="宋体" w:hAnsi="宋体"/>
          <w:b/>
          <w:sz w:val="24"/>
          <w:highlight w:val="none"/>
        </w:rPr>
        <w:t xml:space="preserve">6. 其他  </w:t>
      </w:r>
    </w:p>
    <w:p w14:paraId="50EA88D3">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1</w:t>
      </w:r>
      <w:r>
        <w:rPr>
          <w:rFonts w:hint="eastAsia" w:ascii="宋体" w:hAnsi="宋体"/>
          <w:sz w:val="24"/>
          <w:highlight w:val="none"/>
        </w:rPr>
        <w:t xml:space="preserve"> 投标报价：设备使用地安装调试完成、且验收合格后的交货价。</w:t>
      </w:r>
    </w:p>
    <w:p w14:paraId="6C47FD4F">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2</w:t>
      </w:r>
      <w:r>
        <w:rPr>
          <w:rFonts w:hint="eastAsia" w:ascii="宋体" w:hAnsi="宋体"/>
          <w:sz w:val="24"/>
          <w:highlight w:val="none"/>
        </w:rPr>
        <w:t xml:space="preserve"> 投标货币：人民币。</w:t>
      </w:r>
    </w:p>
    <w:p w14:paraId="3EEB945F">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3</w:t>
      </w:r>
      <w:r>
        <w:rPr>
          <w:rFonts w:hint="eastAsia" w:ascii="宋体" w:hAnsi="宋体"/>
          <w:sz w:val="24"/>
          <w:highlight w:val="none"/>
        </w:rPr>
        <w:t>列出质保期内详细的易损件、专用工具的清单，并分项报价（应包括在总价内）。清单内容应包括：名称、数量、单价、总价。</w:t>
      </w:r>
    </w:p>
    <w:p w14:paraId="1E0B20BE">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4</w:t>
      </w:r>
      <w:r>
        <w:rPr>
          <w:rFonts w:hint="eastAsia" w:ascii="宋体" w:hAnsi="宋体"/>
          <w:sz w:val="24"/>
          <w:highlight w:val="none"/>
        </w:rPr>
        <w:t>付款币种及方式（见第三章）</w:t>
      </w:r>
    </w:p>
    <w:p w14:paraId="50896C80">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5</w:t>
      </w:r>
      <w:r>
        <w:rPr>
          <w:rFonts w:hint="eastAsia" w:ascii="宋体" w:hAnsi="宋体"/>
          <w:sz w:val="24"/>
          <w:highlight w:val="none"/>
        </w:rPr>
        <w:t xml:space="preserve"> 交货日期：相应买方单位要求。</w:t>
      </w:r>
    </w:p>
    <w:p w14:paraId="2D2D0C05">
      <w:pPr>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6</w:t>
      </w:r>
      <w:r>
        <w:rPr>
          <w:rFonts w:hint="eastAsia" w:ascii="宋体" w:hAnsi="宋体"/>
          <w:sz w:val="24"/>
          <w:highlight w:val="none"/>
        </w:rPr>
        <w:t xml:space="preserve"> 交货地点：买方单位指定地点。</w:t>
      </w:r>
    </w:p>
    <w:p w14:paraId="56AC4CB7">
      <w:pPr>
        <w:ind w:firstLine="3300" w:firstLineChars="1100"/>
        <w:rPr>
          <w:rFonts w:ascii="宋体" w:hAnsi="宋体"/>
          <w:sz w:val="30"/>
          <w:szCs w:val="30"/>
          <w:highlight w:val="none"/>
        </w:rPr>
      </w:pPr>
      <w:bookmarkStart w:id="80" w:name="_Toc497666660"/>
      <w:bookmarkStart w:id="81" w:name="_Toc380404624"/>
    </w:p>
    <w:p w14:paraId="68034B1E">
      <w:pPr>
        <w:ind w:firstLine="3300" w:firstLineChars="1100"/>
        <w:rPr>
          <w:rFonts w:ascii="宋体" w:hAnsi="宋体"/>
          <w:sz w:val="30"/>
          <w:szCs w:val="30"/>
          <w:highlight w:val="none"/>
        </w:rPr>
      </w:pPr>
      <w:r>
        <w:rPr>
          <w:rFonts w:hint="eastAsia" w:ascii="宋体" w:hAnsi="宋体"/>
          <w:sz w:val="30"/>
          <w:szCs w:val="30"/>
          <w:highlight w:val="none"/>
        </w:rPr>
        <w:t>付款币种及方式</w:t>
      </w:r>
      <w:bookmarkEnd w:id="80"/>
      <w:bookmarkEnd w:id="81"/>
    </w:p>
    <w:p w14:paraId="08B62E40">
      <w:pPr>
        <w:spacing w:line="360" w:lineRule="auto"/>
        <w:ind w:firstLine="482" w:firstLineChars="200"/>
        <w:rPr>
          <w:rFonts w:ascii="宋体" w:hAnsi="宋体"/>
          <w:b/>
          <w:sz w:val="24"/>
          <w:highlight w:val="none"/>
        </w:rPr>
      </w:pPr>
      <w:r>
        <w:rPr>
          <w:rFonts w:hint="eastAsia" w:ascii="宋体" w:hAnsi="宋体"/>
          <w:b/>
          <w:sz w:val="24"/>
          <w:highlight w:val="none"/>
        </w:rPr>
        <w:t>1、付款币种</w:t>
      </w:r>
    </w:p>
    <w:p w14:paraId="0F1947ED">
      <w:pPr>
        <w:spacing w:line="360" w:lineRule="auto"/>
        <w:ind w:firstLine="480" w:firstLineChars="200"/>
        <w:rPr>
          <w:rFonts w:ascii="宋体" w:hAnsi="宋体"/>
          <w:sz w:val="24"/>
          <w:highlight w:val="none"/>
        </w:rPr>
      </w:pPr>
      <w:r>
        <w:rPr>
          <w:rFonts w:hint="eastAsia" w:ascii="宋体" w:hAnsi="宋体"/>
          <w:sz w:val="24"/>
          <w:highlight w:val="none"/>
        </w:rPr>
        <w:t>本次招标所述的项目资金均以人民币支付。</w:t>
      </w:r>
    </w:p>
    <w:p w14:paraId="34FEF58E">
      <w:pPr>
        <w:numPr>
          <w:ilvl w:val="0"/>
          <w:numId w:val="15"/>
        </w:numPr>
        <w:spacing w:line="360" w:lineRule="auto"/>
        <w:ind w:firstLine="482" w:firstLineChars="200"/>
        <w:rPr>
          <w:rFonts w:ascii="宋体" w:hAnsi="宋体"/>
          <w:b/>
          <w:sz w:val="24"/>
          <w:highlight w:val="none"/>
        </w:rPr>
      </w:pPr>
      <w:r>
        <w:rPr>
          <w:rFonts w:hint="eastAsia" w:ascii="宋体" w:hAnsi="宋体"/>
          <w:b/>
          <w:sz w:val="24"/>
          <w:highlight w:val="none"/>
        </w:rPr>
        <w:t>付款方式</w:t>
      </w:r>
    </w:p>
    <w:p w14:paraId="7CEA2C7E">
      <w:pPr>
        <w:spacing w:line="360" w:lineRule="auto"/>
        <w:ind w:firstLine="482" w:firstLineChars="200"/>
        <w:rPr>
          <w:rFonts w:ascii="宋体" w:hAnsi="宋体"/>
          <w:b/>
          <w:sz w:val="24"/>
          <w:highlight w:val="none"/>
        </w:rPr>
      </w:pPr>
      <w:r>
        <w:rPr>
          <w:rFonts w:hint="eastAsia" w:ascii="宋体" w:hAnsi="宋体"/>
          <w:b/>
          <w:sz w:val="24"/>
          <w:highlight w:val="none"/>
        </w:rPr>
        <w:t>备注：最终付款方式以</w:t>
      </w:r>
      <w:r>
        <w:rPr>
          <w:rFonts w:hint="eastAsia" w:ascii="宋体" w:hAnsi="宋体"/>
          <w:b/>
          <w:sz w:val="24"/>
          <w:highlight w:val="none"/>
          <w:lang w:val="en-US" w:eastAsia="zh-CN"/>
        </w:rPr>
        <w:t>中标人</w:t>
      </w:r>
      <w:r>
        <w:rPr>
          <w:rFonts w:hint="eastAsia" w:ascii="宋体" w:hAnsi="宋体"/>
          <w:b/>
          <w:sz w:val="24"/>
          <w:highlight w:val="none"/>
        </w:rPr>
        <w:t>和</w:t>
      </w:r>
      <w:r>
        <w:rPr>
          <w:rFonts w:hint="eastAsia" w:ascii="宋体" w:hAnsi="宋体"/>
          <w:b/>
          <w:sz w:val="24"/>
          <w:highlight w:val="none"/>
          <w:lang w:val="en-US" w:eastAsia="zh-CN"/>
        </w:rPr>
        <w:t>采购人</w:t>
      </w:r>
      <w:r>
        <w:rPr>
          <w:rFonts w:hint="eastAsia" w:ascii="宋体" w:hAnsi="宋体"/>
          <w:b/>
          <w:sz w:val="24"/>
          <w:highlight w:val="none"/>
        </w:rPr>
        <w:t>签订的合同为主。</w:t>
      </w:r>
    </w:p>
    <w:p w14:paraId="72F63F3B">
      <w:pPr>
        <w:tabs>
          <w:tab w:val="left" w:pos="284"/>
        </w:tabs>
        <w:spacing w:line="360" w:lineRule="auto"/>
        <w:jc w:val="center"/>
        <w:rPr>
          <w:rFonts w:ascii="宋体" w:hAnsi="宋体"/>
          <w:b/>
          <w:sz w:val="24"/>
          <w:highlight w:val="none"/>
        </w:rPr>
      </w:pPr>
      <w:r>
        <w:rPr>
          <w:rFonts w:hint="eastAsia" w:ascii="宋体" w:hAnsi="宋体"/>
          <w:b/>
          <w:sz w:val="24"/>
          <w:highlight w:val="none"/>
        </w:rPr>
        <w:t xml:space="preserve"> </w:t>
      </w:r>
    </w:p>
    <w:p w14:paraId="2F20BEB0">
      <w:pPr>
        <w:pStyle w:val="21"/>
        <w:rPr>
          <w:highlight w:val="none"/>
        </w:rPr>
        <w:sectPr>
          <w:pgSz w:w="11907" w:h="16840"/>
          <w:pgMar w:top="1418" w:right="1418" w:bottom="1247" w:left="1418" w:header="964" w:footer="850" w:gutter="0"/>
          <w:cols w:space="720" w:num="1"/>
          <w:titlePg/>
          <w:docGrid w:linePitch="286" w:charSpace="0"/>
        </w:sectPr>
      </w:pPr>
    </w:p>
    <w:p w14:paraId="08F96DD3">
      <w:pPr>
        <w:pStyle w:val="3"/>
        <w:spacing w:before="100" w:beforeAutospacing="1" w:after="100" w:afterAutospacing="1" w:line="360" w:lineRule="auto"/>
        <w:jc w:val="center"/>
        <w:rPr>
          <w:rFonts w:ascii="宋体" w:cs="宋体"/>
          <w:w w:val="90"/>
          <w:highlight w:val="none"/>
        </w:rPr>
      </w:pPr>
      <w:bookmarkStart w:id="82" w:name="_Toc11497"/>
      <w:r>
        <w:rPr>
          <w:rFonts w:hint="eastAsia" w:ascii="宋体" w:hAnsi="宋体" w:cs="宋体"/>
          <w:w w:val="90"/>
          <w:highlight w:val="none"/>
        </w:rPr>
        <w:t>第五章</w:t>
      </w:r>
      <w:r>
        <w:rPr>
          <w:rFonts w:ascii="宋体" w:hAnsi="宋体" w:cs="宋体"/>
          <w:w w:val="90"/>
          <w:highlight w:val="none"/>
        </w:rPr>
        <w:t xml:space="preserve"> </w:t>
      </w:r>
      <w:r>
        <w:rPr>
          <w:rFonts w:hint="eastAsia" w:ascii="宋体" w:hAnsi="宋体" w:cs="宋体"/>
          <w:w w:val="90"/>
          <w:highlight w:val="none"/>
        </w:rPr>
        <w:t>采购需求</w:t>
      </w:r>
      <w:bookmarkEnd w:id="74"/>
      <w:bookmarkEnd w:id="75"/>
      <w:bookmarkEnd w:id="76"/>
      <w:bookmarkEnd w:id="77"/>
      <w:bookmarkEnd w:id="82"/>
      <w:bookmarkStart w:id="83" w:name="_Toc14776844"/>
      <w:bookmarkStart w:id="84" w:name="_Toc2511994"/>
    </w:p>
    <w:p w14:paraId="3CA39ADE">
      <w:pPr>
        <w:spacing w:line="360" w:lineRule="auto"/>
        <w:ind w:firstLine="482" w:firstLineChars="200"/>
        <w:rPr>
          <w:rFonts w:hint="eastAsia" w:ascii="宋体" w:eastAsia="宋体"/>
          <w:b/>
          <w:sz w:val="24"/>
          <w:highlight w:val="none"/>
          <w:lang w:eastAsia="zh-CN"/>
        </w:rPr>
      </w:pPr>
      <w:r>
        <w:rPr>
          <w:rFonts w:hint="eastAsia" w:ascii="宋体"/>
          <w:b/>
          <w:sz w:val="24"/>
          <w:highlight w:val="none"/>
        </w:rPr>
        <w:t>招标文件技术指标参数要求均为项目的参考</w:t>
      </w:r>
      <w:r>
        <w:rPr>
          <w:rFonts w:hint="eastAsia" w:ascii="宋体" w:cs="宋体"/>
          <w:b/>
          <w:kern w:val="0"/>
          <w:sz w:val="24"/>
          <w:highlight w:val="none"/>
        </w:rPr>
        <w:t>指标</w:t>
      </w:r>
      <w:r>
        <w:rPr>
          <w:rFonts w:hint="eastAsia" w:ascii="宋体"/>
          <w:b/>
          <w:sz w:val="24"/>
          <w:highlight w:val="none"/>
        </w:rPr>
        <w:t>，并不局限于某一品牌。投标人在投标中可以选用替代指标，但这些替代技术指标要实质上相当于或优于招标文件中的要求。</w:t>
      </w:r>
      <w:r>
        <w:rPr>
          <w:rFonts w:hint="eastAsia" w:ascii="宋体"/>
          <w:b/>
          <w:color w:val="auto"/>
          <w:sz w:val="24"/>
          <w:highlight w:val="none"/>
        </w:rPr>
        <w:t>注：招标文件中所明确的尺寸及重量、图片均为参考数据</w:t>
      </w:r>
      <w:r>
        <w:rPr>
          <w:rFonts w:hint="eastAsia" w:ascii="宋体"/>
          <w:b/>
          <w:color w:val="auto"/>
          <w:sz w:val="24"/>
          <w:highlight w:val="none"/>
          <w:lang w:eastAsia="zh-CN"/>
        </w:rPr>
        <w:t>。</w:t>
      </w:r>
    </w:p>
    <w:p w14:paraId="41540473">
      <w:pPr>
        <w:adjustRightInd w:val="0"/>
        <w:snapToGrid w:val="0"/>
        <w:spacing w:line="360" w:lineRule="auto"/>
        <w:ind w:right="105" w:rightChars="50" w:firstLine="544" w:firstLineChars="227"/>
        <w:jc w:val="left"/>
        <w:rPr>
          <w:rFonts w:hint="eastAsia" w:ascii="宋体" w:hAnsi="宋体"/>
          <w:sz w:val="24"/>
          <w:highlight w:val="none"/>
        </w:rPr>
      </w:pPr>
      <w:r>
        <w:rPr>
          <w:rFonts w:hint="eastAsia" w:ascii="宋体" w:hAnsi="宋体"/>
          <w:sz w:val="24"/>
          <w:highlight w:val="none"/>
        </w:rPr>
        <w:t>投标人应保证所供货物是全新的、未使用过的原装正品，任何对招标文件的忽略或误解不能作为招标文件存在缺陷或瑕疵的理由，其风险由投标人承担。投标人应提供售后服务承诺书并按采购人要求完成配套验收。</w:t>
      </w:r>
    </w:p>
    <w:p w14:paraId="2318A542">
      <w:pPr>
        <w:shd w:val="clear"/>
      </w:pPr>
    </w:p>
    <w:p w14:paraId="28FA29DC">
      <w:pPr>
        <w:shd w:val="clear"/>
      </w:pPr>
    </w:p>
    <w:p w14:paraId="435CBFDD">
      <w:pPr>
        <w:shd w:val="clear"/>
      </w:pPr>
    </w:p>
    <w:p w14:paraId="69F30748">
      <w:pPr>
        <w:rPr>
          <w:rFonts w:hint="eastAsia" w:ascii="宋体" w:hAnsi="宋体"/>
          <w:sz w:val="24"/>
          <w:highlight w:val="none"/>
        </w:rPr>
      </w:pPr>
      <w:r>
        <w:rPr>
          <w:rFonts w:hint="eastAsia" w:ascii="宋体" w:hAnsi="宋体"/>
          <w:sz w:val="24"/>
          <w:highlight w:val="none"/>
        </w:rPr>
        <w:br w:type="page"/>
      </w:r>
    </w:p>
    <w:tbl>
      <w:tblPr>
        <w:tblStyle w:val="48"/>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131"/>
        <w:gridCol w:w="4737"/>
        <w:gridCol w:w="558"/>
        <w:gridCol w:w="513"/>
      </w:tblGrid>
      <w:tr w14:paraId="42FBA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1" w:hRule="atLeast"/>
        </w:trPr>
        <w:tc>
          <w:tcPr>
            <w:tcW w:w="0" w:type="auto"/>
            <w:tcBorders>
              <w:top w:val="single" w:color="000000" w:sz="4" w:space="0"/>
              <w:left w:val="single" w:color="000000" w:sz="4" w:space="0"/>
              <w:bottom w:val="single" w:color="000000" w:sz="4" w:space="0"/>
              <w:right w:val="nil"/>
            </w:tcBorders>
            <w:shd w:val="clear" w:color="auto" w:fill="auto"/>
            <w:vAlign w:val="center"/>
          </w:tcPr>
          <w:p w14:paraId="7E6F272F">
            <w:pPr>
              <w:keepNext w:val="0"/>
              <w:keepLines w:val="0"/>
              <w:widowControl/>
              <w:suppressLineNumbers w:val="0"/>
              <w:jc w:val="both"/>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设备名称</w:t>
            </w:r>
          </w:p>
        </w:tc>
        <w:tc>
          <w:tcPr>
            <w:tcW w:w="0" w:type="auto"/>
            <w:tcBorders>
              <w:top w:val="single" w:color="000000" w:sz="4" w:space="0"/>
              <w:left w:val="single" w:color="000000" w:sz="4" w:space="0"/>
              <w:bottom w:val="single" w:color="000000" w:sz="4" w:space="0"/>
              <w:right w:val="nil"/>
            </w:tcBorders>
            <w:shd w:val="clear" w:color="auto" w:fill="auto"/>
            <w:vAlign w:val="center"/>
          </w:tcPr>
          <w:p w14:paraId="0F55E080">
            <w:pPr>
              <w:keepNext w:val="0"/>
              <w:keepLines w:val="0"/>
              <w:widowControl/>
              <w:suppressLineNumbers w:val="0"/>
              <w:jc w:val="both"/>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参数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6A99D4">
            <w:pPr>
              <w:keepNext w:val="0"/>
              <w:keepLines w:val="0"/>
              <w:widowControl/>
              <w:suppressLineNumbers w:val="0"/>
              <w:jc w:val="both"/>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1F233C">
            <w:pPr>
              <w:keepNext w:val="0"/>
              <w:keepLines w:val="0"/>
              <w:widowControl/>
              <w:suppressLineNumbers w:val="0"/>
              <w:jc w:val="both"/>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单位</w:t>
            </w:r>
          </w:p>
        </w:tc>
      </w:tr>
      <w:tr w14:paraId="3D815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9"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6F6785">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36盘位网络存储服务器</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1EE7CB">
            <w:pPr>
              <w:keepNext w:val="0"/>
              <w:keepLines w:val="0"/>
              <w:widowControl/>
              <w:suppressLineNumbers w:val="0"/>
              <w:jc w:val="both"/>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4U/36盘位集中存储；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存储性能：接入带宽512Mbps，同时转发带宽512Mbps（直存）;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出厂自带欧拉操作系统；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2核4线程处理器，标配内存8GB；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最大支持36块3.5寸硬盘；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支持通过onvif、海康私有协议、大华私有协议接入前端设备；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使用软RAID系统，支持RAID0、1、5、6、10、50、60；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4个RJ45千兆网口；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采用800W，1+1冗余电源；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功率：工作功耗：≤600W；额定功耗：≤800W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整机尺寸：173mm(高)×446mm(宽)×534mm(深)</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986CE0">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8E314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2471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BF6177">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8T企业级硬盘</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923664">
            <w:pPr>
              <w:keepNext w:val="0"/>
              <w:keepLines w:val="0"/>
              <w:widowControl/>
              <w:suppressLineNumbers w:val="0"/>
              <w:jc w:val="both"/>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256MB缓存；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平均故障间隔时间MTBF：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2,000,000小时；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转速：7200rpm；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接口访问速度：6.0、 3.0、 1.5 Gb/秒；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最高可持续传输率：255MB/秒；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平均闲置功率7.06瓦；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平均运行功率11.03瓦；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电源+12V和+5V；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运行时温度 5~60°C。</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E46F15">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30DA61">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r>
      <w:tr w14:paraId="3FDC6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9"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5A9E79">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24门人脸随身物品柜（主柜）</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06915F0">
            <w:pPr>
              <w:keepNext w:val="0"/>
              <w:keepLines w:val="0"/>
              <w:widowControl/>
              <w:suppressLineNumbers w:val="0"/>
              <w:jc w:val="both"/>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支持配合执法办案平台使用和单机使用两种模式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联网模式：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支持平台下发权限，可以通过人脸、</w:t>
            </w:r>
            <w:r>
              <w:rPr>
                <w:rFonts w:hint="eastAsia" w:ascii="宋体" w:hAnsi="宋体" w:cs="宋体"/>
                <w:i w:val="0"/>
                <w:iCs w:val="0"/>
                <w:color w:val="000000"/>
                <w:kern w:val="0"/>
                <w:sz w:val="22"/>
                <w:szCs w:val="22"/>
                <w:u w:val="none"/>
                <w:lang w:val="en-US" w:eastAsia="zh-CN" w:bidi="ar"/>
              </w:rPr>
              <w:t>MJ</w:t>
            </w:r>
            <w:r>
              <w:rPr>
                <w:rFonts w:hint="eastAsia" w:ascii="宋体" w:hAnsi="宋体" w:eastAsia="宋体" w:cs="宋体"/>
                <w:i w:val="0"/>
                <w:iCs w:val="0"/>
                <w:color w:val="000000"/>
                <w:kern w:val="0"/>
                <w:sz w:val="22"/>
                <w:szCs w:val="22"/>
                <w:u w:val="none"/>
                <w:lang w:val="en-US" w:eastAsia="zh-CN" w:bidi="ar"/>
              </w:rPr>
              <w:t>卡/手环、警号等方式下发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MJ</w:t>
            </w:r>
            <w:r>
              <w:rPr>
                <w:rFonts w:hint="eastAsia" w:ascii="宋体" w:hAnsi="宋体" w:eastAsia="宋体" w:cs="宋体"/>
                <w:i w:val="0"/>
                <w:iCs w:val="0"/>
                <w:color w:val="000000"/>
                <w:kern w:val="0"/>
                <w:sz w:val="22"/>
                <w:szCs w:val="22"/>
                <w:u w:val="none"/>
                <w:lang w:val="en-US" w:eastAsia="zh-CN" w:bidi="ar"/>
              </w:rPr>
              <w:t>支持通过人脸、刷卡、警号等方式登录；嫌疑人支持人脸、刷手环等方式登录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登录成功后，可选择物品存放或物品取出；可视化展示所有授权的柜门，并可控制开柜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物品取出，可选择物品的取物类型和物品去向；取物类型包括：提取、正式调用、临时调用等；物品去向包括：本人领取、家人代领、移交、代保管、扣押等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支持物品取出明细确认及拍照、签字、捺印等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单机模式：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支持通过人脸、刷卡的方式进行登录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支持选择物品存放或物品取出，取物时会和存物时的人脸或卡片进行比对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当首次登录或者只有一个柜子时，登录后点击存物或取物可以直接联动开门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当有多个柜子时，可视化展示所有的柜门，可以选择打开柜门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主柜包含24个箱门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柜子整体尺寸(mm)：W1440*D450*H1900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每个箱门尺寸(mm)：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大箱门*4：W283*D450*H593；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中箱门*8：W283*D450*H295；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小箱门*12：W283*D450*H196；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功率：主机待机功率25W，每增加一个副机功率增加10W，开箱瞬时功率36W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60DFC">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74D41E">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42D85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F45F7D8">
            <w:pPr>
              <w:keepNext w:val="0"/>
              <w:keepLines w:val="0"/>
              <w:widowControl/>
              <w:suppressLineNumbers w:val="0"/>
              <w:jc w:val="both"/>
              <w:textAlignment w:val="top"/>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智能保管柜（主柜）</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B9B4B4D">
            <w:pPr>
              <w:keepNext w:val="0"/>
              <w:keepLines w:val="0"/>
              <w:widowControl/>
              <w:suppressLineNumbers w:val="0"/>
              <w:jc w:val="both"/>
              <w:textAlignment w:val="top"/>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支持一主两从涉案物品管理柜主柜由柜体、非接触智能卡阅读器、电控锁和电气控制箱四大部分组合而成柜体采用宝钢/武钢、δ≥0.8mm的优质冷轧钢板，箱体表面经过除锈、除油、打磨、磷化处理后喷塑箱体颜色：控制面板、柜体、应急条黑色，柜门白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箱门使用电控锁，采用电磁式单舌机械锁，同时作热涂锌防锈处理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主柜包含24个箱门；每个格口容积尺寸不小于：宽*深*高=320*450*300.8mm，柜体尺寸：宽*深*高=1420*450*1880mm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每个箱门开透明窗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有管理密码，通过识别管理卡获取柜机管理权限，支持对柜子进行开箱、消号、校时；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远程控制功能，可实现远程开箱、锁箱、解锁箱体、锁定记录、解锁记录、锁定终端、解锁终端、修改管理员登陆密码、设置时间等功能。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外接工业级液晶显示屏（尺寸2.5寸，分辨率128*64），屏幕上可实时显示时钟、操作步骤提示等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非接触智能卡阅读器：支持ISO14443 TYPE A /ISO14443 TYPE B 标准协议的IC卡；10cm感应刷卡距离；工作频率不低于13.56MHz；读卡速率不低于106kbit/s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支持在停电情况下，通过机械方式开门。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管理查询功能：可以实现记录查询、当前箱子使用时间查询、累计使用次数查询等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支持多副机柜级联；可额外扩展48门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功率35~60W；单个主柜35W，拓展两个从柜60W</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13D99B">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0F356A">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14:paraId="2A7CE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7"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0F07A66">
            <w:pPr>
              <w:keepNext w:val="0"/>
              <w:keepLines w:val="0"/>
              <w:widowControl/>
              <w:suppressLineNumbers w:val="0"/>
              <w:tabs>
                <w:tab w:val="left" w:pos="1745"/>
              </w:tabs>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2"/>
                <w:szCs w:val="22"/>
                <w:u w:val="none"/>
                <w:lang w:val="en-US" w:eastAsia="zh-CN" w:bidi="ar"/>
              </w:rPr>
              <w:t>各投标人</w:t>
            </w:r>
            <w:r>
              <w:rPr>
                <w:rFonts w:hint="eastAsia" w:ascii="宋体" w:hAnsi="宋体" w:eastAsia="宋体" w:cs="宋体"/>
                <w:i w:val="0"/>
                <w:iCs w:val="0"/>
                <w:color w:val="000000"/>
                <w:kern w:val="0"/>
                <w:sz w:val="22"/>
                <w:szCs w:val="22"/>
                <w:u w:val="none"/>
                <w:lang w:val="en-US" w:eastAsia="zh-CN" w:bidi="ar"/>
              </w:rPr>
              <w:t>需提供厂家售后</w:t>
            </w:r>
            <w:r>
              <w:rPr>
                <w:rFonts w:hint="eastAsia" w:ascii="宋体" w:hAnsi="宋体" w:cs="宋体"/>
                <w:i w:val="0"/>
                <w:iCs w:val="0"/>
                <w:color w:val="000000"/>
                <w:kern w:val="0"/>
                <w:sz w:val="22"/>
                <w:szCs w:val="22"/>
                <w:u w:val="none"/>
                <w:lang w:val="en-US" w:eastAsia="zh-CN" w:bidi="ar"/>
              </w:rPr>
              <w:t>支持</w:t>
            </w:r>
            <w:r>
              <w:rPr>
                <w:rFonts w:hint="eastAsia" w:ascii="宋体" w:hAnsi="宋体" w:eastAsia="宋体" w:cs="宋体"/>
                <w:i w:val="0"/>
                <w:iCs w:val="0"/>
                <w:color w:val="000000"/>
                <w:kern w:val="0"/>
                <w:sz w:val="22"/>
                <w:szCs w:val="22"/>
                <w:u w:val="none"/>
                <w:lang w:val="en-US" w:eastAsia="zh-CN" w:bidi="ar"/>
              </w:rPr>
              <w:t>服务承诺书，同时所提供设备</w:t>
            </w:r>
            <w:r>
              <w:rPr>
                <w:rFonts w:hint="eastAsia" w:ascii="宋体" w:hAnsi="宋体" w:cs="宋体"/>
                <w:i w:val="0"/>
                <w:iCs w:val="0"/>
                <w:color w:val="000000"/>
                <w:kern w:val="0"/>
                <w:sz w:val="22"/>
                <w:szCs w:val="22"/>
                <w:u w:val="none"/>
                <w:lang w:val="en-US" w:eastAsia="zh-CN" w:bidi="ar"/>
              </w:rPr>
              <w:t>需</w:t>
            </w:r>
            <w:r>
              <w:rPr>
                <w:rFonts w:hint="eastAsia" w:ascii="宋体" w:hAnsi="宋体" w:eastAsia="宋体" w:cs="宋体"/>
                <w:i w:val="0"/>
                <w:iCs w:val="0"/>
                <w:color w:val="000000"/>
                <w:kern w:val="0"/>
                <w:sz w:val="22"/>
                <w:szCs w:val="22"/>
                <w:u w:val="none"/>
                <w:lang w:val="en-US" w:eastAsia="zh-CN" w:bidi="ar"/>
              </w:rPr>
              <w:t>支持接入新市区执法办案区系统，</w:t>
            </w:r>
            <w:r>
              <w:rPr>
                <w:rFonts w:hint="eastAsia" w:ascii="宋体" w:hAnsi="宋体" w:cs="宋体"/>
                <w:i w:val="0"/>
                <w:iCs w:val="0"/>
                <w:color w:val="000000"/>
                <w:kern w:val="0"/>
                <w:sz w:val="22"/>
                <w:szCs w:val="22"/>
                <w:u w:val="none"/>
                <w:lang w:val="en-US" w:eastAsia="zh-CN" w:bidi="ar"/>
              </w:rPr>
              <w:t>各投标人需提供对接承诺书。</w:t>
            </w:r>
            <w:r>
              <w:rPr>
                <w:rFonts w:hint="eastAsia" w:ascii="宋体" w:hAnsi="宋体" w:eastAsia="宋体" w:cs="宋体"/>
                <w:i w:val="0"/>
                <w:iCs w:val="0"/>
                <w:color w:val="000000"/>
                <w:kern w:val="0"/>
                <w:sz w:val="22"/>
                <w:szCs w:val="22"/>
                <w:u w:val="none"/>
                <w:lang w:val="en-US" w:eastAsia="zh-CN" w:bidi="ar"/>
              </w:rPr>
              <w:t>中标单位在中标后</w:t>
            </w:r>
            <w:r>
              <w:rPr>
                <w:rFonts w:hint="eastAsia" w:ascii="宋体" w:hAnsi="宋体" w:cs="宋体"/>
                <w:i w:val="0"/>
                <w:iCs w:val="0"/>
                <w:color w:val="000000"/>
                <w:kern w:val="0"/>
                <w:sz w:val="22"/>
                <w:szCs w:val="22"/>
                <w:u w:val="none"/>
                <w:lang w:val="en-US" w:eastAsia="zh-CN" w:bidi="ar"/>
              </w:rPr>
              <w:t>将</w:t>
            </w:r>
            <w:r>
              <w:rPr>
                <w:rFonts w:hint="eastAsia" w:ascii="宋体" w:hAnsi="宋体" w:eastAsia="宋体" w:cs="宋体"/>
                <w:i w:val="0"/>
                <w:iCs w:val="0"/>
                <w:color w:val="000000"/>
                <w:kern w:val="0"/>
                <w:sz w:val="22"/>
                <w:szCs w:val="22"/>
                <w:u w:val="none"/>
                <w:lang w:val="en-US" w:eastAsia="zh-CN" w:bidi="ar"/>
              </w:rPr>
              <w:t xml:space="preserve">进行与新市区执法办案区对接测试，如无法对接，取消中标资格。 </w:t>
            </w:r>
          </w:p>
        </w:tc>
      </w:tr>
    </w:tbl>
    <w:p w14:paraId="58052ADA">
      <w:pPr>
        <w:rPr>
          <w:rFonts w:hint="eastAsia" w:ascii="宋体" w:hAnsi="宋体"/>
          <w:sz w:val="24"/>
          <w:highlight w:val="none"/>
        </w:rPr>
      </w:pPr>
    </w:p>
    <w:p w14:paraId="4137B807">
      <w:pPr>
        <w:rPr>
          <w:rFonts w:hint="eastAsia" w:ascii="宋体" w:hAnsi="宋体" w:cs="宋体"/>
          <w:w w:val="90"/>
          <w:highlight w:val="none"/>
        </w:rPr>
      </w:pPr>
      <w:bookmarkStart w:id="85" w:name="_Toc44704906"/>
      <w:bookmarkStart w:id="86" w:name="_Toc27210"/>
      <w:bookmarkStart w:id="87" w:name="_Toc44705053"/>
      <w:r>
        <w:rPr>
          <w:rFonts w:hint="eastAsia" w:ascii="宋体" w:hAnsi="宋体" w:cs="宋体"/>
          <w:w w:val="90"/>
          <w:highlight w:val="none"/>
        </w:rPr>
        <w:br w:type="page"/>
      </w:r>
    </w:p>
    <w:p w14:paraId="7F0358C6">
      <w:pPr>
        <w:pStyle w:val="3"/>
        <w:spacing w:before="1680" w:beforeLines="700" w:after="0" w:line="360" w:lineRule="auto"/>
        <w:jc w:val="center"/>
        <w:rPr>
          <w:rFonts w:hint="eastAsia" w:ascii="宋体" w:hAnsi="宋体" w:cs="宋体"/>
          <w:w w:val="90"/>
          <w:highlight w:val="none"/>
        </w:rPr>
      </w:pPr>
    </w:p>
    <w:p w14:paraId="5C2BC17B">
      <w:pPr>
        <w:pStyle w:val="3"/>
        <w:spacing w:before="1680" w:beforeLines="700" w:after="0" w:line="360" w:lineRule="auto"/>
        <w:jc w:val="center"/>
        <w:rPr>
          <w:rFonts w:hint="eastAsia" w:ascii="宋体" w:hAnsi="宋体" w:cs="宋体"/>
          <w:w w:val="90"/>
          <w:highlight w:val="none"/>
        </w:rPr>
      </w:pPr>
    </w:p>
    <w:p w14:paraId="6FEBF5CA">
      <w:pPr>
        <w:pStyle w:val="3"/>
        <w:spacing w:before="1680" w:beforeLines="700" w:after="0" w:line="360" w:lineRule="auto"/>
        <w:jc w:val="center"/>
        <w:rPr>
          <w:rFonts w:hint="eastAsia" w:ascii="宋体" w:hAnsi="宋体" w:cs="宋体"/>
          <w:w w:val="90"/>
          <w:highlight w:val="none"/>
        </w:rPr>
      </w:pPr>
    </w:p>
    <w:p w14:paraId="68A1239F">
      <w:pPr>
        <w:pStyle w:val="3"/>
        <w:spacing w:before="1680" w:beforeLines="700" w:after="0" w:line="360" w:lineRule="auto"/>
        <w:jc w:val="center"/>
        <w:rPr>
          <w:rFonts w:ascii="宋体" w:cs="宋体"/>
          <w:w w:val="90"/>
          <w:sz w:val="36"/>
          <w:highlight w:val="none"/>
        </w:rPr>
        <w:sectPr>
          <w:headerReference r:id="rId7" w:type="default"/>
          <w:footerReference r:id="rId8" w:type="default"/>
          <w:pgSz w:w="11907" w:h="16840"/>
          <w:pgMar w:top="1440" w:right="1469" w:bottom="1440" w:left="1622" w:header="851" w:footer="992" w:gutter="0"/>
          <w:cols w:space="720" w:num="1"/>
          <w:docGrid w:linePitch="312" w:charSpace="0"/>
        </w:sectPr>
      </w:pPr>
      <w:r>
        <w:rPr>
          <w:rFonts w:hint="eastAsia" w:ascii="宋体" w:hAnsi="宋体" w:cs="宋体"/>
          <w:w w:val="90"/>
          <w:highlight w:val="none"/>
        </w:rPr>
        <w:t>第六章</w:t>
      </w:r>
      <w:r>
        <w:rPr>
          <w:rFonts w:ascii="宋体" w:hAnsi="宋体" w:cs="宋体"/>
          <w:w w:val="90"/>
          <w:highlight w:val="none"/>
        </w:rPr>
        <w:t xml:space="preserve"> </w:t>
      </w:r>
      <w:r>
        <w:rPr>
          <w:rFonts w:hint="eastAsia" w:ascii="宋体" w:hAnsi="宋体" w:cs="宋体"/>
          <w:w w:val="90"/>
          <w:highlight w:val="none"/>
        </w:rPr>
        <w:t>评标方法及评标标</w:t>
      </w:r>
      <w:bookmarkEnd w:id="83"/>
      <w:bookmarkEnd w:id="84"/>
      <w:r>
        <w:rPr>
          <w:rFonts w:hint="eastAsia" w:ascii="宋体" w:hAnsi="宋体" w:cs="宋体"/>
          <w:w w:val="90"/>
          <w:highlight w:val="none"/>
        </w:rPr>
        <w:t>准</w:t>
      </w:r>
      <w:bookmarkEnd w:id="85"/>
      <w:bookmarkEnd w:id="86"/>
      <w:bookmarkEnd w:id="87"/>
    </w:p>
    <w:p w14:paraId="4154AE81">
      <w:pPr>
        <w:spacing w:line="360" w:lineRule="auto"/>
        <w:ind w:firstLine="480" w:firstLineChars="200"/>
        <w:jc w:val="left"/>
        <w:rPr>
          <w:rFonts w:ascii="宋体" w:cs="宋体"/>
          <w:szCs w:val="21"/>
          <w:highlight w:val="none"/>
        </w:rPr>
      </w:pPr>
      <w:r>
        <w:rPr>
          <w:rFonts w:hint="eastAsia" w:ascii="宋体" w:hAnsi="宋体" w:cs="宋体"/>
          <w:sz w:val="24"/>
          <w:szCs w:val="24"/>
          <w:highlight w:val="none"/>
        </w:rPr>
        <w:t>采购项目开标结束后，采购人或者采购代理机构将依法对投标人的资格进行审查。审查记录表如下：</w:t>
      </w:r>
    </w:p>
    <w:tbl>
      <w:tblPr>
        <w:tblStyle w:val="48"/>
        <w:tblW w:w="90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8"/>
        <w:gridCol w:w="4105"/>
        <w:gridCol w:w="2977"/>
        <w:gridCol w:w="483"/>
        <w:gridCol w:w="483"/>
        <w:gridCol w:w="483"/>
      </w:tblGrid>
      <w:tr w14:paraId="064ABE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jc w:val="center"/>
        </w:trPr>
        <w:tc>
          <w:tcPr>
            <w:tcW w:w="568" w:type="dxa"/>
            <w:vMerge w:val="restart"/>
            <w:tcBorders>
              <w:top w:val="single" w:color="auto" w:sz="4" w:space="0"/>
              <w:right w:val="single" w:color="auto" w:sz="4" w:space="0"/>
            </w:tcBorders>
            <w:vAlign w:val="center"/>
          </w:tcPr>
          <w:p w14:paraId="162EDD5D">
            <w:pPr>
              <w:spacing w:before="60" w:beforeLines="25" w:after="60" w:afterLines="25" w:line="360" w:lineRule="auto"/>
              <w:jc w:val="center"/>
              <w:rPr>
                <w:rFonts w:ascii="宋体" w:cs="宋体"/>
                <w:sz w:val="24"/>
                <w:szCs w:val="24"/>
                <w:highlight w:val="none"/>
              </w:rPr>
            </w:pPr>
            <w:r>
              <w:rPr>
                <w:rFonts w:hint="eastAsia" w:ascii="宋体" w:hAnsi="宋体" w:cs="宋体"/>
                <w:sz w:val="24"/>
                <w:szCs w:val="24"/>
                <w:highlight w:val="none"/>
              </w:rPr>
              <w:t>序号</w:t>
            </w:r>
          </w:p>
        </w:tc>
        <w:tc>
          <w:tcPr>
            <w:tcW w:w="4105" w:type="dxa"/>
            <w:vMerge w:val="restart"/>
            <w:tcBorders>
              <w:top w:val="single" w:color="auto" w:sz="4" w:space="0"/>
              <w:left w:val="single" w:color="auto" w:sz="4" w:space="0"/>
              <w:right w:val="single" w:color="auto" w:sz="4" w:space="0"/>
            </w:tcBorders>
            <w:vAlign w:val="center"/>
          </w:tcPr>
          <w:p w14:paraId="111816CD">
            <w:pPr>
              <w:spacing w:before="60" w:beforeLines="25" w:after="60" w:afterLines="25" w:line="360" w:lineRule="auto"/>
              <w:jc w:val="center"/>
              <w:rPr>
                <w:rFonts w:ascii="宋体" w:cs="宋体"/>
                <w:sz w:val="24"/>
                <w:szCs w:val="24"/>
                <w:highlight w:val="none"/>
              </w:rPr>
            </w:pPr>
            <w:r>
              <w:rPr>
                <w:rFonts w:hint="eastAsia" w:ascii="宋体" w:hAnsi="宋体" w:cs="宋体"/>
                <w:sz w:val="24"/>
                <w:szCs w:val="24"/>
                <w:highlight w:val="none"/>
              </w:rPr>
              <w:t>审查因素</w:t>
            </w:r>
          </w:p>
        </w:tc>
        <w:tc>
          <w:tcPr>
            <w:tcW w:w="2977" w:type="dxa"/>
            <w:vMerge w:val="restart"/>
            <w:tcBorders>
              <w:top w:val="single" w:color="auto" w:sz="4" w:space="0"/>
              <w:left w:val="single" w:color="auto" w:sz="4" w:space="0"/>
              <w:bottom w:val="single" w:color="auto" w:sz="4" w:space="0"/>
            </w:tcBorders>
            <w:vAlign w:val="center"/>
          </w:tcPr>
          <w:p w14:paraId="0D94C476">
            <w:pPr>
              <w:widowControl/>
              <w:spacing w:line="360" w:lineRule="auto"/>
              <w:jc w:val="center"/>
              <w:rPr>
                <w:rFonts w:ascii="宋体" w:cs="宋体"/>
                <w:sz w:val="24"/>
                <w:szCs w:val="24"/>
                <w:highlight w:val="none"/>
              </w:rPr>
            </w:pPr>
            <w:r>
              <w:rPr>
                <w:rFonts w:hint="eastAsia" w:ascii="宋体" w:hAnsi="宋体" w:cs="宋体"/>
                <w:sz w:val="24"/>
                <w:szCs w:val="24"/>
                <w:highlight w:val="none"/>
              </w:rPr>
              <w:t>审查标准</w:t>
            </w:r>
          </w:p>
        </w:tc>
        <w:tc>
          <w:tcPr>
            <w:tcW w:w="1449" w:type="dxa"/>
            <w:gridSpan w:val="3"/>
            <w:tcBorders>
              <w:top w:val="single" w:color="auto" w:sz="4" w:space="0"/>
              <w:left w:val="single" w:color="auto" w:sz="4" w:space="0"/>
              <w:bottom w:val="single" w:color="auto" w:sz="4" w:space="0"/>
            </w:tcBorders>
            <w:vAlign w:val="center"/>
          </w:tcPr>
          <w:p w14:paraId="4272C506">
            <w:pPr>
              <w:widowControl/>
              <w:spacing w:line="360" w:lineRule="auto"/>
              <w:jc w:val="center"/>
              <w:rPr>
                <w:rFonts w:ascii="宋体" w:cs="宋体"/>
                <w:sz w:val="24"/>
                <w:szCs w:val="24"/>
                <w:highlight w:val="none"/>
              </w:rPr>
            </w:pPr>
            <w:r>
              <w:rPr>
                <w:rFonts w:hint="eastAsia" w:ascii="宋体" w:hAnsi="宋体" w:cs="宋体"/>
                <w:sz w:val="24"/>
                <w:szCs w:val="24"/>
                <w:highlight w:val="none"/>
              </w:rPr>
              <w:t>投标人名称及审查意见</w:t>
            </w:r>
          </w:p>
        </w:tc>
      </w:tr>
      <w:tr w14:paraId="62EB6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2" w:hRule="atLeast"/>
          <w:jc w:val="center"/>
        </w:trPr>
        <w:tc>
          <w:tcPr>
            <w:tcW w:w="568" w:type="dxa"/>
            <w:vMerge w:val="continue"/>
            <w:tcBorders>
              <w:bottom w:val="single" w:color="auto" w:sz="4" w:space="0"/>
              <w:right w:val="single" w:color="auto" w:sz="4" w:space="0"/>
            </w:tcBorders>
            <w:vAlign w:val="center"/>
          </w:tcPr>
          <w:p w14:paraId="001404E2">
            <w:pPr>
              <w:spacing w:before="60" w:beforeLines="25" w:after="60" w:afterLines="25" w:line="360" w:lineRule="auto"/>
              <w:jc w:val="center"/>
              <w:rPr>
                <w:rFonts w:ascii="宋体" w:cs="宋体"/>
                <w:sz w:val="24"/>
                <w:szCs w:val="24"/>
                <w:highlight w:val="none"/>
              </w:rPr>
            </w:pPr>
          </w:p>
        </w:tc>
        <w:tc>
          <w:tcPr>
            <w:tcW w:w="4105" w:type="dxa"/>
            <w:vMerge w:val="continue"/>
            <w:tcBorders>
              <w:left w:val="single" w:color="auto" w:sz="4" w:space="0"/>
              <w:bottom w:val="single" w:color="auto" w:sz="4" w:space="0"/>
              <w:right w:val="single" w:color="auto" w:sz="4" w:space="0"/>
            </w:tcBorders>
            <w:vAlign w:val="center"/>
          </w:tcPr>
          <w:p w14:paraId="251CD909">
            <w:pPr>
              <w:spacing w:before="60" w:beforeLines="25" w:after="60" w:afterLines="25" w:line="360" w:lineRule="auto"/>
              <w:jc w:val="center"/>
              <w:rPr>
                <w:rFonts w:ascii="宋体" w:cs="宋体"/>
                <w:sz w:val="24"/>
                <w:szCs w:val="24"/>
                <w:highlight w:val="none"/>
              </w:rPr>
            </w:pPr>
          </w:p>
        </w:tc>
        <w:tc>
          <w:tcPr>
            <w:tcW w:w="2977" w:type="dxa"/>
            <w:vMerge w:val="continue"/>
            <w:tcBorders>
              <w:top w:val="single" w:color="auto" w:sz="4" w:space="0"/>
              <w:left w:val="single" w:color="auto" w:sz="4" w:space="0"/>
              <w:bottom w:val="single" w:color="auto" w:sz="4" w:space="0"/>
              <w:right w:val="single" w:color="auto" w:sz="4" w:space="0"/>
            </w:tcBorders>
            <w:vAlign w:val="center"/>
          </w:tcPr>
          <w:p w14:paraId="54BE4EEA">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E10C283">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1FBA3C2A">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700A9EED">
            <w:pPr>
              <w:spacing w:before="60" w:beforeLines="25" w:after="60" w:afterLines="25" w:line="360" w:lineRule="auto"/>
              <w:rPr>
                <w:rFonts w:ascii="宋体" w:cs="宋体"/>
                <w:sz w:val="24"/>
                <w:szCs w:val="24"/>
                <w:highlight w:val="none"/>
              </w:rPr>
            </w:pPr>
          </w:p>
        </w:tc>
      </w:tr>
      <w:tr w14:paraId="1675F9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568" w:type="dxa"/>
            <w:tcBorders>
              <w:top w:val="single" w:color="auto" w:sz="4" w:space="0"/>
              <w:bottom w:val="single" w:color="auto" w:sz="4" w:space="0"/>
              <w:right w:val="single" w:color="auto" w:sz="4" w:space="0"/>
            </w:tcBorders>
            <w:vAlign w:val="center"/>
          </w:tcPr>
          <w:p w14:paraId="34954799">
            <w:pPr>
              <w:spacing w:before="60" w:beforeLines="25" w:after="60" w:afterLines="25" w:line="360" w:lineRule="auto"/>
              <w:jc w:val="center"/>
              <w:rPr>
                <w:rFonts w:ascii="宋体" w:cs="宋体"/>
                <w:sz w:val="24"/>
                <w:szCs w:val="24"/>
                <w:highlight w:val="none"/>
              </w:rPr>
            </w:pPr>
            <w:r>
              <w:rPr>
                <w:rFonts w:ascii="宋体" w:hAnsi="宋体" w:cs="宋体"/>
                <w:sz w:val="24"/>
                <w:szCs w:val="24"/>
                <w:highlight w:val="none"/>
              </w:rPr>
              <w:t>1</w:t>
            </w:r>
          </w:p>
        </w:tc>
        <w:tc>
          <w:tcPr>
            <w:tcW w:w="4105" w:type="dxa"/>
            <w:tcBorders>
              <w:top w:val="single" w:color="auto" w:sz="4" w:space="0"/>
              <w:left w:val="single" w:color="auto" w:sz="4" w:space="0"/>
              <w:bottom w:val="single" w:color="auto" w:sz="4" w:space="0"/>
              <w:right w:val="single" w:color="auto" w:sz="4" w:space="0"/>
            </w:tcBorders>
            <w:vAlign w:val="center"/>
          </w:tcPr>
          <w:p w14:paraId="4AA13F38">
            <w:pPr>
              <w:spacing w:line="360" w:lineRule="auto"/>
              <w:jc w:val="left"/>
              <w:rPr>
                <w:rFonts w:ascii="宋体" w:cs="宋体"/>
                <w:sz w:val="24"/>
                <w:szCs w:val="24"/>
                <w:highlight w:val="none"/>
              </w:rPr>
            </w:pPr>
            <w:r>
              <w:rPr>
                <w:rFonts w:hint="eastAsia" w:ascii="宋体" w:hAnsi="宋体" w:cs="宋体"/>
                <w:sz w:val="24"/>
                <w:szCs w:val="24"/>
                <w:highlight w:val="none"/>
              </w:rPr>
              <w:t>具有独立承担民事责任的能力</w:t>
            </w:r>
          </w:p>
        </w:tc>
        <w:tc>
          <w:tcPr>
            <w:tcW w:w="2977" w:type="dxa"/>
            <w:tcBorders>
              <w:top w:val="single" w:color="auto" w:sz="4" w:space="0"/>
              <w:left w:val="single" w:color="auto" w:sz="4" w:space="0"/>
              <w:bottom w:val="single" w:color="auto" w:sz="4" w:space="0"/>
              <w:right w:val="single" w:color="auto" w:sz="4" w:space="0"/>
            </w:tcBorders>
            <w:vAlign w:val="center"/>
          </w:tcPr>
          <w:p w14:paraId="766CCF9F">
            <w:pPr>
              <w:spacing w:before="60" w:beforeLines="25" w:after="60" w:afterLines="25" w:line="360" w:lineRule="auto"/>
              <w:jc w:val="left"/>
              <w:rPr>
                <w:rFonts w:ascii="宋体" w:cs="宋体"/>
                <w:sz w:val="24"/>
                <w:szCs w:val="24"/>
                <w:highlight w:val="none"/>
              </w:rPr>
            </w:pPr>
            <w:r>
              <w:rPr>
                <w:rFonts w:hint="eastAsia" w:ascii="宋体" w:hAnsi="宋体" w:cs="宋体"/>
                <w:sz w:val="24"/>
                <w:szCs w:val="24"/>
                <w:highlight w:val="none"/>
              </w:rPr>
              <w:t>符合第七章投标文件格式“一、投标文件</w:t>
            </w:r>
            <w:r>
              <w:rPr>
                <w:rFonts w:ascii="宋体" w:cs="宋体"/>
                <w:sz w:val="24"/>
                <w:szCs w:val="24"/>
                <w:highlight w:val="none"/>
              </w:rPr>
              <w:t>-</w:t>
            </w:r>
            <w:r>
              <w:rPr>
                <w:rFonts w:hint="eastAsia" w:ascii="宋体" w:hAnsi="宋体" w:cs="宋体"/>
                <w:sz w:val="24"/>
                <w:szCs w:val="24"/>
                <w:highlight w:val="none"/>
              </w:rPr>
              <w:t>资格证明材料”第</w:t>
            </w:r>
            <w:r>
              <w:rPr>
                <w:rFonts w:ascii="宋体" w:hAnsi="宋体" w:cs="宋体"/>
                <w:sz w:val="24"/>
                <w:szCs w:val="24"/>
                <w:highlight w:val="none"/>
              </w:rPr>
              <w:t>1.1</w:t>
            </w:r>
            <w:r>
              <w:rPr>
                <w:rFonts w:hint="eastAsia" w:ascii="宋体" w:hAnsi="宋体" w:cs="宋体"/>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46D19E72">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7FD0D987">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5AF9EFEF">
            <w:pPr>
              <w:spacing w:before="60" w:beforeLines="25" w:after="60" w:afterLines="25" w:line="360" w:lineRule="auto"/>
              <w:rPr>
                <w:rFonts w:ascii="宋体" w:cs="宋体"/>
                <w:sz w:val="24"/>
                <w:szCs w:val="24"/>
                <w:highlight w:val="none"/>
              </w:rPr>
            </w:pPr>
          </w:p>
        </w:tc>
      </w:tr>
      <w:tr w14:paraId="6756D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39B99C21">
            <w:pPr>
              <w:spacing w:before="60" w:beforeLines="25" w:after="60" w:afterLines="25" w:line="360" w:lineRule="auto"/>
              <w:jc w:val="center"/>
              <w:rPr>
                <w:rFonts w:ascii="宋体" w:cs="宋体"/>
                <w:sz w:val="24"/>
                <w:szCs w:val="24"/>
                <w:highlight w:val="none"/>
              </w:rPr>
            </w:pPr>
            <w:r>
              <w:rPr>
                <w:rFonts w:ascii="宋体" w:hAnsi="宋体" w:cs="宋体"/>
                <w:sz w:val="24"/>
                <w:szCs w:val="24"/>
                <w:highlight w:val="none"/>
              </w:rPr>
              <w:t>2</w:t>
            </w:r>
          </w:p>
        </w:tc>
        <w:tc>
          <w:tcPr>
            <w:tcW w:w="4105" w:type="dxa"/>
            <w:tcBorders>
              <w:top w:val="single" w:color="auto" w:sz="4" w:space="0"/>
              <w:left w:val="single" w:color="auto" w:sz="4" w:space="0"/>
              <w:bottom w:val="single" w:color="auto" w:sz="4" w:space="0"/>
              <w:right w:val="single" w:color="auto" w:sz="4" w:space="0"/>
            </w:tcBorders>
            <w:vAlign w:val="center"/>
          </w:tcPr>
          <w:p w14:paraId="5223C2C1">
            <w:pPr>
              <w:spacing w:line="360" w:lineRule="auto"/>
              <w:jc w:val="left"/>
              <w:rPr>
                <w:rFonts w:ascii="宋体" w:cs="宋体"/>
                <w:sz w:val="24"/>
                <w:szCs w:val="24"/>
                <w:highlight w:val="none"/>
              </w:rPr>
            </w:pPr>
            <w:r>
              <w:rPr>
                <w:rFonts w:hint="eastAsia" w:ascii="宋体" w:hAnsi="宋体" w:cs="宋体"/>
                <w:sz w:val="24"/>
                <w:szCs w:val="24"/>
                <w:highlight w:val="none"/>
              </w:rPr>
              <w:t>具有良好的商业信誉和健全的财务会计制度</w:t>
            </w:r>
          </w:p>
        </w:tc>
        <w:tc>
          <w:tcPr>
            <w:tcW w:w="2977" w:type="dxa"/>
            <w:tcBorders>
              <w:top w:val="single" w:color="auto" w:sz="4" w:space="0"/>
              <w:left w:val="single" w:color="auto" w:sz="4" w:space="0"/>
              <w:bottom w:val="single" w:color="auto" w:sz="4" w:space="0"/>
              <w:right w:val="single" w:color="auto" w:sz="4" w:space="0"/>
            </w:tcBorders>
            <w:vAlign w:val="center"/>
          </w:tcPr>
          <w:p w14:paraId="45A78B6D">
            <w:pPr>
              <w:spacing w:before="60" w:beforeLines="25" w:after="60" w:afterLines="25" w:line="360" w:lineRule="auto"/>
              <w:jc w:val="left"/>
              <w:rPr>
                <w:rFonts w:ascii="宋体" w:cs="宋体"/>
                <w:sz w:val="24"/>
                <w:szCs w:val="24"/>
                <w:highlight w:val="none"/>
              </w:rPr>
            </w:pPr>
            <w:r>
              <w:rPr>
                <w:rFonts w:hint="eastAsia" w:ascii="宋体" w:hAnsi="宋体" w:cs="宋体"/>
                <w:sz w:val="24"/>
                <w:szCs w:val="24"/>
                <w:highlight w:val="none"/>
              </w:rPr>
              <w:t>符合第七章投标文件格式“一、投标文件</w:t>
            </w:r>
            <w:r>
              <w:rPr>
                <w:rFonts w:ascii="宋体" w:cs="宋体"/>
                <w:sz w:val="24"/>
                <w:szCs w:val="24"/>
                <w:highlight w:val="none"/>
              </w:rPr>
              <w:t>-</w:t>
            </w:r>
            <w:r>
              <w:rPr>
                <w:rFonts w:hint="eastAsia" w:ascii="宋体" w:hAnsi="宋体" w:cs="宋体"/>
                <w:sz w:val="24"/>
                <w:szCs w:val="24"/>
                <w:highlight w:val="none"/>
              </w:rPr>
              <w:t>资格证明材料”第</w:t>
            </w:r>
            <w:r>
              <w:rPr>
                <w:rFonts w:ascii="宋体" w:hAnsi="宋体" w:cs="宋体"/>
                <w:sz w:val="24"/>
                <w:szCs w:val="24"/>
                <w:highlight w:val="none"/>
              </w:rPr>
              <w:t>1.2</w:t>
            </w:r>
            <w:r>
              <w:rPr>
                <w:rFonts w:hint="eastAsia" w:ascii="宋体" w:hAnsi="宋体" w:cs="宋体"/>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57D2CB6F">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0CF96F80">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45B302B1">
            <w:pPr>
              <w:spacing w:before="60" w:beforeLines="25" w:after="60" w:afterLines="25" w:line="360" w:lineRule="auto"/>
              <w:rPr>
                <w:rFonts w:ascii="宋体" w:cs="宋体"/>
                <w:sz w:val="24"/>
                <w:szCs w:val="24"/>
                <w:highlight w:val="none"/>
              </w:rPr>
            </w:pPr>
          </w:p>
        </w:tc>
      </w:tr>
      <w:tr w14:paraId="764729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7AB8002F">
            <w:pPr>
              <w:spacing w:before="60" w:beforeLines="25" w:after="60" w:afterLines="25" w:line="360" w:lineRule="auto"/>
              <w:jc w:val="center"/>
              <w:rPr>
                <w:rFonts w:ascii="宋体" w:cs="宋体"/>
                <w:sz w:val="24"/>
                <w:szCs w:val="24"/>
                <w:highlight w:val="none"/>
              </w:rPr>
            </w:pPr>
            <w:r>
              <w:rPr>
                <w:rFonts w:ascii="宋体" w:hAnsi="宋体" w:cs="宋体"/>
                <w:sz w:val="24"/>
                <w:szCs w:val="24"/>
                <w:highlight w:val="none"/>
              </w:rPr>
              <w:t>3</w:t>
            </w:r>
          </w:p>
        </w:tc>
        <w:tc>
          <w:tcPr>
            <w:tcW w:w="4105" w:type="dxa"/>
            <w:tcBorders>
              <w:top w:val="single" w:color="auto" w:sz="4" w:space="0"/>
              <w:left w:val="single" w:color="auto" w:sz="4" w:space="0"/>
              <w:bottom w:val="single" w:color="auto" w:sz="4" w:space="0"/>
              <w:right w:val="single" w:color="auto" w:sz="4" w:space="0"/>
            </w:tcBorders>
            <w:vAlign w:val="center"/>
          </w:tcPr>
          <w:p w14:paraId="373CBD41">
            <w:pPr>
              <w:spacing w:line="360" w:lineRule="auto"/>
              <w:jc w:val="left"/>
              <w:rPr>
                <w:rFonts w:ascii="宋体" w:cs="宋体"/>
                <w:sz w:val="24"/>
                <w:szCs w:val="24"/>
                <w:highlight w:val="none"/>
              </w:rPr>
            </w:pPr>
            <w:r>
              <w:rPr>
                <w:rFonts w:hint="eastAsia" w:ascii="宋体" w:hAnsi="宋体" w:cs="宋体"/>
                <w:color w:val="000000"/>
                <w:sz w:val="24"/>
                <w:szCs w:val="24"/>
                <w:highlight w:val="none"/>
              </w:rPr>
              <w:t>具有履行合同所必需的设备和专业技术能力</w:t>
            </w:r>
          </w:p>
        </w:tc>
        <w:tc>
          <w:tcPr>
            <w:tcW w:w="2977" w:type="dxa"/>
            <w:tcBorders>
              <w:top w:val="single" w:color="auto" w:sz="4" w:space="0"/>
              <w:left w:val="single" w:color="auto" w:sz="4" w:space="0"/>
              <w:bottom w:val="single" w:color="auto" w:sz="4" w:space="0"/>
              <w:right w:val="single" w:color="auto" w:sz="4" w:space="0"/>
            </w:tcBorders>
            <w:vAlign w:val="center"/>
          </w:tcPr>
          <w:p w14:paraId="64CBD7C3">
            <w:pPr>
              <w:spacing w:before="60" w:beforeLines="25" w:after="60" w:afterLines="25" w:line="360" w:lineRule="auto"/>
              <w:jc w:val="left"/>
              <w:rPr>
                <w:rFonts w:ascii="宋体" w:cs="宋体"/>
                <w:sz w:val="24"/>
                <w:szCs w:val="24"/>
                <w:highlight w:val="none"/>
              </w:rPr>
            </w:pPr>
            <w:r>
              <w:rPr>
                <w:rFonts w:hint="eastAsia" w:ascii="宋体" w:hAnsi="宋体" w:cs="宋体"/>
                <w:sz w:val="24"/>
                <w:szCs w:val="24"/>
                <w:highlight w:val="none"/>
              </w:rPr>
              <w:t>符合第七章投标文件格式“一、投标文件</w:t>
            </w:r>
            <w:r>
              <w:rPr>
                <w:rFonts w:ascii="宋体" w:cs="宋体"/>
                <w:sz w:val="24"/>
                <w:szCs w:val="24"/>
                <w:highlight w:val="none"/>
              </w:rPr>
              <w:t>-</w:t>
            </w:r>
            <w:r>
              <w:rPr>
                <w:rFonts w:hint="eastAsia" w:ascii="宋体" w:hAnsi="宋体" w:cs="宋体"/>
                <w:sz w:val="24"/>
                <w:szCs w:val="24"/>
                <w:highlight w:val="none"/>
              </w:rPr>
              <w:t>资格证明材料”第</w:t>
            </w:r>
            <w:r>
              <w:rPr>
                <w:rFonts w:ascii="宋体" w:hAnsi="宋体" w:cs="宋体"/>
                <w:sz w:val="24"/>
                <w:szCs w:val="24"/>
                <w:highlight w:val="none"/>
              </w:rPr>
              <w:t>1.3</w:t>
            </w:r>
            <w:r>
              <w:rPr>
                <w:rFonts w:hint="eastAsia" w:ascii="宋体" w:hAnsi="宋体" w:cs="宋体"/>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3C645FBC">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8AAE425">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6CFD3B91">
            <w:pPr>
              <w:spacing w:before="60" w:beforeLines="25" w:after="60" w:afterLines="25" w:line="360" w:lineRule="auto"/>
              <w:rPr>
                <w:rFonts w:ascii="宋体" w:cs="宋体"/>
                <w:sz w:val="24"/>
                <w:szCs w:val="24"/>
                <w:highlight w:val="none"/>
              </w:rPr>
            </w:pPr>
          </w:p>
        </w:tc>
      </w:tr>
      <w:tr w14:paraId="090F7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1E18CBA6">
            <w:pPr>
              <w:spacing w:before="60" w:beforeLines="25" w:after="60" w:afterLines="25" w:line="360" w:lineRule="auto"/>
              <w:jc w:val="center"/>
              <w:rPr>
                <w:rFonts w:ascii="宋体" w:cs="宋体"/>
                <w:sz w:val="24"/>
                <w:szCs w:val="24"/>
                <w:highlight w:val="none"/>
              </w:rPr>
            </w:pPr>
            <w:r>
              <w:rPr>
                <w:rFonts w:ascii="宋体" w:hAnsi="宋体" w:cs="宋体"/>
                <w:sz w:val="24"/>
                <w:szCs w:val="24"/>
                <w:highlight w:val="none"/>
              </w:rPr>
              <w:t>4</w:t>
            </w:r>
          </w:p>
        </w:tc>
        <w:tc>
          <w:tcPr>
            <w:tcW w:w="4105" w:type="dxa"/>
            <w:tcBorders>
              <w:top w:val="single" w:color="auto" w:sz="4" w:space="0"/>
              <w:left w:val="single" w:color="auto" w:sz="4" w:space="0"/>
              <w:bottom w:val="single" w:color="auto" w:sz="4" w:space="0"/>
              <w:right w:val="single" w:color="auto" w:sz="4" w:space="0"/>
            </w:tcBorders>
            <w:vAlign w:val="center"/>
          </w:tcPr>
          <w:p w14:paraId="632019C3">
            <w:pPr>
              <w:spacing w:line="360" w:lineRule="auto"/>
              <w:jc w:val="left"/>
              <w:rPr>
                <w:rFonts w:ascii="宋体" w:cs="宋体"/>
                <w:sz w:val="24"/>
                <w:szCs w:val="24"/>
                <w:highlight w:val="none"/>
              </w:rPr>
            </w:pPr>
            <w:r>
              <w:rPr>
                <w:rFonts w:hint="eastAsia" w:ascii="宋体" w:hAnsi="宋体" w:cs="宋体"/>
                <w:color w:val="000000"/>
                <w:kern w:val="0"/>
                <w:sz w:val="24"/>
                <w:szCs w:val="24"/>
                <w:highlight w:val="none"/>
                <w:lang w:val="zh-CN"/>
              </w:rPr>
              <w:t>有依法缴纳税收和社会保障资金的良好记录</w:t>
            </w:r>
          </w:p>
        </w:tc>
        <w:tc>
          <w:tcPr>
            <w:tcW w:w="2977" w:type="dxa"/>
            <w:tcBorders>
              <w:top w:val="single" w:color="auto" w:sz="4" w:space="0"/>
              <w:left w:val="single" w:color="auto" w:sz="4" w:space="0"/>
              <w:bottom w:val="single" w:color="auto" w:sz="4" w:space="0"/>
              <w:right w:val="single" w:color="auto" w:sz="4" w:space="0"/>
            </w:tcBorders>
            <w:vAlign w:val="center"/>
          </w:tcPr>
          <w:p w14:paraId="4A646B0E">
            <w:pPr>
              <w:spacing w:before="60" w:beforeLines="25" w:after="60" w:afterLines="25" w:line="360" w:lineRule="auto"/>
              <w:jc w:val="left"/>
              <w:rPr>
                <w:rFonts w:ascii="宋体" w:cs="宋体"/>
                <w:sz w:val="24"/>
                <w:szCs w:val="24"/>
                <w:highlight w:val="none"/>
              </w:rPr>
            </w:pPr>
            <w:r>
              <w:rPr>
                <w:rFonts w:hint="eastAsia" w:ascii="宋体" w:hAnsi="宋体" w:cs="宋体"/>
                <w:sz w:val="24"/>
                <w:szCs w:val="24"/>
                <w:highlight w:val="none"/>
              </w:rPr>
              <w:t>符合第七章投标文件格式“一、投标文件</w:t>
            </w:r>
            <w:r>
              <w:rPr>
                <w:rFonts w:ascii="宋体" w:cs="宋体"/>
                <w:sz w:val="24"/>
                <w:szCs w:val="24"/>
                <w:highlight w:val="none"/>
              </w:rPr>
              <w:t>-</w:t>
            </w:r>
            <w:r>
              <w:rPr>
                <w:rFonts w:hint="eastAsia" w:ascii="宋体" w:hAnsi="宋体" w:cs="宋体"/>
                <w:sz w:val="24"/>
                <w:szCs w:val="24"/>
                <w:highlight w:val="none"/>
              </w:rPr>
              <w:t>资格证明材料”第</w:t>
            </w:r>
            <w:r>
              <w:rPr>
                <w:rFonts w:ascii="宋体" w:hAnsi="宋体" w:cs="宋体"/>
                <w:sz w:val="24"/>
                <w:szCs w:val="24"/>
                <w:highlight w:val="none"/>
              </w:rPr>
              <w:t>1.4</w:t>
            </w:r>
            <w:r>
              <w:rPr>
                <w:rFonts w:hint="eastAsia" w:ascii="宋体" w:hAnsi="宋体" w:cs="宋体"/>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DB4187F">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A674A64">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00EDE1B5">
            <w:pPr>
              <w:spacing w:before="60" w:beforeLines="25" w:after="60" w:afterLines="25" w:line="360" w:lineRule="auto"/>
              <w:rPr>
                <w:rFonts w:ascii="宋体" w:cs="宋体"/>
                <w:sz w:val="24"/>
                <w:szCs w:val="24"/>
                <w:highlight w:val="none"/>
              </w:rPr>
            </w:pPr>
          </w:p>
        </w:tc>
      </w:tr>
      <w:tr w14:paraId="21518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68" w:type="dxa"/>
            <w:tcBorders>
              <w:top w:val="single" w:color="auto" w:sz="4" w:space="0"/>
              <w:bottom w:val="single" w:color="auto" w:sz="4" w:space="0"/>
              <w:right w:val="single" w:color="auto" w:sz="4" w:space="0"/>
            </w:tcBorders>
            <w:vAlign w:val="center"/>
          </w:tcPr>
          <w:p w14:paraId="0708C45B">
            <w:pPr>
              <w:spacing w:before="60" w:beforeLines="25" w:after="60" w:afterLines="25" w:line="360" w:lineRule="auto"/>
              <w:jc w:val="center"/>
              <w:rPr>
                <w:rFonts w:ascii="宋体" w:cs="宋体"/>
                <w:color w:val="000000"/>
                <w:sz w:val="24"/>
                <w:szCs w:val="24"/>
                <w:highlight w:val="none"/>
              </w:rPr>
            </w:pPr>
            <w:r>
              <w:rPr>
                <w:rFonts w:ascii="宋体" w:hAnsi="宋体" w:cs="宋体"/>
                <w:color w:val="000000"/>
                <w:sz w:val="24"/>
                <w:szCs w:val="24"/>
                <w:highlight w:val="none"/>
              </w:rPr>
              <w:t>5</w:t>
            </w:r>
          </w:p>
        </w:tc>
        <w:tc>
          <w:tcPr>
            <w:tcW w:w="4105" w:type="dxa"/>
            <w:tcBorders>
              <w:top w:val="single" w:color="auto" w:sz="4" w:space="0"/>
              <w:left w:val="single" w:color="auto" w:sz="4" w:space="0"/>
              <w:bottom w:val="single" w:color="auto" w:sz="4" w:space="0"/>
              <w:right w:val="single" w:color="auto" w:sz="4" w:space="0"/>
            </w:tcBorders>
            <w:vAlign w:val="center"/>
          </w:tcPr>
          <w:p w14:paraId="50CE09BD">
            <w:pPr>
              <w:spacing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参加政府采购活动前三年内，在经营活动中没有重大违法记录</w:t>
            </w:r>
          </w:p>
        </w:tc>
        <w:tc>
          <w:tcPr>
            <w:tcW w:w="2977" w:type="dxa"/>
            <w:tcBorders>
              <w:top w:val="single" w:color="auto" w:sz="4" w:space="0"/>
              <w:left w:val="single" w:color="auto" w:sz="4" w:space="0"/>
              <w:bottom w:val="single" w:color="auto" w:sz="4" w:space="0"/>
              <w:right w:val="single" w:color="auto" w:sz="4" w:space="0"/>
            </w:tcBorders>
            <w:vAlign w:val="center"/>
          </w:tcPr>
          <w:p w14:paraId="1616D27A">
            <w:pPr>
              <w:spacing w:before="60" w:beforeLines="25" w:after="60" w:afterLines="25"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符合第七章投标文件格式“一、投标文件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资格证明材料”第</w:t>
            </w:r>
            <w:r>
              <w:rPr>
                <w:rFonts w:ascii="宋体" w:hAnsi="宋体" w:cs="宋体"/>
                <w:color w:val="000000"/>
                <w:sz w:val="24"/>
                <w:szCs w:val="24"/>
                <w:highlight w:val="none"/>
              </w:rPr>
              <w:t>1.5</w:t>
            </w:r>
            <w:r>
              <w:rPr>
                <w:rFonts w:hint="eastAsia" w:ascii="宋体" w:hAnsi="宋体" w:cs="宋体"/>
                <w:color w:val="000000"/>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54E63714">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6733FF45">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133B18C7">
            <w:pPr>
              <w:spacing w:before="60" w:beforeLines="25" w:after="60" w:afterLines="25" w:line="360" w:lineRule="auto"/>
              <w:rPr>
                <w:rFonts w:ascii="宋体" w:cs="宋体"/>
                <w:sz w:val="24"/>
                <w:szCs w:val="24"/>
                <w:highlight w:val="none"/>
              </w:rPr>
            </w:pPr>
          </w:p>
        </w:tc>
      </w:tr>
      <w:tr w14:paraId="7E4407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68" w:type="dxa"/>
            <w:tcBorders>
              <w:top w:val="single" w:color="auto" w:sz="4" w:space="0"/>
              <w:bottom w:val="single" w:color="auto" w:sz="4" w:space="0"/>
              <w:right w:val="single" w:color="auto" w:sz="4" w:space="0"/>
            </w:tcBorders>
            <w:vAlign w:val="center"/>
          </w:tcPr>
          <w:p w14:paraId="1869D071">
            <w:pPr>
              <w:spacing w:before="60" w:beforeLines="25" w:after="60" w:afterLines="25" w:line="360" w:lineRule="auto"/>
              <w:jc w:val="center"/>
              <w:rPr>
                <w:rFonts w:ascii="宋体" w:cs="宋体"/>
                <w:color w:val="000000"/>
                <w:sz w:val="24"/>
                <w:szCs w:val="24"/>
                <w:highlight w:val="none"/>
              </w:rPr>
            </w:pPr>
            <w:r>
              <w:rPr>
                <w:rFonts w:ascii="宋体" w:hAnsi="宋体" w:cs="宋体"/>
                <w:color w:val="000000"/>
                <w:sz w:val="24"/>
                <w:szCs w:val="24"/>
                <w:highlight w:val="none"/>
              </w:rPr>
              <w:t>6</w:t>
            </w:r>
          </w:p>
        </w:tc>
        <w:tc>
          <w:tcPr>
            <w:tcW w:w="4105" w:type="dxa"/>
            <w:tcBorders>
              <w:top w:val="single" w:color="auto" w:sz="4" w:space="0"/>
              <w:left w:val="single" w:color="auto" w:sz="4" w:space="0"/>
              <w:bottom w:val="single" w:color="auto" w:sz="4" w:space="0"/>
              <w:right w:val="single" w:color="auto" w:sz="4" w:space="0"/>
            </w:tcBorders>
            <w:vAlign w:val="center"/>
          </w:tcPr>
          <w:p w14:paraId="51C39820">
            <w:pPr>
              <w:spacing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符合招标文件第二章“投标人须知前附表”</w:t>
            </w:r>
            <w:r>
              <w:rPr>
                <w:rFonts w:hint="eastAsia" w:ascii="宋体" w:hAnsi="宋体" w:cs="宋体"/>
                <w:color w:val="000000"/>
                <w:sz w:val="24"/>
                <w:szCs w:val="24"/>
                <w:highlight w:val="none"/>
                <w:lang w:val="en-US" w:eastAsia="zh-CN"/>
              </w:rPr>
              <w:t>10</w:t>
            </w:r>
            <w:r>
              <w:rPr>
                <w:rFonts w:hint="eastAsia" w:ascii="宋体" w:hAnsi="宋体" w:cs="宋体"/>
                <w:color w:val="000000"/>
                <w:sz w:val="24"/>
                <w:szCs w:val="24"/>
                <w:highlight w:val="none"/>
              </w:rPr>
              <w:t>中第</w:t>
            </w:r>
            <w:r>
              <w:rPr>
                <w:rFonts w:ascii="宋体" w:hAnsi="宋体" w:cs="宋体"/>
                <w:color w:val="000000"/>
                <w:sz w:val="24"/>
                <w:szCs w:val="24"/>
                <w:highlight w:val="none"/>
              </w:rPr>
              <w:t>2</w:t>
            </w:r>
            <w:r>
              <w:rPr>
                <w:rFonts w:hint="eastAsia" w:ascii="宋体" w:hAnsi="宋体" w:cs="宋体"/>
                <w:color w:val="000000"/>
                <w:sz w:val="24"/>
                <w:szCs w:val="24"/>
                <w:highlight w:val="none"/>
              </w:rPr>
              <w:t>条的证明材料</w:t>
            </w:r>
          </w:p>
        </w:tc>
        <w:tc>
          <w:tcPr>
            <w:tcW w:w="2977" w:type="dxa"/>
            <w:tcBorders>
              <w:top w:val="single" w:color="auto" w:sz="4" w:space="0"/>
              <w:left w:val="single" w:color="auto" w:sz="4" w:space="0"/>
              <w:bottom w:val="single" w:color="auto" w:sz="4" w:space="0"/>
              <w:right w:val="single" w:color="auto" w:sz="4" w:space="0"/>
            </w:tcBorders>
            <w:vAlign w:val="center"/>
          </w:tcPr>
          <w:p w14:paraId="3E6D1BD7">
            <w:pPr>
              <w:spacing w:before="60" w:beforeLines="25" w:after="60" w:afterLines="25"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符合第七章投标文件格式“一、投标文件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资格证明材料”第</w:t>
            </w:r>
            <w:r>
              <w:rPr>
                <w:rFonts w:ascii="宋体" w:hAnsi="宋体" w:cs="宋体"/>
                <w:color w:val="000000"/>
                <w:sz w:val="24"/>
                <w:szCs w:val="24"/>
                <w:highlight w:val="none"/>
              </w:rPr>
              <w:t>1.6</w:t>
            </w:r>
            <w:r>
              <w:rPr>
                <w:rFonts w:hint="eastAsia" w:ascii="宋体" w:hAnsi="宋体" w:cs="宋体"/>
                <w:color w:val="000000"/>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1DAFC5B0">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7D850E49">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3AE9B8A6">
            <w:pPr>
              <w:spacing w:before="60" w:beforeLines="25" w:after="60" w:afterLines="25" w:line="360" w:lineRule="auto"/>
              <w:rPr>
                <w:rFonts w:ascii="宋体" w:cs="宋体"/>
                <w:sz w:val="24"/>
                <w:szCs w:val="24"/>
                <w:highlight w:val="none"/>
              </w:rPr>
            </w:pPr>
          </w:p>
        </w:tc>
      </w:tr>
      <w:tr w14:paraId="3C8C06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4831DB97">
            <w:pPr>
              <w:spacing w:before="60" w:beforeLines="25" w:after="60" w:afterLines="25" w:line="360" w:lineRule="auto"/>
              <w:jc w:val="center"/>
              <w:rPr>
                <w:rFonts w:ascii="宋体" w:cs="宋体"/>
                <w:color w:val="000000"/>
                <w:sz w:val="24"/>
                <w:szCs w:val="24"/>
                <w:highlight w:val="none"/>
              </w:rPr>
            </w:pPr>
            <w:r>
              <w:rPr>
                <w:rFonts w:ascii="宋体" w:hAnsi="宋体" w:cs="宋体"/>
                <w:color w:val="000000"/>
                <w:sz w:val="24"/>
                <w:szCs w:val="24"/>
                <w:highlight w:val="none"/>
              </w:rPr>
              <w:t>7</w:t>
            </w:r>
          </w:p>
        </w:tc>
        <w:tc>
          <w:tcPr>
            <w:tcW w:w="4105" w:type="dxa"/>
            <w:tcBorders>
              <w:top w:val="single" w:color="auto" w:sz="4" w:space="0"/>
              <w:left w:val="single" w:color="auto" w:sz="4" w:space="0"/>
              <w:bottom w:val="single" w:color="auto" w:sz="4" w:space="0"/>
              <w:right w:val="single" w:color="auto" w:sz="4" w:space="0"/>
            </w:tcBorders>
            <w:vAlign w:val="center"/>
          </w:tcPr>
          <w:p w14:paraId="2D850CB4">
            <w:pPr>
              <w:spacing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符合招标文件第二章“</w:t>
            </w:r>
            <w:r>
              <w:rPr>
                <w:rFonts w:hint="eastAsia" w:ascii="宋体" w:hAnsi="宋体" w:cs="宋体"/>
                <w:bCs/>
                <w:kern w:val="0"/>
                <w:sz w:val="24"/>
                <w:szCs w:val="24"/>
                <w:highlight w:val="none"/>
              </w:rPr>
              <w:t>投标人须知前附表”</w:t>
            </w:r>
            <w:r>
              <w:rPr>
                <w:rFonts w:hint="eastAsia" w:ascii="宋体" w:hAnsi="宋体" w:cs="宋体"/>
                <w:bCs/>
                <w:kern w:val="0"/>
                <w:sz w:val="24"/>
                <w:szCs w:val="24"/>
                <w:highlight w:val="none"/>
                <w:lang w:val="en-US" w:eastAsia="zh-CN"/>
              </w:rPr>
              <w:t>10</w:t>
            </w:r>
            <w:r>
              <w:rPr>
                <w:rFonts w:hint="eastAsia" w:ascii="宋体" w:hAnsi="宋体" w:cs="宋体"/>
                <w:bCs/>
                <w:kern w:val="0"/>
                <w:sz w:val="24"/>
                <w:szCs w:val="24"/>
                <w:highlight w:val="none"/>
              </w:rPr>
              <w:t>中第</w:t>
            </w:r>
            <w:r>
              <w:rPr>
                <w:rFonts w:ascii="宋体" w:hAnsi="宋体" w:cs="宋体"/>
                <w:bCs/>
                <w:kern w:val="0"/>
                <w:sz w:val="24"/>
                <w:szCs w:val="24"/>
                <w:highlight w:val="none"/>
              </w:rPr>
              <w:t>3</w:t>
            </w:r>
            <w:r>
              <w:rPr>
                <w:rFonts w:hint="eastAsia" w:ascii="宋体" w:hAnsi="宋体" w:cs="宋体"/>
                <w:bCs/>
                <w:kern w:val="0"/>
                <w:sz w:val="24"/>
                <w:szCs w:val="24"/>
                <w:highlight w:val="none"/>
              </w:rPr>
              <w:t>条的证明材料</w:t>
            </w:r>
          </w:p>
        </w:tc>
        <w:tc>
          <w:tcPr>
            <w:tcW w:w="2977" w:type="dxa"/>
            <w:tcBorders>
              <w:top w:val="single" w:color="auto" w:sz="4" w:space="0"/>
              <w:left w:val="single" w:color="auto" w:sz="4" w:space="0"/>
              <w:bottom w:val="single" w:color="auto" w:sz="4" w:space="0"/>
              <w:right w:val="single" w:color="auto" w:sz="4" w:space="0"/>
            </w:tcBorders>
            <w:vAlign w:val="center"/>
          </w:tcPr>
          <w:p w14:paraId="78621C93">
            <w:pPr>
              <w:spacing w:before="60" w:beforeLines="25" w:after="60" w:afterLines="25"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符合第七章投标文件格式“一、投标文件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资格证明材料”第</w:t>
            </w:r>
            <w:r>
              <w:rPr>
                <w:rFonts w:ascii="宋体" w:hAnsi="宋体" w:cs="宋体"/>
                <w:color w:val="000000"/>
                <w:sz w:val="24"/>
                <w:szCs w:val="24"/>
                <w:highlight w:val="none"/>
              </w:rPr>
              <w:t>1.7</w:t>
            </w:r>
            <w:r>
              <w:rPr>
                <w:rFonts w:hint="eastAsia" w:ascii="宋体" w:hAnsi="宋体" w:cs="宋体"/>
                <w:color w:val="000000"/>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E351075">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0777896E">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08ECB603">
            <w:pPr>
              <w:spacing w:before="60" w:beforeLines="25" w:after="60" w:afterLines="25" w:line="360" w:lineRule="auto"/>
              <w:rPr>
                <w:rFonts w:ascii="宋体" w:cs="宋体"/>
                <w:sz w:val="24"/>
                <w:szCs w:val="24"/>
                <w:highlight w:val="none"/>
              </w:rPr>
            </w:pPr>
          </w:p>
        </w:tc>
      </w:tr>
      <w:tr w14:paraId="0D700D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2A6DD19F">
            <w:pPr>
              <w:spacing w:before="60" w:beforeLines="25" w:after="60" w:afterLines="25" w:line="360" w:lineRule="auto"/>
              <w:jc w:val="center"/>
              <w:rPr>
                <w:rFonts w:ascii="宋体" w:cs="宋体"/>
                <w:color w:val="000000"/>
                <w:sz w:val="24"/>
                <w:szCs w:val="24"/>
                <w:highlight w:val="none"/>
              </w:rPr>
            </w:pPr>
            <w:r>
              <w:rPr>
                <w:rFonts w:ascii="宋体" w:hAnsi="宋体" w:cs="宋体"/>
                <w:color w:val="000000"/>
                <w:sz w:val="24"/>
                <w:szCs w:val="24"/>
                <w:highlight w:val="none"/>
              </w:rPr>
              <w:t>8</w:t>
            </w:r>
          </w:p>
        </w:tc>
        <w:tc>
          <w:tcPr>
            <w:tcW w:w="4105" w:type="dxa"/>
            <w:tcBorders>
              <w:top w:val="single" w:color="auto" w:sz="4" w:space="0"/>
              <w:left w:val="single" w:color="auto" w:sz="4" w:space="0"/>
              <w:bottom w:val="single" w:color="auto" w:sz="4" w:space="0"/>
              <w:right w:val="single" w:color="auto" w:sz="4" w:space="0"/>
            </w:tcBorders>
            <w:vAlign w:val="center"/>
          </w:tcPr>
          <w:p w14:paraId="0551B1F7">
            <w:pPr>
              <w:spacing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投标承诺书</w:t>
            </w:r>
          </w:p>
        </w:tc>
        <w:tc>
          <w:tcPr>
            <w:tcW w:w="2977" w:type="dxa"/>
            <w:tcBorders>
              <w:top w:val="single" w:color="auto" w:sz="4" w:space="0"/>
              <w:left w:val="single" w:color="auto" w:sz="4" w:space="0"/>
              <w:bottom w:val="single" w:color="auto" w:sz="4" w:space="0"/>
              <w:right w:val="single" w:color="auto" w:sz="4" w:space="0"/>
            </w:tcBorders>
            <w:vAlign w:val="center"/>
          </w:tcPr>
          <w:p w14:paraId="2DBF484D">
            <w:pPr>
              <w:spacing w:before="60" w:beforeLines="25" w:after="60" w:afterLines="25"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符合第七章投标文件格式“一、投标文件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资格证明材料”第</w:t>
            </w:r>
            <w:r>
              <w:rPr>
                <w:rFonts w:ascii="宋体" w:hAnsi="宋体" w:cs="宋体"/>
                <w:color w:val="000000"/>
                <w:sz w:val="24"/>
                <w:szCs w:val="24"/>
                <w:highlight w:val="none"/>
              </w:rPr>
              <w:t>1.8</w:t>
            </w:r>
            <w:r>
              <w:rPr>
                <w:rFonts w:hint="eastAsia" w:ascii="宋体" w:hAnsi="宋体" w:cs="宋体"/>
                <w:color w:val="000000"/>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3B60B035">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5D55F2CD">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442D7BAB">
            <w:pPr>
              <w:spacing w:before="60" w:beforeLines="25" w:after="60" w:afterLines="25" w:line="360" w:lineRule="auto"/>
              <w:rPr>
                <w:rFonts w:ascii="宋体" w:cs="宋体"/>
                <w:sz w:val="24"/>
                <w:szCs w:val="24"/>
                <w:highlight w:val="none"/>
              </w:rPr>
            </w:pPr>
          </w:p>
        </w:tc>
      </w:tr>
      <w:tr w14:paraId="3BC6E6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1A9C1C75">
            <w:pPr>
              <w:spacing w:before="60" w:beforeLines="25" w:after="60" w:afterLines="25" w:line="360" w:lineRule="auto"/>
              <w:jc w:val="center"/>
              <w:rPr>
                <w:rFonts w:ascii="宋体" w:cs="宋体"/>
                <w:color w:val="000000"/>
                <w:sz w:val="24"/>
                <w:szCs w:val="24"/>
                <w:highlight w:val="none"/>
              </w:rPr>
            </w:pPr>
            <w:r>
              <w:rPr>
                <w:rFonts w:ascii="宋体" w:hAnsi="宋体" w:cs="宋体"/>
                <w:color w:val="000000"/>
                <w:sz w:val="24"/>
                <w:szCs w:val="24"/>
                <w:highlight w:val="none"/>
              </w:rPr>
              <w:t>9</w:t>
            </w:r>
          </w:p>
        </w:tc>
        <w:tc>
          <w:tcPr>
            <w:tcW w:w="4105" w:type="dxa"/>
            <w:tcBorders>
              <w:top w:val="single" w:color="auto" w:sz="4" w:space="0"/>
              <w:left w:val="single" w:color="auto" w:sz="4" w:space="0"/>
              <w:bottom w:val="single" w:color="auto" w:sz="4" w:space="0"/>
              <w:right w:val="single" w:color="auto" w:sz="4" w:space="0"/>
            </w:tcBorders>
            <w:vAlign w:val="center"/>
          </w:tcPr>
          <w:p w14:paraId="120CFB98">
            <w:pPr>
              <w:spacing w:line="360" w:lineRule="auto"/>
              <w:jc w:val="left"/>
              <w:rPr>
                <w:rFonts w:ascii="宋体" w:cs="宋体"/>
                <w:color w:val="000000"/>
                <w:sz w:val="24"/>
                <w:szCs w:val="24"/>
                <w:highlight w:val="none"/>
              </w:rPr>
            </w:pPr>
            <w:r>
              <w:rPr>
                <w:rFonts w:hint="eastAsia" w:ascii="宋体" w:hAnsi="宋体" w:cs="宋体"/>
                <w:color w:val="000000"/>
                <w:sz w:val="24"/>
                <w:szCs w:val="22"/>
                <w:highlight w:val="none"/>
              </w:rPr>
              <w:t>投标保证金凭证</w:t>
            </w:r>
          </w:p>
        </w:tc>
        <w:tc>
          <w:tcPr>
            <w:tcW w:w="2977" w:type="dxa"/>
            <w:tcBorders>
              <w:top w:val="single" w:color="auto" w:sz="4" w:space="0"/>
              <w:left w:val="single" w:color="auto" w:sz="4" w:space="0"/>
              <w:bottom w:val="single" w:color="auto" w:sz="4" w:space="0"/>
              <w:right w:val="single" w:color="auto" w:sz="4" w:space="0"/>
            </w:tcBorders>
            <w:vAlign w:val="center"/>
          </w:tcPr>
          <w:p w14:paraId="7E7F093F">
            <w:pPr>
              <w:spacing w:before="60" w:beforeLines="25" w:after="60" w:afterLines="25" w:line="360" w:lineRule="auto"/>
              <w:jc w:val="left"/>
              <w:rPr>
                <w:rFonts w:ascii="宋体" w:cs="宋体"/>
                <w:color w:val="000000"/>
                <w:sz w:val="24"/>
                <w:szCs w:val="24"/>
                <w:highlight w:val="none"/>
              </w:rPr>
            </w:pPr>
            <w:r>
              <w:rPr>
                <w:rFonts w:hint="eastAsia" w:ascii="宋体" w:hAnsi="宋体" w:cs="宋体"/>
                <w:color w:val="000000"/>
                <w:sz w:val="24"/>
                <w:szCs w:val="24"/>
                <w:highlight w:val="none"/>
              </w:rPr>
              <w:t>符合第七章投标文件格式“一、投标文件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资格证明材料”第</w:t>
            </w:r>
            <w:r>
              <w:rPr>
                <w:rFonts w:ascii="宋体" w:hAnsi="宋体" w:cs="宋体"/>
                <w:color w:val="000000"/>
                <w:sz w:val="24"/>
                <w:szCs w:val="24"/>
                <w:highlight w:val="none"/>
              </w:rPr>
              <w:t>1.9</w:t>
            </w:r>
            <w:r>
              <w:rPr>
                <w:rFonts w:hint="eastAsia" w:ascii="宋体" w:hAnsi="宋体" w:cs="宋体"/>
                <w:color w:val="000000"/>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5AED0D7">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3D0F7033">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4E0D9942">
            <w:pPr>
              <w:spacing w:before="60" w:beforeLines="25" w:after="60" w:afterLines="25" w:line="360" w:lineRule="auto"/>
              <w:rPr>
                <w:rFonts w:ascii="宋体" w:cs="宋体"/>
                <w:sz w:val="24"/>
                <w:szCs w:val="24"/>
                <w:highlight w:val="none"/>
              </w:rPr>
            </w:pPr>
          </w:p>
        </w:tc>
      </w:tr>
      <w:tr w14:paraId="52834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7650" w:type="dxa"/>
            <w:gridSpan w:val="3"/>
            <w:tcBorders>
              <w:top w:val="single" w:color="auto" w:sz="4" w:space="0"/>
              <w:bottom w:val="single" w:color="auto" w:sz="4" w:space="0"/>
              <w:right w:val="single" w:color="auto" w:sz="4" w:space="0"/>
            </w:tcBorders>
          </w:tcPr>
          <w:p w14:paraId="6DDABBA1">
            <w:pPr>
              <w:spacing w:before="60" w:beforeLines="25" w:after="60" w:afterLines="25" w:line="360" w:lineRule="auto"/>
              <w:jc w:val="center"/>
              <w:rPr>
                <w:rFonts w:ascii="宋体" w:cs="宋体"/>
                <w:b/>
                <w:color w:val="000000"/>
                <w:sz w:val="24"/>
                <w:szCs w:val="24"/>
                <w:highlight w:val="none"/>
              </w:rPr>
            </w:pPr>
            <w:r>
              <w:rPr>
                <w:rFonts w:hint="eastAsia" w:ascii="宋体" w:hAnsi="宋体" w:cs="宋体"/>
                <w:b/>
                <w:color w:val="000000"/>
                <w:sz w:val="24"/>
                <w:szCs w:val="24"/>
                <w:highlight w:val="none"/>
              </w:rPr>
              <w:t>资格审查结论</w:t>
            </w:r>
          </w:p>
        </w:tc>
        <w:tc>
          <w:tcPr>
            <w:tcW w:w="483" w:type="dxa"/>
            <w:tcBorders>
              <w:top w:val="single" w:color="auto" w:sz="4" w:space="0"/>
              <w:left w:val="single" w:color="auto" w:sz="4" w:space="0"/>
              <w:bottom w:val="single" w:color="auto" w:sz="4" w:space="0"/>
              <w:right w:val="single" w:color="auto" w:sz="4" w:space="0"/>
            </w:tcBorders>
          </w:tcPr>
          <w:p w14:paraId="7656A3C3">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550F5901">
            <w:pPr>
              <w:spacing w:before="60" w:beforeLines="25" w:after="60" w:afterLines="25" w:line="360" w:lineRule="auto"/>
              <w:rPr>
                <w:rFonts w:ascii="宋体" w:cs="宋体"/>
                <w:sz w:val="24"/>
                <w:szCs w:val="24"/>
                <w:highlight w:val="none"/>
              </w:rPr>
            </w:pPr>
          </w:p>
        </w:tc>
        <w:tc>
          <w:tcPr>
            <w:tcW w:w="483" w:type="dxa"/>
            <w:tcBorders>
              <w:top w:val="single" w:color="auto" w:sz="4" w:space="0"/>
              <w:left w:val="single" w:color="auto" w:sz="4" w:space="0"/>
              <w:bottom w:val="single" w:color="auto" w:sz="4" w:space="0"/>
            </w:tcBorders>
          </w:tcPr>
          <w:p w14:paraId="3A19AE8E">
            <w:pPr>
              <w:spacing w:before="60" w:beforeLines="25" w:after="60" w:afterLines="25" w:line="360" w:lineRule="auto"/>
              <w:rPr>
                <w:rFonts w:ascii="宋体" w:cs="宋体"/>
                <w:sz w:val="24"/>
                <w:szCs w:val="24"/>
                <w:highlight w:val="none"/>
              </w:rPr>
            </w:pPr>
          </w:p>
        </w:tc>
      </w:tr>
    </w:tbl>
    <w:p w14:paraId="72967F0E">
      <w:pPr>
        <w:spacing w:line="360" w:lineRule="auto"/>
        <w:ind w:left="809" w:right="685" w:rightChars="326" w:hanging="808" w:hangingChars="337"/>
        <w:rPr>
          <w:rFonts w:ascii="宋体" w:cs="宋体"/>
          <w:b/>
          <w:sz w:val="30"/>
          <w:szCs w:val="30"/>
          <w:highlight w:val="none"/>
        </w:rPr>
      </w:pPr>
      <w:r>
        <w:rPr>
          <w:rFonts w:hint="eastAsia" w:ascii="宋体" w:hAnsi="宋体" w:cs="宋体"/>
          <w:sz w:val="24"/>
          <w:szCs w:val="24"/>
          <w:highlight w:val="none"/>
        </w:rPr>
        <w:t>说明：采购人或者采购代理机构对投标人提交的资格证明材料进行审查，并在对应的审查意见一栏记录审查意见：通过资格审查标注为√；未通过资格审查标注为×。</w:t>
      </w:r>
    </w:p>
    <w:p w14:paraId="59BFB3D8">
      <w:pPr>
        <w:widowControl/>
        <w:jc w:val="left"/>
        <w:rPr>
          <w:rFonts w:ascii="宋体" w:cs="宋体"/>
          <w:b/>
          <w:sz w:val="30"/>
          <w:szCs w:val="30"/>
          <w:highlight w:val="none"/>
        </w:rPr>
      </w:pPr>
      <w:r>
        <w:rPr>
          <w:rFonts w:ascii="宋体" w:cs="宋体"/>
          <w:b/>
          <w:sz w:val="30"/>
          <w:szCs w:val="30"/>
          <w:highlight w:val="none"/>
        </w:rPr>
        <w:br w:type="page"/>
      </w:r>
    </w:p>
    <w:p w14:paraId="3195CF70">
      <w:pPr>
        <w:pStyle w:val="4"/>
        <w:keepNext/>
        <w:keepLines/>
        <w:pageBreakBefore w:val="0"/>
        <w:widowControl w:val="0"/>
        <w:kinsoku/>
        <w:wordWrap/>
        <w:overflowPunct/>
        <w:topLinePunct w:val="0"/>
        <w:autoSpaceDE/>
        <w:autoSpaceDN/>
        <w:bidi w:val="0"/>
        <w:adjustRightInd/>
        <w:snapToGrid/>
        <w:spacing w:line="400" w:lineRule="exact"/>
        <w:textAlignment w:val="auto"/>
        <w:rPr>
          <w:rFonts w:ascii="宋体" w:hAnsi="宋体" w:eastAsia="宋体" w:cs="宋体"/>
          <w:sz w:val="36"/>
          <w:szCs w:val="24"/>
          <w:highlight w:val="none"/>
        </w:rPr>
      </w:pPr>
      <w:bookmarkStart w:id="88" w:name="_Toc22062"/>
      <w:bookmarkStart w:id="89" w:name="_Toc44705054"/>
      <w:bookmarkStart w:id="90" w:name="_Toc44704907"/>
      <w:r>
        <w:rPr>
          <w:rFonts w:hint="eastAsia" w:ascii="宋体" w:hAnsi="宋体" w:eastAsia="宋体" w:cs="宋体"/>
          <w:sz w:val="36"/>
          <w:szCs w:val="24"/>
          <w:highlight w:val="none"/>
        </w:rPr>
        <w:t>第一部分：评标方法</w:t>
      </w:r>
      <w:bookmarkEnd w:id="88"/>
      <w:bookmarkEnd w:id="89"/>
      <w:bookmarkEnd w:id="90"/>
    </w:p>
    <w:p w14:paraId="2F0703D3">
      <w:pPr>
        <w:spacing w:line="360" w:lineRule="auto"/>
        <w:ind w:firstLine="480"/>
        <w:rPr>
          <w:rFonts w:ascii="宋体" w:cs="宋体"/>
          <w:sz w:val="24"/>
          <w:szCs w:val="24"/>
          <w:highlight w:val="none"/>
        </w:rPr>
      </w:pPr>
      <w:r>
        <w:rPr>
          <w:rFonts w:hint="eastAsia" w:ascii="宋体" w:hAnsi="宋体" w:cs="宋体"/>
          <w:sz w:val="24"/>
          <w:szCs w:val="24"/>
          <w:highlight w:val="none"/>
        </w:rPr>
        <w:t>本项目采用综合评分法（是指投标文件满足招标文件全部实质性要求，且按照评审因素的量化指标评审得分最高的投标人为中标候选人的评标方法），总分</w:t>
      </w:r>
      <w:r>
        <w:rPr>
          <w:rFonts w:ascii="宋体" w:hAnsi="宋体" w:cs="宋体"/>
          <w:sz w:val="24"/>
          <w:szCs w:val="24"/>
          <w:highlight w:val="none"/>
        </w:rPr>
        <w:t>100</w:t>
      </w:r>
      <w:r>
        <w:rPr>
          <w:rFonts w:hint="eastAsia" w:ascii="宋体" w:hAnsi="宋体" w:cs="宋体"/>
          <w:sz w:val="24"/>
          <w:szCs w:val="24"/>
          <w:highlight w:val="none"/>
        </w:rPr>
        <w:t>分，其中价格占</w:t>
      </w:r>
      <w:r>
        <w:rPr>
          <w:rFonts w:ascii="宋体" w:hAnsi="宋体" w:cs="宋体"/>
          <w:sz w:val="24"/>
          <w:szCs w:val="24"/>
          <w:highlight w:val="none"/>
        </w:rPr>
        <w:t>30</w:t>
      </w:r>
      <w:r>
        <w:rPr>
          <w:rFonts w:hint="eastAsia" w:ascii="宋体" w:hAnsi="宋体" w:cs="宋体"/>
          <w:sz w:val="24"/>
          <w:szCs w:val="24"/>
          <w:highlight w:val="none"/>
        </w:rPr>
        <w:t>分</w:t>
      </w:r>
      <w:r>
        <w:rPr>
          <w:rFonts w:ascii="宋体" w:cs="宋体"/>
          <w:sz w:val="24"/>
          <w:szCs w:val="24"/>
          <w:highlight w:val="none"/>
        </w:rPr>
        <w:t>,</w:t>
      </w:r>
      <w:r>
        <w:rPr>
          <w:rFonts w:hint="eastAsia" w:ascii="宋体" w:hAnsi="宋体" w:cs="宋体"/>
          <w:sz w:val="24"/>
          <w:szCs w:val="24"/>
          <w:highlight w:val="none"/>
        </w:rPr>
        <w:t>商务、技术部分占</w:t>
      </w:r>
      <w:r>
        <w:rPr>
          <w:rFonts w:ascii="宋体" w:hAnsi="宋体" w:cs="宋体"/>
          <w:sz w:val="24"/>
          <w:szCs w:val="24"/>
          <w:highlight w:val="none"/>
        </w:rPr>
        <w:t>70</w:t>
      </w:r>
      <w:r>
        <w:rPr>
          <w:rFonts w:hint="eastAsia" w:ascii="宋体" w:hAnsi="宋体" w:cs="宋体"/>
          <w:sz w:val="24"/>
          <w:szCs w:val="24"/>
          <w:highlight w:val="none"/>
        </w:rPr>
        <w:t>分。</w:t>
      </w:r>
    </w:p>
    <w:p w14:paraId="1848466B">
      <w:pPr>
        <w:pStyle w:val="4"/>
        <w:keepNext/>
        <w:keepLines/>
        <w:pageBreakBefore w:val="0"/>
        <w:widowControl w:val="0"/>
        <w:kinsoku/>
        <w:wordWrap/>
        <w:overflowPunct/>
        <w:topLinePunct w:val="0"/>
        <w:autoSpaceDE/>
        <w:autoSpaceDN/>
        <w:bidi w:val="0"/>
        <w:adjustRightInd/>
        <w:snapToGrid/>
        <w:spacing w:line="400" w:lineRule="exact"/>
        <w:textAlignment w:val="auto"/>
        <w:rPr>
          <w:rFonts w:ascii="宋体" w:hAnsi="宋体" w:eastAsia="宋体" w:cs="宋体"/>
          <w:bCs w:val="0"/>
          <w:sz w:val="36"/>
          <w:szCs w:val="24"/>
          <w:highlight w:val="none"/>
        </w:rPr>
      </w:pPr>
      <w:bookmarkStart w:id="91" w:name="_Toc44704908"/>
      <w:bookmarkStart w:id="92" w:name="_Toc44705055"/>
      <w:bookmarkStart w:id="93" w:name="_Toc11352"/>
      <w:r>
        <w:rPr>
          <w:rFonts w:hint="eastAsia" w:ascii="宋体" w:hAnsi="宋体" w:eastAsia="宋体" w:cs="宋体"/>
          <w:bCs w:val="0"/>
          <w:sz w:val="36"/>
          <w:szCs w:val="24"/>
          <w:highlight w:val="none"/>
        </w:rPr>
        <w:t>第二部分：评标标准</w:t>
      </w:r>
      <w:bookmarkEnd w:id="91"/>
      <w:bookmarkEnd w:id="92"/>
      <w:bookmarkEnd w:id="93"/>
    </w:p>
    <w:p w14:paraId="74DEB355">
      <w:pPr>
        <w:spacing w:line="360" w:lineRule="auto"/>
        <w:ind w:firstLine="482" w:firstLineChars="200"/>
        <w:rPr>
          <w:rFonts w:ascii="宋体" w:cs="宋体"/>
          <w:b/>
          <w:bCs/>
          <w:sz w:val="24"/>
          <w:szCs w:val="24"/>
          <w:highlight w:val="none"/>
        </w:rPr>
      </w:pPr>
      <w:r>
        <w:rPr>
          <w:rFonts w:hint="eastAsia" w:ascii="宋体" w:hAnsi="宋体" w:cs="宋体"/>
          <w:b/>
          <w:bCs/>
          <w:sz w:val="24"/>
          <w:szCs w:val="24"/>
          <w:highlight w:val="none"/>
        </w:rPr>
        <w:t>一、符合性审查</w:t>
      </w:r>
    </w:p>
    <w:p w14:paraId="5312FAA6">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评标委员会根据招标文件第三章投标人须知第</w:t>
      </w:r>
      <w:r>
        <w:rPr>
          <w:rFonts w:ascii="宋体" w:hAnsi="宋体" w:cs="宋体"/>
          <w:sz w:val="24"/>
          <w:szCs w:val="24"/>
          <w:highlight w:val="none"/>
        </w:rPr>
        <w:t>26.4.5</w:t>
      </w:r>
      <w:r>
        <w:rPr>
          <w:rFonts w:hint="eastAsia" w:ascii="宋体" w:hAnsi="宋体" w:cs="宋体"/>
          <w:sz w:val="24"/>
          <w:szCs w:val="24"/>
          <w:highlight w:val="none"/>
        </w:rPr>
        <w:t>条和第</w:t>
      </w:r>
      <w:r>
        <w:rPr>
          <w:rFonts w:ascii="宋体" w:hAnsi="宋体" w:cs="宋体"/>
          <w:sz w:val="24"/>
          <w:szCs w:val="24"/>
          <w:highlight w:val="none"/>
        </w:rPr>
        <w:t>26.4.6</w:t>
      </w:r>
      <w:r>
        <w:rPr>
          <w:rFonts w:hint="eastAsia" w:ascii="宋体" w:hAnsi="宋体" w:cs="宋体"/>
          <w:sz w:val="24"/>
          <w:szCs w:val="24"/>
          <w:highlight w:val="none"/>
        </w:rPr>
        <w:t>条的规定，对通过资格审查的合格投标人的投标文件进行符合性审查，未通过符合性审查的投标不进入详细评审。</w:t>
      </w:r>
    </w:p>
    <w:p w14:paraId="23804AD3">
      <w:pPr>
        <w:spacing w:line="360" w:lineRule="auto"/>
        <w:ind w:firstLine="482" w:firstLineChars="200"/>
        <w:rPr>
          <w:rFonts w:ascii="宋体" w:cs="宋体"/>
          <w:b/>
          <w:bCs/>
          <w:sz w:val="24"/>
          <w:szCs w:val="24"/>
          <w:highlight w:val="none"/>
        </w:rPr>
      </w:pPr>
      <w:r>
        <w:rPr>
          <w:rFonts w:hint="eastAsia" w:ascii="宋体" w:hAnsi="宋体" w:cs="宋体"/>
          <w:b/>
          <w:bCs/>
          <w:sz w:val="24"/>
          <w:szCs w:val="24"/>
          <w:highlight w:val="none"/>
        </w:rPr>
        <w:t>二、详细评审</w:t>
      </w:r>
    </w:p>
    <w:p w14:paraId="09EC8178">
      <w:pPr>
        <w:spacing w:line="360" w:lineRule="auto"/>
        <w:ind w:firstLine="360" w:firstLineChars="150"/>
        <w:rPr>
          <w:rFonts w:ascii="宋体" w:cs="宋体"/>
          <w:sz w:val="24"/>
          <w:szCs w:val="24"/>
          <w:highlight w:val="none"/>
        </w:rPr>
      </w:pPr>
      <w:r>
        <w:rPr>
          <w:rFonts w:hint="eastAsia" w:ascii="宋体" w:hAnsi="宋体" w:cs="宋体"/>
          <w:sz w:val="24"/>
          <w:szCs w:val="24"/>
          <w:highlight w:val="none"/>
        </w:rPr>
        <w:t>（一）、价格分（</w:t>
      </w:r>
      <w:r>
        <w:rPr>
          <w:rFonts w:ascii="宋体" w:hAnsi="宋体" w:cs="宋体"/>
          <w:sz w:val="24"/>
          <w:szCs w:val="24"/>
          <w:highlight w:val="none"/>
        </w:rPr>
        <w:t>30</w:t>
      </w:r>
      <w:r>
        <w:rPr>
          <w:rFonts w:hint="eastAsia" w:ascii="宋体" w:hAnsi="宋体" w:cs="宋体"/>
          <w:sz w:val="24"/>
          <w:szCs w:val="24"/>
          <w:highlight w:val="none"/>
        </w:rPr>
        <w:t>分）</w:t>
      </w:r>
    </w:p>
    <w:p w14:paraId="2878D054">
      <w:pPr>
        <w:spacing w:line="360" w:lineRule="auto"/>
        <w:ind w:firstLine="360" w:firstLineChars="150"/>
        <w:rPr>
          <w:rFonts w:ascii="宋体" w:cs="宋体"/>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价格分统一采用低价优先法计算即满足招标文件要求且投标价格最低的有效投标报价（即除低于成本报价以外的所有报价）为评标基准价，其价格分为满分。有效投标报价必须不高于本采购项目的预算价，否则为无效报价。</w:t>
      </w:r>
    </w:p>
    <w:p w14:paraId="265048EC">
      <w:pPr>
        <w:spacing w:line="360" w:lineRule="auto"/>
        <w:ind w:firstLine="360" w:firstLineChars="150"/>
        <w:rPr>
          <w:rFonts w:ascii="宋体" w:cs="宋体"/>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．其他投标人的价格分统一按照以下公式计算：</w:t>
      </w:r>
    </w:p>
    <w:p w14:paraId="0C64AB26">
      <w:pPr>
        <w:spacing w:line="360" w:lineRule="auto"/>
        <w:ind w:firstLine="360" w:firstLineChars="150"/>
        <w:rPr>
          <w:rFonts w:ascii="宋体" w:cs="宋体"/>
          <w:sz w:val="24"/>
          <w:szCs w:val="24"/>
          <w:highlight w:val="none"/>
        </w:rPr>
      </w:pPr>
      <w:r>
        <w:rPr>
          <w:rFonts w:hint="eastAsia" w:ascii="宋体" w:hAnsi="宋体" w:cs="宋体"/>
          <w:sz w:val="24"/>
          <w:szCs w:val="24"/>
          <w:highlight w:val="none"/>
        </w:rPr>
        <w:t>投标报价得分</w:t>
      </w:r>
      <w:r>
        <w:rPr>
          <w:rFonts w:ascii="宋体" w:hAnsi="宋体" w:cs="宋体"/>
          <w:sz w:val="24"/>
          <w:szCs w:val="24"/>
          <w:highlight w:val="none"/>
        </w:rPr>
        <w:t>=</w:t>
      </w:r>
      <w:r>
        <w:rPr>
          <w:rFonts w:hint="eastAsia" w:ascii="宋体" w:hAnsi="宋体" w:cs="宋体"/>
          <w:sz w:val="24"/>
          <w:szCs w:val="24"/>
          <w:highlight w:val="none"/>
        </w:rPr>
        <w:t>（评标基准价</w:t>
      </w:r>
      <w:r>
        <w:rPr>
          <w:rFonts w:ascii="宋体" w:hAnsi="宋体" w:cs="宋体"/>
          <w:sz w:val="24"/>
          <w:szCs w:val="24"/>
          <w:highlight w:val="none"/>
        </w:rPr>
        <w:t>/</w:t>
      </w:r>
      <w:r>
        <w:rPr>
          <w:rFonts w:hint="eastAsia" w:ascii="宋体" w:hAnsi="宋体" w:cs="宋体"/>
          <w:sz w:val="24"/>
          <w:szCs w:val="24"/>
          <w:highlight w:val="none"/>
        </w:rPr>
        <w:t>投标报价）×</w:t>
      </w:r>
      <w:r>
        <w:rPr>
          <w:rFonts w:ascii="宋体" w:hAnsi="宋体" w:cs="宋体"/>
          <w:sz w:val="24"/>
          <w:szCs w:val="24"/>
          <w:highlight w:val="none"/>
        </w:rPr>
        <w:t>30</w:t>
      </w:r>
    </w:p>
    <w:p w14:paraId="08671DB1">
      <w:pPr>
        <w:spacing w:line="360" w:lineRule="auto"/>
        <w:ind w:firstLine="360" w:firstLineChars="150"/>
        <w:rPr>
          <w:rFonts w:ascii="宋体" w:cs="宋体"/>
          <w:sz w:val="24"/>
          <w:szCs w:val="24"/>
          <w:highlight w:val="none"/>
        </w:rPr>
      </w:pPr>
      <w:r>
        <w:rPr>
          <w:rFonts w:ascii="宋体" w:hAnsi="宋体" w:cs="宋体"/>
          <w:sz w:val="24"/>
          <w:szCs w:val="24"/>
          <w:highlight w:val="none"/>
        </w:rPr>
        <w:t>3.</w:t>
      </w:r>
      <w:r>
        <w:rPr>
          <w:rFonts w:hint="eastAsia" w:ascii="宋体" w:hAnsi="宋体" w:cs="宋体"/>
          <w:sz w:val="24"/>
          <w:szCs w:val="24"/>
          <w:highlight w:val="none"/>
        </w:rPr>
        <w:t>最低报价不作为中标的保证。</w:t>
      </w:r>
    </w:p>
    <w:p w14:paraId="5ABD461F">
      <w:pPr>
        <w:spacing w:line="360" w:lineRule="auto"/>
        <w:ind w:firstLine="360" w:firstLineChars="15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4.</w:t>
      </w:r>
      <w:r>
        <w:rPr>
          <w:rFonts w:hint="eastAsia" w:ascii="宋体" w:hAnsi="宋体" w:eastAsia="宋体" w:cs="宋体"/>
          <w:b/>
          <w:bCs/>
          <w:sz w:val="24"/>
          <w:szCs w:val="24"/>
          <w:highlight w:val="none"/>
        </w:rPr>
        <w:t>本项目投标人所投货物全部由小型或微型企业生产的，将评审报价给予10%的扣除。</w:t>
      </w:r>
      <w:r>
        <w:rPr>
          <w:rFonts w:hint="eastAsia" w:ascii="宋体" w:hAnsi="宋体" w:eastAsia="宋体" w:cs="宋体"/>
          <w:b w:val="0"/>
          <w:bCs w:val="0"/>
          <w:sz w:val="24"/>
          <w:szCs w:val="24"/>
          <w:highlight w:val="none"/>
        </w:rPr>
        <w:t>投标人应出具招标文件中要求的《中小企业声明函》，否则评审时不予认可。</w:t>
      </w:r>
    </w:p>
    <w:p w14:paraId="79696FB8">
      <w:pPr>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4.1投标人应在投标分项报价表中写明属于“小型和微型企业产品”的单价和小计，并如实提供对应的《中小企业声明函》（详见附件），否则不予进行价格扣除。</w:t>
      </w:r>
    </w:p>
    <w:p w14:paraId="01760AEE">
      <w:pPr>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4.2中小企业划分标准参照《关于印发&lt;政府采购促进中小企业发展管理办法&gt;的通知》(财库〔2020〕46号）及《关于印发中小企业划型标准规定的通知》（工信部联企业[2011]300号）。</w:t>
      </w:r>
    </w:p>
    <w:p w14:paraId="1145F34C">
      <w:pPr>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4.3监狱企业视同小型、微型企业, 监狱企业应当提供由省级以上监狱管理局、戒毒管理局(含新疆生产建设兵团)出具的属于监狱企业的证明文件。</w:t>
      </w:r>
    </w:p>
    <w:p w14:paraId="5E0F9ABC">
      <w:pPr>
        <w:spacing w:line="360" w:lineRule="auto"/>
        <w:ind w:firstLine="360" w:firstLineChars="150"/>
      </w:pPr>
      <w:r>
        <w:rPr>
          <w:rFonts w:hint="eastAsia" w:ascii="宋体" w:hAnsi="宋体" w:eastAsia="宋体" w:cs="宋体"/>
          <w:sz w:val="24"/>
          <w:szCs w:val="24"/>
          <w:highlight w:val="none"/>
        </w:rPr>
        <w:t>4.4残疾人福利性单位视同小型、微型企业，符合条件的残疾人福利性单位在参加政府采购活动时，应当提供本通知规定的《残疾人福利性单位声明函》，并对声明的真实性负责。</w:t>
      </w:r>
      <w:r>
        <w:rPr>
          <w:rFonts w:hint="eastAsia" w:ascii="宋体" w:hAnsi="宋体" w:cs="宋体"/>
          <w:sz w:val="24"/>
          <w:szCs w:val="24"/>
          <w:highlight w:val="none"/>
        </w:rPr>
        <w:br w:type="page"/>
      </w:r>
    </w:p>
    <w:p w14:paraId="37BD625D">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4"/>
          <w:szCs w:val="24"/>
          <w:highlight w:val="none"/>
        </w:rPr>
      </w:pPr>
      <w:r>
        <w:rPr>
          <w:rFonts w:hint="eastAsia" w:ascii="宋体" w:hAnsi="宋体" w:cs="宋体"/>
          <w:sz w:val="24"/>
          <w:szCs w:val="24"/>
          <w:highlight w:val="none"/>
        </w:rPr>
        <w:t>、商务技术部分（</w:t>
      </w:r>
      <w:r>
        <w:rPr>
          <w:rFonts w:ascii="宋体" w:hAnsi="宋体" w:cs="宋体"/>
          <w:sz w:val="24"/>
          <w:szCs w:val="24"/>
          <w:highlight w:val="none"/>
        </w:rPr>
        <w:t>70</w:t>
      </w:r>
      <w:r>
        <w:rPr>
          <w:rFonts w:hint="eastAsia" w:ascii="宋体" w:hAnsi="宋体" w:cs="宋体"/>
          <w:sz w:val="24"/>
          <w:szCs w:val="24"/>
          <w:highlight w:val="none"/>
        </w:rPr>
        <w:t>分）</w:t>
      </w:r>
    </w:p>
    <w:tbl>
      <w:tblPr>
        <w:tblStyle w:val="48"/>
        <w:tblW w:w="99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246"/>
        <w:gridCol w:w="720"/>
        <w:gridCol w:w="7078"/>
      </w:tblGrid>
      <w:tr w14:paraId="3A9BF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862" w:type="dxa"/>
            <w:vAlign w:val="center"/>
          </w:tcPr>
          <w:p w14:paraId="7BD7C479">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b/>
                <w:sz w:val="24"/>
                <w:szCs w:val="22"/>
              </w:rPr>
            </w:pPr>
            <w:r>
              <w:rPr>
                <w:rFonts w:hint="eastAsia" w:ascii="宋体" w:hAnsi="宋体" w:cs="宋体"/>
                <w:b/>
                <w:sz w:val="24"/>
                <w:szCs w:val="22"/>
              </w:rPr>
              <w:t>序号</w:t>
            </w:r>
          </w:p>
        </w:tc>
        <w:tc>
          <w:tcPr>
            <w:tcW w:w="1246" w:type="dxa"/>
            <w:vAlign w:val="center"/>
          </w:tcPr>
          <w:p w14:paraId="1F9953EA">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b/>
                <w:sz w:val="24"/>
                <w:szCs w:val="22"/>
              </w:rPr>
            </w:pPr>
            <w:r>
              <w:rPr>
                <w:rFonts w:hint="eastAsia" w:ascii="宋体" w:hAnsi="宋体" w:cs="宋体"/>
                <w:b/>
                <w:sz w:val="24"/>
                <w:szCs w:val="22"/>
              </w:rPr>
              <w:t>评审项目</w:t>
            </w:r>
          </w:p>
        </w:tc>
        <w:tc>
          <w:tcPr>
            <w:tcW w:w="720" w:type="dxa"/>
            <w:vAlign w:val="center"/>
          </w:tcPr>
          <w:p w14:paraId="5834F88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b/>
                <w:sz w:val="24"/>
                <w:szCs w:val="22"/>
              </w:rPr>
            </w:pPr>
            <w:r>
              <w:rPr>
                <w:rFonts w:hint="eastAsia" w:ascii="宋体" w:hAnsi="宋体" w:cs="宋体"/>
                <w:b/>
                <w:sz w:val="24"/>
                <w:szCs w:val="22"/>
              </w:rPr>
              <w:t>分值</w:t>
            </w:r>
          </w:p>
        </w:tc>
        <w:tc>
          <w:tcPr>
            <w:tcW w:w="7078" w:type="dxa"/>
            <w:vAlign w:val="center"/>
          </w:tcPr>
          <w:p w14:paraId="032EEF3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spacing w:val="-2"/>
                <w:sz w:val="32"/>
                <w:szCs w:val="22"/>
              </w:rPr>
            </w:pPr>
            <w:r>
              <w:rPr>
                <w:rFonts w:hint="eastAsia" w:ascii="宋体" w:hAnsi="宋体" w:cs="宋体"/>
                <w:b/>
                <w:sz w:val="24"/>
                <w:szCs w:val="22"/>
              </w:rPr>
              <w:t>评分标准</w:t>
            </w:r>
          </w:p>
        </w:tc>
      </w:tr>
      <w:tr w14:paraId="653E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1" w:hRule="atLeast"/>
        </w:trPr>
        <w:tc>
          <w:tcPr>
            <w:tcW w:w="862" w:type="dxa"/>
            <w:vAlign w:val="center"/>
          </w:tcPr>
          <w:p w14:paraId="35222739">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w:t>
            </w:r>
          </w:p>
        </w:tc>
        <w:tc>
          <w:tcPr>
            <w:tcW w:w="1246" w:type="dxa"/>
            <w:vAlign w:val="center"/>
          </w:tcPr>
          <w:p w14:paraId="7A47834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参数响应情况</w:t>
            </w:r>
          </w:p>
        </w:tc>
        <w:tc>
          <w:tcPr>
            <w:tcW w:w="720" w:type="dxa"/>
            <w:vAlign w:val="center"/>
          </w:tcPr>
          <w:p w14:paraId="248354BE">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24</w:t>
            </w:r>
          </w:p>
        </w:tc>
        <w:tc>
          <w:tcPr>
            <w:tcW w:w="7078" w:type="dxa"/>
            <w:vAlign w:val="center"/>
          </w:tcPr>
          <w:p w14:paraId="4823C9D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投标人所提供的（36盘位网络存储服务器、8T企业级硬盘、24门人脸随身物品柜（主柜）、智能保管柜（主柜））产品中若有一参数不满则扣除1分，每项产品至多扣除6次，共计4项产品，满分得24分。</w:t>
            </w:r>
          </w:p>
          <w:p w14:paraId="7902F434">
            <w:pPr>
              <w:keepNext w:val="0"/>
              <w:keepLines w:val="0"/>
              <w:pageBreakBefore w:val="0"/>
              <w:widowControl w:val="0"/>
              <w:kinsoku/>
              <w:wordWrap/>
              <w:overflowPunct/>
              <w:topLinePunct w:val="0"/>
              <w:autoSpaceDE/>
              <w:autoSpaceDN/>
              <w:bidi w:val="0"/>
              <w:adjustRightInd/>
              <w:snapToGrid/>
              <w:spacing w:line="360" w:lineRule="auto"/>
              <w:ind w:left="240" w:hanging="240" w:hangingChars="1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投标人需提供参数支撑材料，如在有效期内的产品检验报告</w:t>
            </w:r>
            <w:r>
              <w:rPr>
                <w:rFonts w:hint="eastAsia" w:ascii="宋体" w:hAnsi="宋体" w:cs="宋体"/>
                <w:sz w:val="24"/>
                <w:szCs w:val="24"/>
                <w:highlight w:val="none"/>
                <w:lang w:val="en-US" w:eastAsia="zh-CN"/>
              </w:rPr>
              <w:t>或产品白皮书或产品说明书</w:t>
            </w:r>
            <w:r>
              <w:rPr>
                <w:rFonts w:hint="eastAsia" w:ascii="宋体" w:hAnsi="宋体" w:eastAsia="宋体" w:cs="宋体"/>
                <w:sz w:val="24"/>
                <w:szCs w:val="24"/>
                <w:highlight w:val="none"/>
              </w:rPr>
              <w:t>等</w:t>
            </w:r>
            <w:r>
              <w:rPr>
                <w:rFonts w:hint="eastAsia" w:ascii="宋体" w:hAnsi="宋体" w:cs="宋体"/>
                <w:sz w:val="24"/>
                <w:szCs w:val="24"/>
                <w:highlight w:val="none"/>
                <w:lang w:val="en-US" w:eastAsia="zh-CN"/>
              </w:rPr>
              <w:t>其他</w:t>
            </w:r>
            <w:r>
              <w:rPr>
                <w:rFonts w:hint="eastAsia" w:ascii="宋体" w:hAnsi="宋体" w:eastAsia="宋体" w:cs="宋体"/>
                <w:sz w:val="24"/>
                <w:szCs w:val="24"/>
                <w:highlight w:val="none"/>
              </w:rPr>
              <w:t>证明材料。【投标人应提供详细完整的点对点应答技术规格偏离表，用于技术参数进行逐条应答】</w:t>
            </w:r>
            <w:r>
              <w:rPr>
                <w:rFonts w:hint="eastAsia" w:ascii="宋体" w:hAnsi="宋体" w:eastAsia="宋体" w:cs="宋体"/>
                <w:sz w:val="24"/>
                <w:szCs w:val="22"/>
                <w:highlight w:val="none"/>
                <w:lang w:val="en-US" w:eastAsia="zh-CN"/>
              </w:rPr>
              <w:t>若未提供或不符合要求的，视为不响应技术参数。</w:t>
            </w:r>
            <w:r>
              <w:rPr>
                <w:rFonts w:hint="eastAsia" w:ascii="宋体" w:hAnsi="宋体" w:cs="宋体"/>
                <w:sz w:val="24"/>
                <w:szCs w:val="22"/>
                <w:highlight w:val="none"/>
                <w:lang w:val="en-US" w:eastAsia="zh-CN"/>
              </w:rPr>
              <w:t xml:space="preserve">  </w:t>
            </w:r>
          </w:p>
        </w:tc>
      </w:tr>
      <w:tr w14:paraId="51D8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2" w:type="dxa"/>
            <w:vAlign w:val="center"/>
          </w:tcPr>
          <w:p w14:paraId="5433D5D9">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w:t>
            </w:r>
          </w:p>
        </w:tc>
        <w:tc>
          <w:tcPr>
            <w:tcW w:w="1246" w:type="dxa"/>
            <w:vAlign w:val="center"/>
          </w:tcPr>
          <w:p w14:paraId="639FB794">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备品备件</w:t>
            </w:r>
          </w:p>
        </w:tc>
        <w:tc>
          <w:tcPr>
            <w:tcW w:w="720" w:type="dxa"/>
            <w:vAlign w:val="center"/>
          </w:tcPr>
          <w:p w14:paraId="0152892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5</w:t>
            </w:r>
          </w:p>
        </w:tc>
        <w:tc>
          <w:tcPr>
            <w:tcW w:w="7078" w:type="dxa"/>
            <w:vAlign w:val="center"/>
          </w:tcPr>
          <w:p w14:paraId="0CAC0301">
            <w:pPr>
              <w:spacing w:line="360" w:lineRule="auto"/>
              <w:jc w:val="both"/>
              <w:rPr>
                <w:rFonts w:hint="eastAsia" w:ascii="宋体" w:hAnsi="宋体" w:cs="宋体"/>
                <w:kern w:val="0"/>
                <w:sz w:val="24"/>
              </w:rPr>
            </w:pPr>
            <w:r>
              <w:rPr>
                <w:rFonts w:hint="eastAsia" w:ascii="宋体" w:hAnsi="宋体" w:cs="宋体"/>
                <w:kern w:val="0"/>
                <w:sz w:val="24"/>
              </w:rPr>
              <w:t>根据零部件、备品备件、易损部件、专用工具等配件清单和特殊工器具配备情况，提供《备品备件服务供应方案》内容包括但不限于：</w:t>
            </w:r>
          </w:p>
          <w:p w14:paraId="030C43BF">
            <w:pPr>
              <w:spacing w:line="360" w:lineRule="auto"/>
              <w:jc w:val="both"/>
              <w:rPr>
                <w:rFonts w:hint="eastAsia" w:ascii="宋体" w:hAnsi="宋体" w:cs="宋体"/>
                <w:b/>
                <w:bCs/>
                <w:kern w:val="0"/>
                <w:sz w:val="24"/>
              </w:rPr>
            </w:pPr>
            <w:r>
              <w:rPr>
                <w:rFonts w:hint="eastAsia" w:ascii="宋体" w:hAnsi="宋体" w:cs="宋体"/>
                <w:b/>
                <w:bCs/>
                <w:kern w:val="0"/>
                <w:sz w:val="24"/>
              </w:rPr>
              <w:t>①方案中需要包含设备备品备件库的质量及规模、库存种类、原装备品备件清单、清单含原装备品备件价格、品牌等是否罗列清晰；</w:t>
            </w:r>
          </w:p>
          <w:p w14:paraId="60BA10A8">
            <w:pPr>
              <w:spacing w:line="360" w:lineRule="auto"/>
              <w:jc w:val="both"/>
              <w:rPr>
                <w:rFonts w:hint="eastAsia" w:ascii="宋体" w:hAnsi="宋体" w:cs="宋体"/>
                <w:b/>
                <w:bCs/>
                <w:kern w:val="0"/>
                <w:sz w:val="24"/>
              </w:rPr>
            </w:pPr>
            <w:r>
              <w:rPr>
                <w:rFonts w:hint="eastAsia" w:ascii="宋体" w:hAnsi="宋体" w:cs="宋体"/>
                <w:b/>
                <w:bCs/>
                <w:kern w:val="0"/>
                <w:sz w:val="24"/>
              </w:rPr>
              <w:t>②提供能够及时满足使用单位备品备件更换需求，并提供相应的更换方案；</w:t>
            </w:r>
          </w:p>
          <w:p w14:paraId="04C6A5F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cs="宋体"/>
                <w:kern w:val="0"/>
                <w:sz w:val="24"/>
              </w:rPr>
            </w:pPr>
            <w:r>
              <w:rPr>
                <w:rFonts w:hint="eastAsia" w:ascii="宋体" w:hAnsi="宋体" w:cs="宋体"/>
                <w:kern w:val="0"/>
                <w:sz w:val="24"/>
              </w:rPr>
              <w:t>以上内容（提供方案、备品备件的相关材料</w:t>
            </w:r>
            <w:r>
              <w:rPr>
                <w:rFonts w:hint="eastAsia" w:ascii="宋体" w:hAnsi="宋体" w:cs="宋体"/>
                <w:kern w:val="0"/>
                <w:sz w:val="24"/>
                <w:lang w:val="en-US" w:eastAsia="zh-CN"/>
              </w:rPr>
              <w:t>及水印照片</w:t>
            </w:r>
            <w:r>
              <w:rPr>
                <w:rFonts w:hint="eastAsia" w:ascii="宋体" w:hAnsi="宋体" w:eastAsia="宋体" w:cs="宋体"/>
                <w:sz w:val="24"/>
                <w:szCs w:val="24"/>
                <w:lang w:val="en-US" w:eastAsia="zh-CN"/>
              </w:rPr>
              <w:t>（水印照片时间需在招标公告日期之后</w:t>
            </w:r>
            <w:r>
              <w:rPr>
                <w:rFonts w:hint="eastAsia" w:ascii="宋体" w:hAnsi="宋体" w:cs="宋体"/>
                <w:kern w:val="0"/>
                <w:sz w:val="24"/>
              </w:rPr>
              <w:t>）齐全的，每项计</w:t>
            </w:r>
            <w:r>
              <w:rPr>
                <w:rFonts w:hint="eastAsia" w:ascii="宋体" w:hAnsi="宋体" w:cs="宋体"/>
                <w:kern w:val="0"/>
                <w:sz w:val="24"/>
                <w:lang w:val="en-US" w:eastAsia="zh-CN"/>
              </w:rPr>
              <w:t>2.5</w:t>
            </w:r>
            <w:r>
              <w:rPr>
                <w:rFonts w:hint="eastAsia" w:ascii="宋体" w:hAnsi="宋体" w:cs="宋体"/>
                <w:kern w:val="0"/>
                <w:sz w:val="24"/>
              </w:rPr>
              <w:t>分，最高得</w:t>
            </w:r>
            <w:r>
              <w:rPr>
                <w:rFonts w:hint="eastAsia" w:ascii="宋体" w:hAnsi="宋体" w:cs="宋体"/>
                <w:kern w:val="0"/>
                <w:sz w:val="24"/>
                <w:lang w:val="en-US" w:eastAsia="zh-CN"/>
              </w:rPr>
              <w:t>5</w:t>
            </w:r>
            <w:r>
              <w:rPr>
                <w:rFonts w:hint="eastAsia" w:ascii="宋体" w:hAnsi="宋体" w:cs="宋体"/>
                <w:kern w:val="0"/>
                <w:sz w:val="24"/>
              </w:rPr>
              <w:t>分。</w:t>
            </w:r>
          </w:p>
          <w:p w14:paraId="4CED6002">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cs="宋体"/>
                <w:kern w:val="0"/>
                <w:sz w:val="24"/>
              </w:rPr>
              <w:t>每有一项内容有缺陷（缺陷是指：只提供评分标准标题、内容不适用项目实际情况</w:t>
            </w:r>
            <w:r>
              <w:rPr>
                <w:rFonts w:hint="eastAsia" w:ascii="宋体" w:hAnsi="宋体" w:cs="宋体"/>
                <w:kern w:val="0"/>
                <w:sz w:val="24"/>
                <w:lang w:val="en-US" w:eastAsia="zh-CN"/>
              </w:rPr>
              <w:t>及需求</w:t>
            </w:r>
            <w:r>
              <w:rPr>
                <w:rFonts w:hint="eastAsia" w:ascii="宋体" w:hAnsi="宋体" w:cs="宋体"/>
                <w:kern w:val="0"/>
                <w:sz w:val="24"/>
              </w:rPr>
              <w:t>的情形、凭空编造、内容前后不一致 、前后逻辑错误、涉及的规范及标准错误、地点区域错误、内容缺失不完整）的扣</w:t>
            </w:r>
            <w:r>
              <w:rPr>
                <w:rFonts w:hint="eastAsia" w:ascii="宋体" w:hAnsi="宋体" w:cs="宋体"/>
                <w:kern w:val="0"/>
                <w:sz w:val="24"/>
                <w:lang w:val="en-US" w:eastAsia="zh-CN"/>
              </w:rPr>
              <w:t>2.5</w:t>
            </w:r>
            <w:r>
              <w:rPr>
                <w:rFonts w:hint="eastAsia" w:ascii="宋体" w:hAnsi="宋体" w:cs="宋体"/>
                <w:kern w:val="0"/>
                <w:sz w:val="24"/>
              </w:rPr>
              <w:t>分，扣完为止。</w:t>
            </w:r>
          </w:p>
        </w:tc>
      </w:tr>
      <w:tr w14:paraId="37D4F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862" w:type="dxa"/>
            <w:vAlign w:val="center"/>
          </w:tcPr>
          <w:p w14:paraId="022FF5D9">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w:t>
            </w:r>
          </w:p>
        </w:tc>
        <w:tc>
          <w:tcPr>
            <w:tcW w:w="1246" w:type="dxa"/>
            <w:vAlign w:val="center"/>
          </w:tcPr>
          <w:p w14:paraId="04F734E4">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项目实施方案</w:t>
            </w:r>
          </w:p>
        </w:tc>
        <w:tc>
          <w:tcPr>
            <w:tcW w:w="720" w:type="dxa"/>
            <w:vAlign w:val="center"/>
          </w:tcPr>
          <w:p w14:paraId="1AB4C502">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15</w:t>
            </w:r>
          </w:p>
        </w:tc>
        <w:tc>
          <w:tcPr>
            <w:tcW w:w="7078" w:type="dxa"/>
            <w:vAlign w:val="center"/>
          </w:tcPr>
          <w:p w14:paraId="23F68E59">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投标人结合项目实际情况的项目实施方案:</w:t>
            </w:r>
          </w:p>
          <w:p w14:paraId="44BFB28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①产品配送方案(产品配送方案有符合项目要求的配送人员及配送车辆安排、完善的配送交接流程)</w:t>
            </w:r>
          </w:p>
          <w:p w14:paraId="092FC99C">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②质量保证措施(产品质量保障措施有符合项目要求的质量管理制度和质量保障目标、质量关键控制点、质量检测检验流程)</w:t>
            </w:r>
          </w:p>
          <w:p w14:paraId="09560D1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③交货和安装调试计划(符合项目的备货计划、有明确的周期安排、安装调试验收计划有具体的流程安排、人员配备情况及一览表):</w:t>
            </w:r>
          </w:p>
          <w:p w14:paraId="4540CD4C">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④应急预案(指符合采购产品的运输过程中的应急处理措施):</w:t>
            </w:r>
          </w:p>
          <w:p w14:paraId="1CAB31D0">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⑤</w:t>
            </w:r>
            <w:r>
              <w:rPr>
                <w:rFonts w:hint="eastAsia" w:ascii="宋体" w:hAnsi="宋体" w:cs="宋体"/>
                <w:sz w:val="24"/>
                <w:szCs w:val="24"/>
                <w:highlight w:val="none"/>
                <w:lang w:val="en-US" w:eastAsia="zh-CN"/>
              </w:rPr>
              <w:t>提供</w:t>
            </w:r>
            <w:r>
              <w:rPr>
                <w:rFonts w:hint="eastAsia" w:ascii="宋体" w:hAnsi="宋体" w:cs="宋体"/>
                <w:sz w:val="24"/>
                <w:szCs w:val="22"/>
              </w:rPr>
              <w:t>对接技术方案</w:t>
            </w:r>
            <w:r>
              <w:rPr>
                <w:rFonts w:hint="eastAsia" w:ascii="宋体" w:hAnsi="宋体" w:cs="宋体"/>
                <w:sz w:val="24"/>
                <w:szCs w:val="22"/>
                <w:lang w:eastAsia="zh-CN"/>
              </w:rPr>
              <w:t>，</w:t>
            </w:r>
            <w:r>
              <w:rPr>
                <w:rFonts w:hint="eastAsia" w:ascii="宋体" w:hAnsi="宋体" w:cs="宋体"/>
                <w:sz w:val="24"/>
                <w:szCs w:val="22"/>
                <w:lang w:val="en-US" w:eastAsia="zh-CN"/>
              </w:rPr>
              <w:t>同时需提供</w:t>
            </w:r>
            <w:r>
              <w:rPr>
                <w:rFonts w:hint="eastAsia" w:ascii="宋体" w:hAnsi="宋体" w:cs="宋体"/>
                <w:sz w:val="24"/>
                <w:szCs w:val="22"/>
              </w:rPr>
              <w:t>对接案例及证明文件或提供中标后可以无缝对接的承诺书</w:t>
            </w:r>
            <w:r>
              <w:rPr>
                <w:rFonts w:hint="eastAsia" w:ascii="宋体" w:hAnsi="宋体" w:cs="宋体"/>
                <w:sz w:val="24"/>
                <w:szCs w:val="22"/>
                <w:lang w:eastAsia="zh-CN"/>
              </w:rPr>
              <w:t>。</w:t>
            </w:r>
          </w:p>
          <w:p w14:paraId="6210C150">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以上</w:t>
            </w:r>
            <w:r>
              <w:rPr>
                <w:rFonts w:hint="eastAsia" w:ascii="宋体" w:hAnsi="宋体" w:cs="宋体"/>
                <w:sz w:val="24"/>
                <w:szCs w:val="24"/>
                <w:highlight w:val="none"/>
                <w:lang w:val="en-US" w:eastAsia="zh-CN"/>
              </w:rPr>
              <w:t>五</w:t>
            </w:r>
            <w:r>
              <w:rPr>
                <w:rFonts w:hint="eastAsia" w:ascii="宋体" w:hAnsi="宋体" w:eastAsia="宋体" w:cs="宋体"/>
                <w:sz w:val="24"/>
                <w:szCs w:val="24"/>
                <w:highlight w:val="none"/>
              </w:rPr>
              <w:t>项内容方案满分得</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rPr>
              <w:t>分。每缺少一项扣</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分;以上</w:t>
            </w:r>
            <w:r>
              <w:rPr>
                <w:rFonts w:hint="eastAsia" w:ascii="宋体" w:hAnsi="宋体" w:cs="宋体"/>
                <w:sz w:val="24"/>
                <w:szCs w:val="24"/>
                <w:highlight w:val="none"/>
                <w:lang w:val="en-US" w:eastAsia="zh-CN"/>
              </w:rPr>
              <w:t>五</w:t>
            </w:r>
            <w:bookmarkStart w:id="296" w:name="_GoBack"/>
            <w:bookmarkEnd w:id="296"/>
            <w:r>
              <w:rPr>
                <w:rFonts w:hint="eastAsia" w:ascii="宋体" w:hAnsi="宋体" w:eastAsia="宋体" w:cs="宋体"/>
                <w:sz w:val="24"/>
                <w:szCs w:val="24"/>
                <w:highlight w:val="none"/>
              </w:rPr>
              <w:t>小项中，每一项具有缺陷(缺陷是指:只提供评分标准标题内容不适用项目实际情况的情形、凭空编造、内容前后不致、前后逻辑错误、涉及的规范及标准错误、地点区域错误内容缺失不完整)的扣 1</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分，未提供不得分。</w:t>
            </w:r>
          </w:p>
        </w:tc>
      </w:tr>
      <w:tr w14:paraId="3F848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62" w:type="dxa"/>
            <w:vAlign w:val="center"/>
          </w:tcPr>
          <w:p w14:paraId="0055AE5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p>
        </w:tc>
        <w:tc>
          <w:tcPr>
            <w:tcW w:w="1246" w:type="dxa"/>
            <w:vAlign w:val="center"/>
          </w:tcPr>
          <w:p w14:paraId="720D113F">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售后服务承诺</w:t>
            </w:r>
          </w:p>
        </w:tc>
        <w:tc>
          <w:tcPr>
            <w:tcW w:w="720" w:type="dxa"/>
            <w:vAlign w:val="center"/>
          </w:tcPr>
          <w:p w14:paraId="7A5B841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7078" w:type="dxa"/>
            <w:vAlign w:val="center"/>
          </w:tcPr>
          <w:p w14:paraId="23E7454B">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针对本项目服务内容和要求提出各项售后服务承诺指标，并制订达标保障措施和不达标改善措施，内容包含但不限于：</w:t>
            </w:r>
          </w:p>
          <w:p w14:paraId="7A5A071D">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①针对设备可能出现的问题及重大故障，有具体可行的应急措施和解决方案、产品质量问题退换货方案；</w:t>
            </w:r>
          </w:p>
          <w:p w14:paraId="6ACFDE9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②售后服务监督措施（包含客户服务质量反馈渠道及有效解决措施、投诉处理）；</w:t>
            </w:r>
          </w:p>
          <w:p w14:paraId="439A446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③售后维修服务承诺及售后响应时间，维修服务时限；</w:t>
            </w:r>
          </w:p>
          <w:p w14:paraId="103F1AA2">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④售后服务人员配备；（包含售后服务团队人员配备是否符合项目要求的售后人员和售后团队机构图，售后人员职责分工明确，有售后人员联系方式，售后经验）</w:t>
            </w:r>
          </w:p>
          <w:p w14:paraId="5FED6BF3">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⑤应急服务响应方案；（包含产品质量问题应急预案、遇突发事件应急预案）</w:t>
            </w:r>
          </w:p>
          <w:p w14:paraId="325344D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以上内容满分得10分。每缺少一项扣2分；以上五小项中，每一项具有缺陷（缺陷是指：只提供评分标准标题、内容不适用项目实际情况的情形</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采购需求</w:t>
            </w:r>
            <w:r>
              <w:rPr>
                <w:rFonts w:hint="eastAsia" w:ascii="宋体" w:hAnsi="宋体" w:eastAsia="宋体" w:cs="宋体"/>
                <w:sz w:val="24"/>
                <w:szCs w:val="24"/>
                <w:highlight w:val="none"/>
              </w:rPr>
              <w:t>、凭空编造、内容前后不一致 、前后逻辑错误、涉及的规范及标准错误、地点区域错误、内容缺失不完整）的扣1</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分，未提供不得分。</w:t>
            </w:r>
          </w:p>
        </w:tc>
      </w:tr>
      <w:tr w14:paraId="67FB6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8" w:hRule="atLeast"/>
        </w:trPr>
        <w:tc>
          <w:tcPr>
            <w:tcW w:w="862" w:type="dxa"/>
            <w:vAlign w:val="center"/>
          </w:tcPr>
          <w:p w14:paraId="5B30683A">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p>
        </w:tc>
        <w:tc>
          <w:tcPr>
            <w:tcW w:w="1246" w:type="dxa"/>
            <w:vAlign w:val="center"/>
          </w:tcPr>
          <w:p w14:paraId="6B1B566E">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培训方案</w:t>
            </w:r>
          </w:p>
        </w:tc>
        <w:tc>
          <w:tcPr>
            <w:tcW w:w="720" w:type="dxa"/>
            <w:vAlign w:val="center"/>
          </w:tcPr>
          <w:p w14:paraId="12CFA03E">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7078" w:type="dxa"/>
            <w:vAlign w:val="center"/>
          </w:tcPr>
          <w:p w14:paraId="42431BC0">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根据投标人提供的培训方案，内容需明确但不限于：培训目的、培训计划、培训时长、培训时间、培训时间次数、培训内容。</w:t>
            </w:r>
          </w:p>
          <w:p w14:paraId="238C7B8E">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评分因素内容包括：①培训目的</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②培训计划、培训内容</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rPr>
              <w:t>③培训时长、培训时间、培训时间次数。</w:t>
            </w:r>
          </w:p>
          <w:p w14:paraId="5F6CB227">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以上三项内容满分得6分。每缺少一项扣2分；以上三小项中，每一项具有缺陷（缺陷是指：只提供评分标准标题、内容不适用项目实际情况的情形、凭空编造、内容前后不一致 、前后逻辑错误、涉及的规范及标准错误、地点区域错误、内容缺失不完整）的扣1分，未提供不得分。</w:t>
            </w:r>
          </w:p>
        </w:tc>
      </w:tr>
      <w:tr w14:paraId="78F2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62" w:type="dxa"/>
            <w:vAlign w:val="center"/>
          </w:tcPr>
          <w:p w14:paraId="33588FA1">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p>
        </w:tc>
        <w:tc>
          <w:tcPr>
            <w:tcW w:w="1246" w:type="dxa"/>
            <w:vAlign w:val="center"/>
          </w:tcPr>
          <w:p w14:paraId="678AE3CF">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保密管理方案</w:t>
            </w:r>
          </w:p>
          <w:p w14:paraId="5652719C">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p>
        </w:tc>
        <w:tc>
          <w:tcPr>
            <w:tcW w:w="720" w:type="dxa"/>
            <w:vAlign w:val="center"/>
          </w:tcPr>
          <w:p w14:paraId="33DD5FB7">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7078" w:type="dxa"/>
            <w:vAlign w:val="center"/>
          </w:tcPr>
          <w:p w14:paraId="4EADB47D">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根据供应商提供的保密管理方案，对项目的整体进行分析，根据项目的实际内容及数据分析制定相应的保密措施及方案，包含：①保密管理制度②保密相应措施③保密内容中其他建议及方案 每项得2分，此项最高得分</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分，每有1项内容有缺陷（缺陷是指：只提供评分标准</w:t>
            </w:r>
            <w:r>
              <w:rPr>
                <w:rFonts w:hint="eastAsia" w:ascii="宋体" w:hAnsi="宋体" w:eastAsia="宋体" w:cs="宋体"/>
                <w:b w:val="0"/>
                <w:bCs w:val="0"/>
                <w:sz w:val="24"/>
                <w:szCs w:val="24"/>
                <w:highlight w:val="none"/>
              </w:rPr>
              <w:t>标题、内容不适用项目实际情况的情形、凭空编造、内容前后不一致 、前后逻辑错误、涉</w:t>
            </w:r>
            <w:r>
              <w:rPr>
                <w:rFonts w:hint="eastAsia" w:ascii="宋体" w:hAnsi="宋体" w:eastAsia="宋体" w:cs="宋体"/>
                <w:sz w:val="24"/>
                <w:szCs w:val="24"/>
                <w:highlight w:val="none"/>
              </w:rPr>
              <w:t>及的规范及标准错误、地点区域错误、内容缺失不完整）的扣1.5分，每有1项内容未提及扣2分。</w:t>
            </w:r>
          </w:p>
        </w:tc>
      </w:tr>
      <w:tr w14:paraId="09DB7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62" w:type="dxa"/>
            <w:vAlign w:val="center"/>
          </w:tcPr>
          <w:p w14:paraId="191FBB7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7</w:t>
            </w:r>
          </w:p>
        </w:tc>
        <w:tc>
          <w:tcPr>
            <w:tcW w:w="1246" w:type="dxa"/>
            <w:shd w:val="clear" w:color="auto" w:fill="auto"/>
            <w:vAlign w:val="center"/>
          </w:tcPr>
          <w:p w14:paraId="467060EE">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软件服务</w:t>
            </w:r>
          </w:p>
        </w:tc>
        <w:tc>
          <w:tcPr>
            <w:tcW w:w="720" w:type="dxa"/>
            <w:shd w:val="clear" w:color="auto" w:fill="auto"/>
            <w:vAlign w:val="center"/>
          </w:tcPr>
          <w:p w14:paraId="7ECE9E8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w:t>
            </w:r>
          </w:p>
        </w:tc>
        <w:tc>
          <w:tcPr>
            <w:tcW w:w="7078" w:type="dxa"/>
            <w:shd w:val="clear" w:color="auto" w:fill="auto"/>
            <w:vAlign w:val="center"/>
          </w:tcPr>
          <w:p w14:paraId="57A2BC5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所投软件产品中需提供：</w:t>
            </w:r>
          </w:p>
          <w:p w14:paraId="39BBD6C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1）软件升级服务方案；</w:t>
            </w:r>
          </w:p>
          <w:p w14:paraId="351CCD77">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2）后期软件维护服务方案；</w:t>
            </w:r>
          </w:p>
          <w:p w14:paraId="0FA339C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3）技术支持服务方案；</w:t>
            </w:r>
          </w:p>
          <w:p w14:paraId="0277F14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每项得1分，此项最高得分3分，每有1项内容有缺陷（缺陷是指：只提供评分标准标题、内容不适用项目实际情况的情形、凭空编造、内容前后不一致 、前后逻辑错误、涉及的规范及标准错误、地点区域错误、内容缺失不完整）的扣0.5分，每有1项内容未提及扣1分。</w:t>
            </w:r>
          </w:p>
        </w:tc>
      </w:tr>
      <w:tr w14:paraId="50DB1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862" w:type="dxa"/>
            <w:vAlign w:val="center"/>
          </w:tcPr>
          <w:p w14:paraId="4926AA3A">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8</w:t>
            </w:r>
          </w:p>
        </w:tc>
        <w:tc>
          <w:tcPr>
            <w:tcW w:w="1246" w:type="dxa"/>
            <w:vAlign w:val="center"/>
          </w:tcPr>
          <w:p w14:paraId="569121E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节能环保情况</w:t>
            </w:r>
          </w:p>
        </w:tc>
        <w:tc>
          <w:tcPr>
            <w:tcW w:w="720" w:type="dxa"/>
            <w:vAlign w:val="center"/>
          </w:tcPr>
          <w:p w14:paraId="18CEA803">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7078" w:type="dxa"/>
            <w:vAlign w:val="center"/>
          </w:tcPr>
          <w:p w14:paraId="4B102FB0">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关于投标人所投设备若获得相关节能、环保认证情况。除★政府强制采购的节能产品外：</w:t>
            </w:r>
          </w:p>
          <w:p w14:paraId="47026068">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1）节能产品：所投设备具有国家确定的认证机构出具的、处于有效期之内的节能产品认证证书（提供证书复印件），每有一类货物加 0.5 分，满分0.5。</w:t>
            </w:r>
          </w:p>
          <w:p w14:paraId="41395E1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2）环保产品：所投设备具有国家确定的认证机构出具的、处于有效期之内的环境标志产品认证（提供证书复印件），每有一类货物加 0.5 分，满分0.5。</w:t>
            </w:r>
          </w:p>
        </w:tc>
      </w:tr>
    </w:tbl>
    <w:p w14:paraId="27D709E8">
      <w:pPr>
        <w:rPr>
          <w:rFonts w:hint="eastAsia" w:ascii="宋体" w:hAnsi="宋体" w:cs="宋体"/>
          <w:w w:val="90"/>
          <w:highlight w:val="none"/>
        </w:rPr>
      </w:pPr>
      <w:r>
        <w:rPr>
          <w:rFonts w:ascii="宋体" w:hAnsi="宋体"/>
          <w:sz w:val="44"/>
          <w:szCs w:val="44"/>
          <w:highlight w:val="none"/>
        </w:rPr>
        <w:br w:type="page"/>
      </w:r>
      <w:bookmarkStart w:id="94" w:name="_Toc2511995"/>
      <w:bookmarkStart w:id="95" w:name="_Toc14776845"/>
      <w:bookmarkStart w:id="96" w:name="_Toc2697"/>
      <w:bookmarkStart w:id="97" w:name="_Toc44704909"/>
      <w:bookmarkStart w:id="98" w:name="_Toc44705056"/>
    </w:p>
    <w:p w14:paraId="069AEAA0">
      <w:pPr>
        <w:pStyle w:val="3"/>
        <w:spacing w:line="360" w:lineRule="auto"/>
        <w:jc w:val="center"/>
        <w:rPr>
          <w:rFonts w:hint="eastAsia" w:ascii="宋体" w:hAnsi="宋体" w:cs="宋体"/>
          <w:w w:val="90"/>
          <w:highlight w:val="none"/>
        </w:rPr>
      </w:pPr>
    </w:p>
    <w:p w14:paraId="6D69B2A1">
      <w:pPr>
        <w:pStyle w:val="3"/>
        <w:spacing w:line="360" w:lineRule="auto"/>
        <w:jc w:val="center"/>
        <w:rPr>
          <w:rFonts w:hint="eastAsia" w:ascii="宋体" w:hAnsi="宋体" w:cs="宋体"/>
          <w:w w:val="90"/>
          <w:highlight w:val="none"/>
        </w:rPr>
      </w:pPr>
    </w:p>
    <w:p w14:paraId="27DCB8AA">
      <w:pPr>
        <w:pStyle w:val="3"/>
        <w:spacing w:line="360" w:lineRule="auto"/>
        <w:jc w:val="center"/>
        <w:rPr>
          <w:rFonts w:hint="eastAsia" w:ascii="宋体" w:hAnsi="宋体" w:cs="宋体"/>
          <w:w w:val="90"/>
          <w:highlight w:val="none"/>
        </w:rPr>
      </w:pPr>
    </w:p>
    <w:p w14:paraId="7C8780BD">
      <w:pPr>
        <w:pStyle w:val="3"/>
        <w:spacing w:line="360" w:lineRule="auto"/>
        <w:jc w:val="center"/>
        <w:rPr>
          <w:rFonts w:ascii="宋体" w:cs="宋体"/>
          <w:w w:val="90"/>
          <w:highlight w:val="none"/>
        </w:rPr>
      </w:pPr>
      <w:r>
        <w:rPr>
          <w:rFonts w:hint="eastAsia" w:ascii="宋体" w:hAnsi="宋体" w:cs="宋体"/>
          <w:w w:val="90"/>
          <w:highlight w:val="none"/>
        </w:rPr>
        <w:t>第七章</w:t>
      </w:r>
      <w:r>
        <w:rPr>
          <w:rFonts w:ascii="宋体" w:hAnsi="宋体" w:cs="宋体"/>
          <w:w w:val="90"/>
          <w:highlight w:val="none"/>
        </w:rPr>
        <w:t xml:space="preserve"> </w:t>
      </w:r>
      <w:r>
        <w:rPr>
          <w:rFonts w:hint="eastAsia" w:ascii="宋体" w:hAnsi="宋体" w:cs="宋体"/>
          <w:w w:val="90"/>
          <w:highlight w:val="none"/>
        </w:rPr>
        <w:t>投标文件格式</w:t>
      </w:r>
      <w:bookmarkEnd w:id="94"/>
      <w:bookmarkEnd w:id="95"/>
      <w:bookmarkEnd w:id="96"/>
      <w:bookmarkEnd w:id="97"/>
      <w:bookmarkEnd w:id="98"/>
    </w:p>
    <w:p w14:paraId="6DB34C31">
      <w:pPr>
        <w:widowControl/>
        <w:jc w:val="left"/>
        <w:rPr>
          <w:rFonts w:ascii="宋体"/>
          <w:kern w:val="0"/>
          <w:sz w:val="36"/>
          <w:szCs w:val="36"/>
          <w:highlight w:val="none"/>
          <w:lang w:val="zh-CN"/>
        </w:rPr>
      </w:pPr>
      <w:bookmarkStart w:id="99" w:name="_Toc2355254"/>
      <w:bookmarkStart w:id="100" w:name="_Toc2511996"/>
      <w:bookmarkStart w:id="101" w:name="_Toc14776846"/>
      <w:bookmarkStart w:id="102" w:name="_Toc497167403"/>
      <w:r>
        <w:rPr>
          <w:sz w:val="36"/>
          <w:szCs w:val="36"/>
          <w:highlight w:val="none"/>
        </w:rPr>
        <w:br w:type="page"/>
      </w:r>
    </w:p>
    <w:p w14:paraId="6E369866">
      <w:pPr>
        <w:pStyle w:val="209"/>
        <w:ind w:firstLine="0" w:firstLineChars="0"/>
        <w:jc w:val="center"/>
        <w:rPr>
          <w:sz w:val="36"/>
          <w:szCs w:val="36"/>
          <w:highlight w:val="none"/>
        </w:rPr>
      </w:pPr>
    </w:p>
    <w:p w14:paraId="03535836">
      <w:pPr>
        <w:pStyle w:val="209"/>
        <w:ind w:firstLine="0" w:firstLineChars="0"/>
        <w:jc w:val="center"/>
        <w:rPr>
          <w:sz w:val="36"/>
          <w:szCs w:val="36"/>
          <w:highlight w:val="none"/>
        </w:rPr>
      </w:pPr>
    </w:p>
    <w:p w14:paraId="7C706B2D">
      <w:pPr>
        <w:pStyle w:val="209"/>
        <w:ind w:firstLine="0" w:firstLineChars="0"/>
        <w:jc w:val="center"/>
        <w:rPr>
          <w:sz w:val="36"/>
          <w:szCs w:val="36"/>
          <w:highlight w:val="none"/>
        </w:rPr>
      </w:pPr>
    </w:p>
    <w:p w14:paraId="2EFA99A9">
      <w:pPr>
        <w:pStyle w:val="4"/>
        <w:jc w:val="center"/>
        <w:rPr>
          <w:rFonts w:ascii="宋体" w:hAnsi="宋体" w:eastAsia="宋体"/>
          <w:sz w:val="36"/>
          <w:szCs w:val="36"/>
          <w:highlight w:val="none"/>
        </w:rPr>
      </w:pPr>
      <w:bookmarkStart w:id="103" w:name="_Toc406"/>
      <w:bookmarkStart w:id="104" w:name="_Toc857"/>
      <w:bookmarkStart w:id="105" w:name="_Toc44705057"/>
      <w:bookmarkStart w:id="106" w:name="_Toc44704910"/>
      <w:r>
        <w:rPr>
          <w:rFonts w:hint="eastAsia" w:ascii="宋体" w:hAnsi="宋体" w:eastAsia="宋体"/>
          <w:sz w:val="36"/>
          <w:szCs w:val="36"/>
          <w:highlight w:val="none"/>
        </w:rPr>
        <w:t>投标文件</w:t>
      </w:r>
      <w:r>
        <w:rPr>
          <w:rFonts w:ascii="宋体" w:hAnsi="宋体" w:eastAsia="宋体"/>
          <w:sz w:val="36"/>
          <w:szCs w:val="36"/>
          <w:highlight w:val="none"/>
        </w:rPr>
        <w:t>-</w:t>
      </w:r>
      <w:r>
        <w:rPr>
          <w:rFonts w:hint="eastAsia" w:ascii="宋体" w:hAnsi="宋体" w:eastAsia="宋体"/>
          <w:sz w:val="36"/>
          <w:szCs w:val="36"/>
          <w:highlight w:val="none"/>
        </w:rPr>
        <w:t>资格证明文件</w:t>
      </w:r>
      <w:bookmarkEnd w:id="99"/>
      <w:bookmarkEnd w:id="100"/>
      <w:bookmarkEnd w:id="101"/>
      <w:bookmarkEnd w:id="103"/>
      <w:bookmarkEnd w:id="104"/>
      <w:bookmarkStart w:id="107" w:name="_Toc2511997"/>
      <w:bookmarkStart w:id="108" w:name="_Toc2355255"/>
    </w:p>
    <w:bookmarkEnd w:id="102"/>
    <w:bookmarkEnd w:id="105"/>
    <w:bookmarkEnd w:id="106"/>
    <w:bookmarkEnd w:id="107"/>
    <w:bookmarkEnd w:id="108"/>
    <w:p w14:paraId="0623A2FF">
      <w:pPr>
        <w:jc w:val="center"/>
        <w:rPr>
          <w:sz w:val="32"/>
          <w:highlight w:val="none"/>
        </w:rPr>
      </w:pPr>
    </w:p>
    <w:p w14:paraId="1AC15099">
      <w:pPr>
        <w:widowControl/>
        <w:spacing w:line="360" w:lineRule="auto"/>
        <w:jc w:val="left"/>
        <w:rPr>
          <w:rFonts w:ascii="宋体" w:cs="宋体"/>
          <w:b/>
          <w:sz w:val="36"/>
          <w:szCs w:val="44"/>
          <w:highlight w:val="none"/>
        </w:rPr>
      </w:pPr>
      <w:r>
        <w:rPr>
          <w:rFonts w:ascii="宋体" w:cs="宋体"/>
          <w:highlight w:val="none"/>
        </w:rPr>
        <w:br w:type="page"/>
      </w:r>
    </w:p>
    <w:p w14:paraId="1DB39CA2">
      <w:pPr>
        <w:spacing w:line="360" w:lineRule="auto"/>
        <w:rPr>
          <w:rFonts w:ascii="宋体" w:hAnsi="宋体" w:cs="宋体"/>
          <w:b/>
          <w:szCs w:val="21"/>
          <w:highlight w:val="none"/>
        </w:rPr>
      </w:pPr>
      <w:r>
        <w:rPr>
          <w:rFonts w:hint="eastAsia" w:ascii="宋体" w:hAnsi="宋体" w:cs="宋体"/>
          <w:b/>
          <w:szCs w:val="21"/>
          <w:highlight w:val="none"/>
        </w:rPr>
        <w:t>资格证明文件隔页纸格式</w:t>
      </w:r>
    </w:p>
    <w:p w14:paraId="46ED1ED3">
      <w:pPr>
        <w:pStyle w:val="21"/>
        <w:rPr>
          <w:highlight w:val="none"/>
        </w:rPr>
      </w:pPr>
    </w:p>
    <w:p w14:paraId="7F15BF2B">
      <w:pPr>
        <w:spacing w:line="360" w:lineRule="auto"/>
        <w:jc w:val="center"/>
        <w:rPr>
          <w:rFonts w:ascii="宋体" w:cs="宋体"/>
          <w:b/>
          <w:sz w:val="96"/>
          <w:highlight w:val="none"/>
        </w:rPr>
      </w:pPr>
    </w:p>
    <w:p w14:paraId="1DFCFEFA">
      <w:pPr>
        <w:spacing w:line="360" w:lineRule="auto"/>
        <w:jc w:val="center"/>
        <w:rPr>
          <w:rFonts w:ascii="宋体" w:cs="宋体"/>
          <w:b/>
          <w:sz w:val="80"/>
          <w:szCs w:val="80"/>
          <w:highlight w:val="none"/>
        </w:rPr>
      </w:pPr>
      <w:r>
        <w:rPr>
          <w:rFonts w:hint="eastAsia" w:ascii="宋体" w:hAnsi="宋体" w:cs="宋体"/>
          <w:b/>
          <w:sz w:val="80"/>
          <w:szCs w:val="80"/>
          <w:highlight w:val="none"/>
        </w:rPr>
        <w:t>（</w:t>
      </w:r>
      <w:r>
        <w:rPr>
          <w:rFonts w:hint="eastAsia" w:ascii="宋体" w:hAnsi="宋体" w:cs="宋体"/>
          <w:b/>
          <w:sz w:val="80"/>
          <w:szCs w:val="80"/>
          <w:highlight w:val="none"/>
          <w:lang w:eastAsia="zh-CN"/>
        </w:rPr>
        <w:t>标项名称</w:t>
      </w:r>
      <w:r>
        <w:rPr>
          <w:rFonts w:hint="eastAsia" w:ascii="宋体" w:hAnsi="宋体" w:cs="宋体"/>
          <w:b/>
          <w:sz w:val="80"/>
          <w:szCs w:val="80"/>
          <w:highlight w:val="none"/>
        </w:rPr>
        <w:t>）</w:t>
      </w:r>
    </w:p>
    <w:p w14:paraId="26590E6D">
      <w:pPr>
        <w:spacing w:line="360" w:lineRule="auto"/>
        <w:jc w:val="center"/>
        <w:rPr>
          <w:rFonts w:ascii="宋体" w:cs="宋体"/>
          <w:b/>
          <w:sz w:val="80"/>
          <w:szCs w:val="80"/>
          <w:highlight w:val="none"/>
        </w:rPr>
      </w:pPr>
    </w:p>
    <w:p w14:paraId="0D6A88DE">
      <w:pPr>
        <w:spacing w:line="360" w:lineRule="auto"/>
        <w:jc w:val="center"/>
        <w:rPr>
          <w:rFonts w:ascii="宋体" w:cs="宋体"/>
          <w:b/>
          <w:sz w:val="80"/>
          <w:szCs w:val="80"/>
          <w:highlight w:val="none"/>
        </w:rPr>
      </w:pPr>
      <w:r>
        <w:rPr>
          <w:rFonts w:hint="eastAsia" w:ascii="宋体" w:hAnsi="宋体" w:cs="宋体"/>
          <w:b/>
          <w:sz w:val="80"/>
          <w:szCs w:val="80"/>
          <w:highlight w:val="none"/>
        </w:rPr>
        <w:t>投标文件</w:t>
      </w:r>
      <w:r>
        <w:rPr>
          <w:rFonts w:ascii="宋体" w:cs="宋体"/>
          <w:b/>
          <w:sz w:val="80"/>
          <w:szCs w:val="80"/>
          <w:highlight w:val="none"/>
        </w:rPr>
        <w:t>-</w:t>
      </w:r>
      <w:r>
        <w:rPr>
          <w:rFonts w:hint="eastAsia" w:ascii="宋体" w:hAnsi="宋体" w:cs="宋体"/>
          <w:b/>
          <w:sz w:val="80"/>
          <w:szCs w:val="80"/>
          <w:highlight w:val="none"/>
        </w:rPr>
        <w:t>资格证明材料</w:t>
      </w:r>
    </w:p>
    <w:p w14:paraId="44037E2F">
      <w:pPr>
        <w:spacing w:line="360" w:lineRule="auto"/>
        <w:rPr>
          <w:rFonts w:ascii="宋体" w:cs="宋体"/>
          <w:b/>
          <w:highlight w:val="none"/>
        </w:rPr>
      </w:pPr>
    </w:p>
    <w:p w14:paraId="56D0352E">
      <w:pPr>
        <w:spacing w:line="360" w:lineRule="auto"/>
        <w:rPr>
          <w:rFonts w:ascii="宋体" w:cs="宋体"/>
          <w:b/>
          <w:highlight w:val="none"/>
        </w:rPr>
      </w:pPr>
    </w:p>
    <w:p w14:paraId="125D060A">
      <w:pPr>
        <w:spacing w:line="360" w:lineRule="auto"/>
        <w:jc w:val="center"/>
        <w:rPr>
          <w:rFonts w:ascii="宋体" w:cs="宋体"/>
          <w:b/>
          <w:highlight w:val="none"/>
        </w:rPr>
      </w:pPr>
    </w:p>
    <w:p w14:paraId="323EC86A">
      <w:pPr>
        <w:spacing w:line="360" w:lineRule="auto"/>
        <w:rPr>
          <w:rFonts w:ascii="宋体" w:cs="宋体"/>
          <w:b/>
          <w:highlight w:val="none"/>
        </w:rPr>
      </w:pPr>
    </w:p>
    <w:p w14:paraId="08CFFD79">
      <w:pPr>
        <w:spacing w:line="360" w:lineRule="auto"/>
        <w:jc w:val="center"/>
        <w:rPr>
          <w:rFonts w:ascii="宋体" w:cs="宋体"/>
          <w:b/>
          <w:highlight w:val="none"/>
        </w:rPr>
      </w:pPr>
    </w:p>
    <w:p w14:paraId="721F89BB">
      <w:pPr>
        <w:spacing w:line="360" w:lineRule="auto"/>
        <w:jc w:val="center"/>
        <w:rPr>
          <w:rFonts w:ascii="宋体" w:cs="宋体"/>
          <w:b/>
          <w:highlight w:val="none"/>
        </w:rPr>
      </w:pPr>
    </w:p>
    <w:p w14:paraId="589FF63C">
      <w:pPr>
        <w:spacing w:line="360" w:lineRule="auto"/>
        <w:rPr>
          <w:rFonts w:ascii="宋体" w:cs="宋体"/>
          <w:b/>
          <w:sz w:val="36"/>
          <w:szCs w:val="36"/>
          <w:highlight w:val="none"/>
        </w:rPr>
      </w:pPr>
      <w:r>
        <w:rPr>
          <w:rFonts w:hint="eastAsia" w:ascii="宋体" w:hAnsi="宋体" w:cs="宋体"/>
          <w:b/>
          <w:sz w:val="36"/>
          <w:szCs w:val="36"/>
          <w:highlight w:val="none"/>
        </w:rPr>
        <w:t>招标编号：</w:t>
      </w:r>
    </w:p>
    <w:p w14:paraId="6660496A">
      <w:pPr>
        <w:spacing w:line="360" w:lineRule="auto"/>
        <w:ind w:left="2992" w:hanging="2631"/>
        <w:rPr>
          <w:rFonts w:ascii="宋体" w:cs="宋体"/>
          <w:b/>
          <w:sz w:val="36"/>
          <w:szCs w:val="36"/>
          <w:highlight w:val="none"/>
        </w:rPr>
      </w:pPr>
    </w:p>
    <w:p w14:paraId="77B5D4A5">
      <w:pPr>
        <w:spacing w:line="360" w:lineRule="auto"/>
        <w:rPr>
          <w:rFonts w:ascii="宋体" w:cs="宋体"/>
          <w:b/>
          <w:sz w:val="36"/>
          <w:szCs w:val="36"/>
          <w:highlight w:val="none"/>
          <w:u w:val="single"/>
        </w:rPr>
      </w:pPr>
      <w:r>
        <w:rPr>
          <w:rFonts w:hint="eastAsia" w:ascii="宋体" w:hAnsi="宋体" w:cs="宋体"/>
          <w:b/>
          <w:sz w:val="36"/>
          <w:szCs w:val="36"/>
          <w:highlight w:val="none"/>
        </w:rPr>
        <w:t>投标人名称：</w:t>
      </w:r>
      <w:r>
        <w:rPr>
          <w:rFonts w:ascii="宋体" w:hAnsi="宋体" w:cs="宋体"/>
          <w:b/>
          <w:sz w:val="36"/>
          <w:szCs w:val="36"/>
          <w:highlight w:val="none"/>
        </w:rPr>
        <w:t xml:space="preserve"> </w:t>
      </w:r>
      <w:r>
        <w:rPr>
          <w:rFonts w:ascii="宋体" w:hAnsi="宋体" w:cs="宋体"/>
          <w:b/>
          <w:sz w:val="36"/>
          <w:szCs w:val="36"/>
          <w:highlight w:val="none"/>
          <w:u w:val="single"/>
        </w:rPr>
        <w:t xml:space="preserve">                </w:t>
      </w:r>
      <w:r>
        <w:rPr>
          <w:rFonts w:hint="eastAsia" w:ascii="宋体" w:hAnsi="宋体" w:cs="宋体"/>
          <w:b/>
          <w:sz w:val="36"/>
          <w:szCs w:val="36"/>
          <w:highlight w:val="none"/>
          <w:u w:val="single"/>
        </w:rPr>
        <w:t>（盖公章（或电子章））</w:t>
      </w:r>
    </w:p>
    <w:p w14:paraId="6F80CA5A">
      <w:pPr>
        <w:spacing w:line="360" w:lineRule="auto"/>
        <w:rPr>
          <w:rFonts w:ascii="宋体" w:cs="宋体"/>
          <w:b/>
          <w:sz w:val="36"/>
          <w:szCs w:val="36"/>
          <w:highlight w:val="none"/>
        </w:rPr>
      </w:pPr>
    </w:p>
    <w:p w14:paraId="342AE1AB">
      <w:pPr>
        <w:spacing w:line="360" w:lineRule="auto"/>
        <w:jc w:val="center"/>
        <w:rPr>
          <w:rFonts w:ascii="宋体" w:cs="宋体"/>
          <w:b/>
          <w:sz w:val="36"/>
          <w:szCs w:val="36"/>
          <w:highlight w:val="none"/>
        </w:rPr>
      </w:pPr>
      <w:r>
        <w:rPr>
          <w:rFonts w:ascii="宋体" w:hAnsi="宋体" w:cs="宋体"/>
          <w:b/>
          <w:sz w:val="36"/>
          <w:szCs w:val="36"/>
          <w:highlight w:val="none"/>
        </w:rPr>
        <w:t xml:space="preserve"> </w:t>
      </w:r>
      <w:r>
        <w:rPr>
          <w:rFonts w:hint="eastAsia" w:ascii="宋体" w:hAnsi="宋体" w:cs="宋体"/>
          <w:b/>
          <w:sz w:val="36"/>
          <w:szCs w:val="36"/>
          <w:highlight w:val="none"/>
        </w:rPr>
        <w:t>年</w:t>
      </w:r>
      <w:r>
        <w:rPr>
          <w:rFonts w:ascii="宋体" w:hAnsi="宋体" w:cs="宋体"/>
          <w:b/>
          <w:sz w:val="36"/>
          <w:szCs w:val="36"/>
          <w:highlight w:val="none"/>
        </w:rPr>
        <w:t xml:space="preserve">  </w:t>
      </w:r>
      <w:r>
        <w:rPr>
          <w:rFonts w:hint="eastAsia" w:ascii="宋体" w:hAnsi="宋体" w:cs="宋体"/>
          <w:b/>
          <w:sz w:val="36"/>
          <w:szCs w:val="36"/>
          <w:highlight w:val="none"/>
        </w:rPr>
        <w:t>月</w:t>
      </w:r>
      <w:r>
        <w:rPr>
          <w:rFonts w:ascii="宋体" w:hAnsi="宋体" w:cs="宋体"/>
          <w:b/>
          <w:sz w:val="36"/>
          <w:szCs w:val="36"/>
          <w:highlight w:val="none"/>
        </w:rPr>
        <w:t xml:space="preserve">  </w:t>
      </w:r>
      <w:r>
        <w:rPr>
          <w:rFonts w:hint="eastAsia" w:ascii="宋体" w:hAnsi="宋体" w:cs="宋体"/>
          <w:b/>
          <w:sz w:val="36"/>
          <w:szCs w:val="36"/>
          <w:highlight w:val="none"/>
        </w:rPr>
        <w:t>日</w:t>
      </w:r>
    </w:p>
    <w:p w14:paraId="5E510E31">
      <w:pPr>
        <w:widowControl/>
        <w:spacing w:line="360" w:lineRule="auto"/>
        <w:jc w:val="left"/>
        <w:rPr>
          <w:rFonts w:ascii="宋体" w:cs="宋体"/>
          <w:b/>
          <w:sz w:val="36"/>
          <w:szCs w:val="36"/>
          <w:highlight w:val="none"/>
        </w:rPr>
      </w:pPr>
      <w:r>
        <w:rPr>
          <w:rFonts w:ascii="宋体" w:cs="宋体"/>
          <w:b/>
          <w:sz w:val="36"/>
          <w:szCs w:val="36"/>
          <w:highlight w:val="none"/>
        </w:rPr>
        <w:br w:type="page"/>
      </w:r>
    </w:p>
    <w:p w14:paraId="5958A53B">
      <w:pPr>
        <w:pStyle w:val="4"/>
        <w:rPr>
          <w:rFonts w:ascii="宋体" w:hAnsi="宋体" w:eastAsia="宋体" w:cs="宋体"/>
          <w:sz w:val="24"/>
          <w:szCs w:val="24"/>
          <w:highlight w:val="none"/>
        </w:rPr>
      </w:pPr>
      <w:bookmarkStart w:id="109" w:name="_Toc44705058"/>
      <w:bookmarkStart w:id="110" w:name="_Toc44704911"/>
      <w:bookmarkStart w:id="111" w:name="_Toc32364"/>
      <w:bookmarkStart w:id="112" w:name="_Toc30545"/>
      <w:r>
        <w:rPr>
          <w:rFonts w:hint="eastAsia" w:ascii="宋体" w:hAnsi="宋体" w:eastAsia="宋体" w:cs="宋体"/>
          <w:sz w:val="36"/>
          <w:szCs w:val="24"/>
          <w:highlight w:val="none"/>
        </w:rPr>
        <w:t>资格证明材料内容及格式</w:t>
      </w:r>
      <w:bookmarkEnd w:id="109"/>
      <w:bookmarkEnd w:id="110"/>
      <w:bookmarkEnd w:id="111"/>
      <w:bookmarkEnd w:id="112"/>
    </w:p>
    <w:p w14:paraId="0025C9C5">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一、目录</w:t>
      </w:r>
    </w:p>
    <w:p w14:paraId="4D5446F3">
      <w:pPr>
        <w:tabs>
          <w:tab w:val="left" w:pos="720"/>
        </w:tabs>
        <w:autoSpaceDE w:val="0"/>
        <w:autoSpaceDN w:val="0"/>
        <w:adjustRightInd w:val="0"/>
        <w:spacing w:line="360" w:lineRule="auto"/>
        <w:ind w:right="17"/>
        <w:jc w:val="left"/>
        <w:rPr>
          <w:rFonts w:ascii="宋体" w:cs="宋体"/>
          <w:kern w:val="0"/>
          <w:sz w:val="24"/>
          <w:szCs w:val="24"/>
          <w:highlight w:val="none"/>
          <w:lang w:val="zh-CN"/>
        </w:rPr>
      </w:pPr>
      <w:r>
        <w:rPr>
          <w:rFonts w:ascii="宋体" w:hAnsi="宋体" w:cs="宋体"/>
          <w:color w:val="000000"/>
          <w:sz w:val="24"/>
          <w:szCs w:val="24"/>
          <w:highlight w:val="none"/>
        </w:rPr>
        <w:t>1</w:t>
      </w:r>
      <w:r>
        <w:rPr>
          <w:rFonts w:ascii="宋体" w:hAnsi="宋体" w:cs="宋体"/>
          <w:kern w:val="0"/>
          <w:sz w:val="24"/>
          <w:szCs w:val="24"/>
          <w:highlight w:val="none"/>
          <w:lang w:val="zh-CN"/>
        </w:rPr>
        <w:t>.1</w:t>
      </w:r>
      <w:r>
        <w:rPr>
          <w:rFonts w:hint="eastAsia" w:ascii="宋体" w:hAnsi="宋体" w:cs="宋体"/>
          <w:kern w:val="0"/>
          <w:sz w:val="24"/>
          <w:szCs w:val="24"/>
          <w:highlight w:val="none"/>
          <w:lang w:val="zh-CN"/>
        </w:rPr>
        <w:t>具有独立承担民事责任的能力；</w:t>
      </w:r>
    </w:p>
    <w:p w14:paraId="3DEA7629">
      <w:pPr>
        <w:tabs>
          <w:tab w:val="left" w:pos="720"/>
        </w:tabs>
        <w:autoSpaceDE w:val="0"/>
        <w:autoSpaceDN w:val="0"/>
        <w:adjustRightInd w:val="0"/>
        <w:spacing w:line="360" w:lineRule="auto"/>
        <w:ind w:right="17"/>
        <w:jc w:val="left"/>
        <w:rPr>
          <w:rFonts w:ascii="宋体" w:cs="宋体"/>
          <w:color w:val="000000"/>
          <w:kern w:val="0"/>
          <w:sz w:val="24"/>
          <w:szCs w:val="24"/>
          <w:highlight w:val="none"/>
          <w:lang w:val="zh-CN"/>
        </w:rPr>
      </w:pPr>
      <w:r>
        <w:rPr>
          <w:rFonts w:ascii="宋体" w:hAnsi="宋体" w:cs="宋体"/>
          <w:color w:val="000000"/>
          <w:sz w:val="24"/>
          <w:szCs w:val="24"/>
          <w:highlight w:val="none"/>
        </w:rPr>
        <w:t>1.2</w:t>
      </w:r>
      <w:r>
        <w:rPr>
          <w:rFonts w:hint="eastAsia" w:ascii="宋体" w:hAnsi="宋体" w:cs="宋体"/>
          <w:kern w:val="0"/>
          <w:sz w:val="24"/>
          <w:szCs w:val="24"/>
          <w:highlight w:val="none"/>
          <w:lang w:val="zh-CN"/>
        </w:rPr>
        <w:t>具有良好的商业信誉和健全的财务会计制度</w:t>
      </w:r>
      <w:r>
        <w:rPr>
          <w:rFonts w:hint="eastAsia" w:ascii="宋体" w:hAnsi="宋体" w:cs="宋体"/>
          <w:color w:val="000000"/>
          <w:sz w:val="24"/>
          <w:szCs w:val="24"/>
          <w:highlight w:val="none"/>
        </w:rPr>
        <w:t>；</w:t>
      </w:r>
    </w:p>
    <w:p w14:paraId="2C87221F">
      <w:pPr>
        <w:spacing w:line="360" w:lineRule="auto"/>
        <w:rPr>
          <w:rFonts w:ascii="宋体" w:cs="宋体"/>
          <w:color w:val="000000"/>
          <w:sz w:val="24"/>
          <w:szCs w:val="24"/>
          <w:highlight w:val="none"/>
        </w:rPr>
      </w:pPr>
      <w:r>
        <w:rPr>
          <w:rFonts w:ascii="宋体" w:hAnsi="宋体" w:cs="宋体"/>
          <w:color w:val="000000"/>
          <w:sz w:val="24"/>
          <w:szCs w:val="24"/>
          <w:highlight w:val="none"/>
        </w:rPr>
        <w:t>1.3</w:t>
      </w:r>
      <w:r>
        <w:rPr>
          <w:rFonts w:hint="eastAsia" w:ascii="宋体" w:hAnsi="宋体" w:cs="宋体"/>
          <w:color w:val="000000"/>
          <w:sz w:val="24"/>
          <w:szCs w:val="24"/>
          <w:highlight w:val="none"/>
        </w:rPr>
        <w:t>具有履行合同所必需的设备和专业技术能力；</w:t>
      </w:r>
    </w:p>
    <w:p w14:paraId="29E5DEAD">
      <w:pPr>
        <w:spacing w:line="360" w:lineRule="auto"/>
        <w:rPr>
          <w:rFonts w:ascii="宋体" w:cs="宋体"/>
          <w:color w:val="000000"/>
          <w:sz w:val="24"/>
          <w:szCs w:val="24"/>
          <w:highlight w:val="none"/>
        </w:rPr>
      </w:pPr>
      <w:r>
        <w:rPr>
          <w:rFonts w:ascii="宋体" w:hAnsi="宋体" w:cs="宋体"/>
          <w:color w:val="000000"/>
          <w:sz w:val="24"/>
          <w:szCs w:val="24"/>
          <w:highlight w:val="none"/>
        </w:rPr>
        <w:t>1.4</w:t>
      </w:r>
      <w:r>
        <w:rPr>
          <w:rFonts w:hint="eastAsia" w:ascii="宋体" w:hAnsi="宋体" w:cs="宋体"/>
          <w:color w:val="000000"/>
          <w:kern w:val="0"/>
          <w:sz w:val="24"/>
          <w:szCs w:val="24"/>
          <w:highlight w:val="none"/>
          <w:lang w:val="zh-CN"/>
        </w:rPr>
        <w:t>有依法缴纳税收和社会保障资金的良好记录；</w:t>
      </w:r>
    </w:p>
    <w:p w14:paraId="504FFCB7">
      <w:pPr>
        <w:spacing w:line="360" w:lineRule="auto"/>
        <w:rPr>
          <w:rFonts w:ascii="宋体" w:cs="宋体"/>
          <w:color w:val="000000"/>
          <w:sz w:val="24"/>
          <w:szCs w:val="24"/>
          <w:highlight w:val="none"/>
        </w:rPr>
      </w:pPr>
      <w:r>
        <w:rPr>
          <w:rFonts w:ascii="宋体" w:hAnsi="宋体" w:cs="宋体"/>
          <w:color w:val="000000"/>
          <w:sz w:val="24"/>
          <w:szCs w:val="24"/>
          <w:highlight w:val="none"/>
        </w:rPr>
        <w:t>1.5</w:t>
      </w:r>
      <w:r>
        <w:rPr>
          <w:rFonts w:hint="eastAsia" w:ascii="宋体" w:hAnsi="宋体" w:cs="宋体"/>
          <w:color w:val="000000"/>
          <w:sz w:val="24"/>
          <w:szCs w:val="24"/>
          <w:highlight w:val="none"/>
        </w:rPr>
        <w:t>参加政府采购活动前三年内，在经营活动中没有重大违法记录；</w:t>
      </w:r>
    </w:p>
    <w:p w14:paraId="2B39EF29">
      <w:pPr>
        <w:spacing w:line="360" w:lineRule="auto"/>
        <w:rPr>
          <w:rFonts w:ascii="宋体" w:cs="宋体"/>
          <w:color w:val="000000"/>
          <w:sz w:val="24"/>
          <w:szCs w:val="24"/>
          <w:highlight w:val="none"/>
        </w:rPr>
      </w:pPr>
      <w:r>
        <w:rPr>
          <w:rFonts w:ascii="宋体" w:hAnsi="宋体" w:cs="宋体"/>
          <w:color w:val="000000"/>
          <w:sz w:val="24"/>
          <w:szCs w:val="24"/>
          <w:highlight w:val="none"/>
        </w:rPr>
        <w:t>1.</w:t>
      </w:r>
      <w:bookmarkStart w:id="113" w:name="_Hlk493437107"/>
      <w:r>
        <w:rPr>
          <w:rFonts w:ascii="宋体" w:hAnsi="宋体" w:cs="宋体"/>
          <w:color w:val="000000"/>
          <w:sz w:val="24"/>
          <w:szCs w:val="24"/>
          <w:highlight w:val="none"/>
        </w:rPr>
        <w:t>6</w:t>
      </w:r>
      <w:r>
        <w:rPr>
          <w:rFonts w:hint="eastAsia" w:ascii="宋体" w:hAnsi="宋体" w:cs="宋体"/>
          <w:color w:val="000000"/>
          <w:sz w:val="24"/>
          <w:szCs w:val="24"/>
          <w:highlight w:val="none"/>
        </w:rPr>
        <w:t>符合招标文件第二章“</w:t>
      </w:r>
      <w:r>
        <w:rPr>
          <w:rFonts w:hint="eastAsia" w:ascii="宋体" w:hAnsi="宋体" w:cs="宋体"/>
          <w:bCs/>
          <w:kern w:val="0"/>
          <w:sz w:val="24"/>
          <w:szCs w:val="24"/>
          <w:highlight w:val="none"/>
        </w:rPr>
        <w:t>投标人须知前附表”</w:t>
      </w:r>
      <w:r>
        <w:rPr>
          <w:rFonts w:hint="eastAsia" w:ascii="宋体" w:hAnsi="宋体" w:cs="宋体"/>
          <w:bCs/>
          <w:kern w:val="0"/>
          <w:sz w:val="24"/>
          <w:szCs w:val="24"/>
          <w:highlight w:val="none"/>
          <w:lang w:val="en-US" w:eastAsia="zh-CN"/>
        </w:rPr>
        <w:t>10</w:t>
      </w:r>
      <w:r>
        <w:rPr>
          <w:rFonts w:hint="eastAsia" w:ascii="宋体" w:hAnsi="宋体" w:cs="宋体"/>
          <w:bCs/>
          <w:kern w:val="0"/>
          <w:sz w:val="24"/>
          <w:szCs w:val="24"/>
          <w:highlight w:val="none"/>
        </w:rPr>
        <w:t>中第</w:t>
      </w:r>
      <w:r>
        <w:rPr>
          <w:rFonts w:ascii="宋体" w:hAnsi="宋体" w:cs="宋体"/>
          <w:bCs/>
          <w:kern w:val="0"/>
          <w:sz w:val="24"/>
          <w:szCs w:val="24"/>
          <w:highlight w:val="none"/>
        </w:rPr>
        <w:t>2</w:t>
      </w:r>
      <w:r>
        <w:rPr>
          <w:rFonts w:hint="eastAsia" w:ascii="宋体" w:hAnsi="宋体" w:cs="宋体"/>
          <w:bCs/>
          <w:kern w:val="0"/>
          <w:sz w:val="24"/>
          <w:szCs w:val="24"/>
          <w:highlight w:val="none"/>
        </w:rPr>
        <w:t>条的证明材料</w:t>
      </w:r>
      <w:bookmarkEnd w:id="113"/>
      <w:r>
        <w:rPr>
          <w:rFonts w:hint="eastAsia" w:ascii="宋体" w:hAnsi="宋体" w:cs="宋体"/>
          <w:bCs/>
          <w:kern w:val="0"/>
          <w:sz w:val="24"/>
          <w:szCs w:val="24"/>
          <w:highlight w:val="none"/>
        </w:rPr>
        <w:t>；</w:t>
      </w:r>
    </w:p>
    <w:p w14:paraId="3DA04306">
      <w:pPr>
        <w:spacing w:line="360" w:lineRule="auto"/>
        <w:rPr>
          <w:rFonts w:ascii="宋体" w:cs="宋体"/>
          <w:color w:val="000000"/>
          <w:sz w:val="24"/>
          <w:highlight w:val="none"/>
        </w:rPr>
      </w:pPr>
      <w:r>
        <w:rPr>
          <w:rFonts w:ascii="宋体" w:hAnsi="宋体" w:cs="宋体"/>
          <w:color w:val="000000"/>
          <w:sz w:val="24"/>
          <w:highlight w:val="none"/>
        </w:rPr>
        <w:t>1.7</w:t>
      </w:r>
      <w:r>
        <w:rPr>
          <w:rFonts w:hint="eastAsia" w:ascii="宋体" w:hAnsi="宋体" w:cs="宋体"/>
          <w:color w:val="000000"/>
          <w:sz w:val="24"/>
          <w:szCs w:val="24"/>
          <w:highlight w:val="none"/>
        </w:rPr>
        <w:t>符合招标文件第二章“</w:t>
      </w:r>
      <w:r>
        <w:rPr>
          <w:rFonts w:hint="eastAsia" w:ascii="宋体" w:hAnsi="宋体" w:cs="宋体"/>
          <w:bCs/>
          <w:kern w:val="0"/>
          <w:sz w:val="24"/>
          <w:szCs w:val="24"/>
          <w:highlight w:val="none"/>
        </w:rPr>
        <w:t>投标人须知前附表”</w:t>
      </w:r>
      <w:r>
        <w:rPr>
          <w:rFonts w:hint="eastAsia" w:ascii="宋体" w:hAnsi="宋体" w:cs="宋体"/>
          <w:bCs/>
          <w:kern w:val="0"/>
          <w:sz w:val="24"/>
          <w:szCs w:val="24"/>
          <w:highlight w:val="none"/>
          <w:lang w:val="en-US" w:eastAsia="zh-CN"/>
        </w:rPr>
        <w:t>10</w:t>
      </w:r>
      <w:r>
        <w:rPr>
          <w:rFonts w:hint="eastAsia" w:ascii="宋体" w:hAnsi="宋体" w:cs="宋体"/>
          <w:bCs/>
          <w:kern w:val="0"/>
          <w:sz w:val="24"/>
          <w:szCs w:val="24"/>
          <w:highlight w:val="none"/>
        </w:rPr>
        <w:t>中第</w:t>
      </w:r>
      <w:r>
        <w:rPr>
          <w:rFonts w:ascii="宋体" w:hAnsi="宋体" w:cs="宋体"/>
          <w:bCs/>
          <w:kern w:val="0"/>
          <w:sz w:val="24"/>
          <w:szCs w:val="24"/>
          <w:highlight w:val="none"/>
        </w:rPr>
        <w:t>3</w:t>
      </w:r>
      <w:r>
        <w:rPr>
          <w:rFonts w:hint="eastAsia" w:ascii="宋体" w:hAnsi="宋体" w:cs="宋体"/>
          <w:bCs/>
          <w:kern w:val="0"/>
          <w:sz w:val="24"/>
          <w:szCs w:val="24"/>
          <w:highlight w:val="none"/>
        </w:rPr>
        <w:t>条的证明材料</w:t>
      </w:r>
      <w:r>
        <w:rPr>
          <w:rFonts w:hint="eastAsia" w:ascii="宋体" w:hAnsi="宋体" w:cs="宋体"/>
          <w:color w:val="000000"/>
          <w:sz w:val="24"/>
          <w:highlight w:val="none"/>
        </w:rPr>
        <w:t>；</w:t>
      </w:r>
    </w:p>
    <w:p w14:paraId="581594D5">
      <w:pPr>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1.8投标承诺书；</w:t>
      </w:r>
    </w:p>
    <w:p w14:paraId="6AEEE08F">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rPr>
        <w:t>1.9投标保证金凭证</w:t>
      </w:r>
      <w:r>
        <w:rPr>
          <w:rFonts w:hint="eastAsia" w:ascii="宋体" w:hAnsi="宋体" w:cs="宋体"/>
          <w:color w:val="000000"/>
          <w:sz w:val="24"/>
          <w:szCs w:val="24"/>
          <w:highlight w:val="none"/>
          <w:lang w:eastAsia="zh-CN"/>
        </w:rPr>
        <w:t>；</w:t>
      </w:r>
    </w:p>
    <w:p w14:paraId="5E6D7794">
      <w:pPr>
        <w:spacing w:line="36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1.10中小企业声明函（</w:t>
      </w:r>
      <w:r>
        <w:rPr>
          <w:rFonts w:hint="eastAsia" w:ascii="宋体" w:hAnsi="宋体" w:cs="宋体"/>
          <w:b/>
          <w:bCs/>
          <w:color w:val="000000"/>
          <w:sz w:val="24"/>
          <w:szCs w:val="24"/>
          <w:highlight w:val="none"/>
          <w:lang w:val="en-US" w:eastAsia="zh-CN"/>
        </w:rPr>
        <w:t>各投标人根据自身实际情况进行如实填写，若为大型企业可不提供</w:t>
      </w:r>
      <w:r>
        <w:rPr>
          <w:rFonts w:hint="eastAsia" w:ascii="宋体" w:hAnsi="宋体" w:cs="宋体"/>
          <w:color w:val="000000"/>
          <w:sz w:val="24"/>
          <w:szCs w:val="24"/>
          <w:highlight w:val="none"/>
          <w:lang w:val="en-US" w:eastAsia="zh-CN"/>
        </w:rPr>
        <w:t>）</w:t>
      </w:r>
    </w:p>
    <w:p w14:paraId="47A7A80E">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二、填写须知</w:t>
      </w:r>
    </w:p>
    <w:p w14:paraId="7591A182">
      <w:pPr>
        <w:tabs>
          <w:tab w:val="left" w:pos="0"/>
        </w:tabs>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1.以上所列资格证明材料未提供格式的，由投标人提供，需由投标人授权代表签字并加盖公章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cs="宋体"/>
          <w:color w:val="000000"/>
          <w:sz w:val="24"/>
          <w:szCs w:val="24"/>
          <w:highlight w:val="none"/>
        </w:rPr>
        <w:t>。</w:t>
      </w:r>
    </w:p>
    <w:p w14:paraId="3EEC040A">
      <w:pPr>
        <w:tabs>
          <w:tab w:val="left" w:pos="0"/>
        </w:tabs>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2.以联合体形式进行政府采购的，参加联合体的投标人均应当具备以上所列资格证明材料并加盖单位公章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cs="宋体"/>
          <w:color w:val="000000"/>
          <w:sz w:val="24"/>
          <w:szCs w:val="24"/>
          <w:highlight w:val="none"/>
        </w:rPr>
        <w:t>，并应当向采购人提交联合协议，载明联合体各方承担的工作和义务。联合体各方应当共同与采购人签订采购合同，就采购合同约定的事项对采购人承担连带责任。联合体中有同类资质的投标人按照联合体分工承担相同工作的，应当按照资质等级较低的投标人确定资质等级。</w:t>
      </w:r>
    </w:p>
    <w:p w14:paraId="0C0D5CF9">
      <w:pPr>
        <w:tabs>
          <w:tab w:val="left" w:pos="0"/>
        </w:tabs>
        <w:spacing w:line="360" w:lineRule="auto"/>
        <w:rPr>
          <w:rFonts w:ascii="宋体" w:cs="宋体"/>
          <w:color w:val="000000"/>
          <w:sz w:val="24"/>
          <w:szCs w:val="24"/>
          <w:highlight w:val="none"/>
        </w:rPr>
      </w:pPr>
      <w:r>
        <w:rPr>
          <w:rFonts w:hint="eastAsia" w:ascii="宋体" w:hAnsi="宋体" w:cs="宋体"/>
          <w:color w:val="000000"/>
          <w:sz w:val="24"/>
          <w:szCs w:val="24"/>
          <w:highlight w:val="none"/>
        </w:rPr>
        <w:t>3.投标人应保证提供的全部资格证明材料是真实的和正确的。</w:t>
      </w:r>
    </w:p>
    <w:p w14:paraId="3010A2E2">
      <w:pPr>
        <w:tabs>
          <w:tab w:val="left" w:pos="0"/>
        </w:tabs>
        <w:spacing w:line="360" w:lineRule="auto"/>
        <w:rPr>
          <w:rFonts w:ascii="宋体" w:cs="宋体"/>
          <w:color w:val="000000"/>
          <w:sz w:val="24"/>
          <w:szCs w:val="24"/>
          <w:highlight w:val="none"/>
        </w:rPr>
      </w:pPr>
      <w:r>
        <w:rPr>
          <w:rFonts w:hint="eastAsia" w:ascii="宋体" w:hAnsi="宋体" w:cs="宋体"/>
          <w:color w:val="000000"/>
          <w:sz w:val="24"/>
          <w:szCs w:val="24"/>
          <w:highlight w:val="none"/>
        </w:rPr>
        <w:t>4.采购人或采购代理机构将依法审查投标人提交的资格证明材料。</w:t>
      </w:r>
    </w:p>
    <w:p w14:paraId="28F05499">
      <w:pPr>
        <w:tabs>
          <w:tab w:val="left" w:pos="0"/>
        </w:tabs>
        <w:spacing w:line="360" w:lineRule="auto"/>
        <w:rPr>
          <w:rFonts w:ascii="宋体" w:cs="宋体"/>
          <w:color w:val="000000"/>
          <w:sz w:val="24"/>
          <w:szCs w:val="24"/>
          <w:highlight w:val="none"/>
        </w:rPr>
      </w:pPr>
      <w:r>
        <w:rPr>
          <w:rFonts w:hint="eastAsia" w:ascii="宋体" w:hAnsi="宋体" w:cs="宋体"/>
          <w:color w:val="000000"/>
          <w:sz w:val="24"/>
          <w:szCs w:val="24"/>
          <w:highlight w:val="none"/>
        </w:rPr>
        <w:t>5.投标人提交的文件将被保密，但不退还。</w:t>
      </w:r>
    </w:p>
    <w:p w14:paraId="61311B9C">
      <w:pPr>
        <w:tabs>
          <w:tab w:val="left" w:pos="0"/>
        </w:tabs>
        <w:spacing w:line="360" w:lineRule="auto"/>
        <w:rPr>
          <w:rFonts w:ascii="宋体" w:cs="宋体"/>
          <w:color w:val="000000"/>
          <w:sz w:val="24"/>
          <w:szCs w:val="24"/>
          <w:highlight w:val="none"/>
        </w:rPr>
      </w:pPr>
      <w:r>
        <w:rPr>
          <w:rFonts w:hint="eastAsia" w:ascii="宋体" w:hAnsi="宋体" w:cs="宋体"/>
          <w:color w:val="000000"/>
          <w:sz w:val="24"/>
          <w:szCs w:val="24"/>
          <w:highlight w:val="none"/>
        </w:rPr>
        <w:t>6.全部文件应按“投标人须知前附表”规定的份数提交。</w:t>
      </w:r>
    </w:p>
    <w:p w14:paraId="4D81947F">
      <w:pPr>
        <w:tabs>
          <w:tab w:val="left" w:pos="0"/>
        </w:tabs>
        <w:spacing w:line="360" w:lineRule="auto"/>
        <w:rPr>
          <w:rFonts w:ascii="宋体" w:cs="宋体"/>
          <w:color w:val="000000"/>
          <w:sz w:val="24"/>
          <w:szCs w:val="24"/>
          <w:highlight w:val="none"/>
        </w:rPr>
      </w:pPr>
      <w:r>
        <w:rPr>
          <w:rFonts w:hint="eastAsia" w:ascii="宋体" w:hAnsi="宋体" w:cs="宋体"/>
          <w:color w:val="000000"/>
          <w:sz w:val="24"/>
          <w:szCs w:val="24"/>
          <w:highlight w:val="none"/>
        </w:rPr>
        <w:t>7.投标文件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资格证明材料和投标文件中资格证明材料如不一致，以投标文件</w:t>
      </w:r>
      <w:r>
        <w:rPr>
          <w:rFonts w:ascii="宋体" w:cs="宋体"/>
          <w:color w:val="000000"/>
          <w:sz w:val="24"/>
          <w:szCs w:val="24"/>
          <w:highlight w:val="none"/>
        </w:rPr>
        <w:t>-</w:t>
      </w:r>
      <w:r>
        <w:rPr>
          <w:rFonts w:hint="eastAsia" w:ascii="宋体" w:hAnsi="宋体" w:cs="宋体"/>
          <w:color w:val="000000"/>
          <w:sz w:val="24"/>
          <w:szCs w:val="24"/>
          <w:highlight w:val="none"/>
        </w:rPr>
        <w:t>资格证明材料中为准。</w:t>
      </w:r>
    </w:p>
    <w:p w14:paraId="26859C59">
      <w:pPr>
        <w:spacing w:line="360" w:lineRule="auto"/>
        <w:rPr>
          <w:rFonts w:ascii="宋体" w:cs="宋体"/>
          <w:b/>
          <w:color w:val="000000"/>
          <w:sz w:val="24"/>
          <w:szCs w:val="24"/>
          <w:highlight w:val="none"/>
        </w:rPr>
      </w:pPr>
      <w:r>
        <w:rPr>
          <w:rFonts w:ascii="宋体" w:hAnsi="宋体" w:cs="宋体"/>
          <w:b/>
          <w:color w:val="000000"/>
          <w:sz w:val="24"/>
          <w:szCs w:val="24"/>
          <w:highlight w:val="none"/>
        </w:rPr>
        <w:t>1.1-1.</w:t>
      </w:r>
      <w:r>
        <w:rPr>
          <w:rFonts w:hint="eastAsia" w:ascii="宋体" w:hAnsi="宋体" w:cs="宋体"/>
          <w:b/>
          <w:color w:val="000000"/>
          <w:sz w:val="24"/>
          <w:szCs w:val="24"/>
          <w:highlight w:val="none"/>
          <w:lang w:val="en-US" w:eastAsia="zh-CN"/>
        </w:rPr>
        <w:t>9</w:t>
      </w:r>
      <w:r>
        <w:rPr>
          <w:rFonts w:hint="eastAsia" w:ascii="宋体" w:hAnsi="宋体" w:cs="宋体"/>
          <w:b/>
          <w:color w:val="000000"/>
          <w:sz w:val="24"/>
          <w:szCs w:val="24"/>
          <w:highlight w:val="none"/>
        </w:rPr>
        <w:t>为资格条件，若未能按要求提供所列的证明材料或提供的材料为虚假或伪造的将作无效投标处理。</w:t>
      </w:r>
    </w:p>
    <w:p w14:paraId="0E10E15C">
      <w:pPr>
        <w:pStyle w:val="5"/>
        <w:rPr>
          <w:rFonts w:ascii="宋体" w:cs="宋体"/>
          <w:b w:val="0"/>
          <w:sz w:val="24"/>
          <w:szCs w:val="24"/>
          <w:highlight w:val="none"/>
        </w:rPr>
      </w:pPr>
      <w:r>
        <w:rPr>
          <w:rFonts w:ascii="宋体" w:cs="宋体"/>
          <w:b w:val="0"/>
          <w:color w:val="000000"/>
          <w:sz w:val="24"/>
          <w:szCs w:val="24"/>
          <w:highlight w:val="none"/>
        </w:rPr>
        <w:br w:type="page"/>
      </w:r>
      <w:bookmarkStart w:id="114" w:name="_Toc497167404"/>
      <w:bookmarkStart w:id="115" w:name="_Toc15769"/>
      <w:bookmarkStart w:id="116" w:name="_Toc44705059"/>
      <w:bookmarkStart w:id="117" w:name="_Toc44704912"/>
      <w:bookmarkStart w:id="118" w:name="_Toc3227"/>
      <w:bookmarkStart w:id="119" w:name="_Toc14776847"/>
      <w:bookmarkStart w:id="120" w:name="_Toc2511998"/>
      <w:bookmarkStart w:id="121" w:name="_Toc2355256"/>
      <w:r>
        <w:rPr>
          <w:rFonts w:ascii="宋体" w:hAnsi="宋体" w:cs="宋体"/>
          <w:b w:val="0"/>
          <w:sz w:val="32"/>
          <w:szCs w:val="24"/>
          <w:highlight w:val="none"/>
        </w:rPr>
        <w:t>1.1</w:t>
      </w:r>
      <w:bookmarkEnd w:id="114"/>
      <w:r>
        <w:rPr>
          <w:rFonts w:hint="eastAsia" w:ascii="宋体" w:hAnsi="宋体" w:cs="宋体"/>
          <w:sz w:val="32"/>
          <w:szCs w:val="24"/>
          <w:highlight w:val="none"/>
        </w:rPr>
        <w:t>具有独立承担民事责任的能力</w:t>
      </w:r>
      <w:bookmarkEnd w:id="115"/>
      <w:bookmarkEnd w:id="116"/>
      <w:bookmarkEnd w:id="117"/>
      <w:bookmarkEnd w:id="118"/>
    </w:p>
    <w:p w14:paraId="6967D6DD">
      <w:pPr>
        <w:widowControl/>
        <w:spacing w:line="360" w:lineRule="auto"/>
        <w:ind w:firstLine="480" w:firstLineChars="200"/>
        <w:jc w:val="left"/>
        <w:rPr>
          <w:rFonts w:ascii="宋体" w:cs="宋体"/>
          <w:color w:val="000000"/>
          <w:sz w:val="24"/>
          <w:szCs w:val="24"/>
          <w:highlight w:val="none"/>
        </w:rPr>
      </w:pPr>
      <w:r>
        <w:rPr>
          <w:rFonts w:hint="eastAsia" w:ascii="宋体" w:hAnsi="宋体" w:cs="宋体"/>
          <w:color w:val="000000"/>
          <w:sz w:val="24"/>
          <w:szCs w:val="24"/>
          <w:highlight w:val="none"/>
        </w:rPr>
        <w:t>有效的法人或者其他组织的营业执照等证明文件</w:t>
      </w:r>
      <w:bookmarkEnd w:id="119"/>
    </w:p>
    <w:p w14:paraId="310CEA70">
      <w:pPr>
        <w:spacing w:line="360" w:lineRule="auto"/>
        <w:ind w:firstLine="480" w:firstLineChars="200"/>
        <w:rPr>
          <w:rFonts w:ascii="宋体" w:cs="宋体"/>
          <w:b/>
          <w:sz w:val="24"/>
          <w:szCs w:val="24"/>
          <w:highlight w:val="none"/>
        </w:rPr>
      </w:pPr>
      <w:r>
        <w:rPr>
          <w:rFonts w:hint="eastAsia" w:ascii="宋体" w:hAnsi="宋体" w:cs="宋体"/>
          <w:color w:val="000000"/>
          <w:sz w:val="24"/>
          <w:szCs w:val="24"/>
          <w:highlight w:val="none"/>
        </w:rPr>
        <w:t>（复印件加盖单位公章</w:t>
      </w:r>
      <w:r>
        <w:rPr>
          <w:rFonts w:hint="eastAsia" w:ascii="宋体" w:hAnsi="宋体" w:cs="宋体"/>
          <w:sz w:val="24"/>
          <w:szCs w:val="24"/>
          <w:highlight w:val="none"/>
          <w:lang w:val="en-US" w:eastAsia="zh-CN"/>
        </w:rPr>
        <w:t>或电子章</w:t>
      </w:r>
      <w:r>
        <w:rPr>
          <w:rFonts w:hint="eastAsia" w:ascii="宋体" w:hAnsi="宋体" w:cs="宋体"/>
          <w:color w:val="000000"/>
          <w:sz w:val="24"/>
          <w:szCs w:val="24"/>
          <w:highlight w:val="none"/>
        </w:rPr>
        <w:t>）</w:t>
      </w:r>
      <w:bookmarkEnd w:id="120"/>
      <w:bookmarkEnd w:id="121"/>
    </w:p>
    <w:p w14:paraId="327A9092">
      <w:pPr>
        <w:pStyle w:val="5"/>
        <w:rPr>
          <w:rFonts w:ascii="宋体" w:cs="宋体"/>
          <w:sz w:val="24"/>
          <w:szCs w:val="24"/>
          <w:highlight w:val="none"/>
        </w:rPr>
      </w:pPr>
      <w:r>
        <w:rPr>
          <w:rFonts w:ascii="宋体" w:cs="宋体"/>
          <w:sz w:val="24"/>
          <w:szCs w:val="24"/>
          <w:highlight w:val="none"/>
        </w:rPr>
        <w:br w:type="page"/>
      </w:r>
      <w:bookmarkStart w:id="122" w:name="_Toc44704913"/>
      <w:bookmarkStart w:id="123" w:name="_Toc44705060"/>
      <w:bookmarkStart w:id="124" w:name="_Toc13441"/>
      <w:bookmarkStart w:id="125" w:name="_Toc3090"/>
      <w:bookmarkStart w:id="126" w:name="_Toc497167405"/>
      <w:bookmarkStart w:id="127" w:name="_Toc2511999"/>
      <w:bookmarkStart w:id="128" w:name="_Toc14776848"/>
      <w:bookmarkStart w:id="129" w:name="_Toc2355257"/>
      <w:r>
        <w:rPr>
          <w:rFonts w:ascii="宋体" w:hAnsi="宋体" w:cs="宋体"/>
          <w:sz w:val="32"/>
          <w:szCs w:val="24"/>
          <w:highlight w:val="none"/>
        </w:rPr>
        <w:t>1.2</w:t>
      </w:r>
      <w:r>
        <w:rPr>
          <w:rFonts w:hint="eastAsia" w:ascii="宋体" w:hAnsi="宋体" w:cs="宋体"/>
          <w:sz w:val="32"/>
          <w:szCs w:val="24"/>
          <w:highlight w:val="none"/>
        </w:rPr>
        <w:t>具有良好的商业信誉和健全的财务会计制度</w:t>
      </w:r>
      <w:bookmarkEnd w:id="122"/>
      <w:bookmarkEnd w:id="123"/>
      <w:bookmarkEnd w:id="124"/>
      <w:bookmarkEnd w:id="125"/>
    </w:p>
    <w:p w14:paraId="07895C15">
      <w:pPr>
        <w:autoSpaceDE w:val="0"/>
        <w:autoSpaceDN w:val="0"/>
        <w:adjustRightInd w:val="0"/>
        <w:spacing w:line="360" w:lineRule="auto"/>
        <w:ind w:firstLine="480" w:firstLineChars="200"/>
        <w:jc w:val="left"/>
        <w:rPr>
          <w:rFonts w:hint="default" w:ascii="宋体" w:eastAsia="宋体" w:cs="宋体"/>
          <w:color w:val="000000"/>
          <w:kern w:val="0"/>
          <w:szCs w:val="21"/>
          <w:highlight w:val="none"/>
          <w:u w:val="none"/>
          <w:lang w:val="en-US" w:eastAsia="zh-CN"/>
        </w:rPr>
      </w:pPr>
      <w:r>
        <w:rPr>
          <w:rFonts w:hint="eastAsia" w:ascii="宋体" w:hAnsi="宋体" w:cs="宋体"/>
          <w:color w:val="000000"/>
          <w:sz w:val="24"/>
          <w:highlight w:val="none"/>
        </w:rPr>
        <w:t>投标人提供本单位</w:t>
      </w:r>
      <w:r>
        <w:rPr>
          <w:rFonts w:hint="eastAsia" w:ascii="宋体" w:hAnsi="宋体" w:cs="宋体"/>
          <w:color w:val="000000"/>
          <w:sz w:val="24"/>
          <w:highlight w:val="none"/>
          <w:lang w:val="en-US" w:eastAsia="zh-CN"/>
        </w:rPr>
        <w:t>2023年度或2024年度</w:t>
      </w:r>
      <w:r>
        <w:rPr>
          <w:rFonts w:hint="eastAsia" w:ascii="宋体" w:hAnsi="宋体" w:cs="宋体"/>
          <w:color w:val="000000"/>
          <w:sz w:val="24"/>
          <w:highlight w:val="none"/>
        </w:rPr>
        <w:t>经</w:t>
      </w:r>
      <w:r>
        <w:rPr>
          <w:rFonts w:hint="eastAsia" w:ascii="宋体" w:hAnsi="宋体" w:cs="宋体"/>
          <w:b/>
          <w:color w:val="000000"/>
          <w:sz w:val="24"/>
          <w:highlight w:val="none"/>
        </w:rPr>
        <w:t>会计师事务所出具的</w:t>
      </w:r>
      <w:r>
        <w:rPr>
          <w:rFonts w:hint="eastAsia" w:ascii="宋体" w:hAnsi="宋体" w:cs="宋体"/>
          <w:color w:val="000000"/>
          <w:sz w:val="24"/>
          <w:highlight w:val="none"/>
        </w:rPr>
        <w:t>审计报告复印件并加盖投标人公章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cs="宋体"/>
          <w:color w:val="000000"/>
          <w:sz w:val="24"/>
          <w:highlight w:val="none"/>
        </w:rPr>
        <w:t>。</w:t>
      </w:r>
      <w:r>
        <w:rPr>
          <w:rFonts w:hint="eastAsia" w:ascii="宋体" w:hAnsi="宋体" w:cs="宋体"/>
          <w:color w:val="000000"/>
          <w:sz w:val="24"/>
          <w:highlight w:val="none"/>
          <w:u w:val="none"/>
        </w:rPr>
        <w:t>如投标人无法提供上一年度审计报告，则需提</w:t>
      </w:r>
      <w:r>
        <w:rPr>
          <w:rFonts w:hint="eastAsia" w:ascii="宋体" w:hAnsi="宋体" w:cs="宋体"/>
          <w:b/>
          <w:bCs/>
          <w:color w:val="000000"/>
          <w:sz w:val="24"/>
          <w:highlight w:val="none"/>
          <w:u w:val="none"/>
        </w:rPr>
        <w:t>供银行出具的资信证明</w:t>
      </w:r>
      <w:r>
        <w:rPr>
          <w:rFonts w:hint="eastAsia" w:ascii="宋体" w:hAnsi="宋体" w:cs="宋体"/>
          <w:color w:val="000000"/>
          <w:sz w:val="24"/>
          <w:highlight w:val="none"/>
          <w:u w:val="none"/>
          <w:lang w:val="en-US" w:eastAsia="zh-CN"/>
        </w:rPr>
        <w:t>。</w:t>
      </w:r>
    </w:p>
    <w:p w14:paraId="269890A9">
      <w:pPr>
        <w:spacing w:line="360" w:lineRule="auto"/>
        <w:ind w:firstLine="480" w:firstLineChars="200"/>
        <w:rPr>
          <w:rFonts w:ascii="宋体" w:cs="宋体"/>
          <w:color w:val="000000"/>
          <w:sz w:val="24"/>
          <w:highlight w:val="none"/>
        </w:rPr>
      </w:pPr>
      <w:r>
        <w:rPr>
          <w:rFonts w:hint="eastAsia" w:ascii="宋体" w:hAnsi="宋体" w:cs="宋体"/>
          <w:color w:val="000000"/>
          <w:sz w:val="24"/>
          <w:highlight w:val="none"/>
        </w:rPr>
        <w:t>说明：</w:t>
      </w:r>
    </w:p>
    <w:p w14:paraId="25AD6995">
      <w:pPr>
        <w:numPr>
          <w:ilvl w:val="1"/>
          <w:numId w:val="17"/>
        </w:numPr>
        <w:spacing w:line="360" w:lineRule="auto"/>
        <w:ind w:firstLine="480" w:firstLineChars="200"/>
        <w:rPr>
          <w:rFonts w:ascii="宋体" w:cs="宋体"/>
          <w:color w:val="000000"/>
          <w:sz w:val="24"/>
          <w:highlight w:val="none"/>
        </w:rPr>
      </w:pPr>
      <w:r>
        <w:rPr>
          <w:rFonts w:hint="eastAsia" w:ascii="宋体" w:hAnsi="宋体" w:cs="宋体"/>
          <w:color w:val="000000"/>
          <w:sz w:val="24"/>
          <w:highlight w:val="none"/>
        </w:rPr>
        <w:t>审计报告复印件至少应包括资产负债表、利润表、现金流量表及其附注、加盖会计师事务所公章页。</w:t>
      </w:r>
    </w:p>
    <w:p w14:paraId="2864194F">
      <w:pPr>
        <w:numPr>
          <w:ilvl w:val="1"/>
          <w:numId w:val="17"/>
        </w:numPr>
        <w:spacing w:line="360" w:lineRule="auto"/>
        <w:ind w:firstLine="480" w:firstLineChars="200"/>
        <w:rPr>
          <w:rFonts w:ascii="宋体" w:cs="宋体"/>
          <w:color w:val="000000"/>
          <w:sz w:val="24"/>
          <w:highlight w:val="none"/>
        </w:rPr>
      </w:pPr>
      <w:r>
        <w:rPr>
          <w:rFonts w:hint="eastAsia" w:ascii="宋体" w:hAnsi="宋体" w:cs="宋体"/>
          <w:color w:val="000000"/>
          <w:sz w:val="24"/>
          <w:highlight w:val="none"/>
        </w:rPr>
        <w:t>银行资信证明是指投标人参加本次投标截止日前三个月内开立基本账户的银行开具的资信证明（成立一年内的公司可提交当年验资证明复印件并加盖公章</w:t>
      </w:r>
      <w:r>
        <w:rPr>
          <w:rFonts w:hint="eastAsia" w:ascii="宋体" w:hAnsi="宋体" w:cs="宋体"/>
          <w:sz w:val="24"/>
          <w:szCs w:val="24"/>
          <w:highlight w:val="none"/>
          <w:lang w:val="en-US" w:eastAsia="zh-CN"/>
        </w:rPr>
        <w:t>或电子章</w:t>
      </w:r>
      <w:r>
        <w:rPr>
          <w:rFonts w:hint="eastAsia" w:ascii="宋体" w:hAnsi="宋体" w:cs="宋体"/>
          <w:color w:val="000000"/>
          <w:sz w:val="24"/>
          <w:highlight w:val="none"/>
        </w:rPr>
        <w:t>）</w:t>
      </w:r>
      <w:r>
        <w:rPr>
          <w:rFonts w:hint="eastAsia" w:ascii="宋体" w:hAnsi="宋体" w:cs="宋体"/>
          <w:color w:val="000000"/>
          <w:sz w:val="24"/>
          <w:szCs w:val="24"/>
          <w:highlight w:val="none"/>
        </w:rPr>
        <w:t>，且无收受人和项目的限制，但开具银行有限制规定的除外。</w:t>
      </w:r>
    </w:p>
    <w:p w14:paraId="46279451">
      <w:pPr>
        <w:numPr>
          <w:ilvl w:val="1"/>
          <w:numId w:val="17"/>
        </w:numPr>
        <w:spacing w:line="360" w:lineRule="auto"/>
        <w:ind w:firstLine="480" w:firstLineChars="200"/>
        <w:rPr>
          <w:rFonts w:ascii="宋体" w:cs="宋体"/>
          <w:color w:val="000000"/>
          <w:sz w:val="24"/>
          <w:szCs w:val="24"/>
          <w:highlight w:val="none"/>
        </w:rPr>
      </w:pPr>
      <w:r>
        <w:rPr>
          <w:rFonts w:hint="eastAsia" w:ascii="宋体" w:hAnsi="宋体" w:cs="宋体"/>
          <w:color w:val="000000"/>
          <w:sz w:val="24"/>
          <w:highlight w:val="none"/>
        </w:rPr>
        <w:t>银行资信证明可以是复印件并加盖投标人公章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cs="宋体"/>
          <w:color w:val="000000"/>
          <w:sz w:val="24"/>
          <w:highlight w:val="none"/>
        </w:rPr>
        <w:t>，评标委员会保留审核原件的权</w:t>
      </w:r>
      <w:r>
        <w:rPr>
          <w:rFonts w:hint="eastAsia" w:ascii="宋体" w:hAnsi="宋体" w:cs="宋体"/>
          <w:color w:val="000000"/>
          <w:sz w:val="24"/>
          <w:szCs w:val="24"/>
          <w:highlight w:val="none"/>
        </w:rPr>
        <w:t>利。</w:t>
      </w:r>
      <w:r>
        <w:rPr>
          <w:rFonts w:hint="eastAsia" w:ascii="宋体" w:hAnsi="宋体" w:cs="宋体"/>
          <w:b/>
          <w:sz w:val="24"/>
          <w:szCs w:val="24"/>
          <w:highlight w:val="none"/>
        </w:rPr>
        <w:t>但开具银行明确规定复印件无效的，须提交原件。</w:t>
      </w:r>
    </w:p>
    <w:p w14:paraId="6DB39C76">
      <w:pPr>
        <w:numPr>
          <w:ilvl w:val="1"/>
          <w:numId w:val="17"/>
        </w:numPr>
        <w:spacing w:line="360" w:lineRule="auto"/>
        <w:ind w:firstLine="480" w:firstLineChars="200"/>
        <w:rPr>
          <w:rFonts w:ascii="宋体" w:cs="宋体"/>
          <w:color w:val="000000"/>
          <w:sz w:val="24"/>
          <w:szCs w:val="24"/>
          <w:highlight w:val="none"/>
        </w:rPr>
      </w:pPr>
      <w:r>
        <w:rPr>
          <w:rFonts w:hint="eastAsia" w:ascii="宋体" w:hAnsi="宋体" w:cs="宋体"/>
          <w:color w:val="000000"/>
          <w:sz w:val="24"/>
          <w:highlight w:val="none"/>
        </w:rPr>
        <w:t>银行资信证明应能说明该投标人与银行之间业务往来正常，无不良记录，企业信誉良好等。银行出具的存款证明不能作为银行资信证明。</w:t>
      </w:r>
    </w:p>
    <w:bookmarkEnd w:id="126"/>
    <w:bookmarkEnd w:id="127"/>
    <w:bookmarkEnd w:id="128"/>
    <w:bookmarkEnd w:id="129"/>
    <w:p w14:paraId="315745DD">
      <w:pPr>
        <w:pStyle w:val="5"/>
        <w:rPr>
          <w:rFonts w:ascii="宋体" w:cs="宋体"/>
          <w:sz w:val="24"/>
          <w:szCs w:val="24"/>
          <w:highlight w:val="none"/>
        </w:rPr>
      </w:pPr>
      <w:bookmarkStart w:id="130" w:name="_Toc14776849"/>
      <w:bookmarkStart w:id="131" w:name="_Toc2355258"/>
      <w:bookmarkStart w:id="132" w:name="_Toc2512000"/>
      <w:bookmarkStart w:id="133" w:name="_Toc497167406"/>
      <w:r>
        <w:rPr>
          <w:rFonts w:ascii="宋体" w:cs="宋体"/>
          <w:sz w:val="24"/>
          <w:szCs w:val="24"/>
          <w:highlight w:val="none"/>
        </w:rPr>
        <w:br w:type="page"/>
      </w:r>
      <w:bookmarkStart w:id="134" w:name="_Toc25882"/>
      <w:bookmarkStart w:id="135" w:name="_Toc25583"/>
      <w:bookmarkStart w:id="136" w:name="_Toc44705061"/>
      <w:bookmarkStart w:id="137" w:name="_Toc44704914"/>
      <w:r>
        <w:rPr>
          <w:rFonts w:ascii="宋体" w:hAnsi="宋体" w:cs="宋体"/>
          <w:bCs w:val="0"/>
          <w:sz w:val="32"/>
          <w:szCs w:val="24"/>
          <w:highlight w:val="none"/>
        </w:rPr>
        <w:t>1.3</w:t>
      </w:r>
      <w:r>
        <w:rPr>
          <w:rFonts w:hint="eastAsia" w:ascii="宋体" w:hAnsi="宋体" w:cs="宋体"/>
          <w:bCs w:val="0"/>
          <w:sz w:val="32"/>
          <w:szCs w:val="24"/>
          <w:highlight w:val="none"/>
        </w:rPr>
        <w:t>具有履行合同所必需的设备和专业技术能力</w:t>
      </w:r>
      <w:bookmarkEnd w:id="134"/>
      <w:bookmarkEnd w:id="135"/>
      <w:bookmarkEnd w:id="136"/>
      <w:bookmarkEnd w:id="137"/>
    </w:p>
    <w:p w14:paraId="13F96F0A">
      <w:pPr>
        <w:widowControl/>
        <w:spacing w:line="360" w:lineRule="auto"/>
        <w:ind w:firstLine="480" w:firstLineChars="200"/>
        <w:jc w:val="left"/>
        <w:rPr>
          <w:rFonts w:ascii="宋体" w:cs="宋体"/>
          <w:b/>
          <w:sz w:val="24"/>
          <w:szCs w:val="24"/>
          <w:highlight w:val="none"/>
        </w:rPr>
      </w:pPr>
      <w:r>
        <w:rPr>
          <w:rFonts w:hint="eastAsia" w:ascii="宋体" w:hAnsi="宋体" w:cs="宋体"/>
          <w:sz w:val="24"/>
          <w:highlight w:val="none"/>
        </w:rPr>
        <w:t>说明：投标人提供书面声明或相关证明材料（例如：相关设备的购置发票或相关人员的职称证书、用工合同等）并加盖单位公章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cs="宋体"/>
          <w:sz w:val="24"/>
          <w:highlight w:val="none"/>
        </w:rPr>
        <w:t>，证明材料可以是文字描述、图纸或数据等，能够说明投标人已具有履行本项目合同所必需的设备和专业技术能力。</w:t>
      </w:r>
    </w:p>
    <w:bookmarkEnd w:id="130"/>
    <w:bookmarkEnd w:id="131"/>
    <w:bookmarkEnd w:id="132"/>
    <w:bookmarkEnd w:id="133"/>
    <w:p w14:paraId="675C587C">
      <w:pPr>
        <w:spacing w:line="360" w:lineRule="auto"/>
        <w:jc w:val="right"/>
        <w:rPr>
          <w:rFonts w:ascii="宋体" w:cs="宋体"/>
          <w:sz w:val="24"/>
          <w:szCs w:val="24"/>
          <w:highlight w:val="none"/>
        </w:rPr>
        <w:sectPr>
          <w:pgSz w:w="11907" w:h="16840"/>
          <w:pgMar w:top="1440" w:right="1469" w:bottom="1440" w:left="1622" w:header="851" w:footer="992" w:gutter="0"/>
          <w:cols w:space="720" w:num="1"/>
          <w:docGrid w:linePitch="312" w:charSpace="0"/>
        </w:sectPr>
      </w:pPr>
    </w:p>
    <w:p w14:paraId="12195200">
      <w:pPr>
        <w:pStyle w:val="5"/>
        <w:rPr>
          <w:rFonts w:ascii="宋体" w:cs="宋体"/>
          <w:color w:val="000000"/>
          <w:sz w:val="32"/>
          <w:szCs w:val="24"/>
          <w:highlight w:val="none"/>
        </w:rPr>
      </w:pPr>
      <w:bookmarkStart w:id="138" w:name="_Toc44704915"/>
      <w:bookmarkStart w:id="139" w:name="_Toc4957"/>
      <w:bookmarkStart w:id="140" w:name="_Toc497167407"/>
      <w:bookmarkStart w:id="141" w:name="_Toc44705062"/>
      <w:bookmarkStart w:id="142" w:name="_Toc2355259"/>
      <w:bookmarkStart w:id="143" w:name="_Toc2512001"/>
      <w:bookmarkStart w:id="144" w:name="_Toc1266"/>
      <w:r>
        <w:rPr>
          <w:rFonts w:ascii="宋体" w:hAnsi="宋体" w:cs="宋体"/>
          <w:sz w:val="32"/>
          <w:szCs w:val="24"/>
          <w:highlight w:val="none"/>
        </w:rPr>
        <w:t>1.4</w:t>
      </w:r>
      <w:r>
        <w:rPr>
          <w:rFonts w:hint="eastAsia" w:ascii="宋体" w:hAnsi="宋体" w:cs="宋体"/>
          <w:sz w:val="32"/>
          <w:szCs w:val="24"/>
          <w:highlight w:val="none"/>
        </w:rPr>
        <w:t>有依法缴纳税收和社会保障资金的良好记录</w:t>
      </w:r>
      <w:bookmarkEnd w:id="138"/>
      <w:bookmarkEnd w:id="139"/>
      <w:bookmarkEnd w:id="140"/>
      <w:bookmarkEnd w:id="141"/>
      <w:bookmarkEnd w:id="142"/>
      <w:bookmarkEnd w:id="143"/>
      <w:bookmarkEnd w:id="144"/>
    </w:p>
    <w:p w14:paraId="40E5125B">
      <w:pPr>
        <w:spacing w:line="360" w:lineRule="auto"/>
        <w:ind w:firstLine="480" w:firstLineChars="200"/>
        <w:rPr>
          <w:rFonts w:ascii="宋体"/>
          <w:sz w:val="24"/>
          <w:szCs w:val="24"/>
          <w:highlight w:val="none"/>
        </w:rPr>
      </w:pPr>
      <w:r>
        <w:rPr>
          <w:rFonts w:ascii="宋体" w:hAnsi="宋体"/>
          <w:sz w:val="24"/>
          <w:szCs w:val="24"/>
          <w:highlight w:val="none"/>
        </w:rPr>
        <w:t>1</w:t>
      </w:r>
      <w:r>
        <w:rPr>
          <w:rFonts w:hint="eastAsia" w:ascii="宋体" w:hAnsi="宋体"/>
          <w:sz w:val="24"/>
          <w:szCs w:val="24"/>
          <w:highlight w:val="none"/>
        </w:rPr>
        <w:t>、有依法缴纳社会保障资金的良好记录，须提供参加本次政府采购活动近六个月内的任意一月缴纳社会保障资金的银行入账票据凭证</w:t>
      </w:r>
      <w:r>
        <w:rPr>
          <w:rFonts w:hint="eastAsia" w:ascii="宋体" w:hAnsi="宋体"/>
          <w:sz w:val="24"/>
          <w:szCs w:val="24"/>
          <w:highlight w:val="none"/>
          <w:lang w:val="en-US" w:eastAsia="zh-CN"/>
        </w:rPr>
        <w:t>或具有社会保障资金的良好记录的承诺书</w:t>
      </w:r>
      <w:r>
        <w:rPr>
          <w:rFonts w:hint="eastAsia" w:ascii="宋体" w:hAnsi="宋体"/>
          <w:sz w:val="24"/>
          <w:szCs w:val="24"/>
          <w:highlight w:val="none"/>
        </w:rPr>
        <w:t>或社保部门证明材料复印件，并加盖投标人公章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sz w:val="24"/>
          <w:szCs w:val="24"/>
          <w:highlight w:val="none"/>
        </w:rPr>
        <w:t>。投标人</w:t>
      </w:r>
      <w:r>
        <w:rPr>
          <w:rFonts w:hint="eastAsia"/>
          <w:color w:val="000000"/>
          <w:sz w:val="24"/>
          <w:szCs w:val="24"/>
          <w:highlight w:val="none"/>
        </w:rPr>
        <w:t>逐年交纳社会保障资金的，须提供上年度缴纳社会保障资金的入账票据凭证复印件。缴纳社会保障资金的入账票据凭证复印件须加盖本单位公章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sz w:val="24"/>
          <w:szCs w:val="24"/>
          <w:highlight w:val="none"/>
        </w:rPr>
        <w:t>；</w:t>
      </w:r>
    </w:p>
    <w:p w14:paraId="36A711F7">
      <w:pPr>
        <w:spacing w:line="360" w:lineRule="auto"/>
        <w:ind w:firstLine="480" w:firstLineChars="200"/>
        <w:rPr>
          <w:rFonts w:ascii="宋体"/>
          <w:sz w:val="24"/>
          <w:szCs w:val="24"/>
          <w:highlight w:val="none"/>
        </w:rPr>
      </w:pPr>
      <w:r>
        <w:rPr>
          <w:rFonts w:ascii="宋体" w:hAnsi="宋体"/>
          <w:sz w:val="24"/>
          <w:szCs w:val="24"/>
          <w:highlight w:val="none"/>
        </w:rPr>
        <w:t>2</w:t>
      </w:r>
      <w:r>
        <w:rPr>
          <w:rFonts w:hint="eastAsia" w:ascii="宋体" w:hAnsi="宋体"/>
          <w:sz w:val="24"/>
          <w:szCs w:val="24"/>
          <w:highlight w:val="none"/>
        </w:rPr>
        <w:t>、纳税证明（个人所得税除外），须提供参加本次政府采购活动近六个月内的任意一月银行有效票据或缴纳税收的良好记录</w:t>
      </w:r>
      <w:r>
        <w:rPr>
          <w:rFonts w:hint="eastAsia" w:ascii="宋体" w:hAnsi="宋体"/>
          <w:sz w:val="24"/>
          <w:szCs w:val="24"/>
          <w:highlight w:val="none"/>
          <w:lang w:val="en-US" w:eastAsia="zh-CN"/>
        </w:rPr>
        <w:t>的承诺书或</w:t>
      </w:r>
      <w:r>
        <w:rPr>
          <w:rFonts w:hint="eastAsia" w:ascii="宋体" w:hAnsi="宋体"/>
          <w:sz w:val="24"/>
          <w:szCs w:val="24"/>
          <w:highlight w:val="none"/>
        </w:rPr>
        <w:t>税务部门证明材料凭证复印件，并加盖投标人公章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sz w:val="24"/>
          <w:szCs w:val="24"/>
          <w:highlight w:val="none"/>
        </w:rPr>
        <w:t>。如近六个月未达到应缴税标准，须提供相应说明及证明材料（如：增值税纳税申报表</w:t>
      </w:r>
      <w:r>
        <w:rPr>
          <w:rFonts w:hint="eastAsia" w:ascii="宋体" w:hAnsi="宋体"/>
          <w:sz w:val="24"/>
          <w:szCs w:val="24"/>
          <w:highlight w:val="none"/>
          <w:shd w:val="clear" w:color="auto" w:fill="FFFFFF" w:themeFill="background1"/>
        </w:rPr>
        <w:t>或零纳税申报表）</w:t>
      </w:r>
      <w:r>
        <w:rPr>
          <w:rFonts w:hint="eastAsia" w:ascii="宋体" w:hAnsi="宋体"/>
          <w:sz w:val="24"/>
          <w:szCs w:val="24"/>
          <w:highlight w:val="none"/>
        </w:rPr>
        <w:t>，并加盖投标人公章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sz w:val="24"/>
          <w:szCs w:val="24"/>
          <w:highlight w:val="none"/>
        </w:rPr>
        <w:t>。</w:t>
      </w:r>
      <w:r>
        <w:rPr>
          <w:rFonts w:ascii="宋体" w:hAnsi="宋体"/>
          <w:sz w:val="24"/>
          <w:szCs w:val="24"/>
          <w:highlight w:val="none"/>
        </w:rPr>
        <w:t xml:space="preserve"> </w:t>
      </w:r>
    </w:p>
    <w:p w14:paraId="02F9E123">
      <w:pPr>
        <w:spacing w:line="360" w:lineRule="auto"/>
        <w:ind w:firstLine="480" w:firstLineChars="200"/>
        <w:rPr>
          <w:rFonts w:ascii="宋体"/>
          <w:sz w:val="24"/>
          <w:szCs w:val="24"/>
          <w:highlight w:val="none"/>
        </w:rPr>
      </w:pPr>
      <w:r>
        <w:rPr>
          <w:rFonts w:ascii="宋体" w:hAnsi="宋体"/>
          <w:sz w:val="24"/>
          <w:szCs w:val="24"/>
          <w:highlight w:val="none"/>
        </w:rPr>
        <w:t>3</w:t>
      </w:r>
      <w:r>
        <w:rPr>
          <w:rFonts w:hint="eastAsia" w:ascii="宋体" w:hAnsi="宋体"/>
          <w:sz w:val="24"/>
          <w:szCs w:val="24"/>
          <w:highlight w:val="none"/>
        </w:rPr>
        <w:t>、依法免税或不需要缴纳社会保障资金的投标人，应提供相应的文件证明并加盖本单位公章</w:t>
      </w:r>
      <w:r>
        <w:rPr>
          <w:rFonts w:hint="eastAsia" w:ascii="宋体" w:hAnsi="宋体"/>
          <w:sz w:val="24"/>
          <w:szCs w:val="24"/>
          <w:highlight w:val="none"/>
          <w:lang w:eastAsia="zh-CN"/>
        </w:rPr>
        <w:t>（</w:t>
      </w:r>
      <w:r>
        <w:rPr>
          <w:rFonts w:hint="eastAsia" w:ascii="宋体" w:hAnsi="宋体" w:cs="宋体"/>
          <w:sz w:val="24"/>
          <w:szCs w:val="24"/>
          <w:highlight w:val="none"/>
          <w:lang w:val="en-US" w:eastAsia="zh-CN"/>
        </w:rPr>
        <w:t>或电子章</w:t>
      </w:r>
      <w:r>
        <w:rPr>
          <w:rFonts w:hint="eastAsia" w:ascii="宋体" w:hAnsi="宋体"/>
          <w:sz w:val="24"/>
          <w:szCs w:val="24"/>
          <w:highlight w:val="none"/>
          <w:lang w:eastAsia="zh-CN"/>
        </w:rPr>
        <w:t>）</w:t>
      </w:r>
      <w:r>
        <w:rPr>
          <w:rFonts w:hint="eastAsia" w:ascii="宋体" w:hAnsi="宋体"/>
          <w:sz w:val="24"/>
          <w:szCs w:val="24"/>
          <w:highlight w:val="none"/>
        </w:rPr>
        <w:t>。</w:t>
      </w:r>
    </w:p>
    <w:p w14:paraId="042AB018">
      <w:pPr>
        <w:spacing w:line="360" w:lineRule="auto"/>
        <w:rPr>
          <w:rFonts w:ascii="宋体" w:cs="宋体"/>
          <w:b/>
          <w:sz w:val="32"/>
          <w:szCs w:val="32"/>
          <w:highlight w:val="none"/>
        </w:rPr>
      </w:pPr>
    </w:p>
    <w:p w14:paraId="24C2529E">
      <w:pPr>
        <w:rPr>
          <w:rFonts w:ascii="宋体"/>
          <w:sz w:val="24"/>
          <w:highlight w:val="none"/>
        </w:rPr>
      </w:pPr>
      <w:r>
        <w:rPr>
          <w:rFonts w:hint="eastAsia" w:ascii="宋体" w:hAnsi="宋体"/>
          <w:sz w:val="24"/>
          <w:highlight w:val="none"/>
          <w:lang w:eastAsia="zh-CN"/>
        </w:rPr>
        <w:t>乌鲁木齐高新建设工程项目管理咨询有限公司</w:t>
      </w:r>
      <w:r>
        <w:rPr>
          <w:rFonts w:hint="eastAsia" w:ascii="宋体" w:hAnsi="宋体"/>
          <w:sz w:val="24"/>
          <w:highlight w:val="none"/>
        </w:rPr>
        <w:t>：</w:t>
      </w:r>
    </w:p>
    <w:p w14:paraId="46DD06B3">
      <w:pPr>
        <w:spacing w:line="360" w:lineRule="auto"/>
        <w:ind w:firstLine="482" w:firstLineChars="200"/>
        <w:jc w:val="center"/>
        <w:rPr>
          <w:rFonts w:ascii="宋体" w:cs="宋体"/>
          <w:b/>
          <w:sz w:val="24"/>
          <w:highlight w:val="none"/>
          <w:shd w:val="clear" w:color="auto" w:fill="FFFFFF"/>
        </w:rPr>
      </w:pPr>
    </w:p>
    <w:p w14:paraId="773727AF">
      <w:pPr>
        <w:adjustRightInd w:val="0"/>
        <w:spacing w:line="360" w:lineRule="auto"/>
        <w:ind w:firstLine="480" w:firstLineChars="200"/>
        <w:rPr>
          <w:rFonts w:ascii="宋体" w:cs="宋体"/>
          <w:sz w:val="24"/>
          <w:highlight w:val="none"/>
          <w:shd w:val="clear" w:color="auto" w:fill="FFFFFF"/>
        </w:rPr>
      </w:pPr>
      <w:r>
        <w:rPr>
          <w:rFonts w:hint="eastAsia" w:ascii="宋体" w:hAnsi="宋体" w:cs="宋体"/>
          <w:sz w:val="24"/>
          <w:highlight w:val="none"/>
          <w:shd w:val="clear" w:color="auto" w:fill="FFFFFF"/>
        </w:rPr>
        <w:t>本单位成立以来，一直按照国家和地方有关规定，依法缴纳税收及社会保障资金，具有良好记录。</w:t>
      </w:r>
    </w:p>
    <w:p w14:paraId="5CF41CB2">
      <w:pPr>
        <w:adjustRightInd w:val="0"/>
        <w:spacing w:line="360" w:lineRule="auto"/>
        <w:ind w:firstLine="480" w:firstLineChars="200"/>
        <w:rPr>
          <w:rFonts w:ascii="宋体" w:cs="宋体"/>
          <w:sz w:val="24"/>
          <w:highlight w:val="none"/>
          <w:shd w:val="clear" w:color="auto" w:fill="FFFFFF"/>
        </w:rPr>
      </w:pPr>
      <w:r>
        <w:rPr>
          <w:rFonts w:hint="eastAsia" w:ascii="宋体" w:hAnsi="宋体" w:cs="宋体"/>
          <w:sz w:val="24"/>
          <w:highlight w:val="none"/>
          <w:shd w:val="clear" w:color="auto" w:fill="FFFFFF"/>
        </w:rPr>
        <w:t>特此声明。</w:t>
      </w:r>
    </w:p>
    <w:p w14:paraId="7EDCEF13">
      <w:pPr>
        <w:adjustRightInd w:val="0"/>
        <w:spacing w:line="360" w:lineRule="auto"/>
        <w:rPr>
          <w:rFonts w:ascii="宋体" w:cs="宋体"/>
          <w:sz w:val="24"/>
          <w:highlight w:val="none"/>
          <w:shd w:val="clear" w:color="auto" w:fill="FFFFFF"/>
        </w:rPr>
      </w:pPr>
    </w:p>
    <w:p w14:paraId="15807CB4">
      <w:pPr>
        <w:adjustRightInd w:val="0"/>
        <w:spacing w:line="360" w:lineRule="auto"/>
        <w:rPr>
          <w:rFonts w:ascii="宋体" w:cs="宋体"/>
          <w:sz w:val="24"/>
          <w:highlight w:val="none"/>
          <w:shd w:val="clear" w:color="auto" w:fill="FFFFFF"/>
        </w:rPr>
      </w:pPr>
    </w:p>
    <w:p w14:paraId="21F23026">
      <w:pPr>
        <w:adjustRightInd w:val="0"/>
        <w:spacing w:line="360" w:lineRule="auto"/>
        <w:rPr>
          <w:rFonts w:ascii="宋体" w:cs="宋体"/>
          <w:sz w:val="24"/>
          <w:highlight w:val="none"/>
          <w:shd w:val="clear" w:color="auto" w:fill="FFFFFF"/>
        </w:rPr>
      </w:pPr>
    </w:p>
    <w:p w14:paraId="0880D8E2">
      <w:pPr>
        <w:spacing w:line="360" w:lineRule="auto"/>
        <w:jc w:val="right"/>
        <w:rPr>
          <w:rFonts w:ascii="宋体"/>
          <w:sz w:val="24"/>
          <w:highlight w:val="none"/>
          <w:u w:val="single"/>
        </w:rPr>
      </w:pPr>
      <w:r>
        <w:rPr>
          <w:rFonts w:hint="eastAsia" w:ascii="宋体" w:hAnsi="宋体"/>
          <w:sz w:val="24"/>
          <w:highlight w:val="none"/>
        </w:rPr>
        <w:t>投标人法定代表人或授权代表（签字或盖章）：</w:t>
      </w:r>
    </w:p>
    <w:p w14:paraId="1443ADDA">
      <w:pPr>
        <w:spacing w:line="360" w:lineRule="auto"/>
        <w:jc w:val="right"/>
        <w:rPr>
          <w:rFonts w:ascii="宋体"/>
          <w:sz w:val="24"/>
          <w:highlight w:val="none"/>
        </w:rPr>
      </w:pPr>
      <w:r>
        <w:rPr>
          <w:rFonts w:hint="eastAsia" w:ascii="宋体" w:hAnsi="宋体"/>
          <w:sz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sz w:val="24"/>
          <w:highlight w:val="none"/>
        </w:rPr>
        <w:t>）：</w:t>
      </w:r>
    </w:p>
    <w:p w14:paraId="5FCADC7F">
      <w:pPr>
        <w:autoSpaceDE w:val="0"/>
        <w:autoSpaceDN w:val="0"/>
        <w:adjustRightInd w:val="0"/>
        <w:spacing w:line="360" w:lineRule="auto"/>
        <w:jc w:val="right"/>
        <w:rPr>
          <w:rFonts w:ascii="宋体" w:cs="宋体"/>
          <w:color w:val="000000"/>
          <w:highlight w:val="none"/>
        </w:rPr>
      </w:pPr>
      <w:r>
        <w:rPr>
          <w:rFonts w:hint="eastAsia" w:ascii="宋体" w:hAnsi="宋体"/>
          <w:sz w:val="24"/>
          <w:highlight w:val="none"/>
        </w:rPr>
        <w:t>日期：</w:t>
      </w:r>
    </w:p>
    <w:p w14:paraId="2A740DEF">
      <w:pPr>
        <w:widowControl/>
        <w:jc w:val="left"/>
        <w:rPr>
          <w:rFonts w:ascii="宋体" w:cs="宋体"/>
          <w:b/>
          <w:sz w:val="24"/>
          <w:szCs w:val="24"/>
          <w:highlight w:val="none"/>
        </w:rPr>
      </w:pPr>
      <w:bookmarkStart w:id="145" w:name="_Toc2355260"/>
      <w:bookmarkStart w:id="146" w:name="_Toc497167408"/>
      <w:bookmarkStart w:id="147" w:name="_Toc2512002"/>
      <w:r>
        <w:rPr>
          <w:rFonts w:ascii="宋体" w:cs="宋体"/>
          <w:b/>
          <w:sz w:val="24"/>
          <w:szCs w:val="24"/>
          <w:highlight w:val="none"/>
        </w:rPr>
        <w:br w:type="page"/>
      </w:r>
    </w:p>
    <w:p w14:paraId="795B8B68">
      <w:pPr>
        <w:pStyle w:val="5"/>
        <w:rPr>
          <w:rFonts w:ascii="宋体" w:cs="宋体"/>
          <w:sz w:val="24"/>
          <w:szCs w:val="24"/>
          <w:highlight w:val="none"/>
        </w:rPr>
      </w:pPr>
      <w:bookmarkStart w:id="148" w:name="_Toc44704916"/>
      <w:bookmarkStart w:id="149" w:name="_Toc26101"/>
      <w:bookmarkStart w:id="150" w:name="_Toc44705063"/>
      <w:bookmarkStart w:id="151" w:name="_Toc2165"/>
      <w:r>
        <w:rPr>
          <w:rFonts w:ascii="宋体" w:hAnsi="宋体" w:cs="宋体"/>
          <w:sz w:val="32"/>
          <w:szCs w:val="24"/>
          <w:highlight w:val="none"/>
        </w:rPr>
        <w:t>1.5</w:t>
      </w:r>
      <w:r>
        <w:rPr>
          <w:rFonts w:hint="eastAsia" w:ascii="宋体" w:hAnsi="宋体" w:cs="宋体"/>
          <w:sz w:val="32"/>
          <w:szCs w:val="24"/>
          <w:highlight w:val="none"/>
        </w:rPr>
        <w:t>参加政府采购活动前三年内，在经营活动中没有重大违法记录</w:t>
      </w:r>
      <w:bookmarkEnd w:id="148"/>
      <w:bookmarkEnd w:id="149"/>
      <w:bookmarkEnd w:id="150"/>
      <w:bookmarkEnd w:id="151"/>
    </w:p>
    <w:p w14:paraId="09409E8A">
      <w:pPr>
        <w:widowControl/>
        <w:spacing w:line="360" w:lineRule="auto"/>
        <w:jc w:val="left"/>
        <w:rPr>
          <w:rFonts w:ascii="宋体" w:cs="宋体"/>
          <w:b/>
          <w:sz w:val="24"/>
          <w:szCs w:val="24"/>
          <w:highlight w:val="none"/>
        </w:rPr>
      </w:pPr>
    </w:p>
    <w:p w14:paraId="5429A3DC">
      <w:pPr>
        <w:widowControl/>
        <w:spacing w:line="360" w:lineRule="auto"/>
        <w:jc w:val="left"/>
        <w:rPr>
          <w:rFonts w:ascii="宋体" w:cs="宋体"/>
          <w:b/>
          <w:bCs/>
          <w:sz w:val="24"/>
          <w:szCs w:val="24"/>
          <w:highlight w:val="none"/>
        </w:rPr>
      </w:pPr>
      <w:r>
        <w:rPr>
          <w:rFonts w:hint="eastAsia" w:ascii="宋体" w:hAnsi="宋体" w:cs="宋体"/>
          <w:b/>
          <w:sz w:val="24"/>
          <w:szCs w:val="24"/>
          <w:highlight w:val="none"/>
        </w:rPr>
        <w:t>近三年内，在经营活动中没有重大违法记录的声明</w:t>
      </w:r>
    </w:p>
    <w:p w14:paraId="23C99E2F">
      <w:pPr>
        <w:spacing w:line="360" w:lineRule="auto"/>
        <w:rPr>
          <w:rFonts w:ascii="宋体" w:cs="宋体"/>
          <w:color w:val="000000"/>
          <w:sz w:val="24"/>
          <w:szCs w:val="24"/>
          <w:highlight w:val="none"/>
        </w:rPr>
      </w:pPr>
    </w:p>
    <w:p w14:paraId="5847B605">
      <w:pPr>
        <w:spacing w:line="360" w:lineRule="auto"/>
        <w:rPr>
          <w:rFonts w:ascii="宋体" w:cs="宋体"/>
          <w:color w:val="000000"/>
          <w:sz w:val="24"/>
          <w:szCs w:val="24"/>
          <w:highlight w:val="none"/>
        </w:rPr>
      </w:pPr>
      <w:r>
        <w:rPr>
          <w:rFonts w:hint="eastAsia" w:ascii="宋体" w:hAnsi="宋体" w:cs="宋体"/>
          <w:color w:val="000000"/>
          <w:sz w:val="24"/>
          <w:szCs w:val="24"/>
          <w:highlight w:val="none"/>
          <w:lang w:eastAsia="zh-CN"/>
        </w:rPr>
        <w:t>乌鲁木齐高新建设工程项目管理咨询有限公司</w:t>
      </w:r>
      <w:r>
        <w:rPr>
          <w:rFonts w:hint="eastAsia" w:ascii="宋体" w:hAnsi="宋体" w:cs="宋体"/>
          <w:color w:val="000000"/>
          <w:sz w:val="24"/>
          <w:szCs w:val="24"/>
          <w:highlight w:val="none"/>
        </w:rPr>
        <w:t>：</w:t>
      </w:r>
    </w:p>
    <w:p w14:paraId="64D0BB23">
      <w:pPr>
        <w:spacing w:line="360" w:lineRule="auto"/>
        <w:rPr>
          <w:rFonts w:ascii="宋体" w:cs="宋体"/>
          <w:color w:val="000000"/>
          <w:sz w:val="24"/>
          <w:szCs w:val="24"/>
          <w:highlight w:val="none"/>
        </w:rPr>
      </w:pPr>
    </w:p>
    <w:p w14:paraId="0307FE11">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我公司在近三年（</w:t>
      </w:r>
      <w:r>
        <w:rPr>
          <w:rFonts w:hint="eastAsia" w:ascii="宋体" w:hAnsi="宋体" w:cs="宋体"/>
          <w:color w:val="000000"/>
          <w:sz w:val="24"/>
          <w:szCs w:val="24"/>
          <w:highlight w:val="none"/>
          <w:lang w:eastAsia="zh-CN"/>
        </w:rPr>
        <w:t>2022年</w:t>
      </w:r>
      <w:r>
        <w:rPr>
          <w:rFonts w:ascii="宋体" w:cs="宋体"/>
          <w:color w:val="000000"/>
          <w:sz w:val="24"/>
          <w:szCs w:val="24"/>
          <w:highlight w:val="none"/>
        </w:rPr>
        <w:t>-</w:t>
      </w:r>
      <w:r>
        <w:rPr>
          <w:rFonts w:hint="eastAsia" w:ascii="宋体" w:hAnsi="宋体" w:cs="宋体"/>
          <w:color w:val="000000"/>
          <w:sz w:val="24"/>
          <w:szCs w:val="24"/>
          <w:highlight w:val="none"/>
        </w:rPr>
        <w:t>至今）内，在经营活动中没有重大违法记录（</w:t>
      </w:r>
      <w:r>
        <w:rPr>
          <w:rFonts w:hint="eastAsia" w:ascii="宋体" w:hAnsi="宋体" w:cs="宋体"/>
          <w:color w:val="000000"/>
          <w:kern w:val="0"/>
          <w:sz w:val="24"/>
          <w:szCs w:val="24"/>
          <w:highlight w:val="none"/>
        </w:rPr>
        <w:t>因违法经营受到刑事处罚或者责令停产停业、吊销许可证或者执照、较大数额罚款等行政处罚</w:t>
      </w:r>
      <w:r>
        <w:rPr>
          <w:rFonts w:hint="eastAsia" w:ascii="宋体" w:hAnsi="宋体" w:cs="宋体"/>
          <w:color w:val="000000"/>
          <w:sz w:val="24"/>
          <w:szCs w:val="24"/>
          <w:highlight w:val="none"/>
        </w:rPr>
        <w:t>）。</w:t>
      </w:r>
    </w:p>
    <w:p w14:paraId="289E565A">
      <w:pPr>
        <w:spacing w:line="360" w:lineRule="auto"/>
        <w:rPr>
          <w:rFonts w:ascii="宋体" w:cs="宋体"/>
          <w:color w:val="000000"/>
          <w:sz w:val="24"/>
          <w:szCs w:val="24"/>
          <w:highlight w:val="none"/>
        </w:rPr>
      </w:pPr>
    </w:p>
    <w:p w14:paraId="1BB2E6A1">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特此声明。</w:t>
      </w:r>
    </w:p>
    <w:p w14:paraId="4EF5D27B">
      <w:pPr>
        <w:spacing w:line="360" w:lineRule="auto"/>
        <w:ind w:firstLine="480" w:firstLineChars="200"/>
        <w:rPr>
          <w:rFonts w:ascii="宋体" w:cs="宋体"/>
          <w:color w:val="000000"/>
          <w:sz w:val="24"/>
          <w:szCs w:val="24"/>
          <w:highlight w:val="none"/>
        </w:rPr>
      </w:pPr>
    </w:p>
    <w:p w14:paraId="2796D990">
      <w:pPr>
        <w:spacing w:line="360" w:lineRule="auto"/>
        <w:ind w:firstLine="480" w:firstLineChars="200"/>
        <w:rPr>
          <w:rFonts w:ascii="宋体" w:cs="宋体"/>
          <w:color w:val="000000"/>
          <w:sz w:val="24"/>
          <w:szCs w:val="24"/>
          <w:highlight w:val="none"/>
        </w:rPr>
      </w:pPr>
    </w:p>
    <w:p w14:paraId="079B21C2">
      <w:pPr>
        <w:spacing w:line="360" w:lineRule="auto"/>
        <w:ind w:firstLine="480" w:firstLineChars="200"/>
        <w:rPr>
          <w:rFonts w:ascii="宋体" w:cs="宋体"/>
          <w:color w:val="000000"/>
          <w:sz w:val="24"/>
          <w:szCs w:val="24"/>
          <w:highlight w:val="none"/>
        </w:rPr>
      </w:pPr>
    </w:p>
    <w:p w14:paraId="67E787BB">
      <w:pPr>
        <w:spacing w:line="360" w:lineRule="auto"/>
        <w:ind w:firstLine="480" w:firstLineChars="200"/>
        <w:rPr>
          <w:rFonts w:ascii="宋体" w:cs="宋体"/>
          <w:color w:val="000000"/>
          <w:sz w:val="24"/>
          <w:szCs w:val="24"/>
          <w:highlight w:val="none"/>
        </w:rPr>
      </w:pPr>
    </w:p>
    <w:p w14:paraId="366A51A8">
      <w:pPr>
        <w:spacing w:line="360" w:lineRule="auto"/>
        <w:ind w:firstLine="480" w:firstLineChars="200"/>
        <w:rPr>
          <w:rFonts w:ascii="宋体" w:cs="宋体"/>
          <w:color w:val="000000"/>
          <w:sz w:val="24"/>
          <w:szCs w:val="24"/>
          <w:highlight w:val="none"/>
        </w:rPr>
      </w:pPr>
    </w:p>
    <w:p w14:paraId="3FF1D2A8">
      <w:pPr>
        <w:spacing w:line="360" w:lineRule="auto"/>
        <w:rPr>
          <w:rFonts w:ascii="宋体" w:cs="宋体"/>
          <w:color w:val="000000"/>
          <w:sz w:val="24"/>
          <w:szCs w:val="24"/>
          <w:highlight w:val="none"/>
        </w:rPr>
      </w:pPr>
    </w:p>
    <w:p w14:paraId="03250CFA">
      <w:pPr>
        <w:spacing w:line="360" w:lineRule="auto"/>
        <w:ind w:firstLine="480" w:firstLineChars="200"/>
        <w:rPr>
          <w:rFonts w:ascii="宋体" w:cs="宋体"/>
          <w:color w:val="000000"/>
          <w:sz w:val="24"/>
          <w:szCs w:val="24"/>
          <w:highlight w:val="none"/>
        </w:rPr>
      </w:pPr>
    </w:p>
    <w:p w14:paraId="2DB45D4D">
      <w:pPr>
        <w:spacing w:line="360" w:lineRule="auto"/>
        <w:ind w:firstLine="480" w:firstLineChars="200"/>
        <w:rPr>
          <w:rFonts w:ascii="宋体" w:cs="宋体"/>
          <w:color w:val="000000"/>
          <w:sz w:val="24"/>
          <w:szCs w:val="24"/>
          <w:highlight w:val="none"/>
        </w:rPr>
      </w:pPr>
    </w:p>
    <w:p w14:paraId="1C3C09F8">
      <w:pPr>
        <w:spacing w:line="360" w:lineRule="auto"/>
        <w:rPr>
          <w:rFonts w:ascii="宋体" w:cs="宋体"/>
          <w:color w:val="000000"/>
          <w:sz w:val="24"/>
          <w:szCs w:val="24"/>
          <w:highlight w:val="none"/>
        </w:rPr>
      </w:pPr>
    </w:p>
    <w:p w14:paraId="3F59BAEC">
      <w:pPr>
        <w:spacing w:line="360" w:lineRule="auto"/>
        <w:ind w:firstLine="480" w:firstLineChars="200"/>
        <w:rPr>
          <w:rFonts w:ascii="宋体" w:cs="宋体"/>
          <w:color w:val="000000"/>
          <w:sz w:val="24"/>
          <w:szCs w:val="24"/>
          <w:highlight w:val="none"/>
        </w:rPr>
      </w:pPr>
    </w:p>
    <w:p w14:paraId="1BE0169D">
      <w:pPr>
        <w:spacing w:line="360" w:lineRule="auto"/>
        <w:jc w:val="right"/>
        <w:rPr>
          <w:rFonts w:ascii="宋体" w:cs="宋体"/>
          <w:sz w:val="24"/>
          <w:szCs w:val="24"/>
          <w:highlight w:val="non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3E51A0B9">
      <w:pPr>
        <w:pStyle w:val="21"/>
        <w:rPr>
          <w:highlight w:val="none"/>
        </w:rPr>
      </w:pPr>
    </w:p>
    <w:p w14:paraId="3A04FDCF">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123933D1">
      <w:pPr>
        <w:pStyle w:val="21"/>
        <w:rPr>
          <w:highlight w:val="none"/>
        </w:rPr>
      </w:pPr>
    </w:p>
    <w:p w14:paraId="5778BDD3">
      <w:pPr>
        <w:pStyle w:val="21"/>
        <w:jc w:val="right"/>
        <w:rPr>
          <w:highlight w:val="none"/>
        </w:rPr>
      </w:pPr>
      <w:r>
        <w:rPr>
          <w:rFonts w:hint="eastAsia"/>
          <w:highlight w:val="none"/>
        </w:rPr>
        <w:t>日期：</w:t>
      </w:r>
    </w:p>
    <w:p w14:paraId="0728FEBC">
      <w:pPr>
        <w:pStyle w:val="21"/>
        <w:rPr>
          <w:highlight w:val="none"/>
        </w:rPr>
      </w:pPr>
    </w:p>
    <w:bookmarkEnd w:id="145"/>
    <w:bookmarkEnd w:id="146"/>
    <w:bookmarkEnd w:id="147"/>
    <w:p w14:paraId="6D783109">
      <w:pPr>
        <w:widowControl/>
        <w:jc w:val="left"/>
        <w:rPr>
          <w:rFonts w:ascii="宋体" w:cs="宋体"/>
          <w:sz w:val="24"/>
          <w:szCs w:val="24"/>
          <w:highlight w:val="none"/>
        </w:rPr>
      </w:pPr>
      <w:bookmarkStart w:id="152" w:name="_Toc2355261"/>
      <w:bookmarkStart w:id="153" w:name="_Toc2512003"/>
      <w:bookmarkStart w:id="154" w:name="_Toc497167409"/>
      <w:r>
        <w:rPr>
          <w:rFonts w:ascii="宋体" w:cs="宋体"/>
          <w:sz w:val="24"/>
          <w:szCs w:val="24"/>
          <w:highlight w:val="none"/>
        </w:rPr>
        <w:br w:type="page"/>
      </w:r>
    </w:p>
    <w:p w14:paraId="59B7120F">
      <w:pPr>
        <w:pStyle w:val="5"/>
        <w:rPr>
          <w:rFonts w:ascii="宋体" w:cs="宋体"/>
          <w:sz w:val="32"/>
          <w:szCs w:val="24"/>
          <w:highlight w:val="none"/>
        </w:rPr>
      </w:pPr>
      <w:bookmarkStart w:id="155" w:name="_Toc44705064"/>
      <w:bookmarkStart w:id="156" w:name="_Toc16629"/>
      <w:bookmarkStart w:id="157" w:name="_Toc44704917"/>
      <w:bookmarkStart w:id="158" w:name="_Toc26041"/>
      <w:r>
        <w:rPr>
          <w:rFonts w:ascii="宋体" w:hAnsi="宋体" w:cs="宋体"/>
          <w:sz w:val="32"/>
          <w:szCs w:val="24"/>
          <w:highlight w:val="none"/>
        </w:rPr>
        <w:t>1.6</w:t>
      </w:r>
      <w:r>
        <w:rPr>
          <w:rFonts w:hint="eastAsia" w:ascii="宋体" w:hAnsi="宋体" w:cs="宋体"/>
          <w:sz w:val="32"/>
          <w:szCs w:val="24"/>
          <w:highlight w:val="none"/>
        </w:rPr>
        <w:t>符合招标文件第二章“投标人须知前附表”</w:t>
      </w:r>
      <w:r>
        <w:rPr>
          <w:rFonts w:ascii="宋体" w:hAnsi="宋体" w:cs="宋体"/>
          <w:sz w:val="32"/>
          <w:szCs w:val="24"/>
          <w:highlight w:val="none"/>
        </w:rPr>
        <w:t>1</w:t>
      </w:r>
      <w:r>
        <w:rPr>
          <w:rFonts w:hint="eastAsia" w:ascii="宋体" w:hAnsi="宋体" w:cs="宋体"/>
          <w:sz w:val="32"/>
          <w:szCs w:val="24"/>
          <w:highlight w:val="none"/>
          <w:lang w:val="en-US" w:eastAsia="zh-CN"/>
        </w:rPr>
        <w:t>0</w:t>
      </w:r>
      <w:r>
        <w:rPr>
          <w:rFonts w:ascii="宋体" w:hAnsi="宋体" w:cs="宋体"/>
          <w:sz w:val="32"/>
          <w:szCs w:val="24"/>
          <w:highlight w:val="none"/>
        </w:rPr>
        <w:t>.1</w:t>
      </w:r>
      <w:r>
        <w:rPr>
          <w:rFonts w:hint="eastAsia" w:ascii="宋体" w:hAnsi="宋体" w:cs="宋体"/>
          <w:sz w:val="32"/>
          <w:szCs w:val="24"/>
          <w:highlight w:val="none"/>
        </w:rPr>
        <w:t>中第</w:t>
      </w:r>
      <w:r>
        <w:rPr>
          <w:rFonts w:ascii="宋体" w:hAnsi="宋体" w:cs="宋体"/>
          <w:sz w:val="32"/>
          <w:szCs w:val="24"/>
          <w:highlight w:val="none"/>
        </w:rPr>
        <w:t>2</w:t>
      </w:r>
      <w:r>
        <w:rPr>
          <w:rFonts w:hint="eastAsia" w:ascii="宋体" w:hAnsi="宋体" w:cs="宋体"/>
          <w:sz w:val="32"/>
          <w:szCs w:val="24"/>
          <w:highlight w:val="none"/>
        </w:rPr>
        <w:t>条的证明材料</w:t>
      </w:r>
      <w:bookmarkEnd w:id="155"/>
      <w:bookmarkEnd w:id="156"/>
      <w:bookmarkEnd w:id="157"/>
      <w:bookmarkEnd w:id="158"/>
    </w:p>
    <w:p w14:paraId="43372DBC">
      <w:pPr>
        <w:spacing w:line="360" w:lineRule="auto"/>
        <w:rPr>
          <w:rFonts w:ascii="宋体" w:cs="宋体"/>
          <w:sz w:val="24"/>
          <w:szCs w:val="24"/>
          <w:highlight w:val="none"/>
        </w:rPr>
      </w:pPr>
      <w:r>
        <w:rPr>
          <w:rFonts w:hint="eastAsia" w:ascii="宋体" w:hAnsi="宋体" w:cs="宋体"/>
          <w:sz w:val="24"/>
          <w:szCs w:val="24"/>
          <w:highlight w:val="none"/>
        </w:rPr>
        <w:t>（加盖单位公章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bookmarkEnd w:id="152"/>
      <w:bookmarkEnd w:id="153"/>
      <w:bookmarkEnd w:id="154"/>
    </w:p>
    <w:p w14:paraId="3793B8A3">
      <w:pPr>
        <w:spacing w:line="360" w:lineRule="auto"/>
        <w:rPr>
          <w:rFonts w:ascii="宋体" w:cs="宋体"/>
          <w:b/>
          <w:color w:val="000000"/>
          <w:sz w:val="24"/>
          <w:szCs w:val="24"/>
          <w:highlight w:val="none"/>
        </w:rPr>
      </w:pPr>
      <w:r>
        <w:rPr>
          <w:rFonts w:ascii="宋体" w:hAnsi="宋体" w:cs="宋体"/>
          <w:b/>
          <w:color w:val="000000"/>
          <w:sz w:val="24"/>
          <w:szCs w:val="24"/>
          <w:highlight w:val="none"/>
        </w:rPr>
        <w:t>1.6.1</w:t>
      </w:r>
    </w:p>
    <w:p w14:paraId="7C7A5359">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注：</w:t>
      </w:r>
      <w:r>
        <w:rPr>
          <w:rFonts w:ascii="宋体" w:hAnsi="宋体" w:cs="宋体"/>
          <w:color w:val="000000"/>
          <w:sz w:val="24"/>
          <w:szCs w:val="24"/>
          <w:highlight w:val="none"/>
        </w:rPr>
        <w:t>1</w:t>
      </w:r>
      <w:r>
        <w:rPr>
          <w:rFonts w:hint="eastAsia" w:ascii="宋体" w:hAnsi="宋体" w:cs="宋体"/>
          <w:color w:val="000000"/>
          <w:sz w:val="24"/>
          <w:szCs w:val="24"/>
          <w:highlight w:val="none"/>
        </w:rPr>
        <w:t>、投标人应当根据自身存在的情形，如实披露与本单位负责人为同一人或者存在直接控股、管理关系的投标人情况。</w:t>
      </w:r>
    </w:p>
    <w:p w14:paraId="4027EA68">
      <w:pPr>
        <w:spacing w:line="360" w:lineRule="auto"/>
        <w:ind w:firstLine="480" w:firstLineChars="200"/>
        <w:rPr>
          <w:rFonts w:ascii="宋体" w:cs="宋体"/>
          <w:kern w:val="0"/>
          <w:sz w:val="24"/>
          <w:szCs w:val="24"/>
          <w:highlight w:val="none"/>
          <w:lang w:val="zh-CN"/>
        </w:rPr>
      </w:pPr>
      <w:r>
        <w:rPr>
          <w:rFonts w:ascii="宋体" w:hAnsi="宋体" w:cs="宋体"/>
          <w:kern w:val="0"/>
          <w:sz w:val="24"/>
          <w:szCs w:val="24"/>
          <w:highlight w:val="none"/>
          <w:lang w:val="zh-CN"/>
        </w:rPr>
        <w:t>2</w:t>
      </w:r>
      <w:r>
        <w:rPr>
          <w:rFonts w:hint="eastAsia" w:ascii="宋体" w:hAnsi="宋体" w:cs="宋体"/>
          <w:kern w:val="0"/>
          <w:sz w:val="24"/>
          <w:szCs w:val="24"/>
          <w:highlight w:val="none"/>
          <w:lang w:val="zh-CN"/>
        </w:rPr>
        <w:t>、单位负责人为同一人或者存在直接控股、管理关系的不同投标人，同时参加本项目同一包的投标，相关投标均无效。</w:t>
      </w:r>
    </w:p>
    <w:p w14:paraId="16C11DF4">
      <w:pPr>
        <w:pStyle w:val="21"/>
        <w:ind w:firstLine="480" w:firstLineChars="200"/>
        <w:rPr>
          <w:rFonts w:ascii="宋体"/>
          <w:highlight w:val="none"/>
          <w:lang w:val="zh-CN"/>
        </w:rPr>
      </w:pPr>
      <w:r>
        <w:rPr>
          <w:rFonts w:ascii="宋体" w:hAnsi="宋体"/>
          <w:highlight w:val="none"/>
          <w:lang w:val="zh-CN"/>
        </w:rPr>
        <w:t>3.</w:t>
      </w:r>
      <w:r>
        <w:rPr>
          <w:highlight w:val="none"/>
        </w:rPr>
        <w:t xml:space="preserve"> </w:t>
      </w:r>
      <w:r>
        <w:rPr>
          <w:rFonts w:hint="eastAsia" w:ascii="宋体" w:hAnsi="宋体"/>
          <w:highlight w:val="none"/>
          <w:lang w:val="zh-CN"/>
        </w:rPr>
        <w:t>为本项目某包提供整体设计、规范编制或者项目管理、监理、检测等服务的投标人，不得参加该包的投标；</w:t>
      </w:r>
    </w:p>
    <w:p w14:paraId="22360E4C">
      <w:pPr>
        <w:spacing w:line="360" w:lineRule="auto"/>
        <w:rPr>
          <w:rFonts w:ascii="宋体" w:cs="宋体"/>
          <w:color w:val="000000"/>
          <w:sz w:val="24"/>
          <w:szCs w:val="24"/>
          <w:highlight w:val="none"/>
        </w:rPr>
      </w:pPr>
    </w:p>
    <w:p w14:paraId="05F08596">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（如不存在上述情况，请提供如下声明）</w:t>
      </w:r>
    </w:p>
    <w:p w14:paraId="5E6E3F58">
      <w:pPr>
        <w:spacing w:line="360" w:lineRule="auto"/>
        <w:rPr>
          <w:rFonts w:ascii="宋体" w:cs="宋体"/>
          <w:color w:val="000000"/>
          <w:sz w:val="24"/>
          <w:szCs w:val="24"/>
          <w:highlight w:val="none"/>
        </w:rPr>
      </w:pPr>
    </w:p>
    <w:p w14:paraId="466D8632">
      <w:pPr>
        <w:spacing w:line="360" w:lineRule="auto"/>
        <w:rPr>
          <w:rFonts w:ascii="宋体" w:cs="宋体"/>
          <w:color w:val="000000"/>
          <w:sz w:val="24"/>
          <w:szCs w:val="24"/>
          <w:highlight w:val="none"/>
        </w:rPr>
      </w:pPr>
      <w:r>
        <w:rPr>
          <w:rFonts w:hint="eastAsia" w:ascii="宋体" w:hAnsi="宋体" w:cs="宋体"/>
          <w:color w:val="000000"/>
          <w:sz w:val="24"/>
          <w:szCs w:val="24"/>
          <w:highlight w:val="none"/>
          <w:lang w:eastAsia="zh-CN"/>
        </w:rPr>
        <w:t>乌鲁木齐高新建设工程项目管理咨询有限公司</w:t>
      </w:r>
      <w:r>
        <w:rPr>
          <w:rFonts w:hint="eastAsia" w:ascii="宋体" w:hAnsi="宋体" w:cs="宋体"/>
          <w:color w:val="000000"/>
          <w:sz w:val="24"/>
          <w:szCs w:val="24"/>
          <w:highlight w:val="none"/>
        </w:rPr>
        <w:t>：</w:t>
      </w:r>
    </w:p>
    <w:p w14:paraId="557D3CDA">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我单位负责人</w:t>
      </w:r>
      <w:r>
        <w:rPr>
          <w:rFonts w:hint="eastAsia" w:ascii="宋体" w:hAnsi="宋体" w:cs="宋体"/>
          <w:color w:val="000000"/>
          <w:sz w:val="24"/>
          <w:szCs w:val="24"/>
          <w:highlight w:val="none"/>
          <w:u w:val="single"/>
        </w:rPr>
        <w:t>（负责人姓名、身份证号）</w:t>
      </w:r>
      <w:r>
        <w:rPr>
          <w:rFonts w:hint="eastAsia" w:ascii="宋体" w:hAnsi="宋体" w:cs="宋体"/>
          <w:color w:val="000000"/>
          <w:sz w:val="24"/>
          <w:szCs w:val="24"/>
          <w:highlight w:val="none"/>
        </w:rPr>
        <w:t>，不存在与我单位负责人为同一人的不同投标人同时参加本项目同一包投标的情形。</w:t>
      </w:r>
    </w:p>
    <w:p w14:paraId="6CCAB71B">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与我单位存在直接控股、管理关系的单位</w:t>
      </w:r>
      <w:r>
        <w:rPr>
          <w:rFonts w:hint="eastAsia" w:ascii="宋体" w:hAnsi="宋体" w:cs="宋体"/>
          <w:color w:val="000000"/>
          <w:sz w:val="24"/>
          <w:szCs w:val="24"/>
          <w:highlight w:val="none"/>
          <w:u w:val="single"/>
        </w:rPr>
        <w:t>（单位名称，如没有填“无”）</w:t>
      </w:r>
      <w:r>
        <w:rPr>
          <w:rFonts w:hint="eastAsia" w:ascii="宋体" w:hAnsi="宋体" w:cs="宋体"/>
          <w:color w:val="000000"/>
          <w:sz w:val="24"/>
          <w:szCs w:val="24"/>
          <w:highlight w:val="none"/>
        </w:rPr>
        <w:t>，不存在与我单位存在直接控股、管理管理的不同投标人同时参加本项目同一包投标的情形。</w:t>
      </w:r>
    </w:p>
    <w:p w14:paraId="3476C0EB">
      <w:pPr>
        <w:pStyle w:val="21"/>
        <w:ind w:firstLine="480" w:firstLineChars="200"/>
        <w:rPr>
          <w:highlight w:val="none"/>
        </w:rPr>
      </w:pPr>
      <w:r>
        <w:rPr>
          <w:rFonts w:hint="eastAsia"/>
          <w:highlight w:val="none"/>
        </w:rPr>
        <w:t>我单位不为本项目某包提供整体设计、规范编制或者项目管理、监理、检测等服务的投标人。</w:t>
      </w:r>
    </w:p>
    <w:p w14:paraId="20C8AC29">
      <w:pPr>
        <w:spacing w:line="360" w:lineRule="auto"/>
        <w:ind w:firstLine="482" w:firstLineChars="200"/>
        <w:rPr>
          <w:rFonts w:ascii="宋体" w:cs="宋体"/>
          <w:color w:val="000000"/>
          <w:sz w:val="24"/>
          <w:szCs w:val="24"/>
          <w:highlight w:val="none"/>
        </w:rPr>
      </w:pPr>
      <w:r>
        <w:rPr>
          <w:rFonts w:hint="eastAsia" w:ascii="宋体" w:hAnsi="宋体" w:cs="宋体"/>
          <w:b/>
          <w:color w:val="000000"/>
          <w:sz w:val="24"/>
          <w:highlight w:val="none"/>
        </w:rPr>
        <w:t>我单位确认本</w:t>
      </w:r>
      <w:r>
        <w:rPr>
          <w:rFonts w:hint="eastAsia" w:ascii="宋体" w:hAnsi="宋体" w:cs="宋体"/>
          <w:b/>
          <w:sz w:val="24"/>
          <w:highlight w:val="none"/>
        </w:rPr>
        <w:t>声明是真实的、正确的，如有虚假，相应后果和法律责任均由我单位承担</w:t>
      </w:r>
      <w:r>
        <w:rPr>
          <w:rFonts w:hint="eastAsia" w:ascii="宋体" w:hAnsi="宋体" w:cs="宋体"/>
          <w:color w:val="000000"/>
          <w:sz w:val="24"/>
          <w:szCs w:val="24"/>
          <w:highlight w:val="none"/>
        </w:rPr>
        <w:t>。</w:t>
      </w:r>
    </w:p>
    <w:p w14:paraId="03F048FA">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rPr>
        <w:t>特此声明。</w:t>
      </w:r>
    </w:p>
    <w:p w14:paraId="1E2BF9B0">
      <w:pPr>
        <w:pStyle w:val="21"/>
        <w:keepNext w:val="0"/>
        <w:keepLines w:val="0"/>
        <w:pageBreakBefore w:val="0"/>
        <w:widowControl w:val="0"/>
        <w:kinsoku/>
        <w:wordWrap/>
        <w:overflowPunct/>
        <w:topLinePunct w:val="0"/>
        <w:autoSpaceDE/>
        <w:autoSpaceDN/>
        <w:bidi w:val="0"/>
        <w:adjustRightInd/>
        <w:snapToGrid/>
        <w:spacing w:line="240" w:lineRule="exact"/>
        <w:textAlignment w:val="auto"/>
        <w:rPr>
          <w:highlight w:val="none"/>
        </w:rPr>
      </w:pPr>
    </w:p>
    <w:p w14:paraId="25073301">
      <w:pPr>
        <w:spacing w:line="360" w:lineRule="auto"/>
        <w:jc w:val="right"/>
        <w:rPr>
          <w:rFonts w:ascii="宋体" w:cs="宋体"/>
          <w:sz w:val="24"/>
          <w:szCs w:val="24"/>
          <w:highlight w:val="non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69974376">
      <w:pPr>
        <w:pStyle w:val="21"/>
        <w:keepNext w:val="0"/>
        <w:keepLines w:val="0"/>
        <w:pageBreakBefore w:val="0"/>
        <w:widowControl w:val="0"/>
        <w:kinsoku/>
        <w:wordWrap/>
        <w:overflowPunct/>
        <w:topLinePunct w:val="0"/>
        <w:autoSpaceDE/>
        <w:autoSpaceDN/>
        <w:bidi w:val="0"/>
        <w:adjustRightInd/>
        <w:snapToGrid/>
        <w:spacing w:line="240" w:lineRule="exact"/>
        <w:textAlignment w:val="auto"/>
        <w:rPr>
          <w:highlight w:val="none"/>
        </w:rPr>
      </w:pPr>
    </w:p>
    <w:p w14:paraId="095A2903">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投标人名称（加盖单位公章或电子章）：</w:t>
      </w:r>
    </w:p>
    <w:p w14:paraId="402AACFF">
      <w:pPr>
        <w:pStyle w:val="21"/>
        <w:keepNext w:val="0"/>
        <w:keepLines w:val="0"/>
        <w:pageBreakBefore w:val="0"/>
        <w:widowControl w:val="0"/>
        <w:kinsoku/>
        <w:wordWrap/>
        <w:overflowPunct/>
        <w:topLinePunct w:val="0"/>
        <w:autoSpaceDE/>
        <w:autoSpaceDN/>
        <w:bidi w:val="0"/>
        <w:adjustRightInd/>
        <w:snapToGrid/>
        <w:spacing w:line="240" w:lineRule="exact"/>
        <w:textAlignment w:val="auto"/>
        <w:rPr>
          <w:highlight w:val="none"/>
        </w:rPr>
      </w:pPr>
    </w:p>
    <w:p w14:paraId="4E6C2C2D">
      <w:pPr>
        <w:spacing w:line="360" w:lineRule="auto"/>
        <w:jc w:val="right"/>
        <w:rPr>
          <w:rFonts w:ascii="宋体" w:cs="宋体"/>
          <w:color w:val="000000"/>
          <w:szCs w:val="21"/>
          <w:highlight w:val="none"/>
        </w:rPr>
      </w:pPr>
      <w:r>
        <w:rPr>
          <w:rFonts w:hint="eastAsia" w:ascii="宋体" w:hAnsi="宋体" w:cs="宋体"/>
          <w:sz w:val="24"/>
          <w:szCs w:val="24"/>
          <w:highlight w:val="none"/>
        </w:rPr>
        <w:t>日期：</w:t>
      </w:r>
    </w:p>
    <w:p w14:paraId="7BF75319">
      <w:pPr>
        <w:widowControl/>
        <w:spacing w:line="360" w:lineRule="auto"/>
        <w:jc w:val="left"/>
        <w:rPr>
          <w:rFonts w:ascii="宋体" w:cs="宋体"/>
          <w:b/>
          <w:sz w:val="36"/>
          <w:szCs w:val="36"/>
          <w:highlight w:val="none"/>
        </w:rPr>
      </w:pPr>
      <w:r>
        <w:rPr>
          <w:rFonts w:ascii="宋体" w:cs="宋体"/>
          <w:color w:val="000000"/>
          <w:szCs w:val="21"/>
          <w:highlight w:val="none"/>
        </w:rPr>
        <w:br w:type="page"/>
      </w:r>
      <w:bookmarkStart w:id="159" w:name="_Toc14776855"/>
      <w:bookmarkStart w:id="160" w:name="_Toc2512005"/>
      <w:bookmarkStart w:id="161" w:name="_Toc2355263"/>
      <w:bookmarkStart w:id="162" w:name="_Hlk521595300"/>
      <w:r>
        <w:rPr>
          <w:rFonts w:ascii="宋体" w:hAnsi="宋体" w:cs="宋体"/>
          <w:b/>
          <w:sz w:val="24"/>
          <w:szCs w:val="24"/>
          <w:highlight w:val="none"/>
        </w:rPr>
        <w:t>1.6.2</w:t>
      </w:r>
      <w:r>
        <w:rPr>
          <w:rFonts w:hint="eastAsia" w:ascii="宋体" w:hAnsi="宋体" w:cs="宋体"/>
          <w:b/>
          <w:sz w:val="24"/>
          <w:szCs w:val="24"/>
          <w:highlight w:val="none"/>
        </w:rPr>
        <w:t>信用查询</w:t>
      </w:r>
      <w:bookmarkEnd w:id="159"/>
    </w:p>
    <w:p w14:paraId="57C532AB">
      <w:pPr>
        <w:spacing w:line="360" w:lineRule="auto"/>
        <w:rPr>
          <w:rFonts w:hint="eastAsia" w:ascii="宋体" w:eastAsia="宋体" w:cs="宋体"/>
          <w:b/>
          <w:color w:val="000000"/>
          <w:sz w:val="24"/>
          <w:szCs w:val="24"/>
          <w:highlight w:val="none"/>
          <w:lang w:val="en-US" w:eastAsia="zh-CN"/>
        </w:rPr>
      </w:pPr>
      <w:r>
        <w:rPr>
          <w:rFonts w:hint="eastAsia" w:ascii="宋体" w:hAnsi="宋体" w:cs="宋体"/>
          <w:b/>
          <w:sz w:val="24"/>
          <w:szCs w:val="24"/>
          <w:highlight w:val="none"/>
        </w:rPr>
        <w:t>通过“信用中国”网站（</w:t>
      </w:r>
      <w:r>
        <w:rPr>
          <w:rFonts w:ascii="宋体" w:hAnsi="宋体" w:cs="宋体"/>
          <w:b/>
          <w:sz w:val="24"/>
          <w:szCs w:val="24"/>
          <w:highlight w:val="none"/>
        </w:rPr>
        <w:t>www.creditchina.gov.cn</w:t>
      </w:r>
      <w:r>
        <w:rPr>
          <w:rFonts w:hint="eastAsia" w:ascii="宋体" w:hAnsi="宋体" w:cs="宋体"/>
          <w:b/>
          <w:sz w:val="24"/>
          <w:szCs w:val="24"/>
          <w:highlight w:val="none"/>
        </w:rPr>
        <w:t>）和中国政府采购网（</w:t>
      </w:r>
      <w:r>
        <w:rPr>
          <w:rFonts w:ascii="宋体" w:hAnsi="宋体" w:cs="宋体"/>
          <w:b/>
          <w:sz w:val="24"/>
          <w:szCs w:val="24"/>
          <w:highlight w:val="none"/>
        </w:rPr>
        <w:t>www.ccgp.gov.cn</w:t>
      </w:r>
      <w:r>
        <w:rPr>
          <w:rFonts w:hint="eastAsia" w:ascii="宋体" w:hAnsi="宋体" w:cs="宋体"/>
          <w:b/>
          <w:sz w:val="24"/>
          <w:szCs w:val="24"/>
          <w:highlight w:val="none"/>
        </w:rPr>
        <w:t>）查询信用记录（截止时间点为投标截止时间），被列入失信被执行人、重大税收违法案件当事人名单或政府采购严重违法失信行为记录名单的投标人，没有资格参加本项目的采购活动</w:t>
      </w:r>
      <w:bookmarkEnd w:id="160"/>
      <w:bookmarkEnd w:id="161"/>
      <w:r>
        <w:rPr>
          <w:rFonts w:hint="eastAsia" w:ascii="宋体" w:hAnsi="宋体" w:cs="宋体"/>
          <w:b/>
          <w:sz w:val="24"/>
          <w:szCs w:val="24"/>
          <w:highlight w:val="none"/>
          <w:lang w:val="en-US" w:eastAsia="zh-CN"/>
        </w:rPr>
        <w:t>.</w:t>
      </w:r>
    </w:p>
    <w:bookmarkEnd w:id="162"/>
    <w:p w14:paraId="13C100F0">
      <w:pPr>
        <w:spacing w:line="360" w:lineRule="auto"/>
        <w:rPr>
          <w:rFonts w:ascii="宋体" w:cs="宋体"/>
          <w:color w:val="000000"/>
          <w:szCs w:val="21"/>
          <w:highlight w:val="none"/>
          <w:u w:val="single"/>
        </w:rPr>
      </w:pPr>
    </w:p>
    <w:p w14:paraId="011028BA">
      <w:pPr>
        <w:spacing w:line="360" w:lineRule="auto"/>
        <w:rPr>
          <w:rFonts w:ascii="宋体" w:cs="宋体"/>
          <w:color w:val="000000"/>
          <w:sz w:val="24"/>
          <w:szCs w:val="24"/>
          <w:highlight w:val="none"/>
        </w:rPr>
      </w:pPr>
    </w:p>
    <w:p w14:paraId="76BE2850">
      <w:pPr>
        <w:spacing w:line="360" w:lineRule="auto"/>
        <w:rPr>
          <w:rFonts w:ascii="宋体" w:cs="宋体"/>
          <w:sz w:val="24"/>
          <w:szCs w:val="24"/>
          <w:highlight w:val="none"/>
        </w:rPr>
      </w:pPr>
    </w:p>
    <w:p w14:paraId="50F62A93">
      <w:pPr>
        <w:spacing w:line="360" w:lineRule="auto"/>
        <w:ind w:firstLine="5280" w:firstLineChars="2200"/>
        <w:rPr>
          <w:rFonts w:ascii="宋体" w:cs="宋体"/>
          <w:color w:val="000000"/>
          <w:sz w:val="24"/>
          <w:szCs w:val="24"/>
          <w:highlight w:val="none"/>
        </w:rPr>
      </w:pPr>
    </w:p>
    <w:p w14:paraId="01BD4F38">
      <w:pPr>
        <w:spacing w:line="360" w:lineRule="auto"/>
        <w:ind w:firstLine="6385" w:firstLineChars="2650"/>
        <w:rPr>
          <w:rFonts w:ascii="宋体" w:cs="宋体"/>
          <w:b/>
          <w:color w:val="000000"/>
          <w:sz w:val="24"/>
          <w:szCs w:val="24"/>
          <w:highlight w:val="none"/>
        </w:rPr>
      </w:pPr>
    </w:p>
    <w:p w14:paraId="7A8A1390">
      <w:pPr>
        <w:spacing w:line="360" w:lineRule="auto"/>
        <w:rPr>
          <w:rFonts w:ascii="宋体" w:cs="宋体"/>
          <w:b/>
          <w:color w:val="000000"/>
          <w:sz w:val="24"/>
          <w:szCs w:val="24"/>
          <w:highlight w:val="none"/>
        </w:rPr>
      </w:pPr>
      <w:r>
        <w:rPr>
          <w:rFonts w:hint="eastAsia" w:ascii="宋体" w:hAnsi="宋体" w:cs="宋体"/>
          <w:b/>
          <w:color w:val="000000"/>
          <w:sz w:val="24"/>
          <w:szCs w:val="24"/>
          <w:highlight w:val="none"/>
        </w:rPr>
        <w:t>说</w:t>
      </w:r>
      <w:r>
        <w:rPr>
          <w:rFonts w:hint="eastAsia" w:ascii="宋体" w:hAnsi="宋体" w:cs="宋体"/>
          <w:b/>
          <w:sz w:val="24"/>
          <w:szCs w:val="24"/>
          <w:highlight w:val="none"/>
        </w:rPr>
        <w:t>明：</w:t>
      </w:r>
    </w:p>
    <w:p w14:paraId="3B427240">
      <w:pPr>
        <w:spacing w:line="360" w:lineRule="auto"/>
        <w:ind w:firstLine="480" w:firstLineChars="200"/>
        <w:rPr>
          <w:rFonts w:ascii="宋体" w:cs="宋体"/>
          <w:color w:val="000000"/>
          <w:kern w:val="0"/>
          <w:sz w:val="24"/>
          <w:szCs w:val="24"/>
          <w:highlight w:val="none"/>
        </w:rPr>
      </w:pPr>
      <w:r>
        <w:rPr>
          <w:rFonts w:ascii="宋体" w:hAnsi="宋体" w:cs="宋体"/>
          <w:color w:val="000000"/>
          <w:sz w:val="24"/>
          <w:szCs w:val="24"/>
          <w:highlight w:val="none"/>
        </w:rPr>
        <w:t>1</w:t>
      </w:r>
      <w:r>
        <w:rPr>
          <w:rFonts w:hint="eastAsia" w:ascii="宋体" w:hAnsi="宋体" w:cs="宋体"/>
          <w:color w:val="000000"/>
          <w:sz w:val="24"/>
          <w:szCs w:val="24"/>
          <w:highlight w:val="none"/>
        </w:rPr>
        <w:t>、</w:t>
      </w:r>
      <w:r>
        <w:rPr>
          <w:rFonts w:hint="eastAsia" w:ascii="宋体" w:hAnsi="宋体" w:cs="宋体"/>
          <w:color w:val="000000"/>
          <w:kern w:val="0"/>
          <w:sz w:val="24"/>
          <w:szCs w:val="24"/>
          <w:highlight w:val="none"/>
        </w:rPr>
        <w:t>信用信息查询渠道：信用中国网站（</w:t>
      </w:r>
      <w:r>
        <w:rPr>
          <w:rFonts w:ascii="宋体" w:hAnsi="宋体" w:cs="宋体"/>
          <w:color w:val="000000"/>
          <w:kern w:val="0"/>
          <w:sz w:val="24"/>
          <w:szCs w:val="24"/>
          <w:highlight w:val="none"/>
        </w:rPr>
        <w:t>www.creditchina.gov.cn</w:t>
      </w:r>
      <w:r>
        <w:rPr>
          <w:rFonts w:hint="eastAsia" w:ascii="宋体" w:hAnsi="宋体" w:cs="宋体"/>
          <w:color w:val="000000"/>
          <w:kern w:val="0"/>
          <w:sz w:val="24"/>
          <w:szCs w:val="24"/>
          <w:highlight w:val="none"/>
        </w:rPr>
        <w:t>）和中国政府采购网</w:t>
      </w:r>
      <w:r>
        <w:rPr>
          <w:rFonts w:ascii="宋体" w:cs="宋体"/>
          <w:color w:val="000000"/>
          <w:kern w:val="0"/>
          <w:sz w:val="24"/>
          <w:szCs w:val="24"/>
          <w:highlight w:val="none"/>
        </w:rPr>
        <w:t>-</w:t>
      </w:r>
      <w:r>
        <w:rPr>
          <w:rFonts w:hint="eastAsia" w:ascii="宋体" w:hAnsi="宋体" w:cs="宋体"/>
          <w:color w:val="000000"/>
          <w:kern w:val="0"/>
          <w:sz w:val="24"/>
          <w:szCs w:val="24"/>
          <w:highlight w:val="none"/>
        </w:rPr>
        <w:t>政府采购严重违法失信行为信息记录（</w:t>
      </w:r>
      <w:r>
        <w:rPr>
          <w:rFonts w:ascii="宋体" w:hAnsi="宋体" w:cs="宋体"/>
          <w:color w:val="000000"/>
          <w:kern w:val="0"/>
          <w:sz w:val="24"/>
          <w:szCs w:val="24"/>
          <w:highlight w:val="none"/>
        </w:rPr>
        <w:t>www.ccgp.gov.cn/cr/list</w:t>
      </w:r>
      <w:r>
        <w:rPr>
          <w:rFonts w:hint="eastAsia" w:ascii="宋体" w:hAnsi="宋体" w:cs="宋体"/>
          <w:color w:val="000000"/>
          <w:kern w:val="0"/>
          <w:sz w:val="24"/>
          <w:szCs w:val="24"/>
          <w:highlight w:val="none"/>
        </w:rPr>
        <w:t>）；</w:t>
      </w:r>
    </w:p>
    <w:p w14:paraId="522255AE">
      <w:pPr>
        <w:spacing w:line="360" w:lineRule="auto"/>
        <w:ind w:firstLine="480" w:firstLineChars="200"/>
        <w:rPr>
          <w:rFonts w:ascii="宋体" w:cs="宋体"/>
          <w:color w:val="000000"/>
          <w:kern w:val="0"/>
          <w:sz w:val="24"/>
          <w:szCs w:val="24"/>
          <w:highlight w:val="none"/>
        </w:rPr>
      </w:pPr>
      <w:r>
        <w:rPr>
          <w:rFonts w:ascii="宋体" w:hAnsi="宋体" w:cs="宋体"/>
          <w:color w:val="000000"/>
          <w:kern w:val="0"/>
          <w:sz w:val="24"/>
          <w:szCs w:val="24"/>
          <w:highlight w:val="none"/>
        </w:rPr>
        <w:t>2</w:t>
      </w:r>
      <w:r>
        <w:rPr>
          <w:rFonts w:hint="eastAsia" w:ascii="宋体" w:hAnsi="宋体" w:cs="宋体"/>
          <w:color w:val="000000"/>
          <w:kern w:val="0"/>
          <w:sz w:val="24"/>
          <w:szCs w:val="24"/>
          <w:highlight w:val="none"/>
        </w:rPr>
        <w:t>、信用信息查询截止时点：同投标截止时间（文件提交截止时间）；</w:t>
      </w:r>
    </w:p>
    <w:p w14:paraId="378038BA">
      <w:pPr>
        <w:spacing w:line="360" w:lineRule="auto"/>
        <w:ind w:firstLine="480" w:firstLineChars="200"/>
        <w:rPr>
          <w:rFonts w:ascii="宋体" w:cs="宋体"/>
          <w:color w:val="000000"/>
          <w:sz w:val="24"/>
          <w:szCs w:val="24"/>
          <w:highlight w:val="none"/>
        </w:rPr>
      </w:pPr>
      <w:r>
        <w:rPr>
          <w:rFonts w:hint="eastAsia" w:ascii="宋体" w:hAnsi="宋体" w:cs="宋体"/>
          <w:color w:val="000000"/>
          <w:sz w:val="24"/>
          <w:szCs w:val="24"/>
          <w:highlight w:val="none"/>
          <w:lang w:val="en-US" w:eastAsia="zh-CN"/>
        </w:rPr>
        <w:t>3</w:t>
      </w:r>
      <w:r>
        <w:rPr>
          <w:rFonts w:hint="eastAsia" w:ascii="宋体" w:hAnsi="宋体" w:cs="宋体"/>
          <w:color w:val="000000"/>
          <w:sz w:val="24"/>
          <w:szCs w:val="24"/>
          <w:highlight w:val="none"/>
        </w:rPr>
        <w:t>、信用信息的使用规则：对列入失信被执行人、重大税收违法案件当事人名单、政府采购严重违法失信行为记录名单及其他不符合《中华人民共和国政府采购法》第二十二条规定条件的投标人，将拒绝其投标；其中，列入政府采购严重违法失信行为记录名单的投标人，禁止参加政府采购活动的时间按处罚结果执行，但不受区域限制（根据财库〔</w:t>
      </w:r>
      <w:r>
        <w:rPr>
          <w:rFonts w:ascii="宋体" w:hAnsi="宋体" w:cs="宋体"/>
          <w:color w:val="000000"/>
          <w:sz w:val="24"/>
          <w:szCs w:val="24"/>
          <w:highlight w:val="none"/>
        </w:rPr>
        <w:t>2015</w:t>
      </w:r>
      <w:r>
        <w:rPr>
          <w:rFonts w:hint="eastAsia" w:ascii="宋体" w:hAnsi="宋体" w:cs="宋体"/>
          <w:color w:val="000000"/>
          <w:sz w:val="24"/>
          <w:szCs w:val="24"/>
          <w:highlight w:val="none"/>
        </w:rPr>
        <w:t>〕</w:t>
      </w:r>
      <w:r>
        <w:rPr>
          <w:rFonts w:ascii="宋体" w:hAnsi="宋体" w:cs="宋体"/>
          <w:color w:val="000000"/>
          <w:sz w:val="24"/>
          <w:szCs w:val="24"/>
          <w:highlight w:val="none"/>
        </w:rPr>
        <w:t>150</w:t>
      </w:r>
      <w:r>
        <w:rPr>
          <w:rFonts w:hint="eastAsia" w:ascii="宋体" w:hAnsi="宋体" w:cs="宋体"/>
          <w:color w:val="000000"/>
          <w:sz w:val="24"/>
          <w:szCs w:val="24"/>
          <w:highlight w:val="none"/>
        </w:rPr>
        <w:t>号《关于规范政府采购行政处罚有关问题的通知》，相关行政处罚决定在全国范围内生效）。</w:t>
      </w:r>
    </w:p>
    <w:p w14:paraId="21E10A8F">
      <w:pPr>
        <w:spacing w:line="360" w:lineRule="auto"/>
        <w:ind w:firstLine="480" w:firstLineChars="200"/>
        <w:rPr>
          <w:rFonts w:hint="eastAsia" w:ascii="宋体" w:eastAsia="宋体" w:cs="宋体"/>
          <w:b/>
          <w:bCs/>
          <w:color w:val="000000"/>
          <w:sz w:val="24"/>
          <w:szCs w:val="24"/>
          <w:highlight w:val="none"/>
          <w:lang w:eastAsia="zh-CN"/>
        </w:rPr>
      </w:pP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rPr>
        <w:t>、</w:t>
      </w:r>
      <w:r>
        <w:rPr>
          <w:rFonts w:hint="eastAsia" w:ascii="宋体" w:hAnsi="宋体" w:cs="宋体"/>
          <w:b/>
          <w:bCs/>
          <w:color w:val="000000"/>
          <w:sz w:val="24"/>
          <w:szCs w:val="24"/>
          <w:highlight w:val="none"/>
          <w:lang w:val="en-US" w:eastAsia="zh-CN"/>
        </w:rPr>
        <w:t>各投标人信用查询结果截图可不提供，</w:t>
      </w:r>
      <w:r>
        <w:rPr>
          <w:rFonts w:hint="eastAsia" w:ascii="宋体" w:hAnsi="宋体" w:cs="宋体"/>
          <w:b/>
          <w:bCs/>
          <w:color w:val="000000"/>
          <w:sz w:val="24"/>
          <w:szCs w:val="24"/>
          <w:highlight w:val="none"/>
        </w:rPr>
        <w:t>最终评定结果以采购代理机构开标现场查询为准</w:t>
      </w:r>
      <w:r>
        <w:rPr>
          <w:rFonts w:hint="eastAsia" w:ascii="宋体" w:hAnsi="宋体" w:cs="宋体"/>
          <w:b/>
          <w:bCs/>
          <w:color w:val="000000"/>
          <w:sz w:val="24"/>
          <w:szCs w:val="24"/>
          <w:highlight w:val="none"/>
          <w:lang w:eastAsia="zh-CN"/>
        </w:rPr>
        <w:t>。</w:t>
      </w:r>
    </w:p>
    <w:p w14:paraId="6D3DAD2A">
      <w:pPr>
        <w:widowControl/>
        <w:spacing w:line="360" w:lineRule="auto"/>
        <w:jc w:val="left"/>
        <w:rPr>
          <w:rFonts w:ascii="宋体" w:cs="宋体"/>
          <w:b/>
          <w:sz w:val="36"/>
          <w:szCs w:val="36"/>
          <w:highlight w:val="none"/>
        </w:rPr>
      </w:pPr>
      <w:r>
        <w:rPr>
          <w:rFonts w:ascii="宋体" w:cs="宋体"/>
          <w:b/>
          <w:sz w:val="36"/>
          <w:szCs w:val="36"/>
          <w:highlight w:val="none"/>
        </w:rPr>
        <w:br w:type="page"/>
      </w:r>
    </w:p>
    <w:p w14:paraId="2E3643AF">
      <w:pPr>
        <w:spacing w:line="360" w:lineRule="auto"/>
        <w:jc w:val="left"/>
        <w:rPr>
          <w:rFonts w:ascii="宋体" w:cs="宋体"/>
          <w:b/>
          <w:color w:val="000000"/>
          <w:kern w:val="0"/>
          <w:sz w:val="24"/>
          <w:szCs w:val="24"/>
          <w:highlight w:val="none"/>
        </w:rPr>
      </w:pPr>
      <w:r>
        <w:rPr>
          <w:rFonts w:ascii="宋体" w:hAnsi="宋体" w:cs="宋体"/>
          <w:b/>
          <w:color w:val="000000"/>
          <w:kern w:val="0"/>
          <w:sz w:val="24"/>
          <w:szCs w:val="24"/>
          <w:highlight w:val="none"/>
        </w:rPr>
        <w:t>1.6</w:t>
      </w:r>
      <w:r>
        <w:rPr>
          <w:rFonts w:ascii="宋体" w:cs="宋体"/>
          <w:b/>
          <w:color w:val="000000"/>
          <w:kern w:val="0"/>
          <w:sz w:val="24"/>
          <w:szCs w:val="24"/>
          <w:highlight w:val="none"/>
        </w:rPr>
        <w:t>.</w:t>
      </w:r>
      <w:r>
        <w:rPr>
          <w:rFonts w:ascii="宋体" w:hAnsi="宋体" w:cs="宋体"/>
          <w:b/>
          <w:color w:val="000000"/>
          <w:kern w:val="0"/>
          <w:sz w:val="24"/>
          <w:szCs w:val="24"/>
          <w:highlight w:val="none"/>
        </w:rPr>
        <w:t>2.1</w:t>
      </w:r>
      <w:r>
        <w:rPr>
          <w:rFonts w:hint="eastAsia" w:ascii="宋体" w:hAnsi="宋体" w:cs="宋体"/>
          <w:b/>
          <w:color w:val="000000"/>
          <w:kern w:val="0"/>
          <w:sz w:val="24"/>
          <w:szCs w:val="24"/>
          <w:highlight w:val="none"/>
        </w:rPr>
        <w:t>信用中国网站（</w:t>
      </w:r>
      <w:r>
        <w:rPr>
          <w:rFonts w:ascii="宋体" w:hAnsi="宋体" w:cs="宋体"/>
          <w:color w:val="000000"/>
          <w:kern w:val="0"/>
          <w:sz w:val="24"/>
          <w:szCs w:val="24"/>
          <w:highlight w:val="none"/>
        </w:rPr>
        <w:t>www.creditchina.gov.cn</w:t>
      </w:r>
      <w:r>
        <w:rPr>
          <w:rFonts w:hint="eastAsia" w:ascii="宋体" w:hAnsi="宋体" w:cs="宋体"/>
          <w:b/>
          <w:color w:val="000000"/>
          <w:kern w:val="0"/>
          <w:sz w:val="24"/>
          <w:szCs w:val="24"/>
          <w:highlight w:val="none"/>
        </w:rPr>
        <w:t>）查询截图（加盖公章或电子章）；</w:t>
      </w:r>
    </w:p>
    <w:p w14:paraId="2FE98DD9">
      <w:pPr>
        <w:spacing w:line="360" w:lineRule="auto"/>
        <w:jc w:val="left"/>
        <w:rPr>
          <w:rFonts w:ascii="宋体" w:cs="宋体"/>
          <w:b/>
          <w:color w:val="000000"/>
          <w:kern w:val="0"/>
          <w:sz w:val="24"/>
          <w:szCs w:val="24"/>
          <w:highlight w:val="none"/>
        </w:rPr>
      </w:pPr>
    </w:p>
    <w:p w14:paraId="67C264E1">
      <w:pPr>
        <w:spacing w:line="360" w:lineRule="auto"/>
        <w:jc w:val="left"/>
        <w:rPr>
          <w:rFonts w:ascii="宋体" w:cs="宋体"/>
          <w:b/>
          <w:color w:val="000000"/>
          <w:kern w:val="0"/>
          <w:sz w:val="24"/>
          <w:szCs w:val="24"/>
          <w:highlight w:val="none"/>
        </w:rPr>
      </w:pPr>
    </w:p>
    <w:p w14:paraId="3CF105AC">
      <w:pPr>
        <w:spacing w:line="360" w:lineRule="auto"/>
        <w:jc w:val="left"/>
        <w:rPr>
          <w:rFonts w:ascii="宋体" w:cs="宋体"/>
          <w:b/>
          <w:color w:val="000000"/>
          <w:kern w:val="0"/>
          <w:sz w:val="24"/>
          <w:szCs w:val="24"/>
          <w:highlight w:val="none"/>
        </w:rPr>
      </w:pPr>
    </w:p>
    <w:p w14:paraId="5F112F4F">
      <w:pPr>
        <w:spacing w:line="360" w:lineRule="auto"/>
        <w:jc w:val="left"/>
        <w:rPr>
          <w:rFonts w:ascii="宋体" w:cs="宋体"/>
          <w:b/>
          <w:color w:val="000000"/>
          <w:kern w:val="0"/>
          <w:sz w:val="24"/>
          <w:szCs w:val="24"/>
          <w:highlight w:val="none"/>
        </w:rPr>
      </w:pPr>
    </w:p>
    <w:p w14:paraId="615B9228">
      <w:pPr>
        <w:spacing w:line="360" w:lineRule="auto"/>
        <w:jc w:val="left"/>
        <w:rPr>
          <w:rFonts w:ascii="宋体" w:cs="宋体"/>
          <w:b/>
          <w:color w:val="000000"/>
          <w:kern w:val="0"/>
          <w:sz w:val="24"/>
          <w:szCs w:val="24"/>
          <w:highlight w:val="none"/>
        </w:rPr>
      </w:pPr>
    </w:p>
    <w:p w14:paraId="36F74BDD">
      <w:pPr>
        <w:spacing w:line="360" w:lineRule="auto"/>
        <w:jc w:val="left"/>
        <w:rPr>
          <w:rFonts w:ascii="宋体" w:cs="宋体"/>
          <w:b/>
          <w:color w:val="000000"/>
          <w:kern w:val="0"/>
          <w:sz w:val="24"/>
          <w:szCs w:val="24"/>
          <w:highlight w:val="none"/>
        </w:rPr>
      </w:pPr>
    </w:p>
    <w:p w14:paraId="154BEE56">
      <w:pPr>
        <w:spacing w:line="360" w:lineRule="auto"/>
        <w:jc w:val="left"/>
        <w:rPr>
          <w:rFonts w:ascii="宋体" w:cs="宋体"/>
          <w:b/>
          <w:color w:val="000000"/>
          <w:kern w:val="0"/>
          <w:sz w:val="24"/>
          <w:szCs w:val="24"/>
          <w:highlight w:val="none"/>
        </w:rPr>
      </w:pPr>
    </w:p>
    <w:p w14:paraId="63C4820E">
      <w:pPr>
        <w:spacing w:line="360" w:lineRule="auto"/>
        <w:jc w:val="left"/>
        <w:rPr>
          <w:rFonts w:ascii="宋体" w:cs="宋体"/>
          <w:b/>
          <w:color w:val="000000"/>
          <w:kern w:val="0"/>
          <w:sz w:val="24"/>
          <w:szCs w:val="24"/>
          <w:highlight w:val="none"/>
        </w:rPr>
      </w:pPr>
    </w:p>
    <w:p w14:paraId="432DA2AB">
      <w:pPr>
        <w:spacing w:line="360" w:lineRule="auto"/>
        <w:jc w:val="left"/>
        <w:rPr>
          <w:rFonts w:ascii="宋体" w:cs="宋体"/>
          <w:b/>
          <w:color w:val="000000"/>
          <w:kern w:val="0"/>
          <w:sz w:val="24"/>
          <w:szCs w:val="24"/>
          <w:highlight w:val="none"/>
        </w:rPr>
      </w:pPr>
    </w:p>
    <w:p w14:paraId="44A6FC73">
      <w:pPr>
        <w:spacing w:line="360" w:lineRule="auto"/>
        <w:jc w:val="left"/>
        <w:rPr>
          <w:rFonts w:ascii="宋体" w:cs="宋体"/>
          <w:b/>
          <w:color w:val="000000"/>
          <w:kern w:val="0"/>
          <w:sz w:val="24"/>
          <w:szCs w:val="24"/>
          <w:highlight w:val="none"/>
        </w:rPr>
      </w:pPr>
    </w:p>
    <w:p w14:paraId="40DA0850">
      <w:pPr>
        <w:spacing w:line="360" w:lineRule="auto"/>
        <w:jc w:val="left"/>
        <w:rPr>
          <w:rFonts w:ascii="宋体" w:cs="宋体"/>
          <w:b/>
          <w:color w:val="000000"/>
          <w:kern w:val="0"/>
          <w:sz w:val="24"/>
          <w:szCs w:val="24"/>
          <w:highlight w:val="none"/>
        </w:rPr>
      </w:pPr>
    </w:p>
    <w:p w14:paraId="74250D95">
      <w:pPr>
        <w:spacing w:line="360" w:lineRule="auto"/>
        <w:jc w:val="left"/>
        <w:rPr>
          <w:rFonts w:ascii="宋体" w:cs="宋体"/>
          <w:b/>
          <w:sz w:val="36"/>
          <w:szCs w:val="36"/>
          <w:highlight w:val="none"/>
        </w:rPr>
      </w:pPr>
      <w:r>
        <w:rPr>
          <w:rFonts w:ascii="宋体" w:hAnsi="宋体" w:cs="宋体"/>
          <w:b/>
          <w:color w:val="000000"/>
          <w:kern w:val="0"/>
          <w:sz w:val="24"/>
          <w:szCs w:val="24"/>
          <w:highlight w:val="none"/>
        </w:rPr>
        <w:t>1.6.2.2</w:t>
      </w:r>
      <w:r>
        <w:rPr>
          <w:rFonts w:hint="eastAsia" w:ascii="宋体" w:hAnsi="宋体" w:cs="宋体"/>
          <w:b/>
          <w:color w:val="000000"/>
          <w:kern w:val="0"/>
          <w:sz w:val="24"/>
          <w:szCs w:val="24"/>
          <w:highlight w:val="none"/>
        </w:rPr>
        <w:t>中国政府采购网</w:t>
      </w:r>
      <w:r>
        <w:rPr>
          <w:rFonts w:ascii="宋体" w:cs="宋体"/>
          <w:b/>
          <w:color w:val="000000"/>
          <w:kern w:val="0"/>
          <w:sz w:val="24"/>
          <w:szCs w:val="24"/>
          <w:highlight w:val="none"/>
        </w:rPr>
        <w:t>-</w:t>
      </w:r>
      <w:r>
        <w:rPr>
          <w:rFonts w:hint="eastAsia" w:ascii="宋体" w:hAnsi="宋体" w:cs="宋体"/>
          <w:b/>
          <w:color w:val="000000"/>
          <w:kern w:val="0"/>
          <w:sz w:val="24"/>
          <w:szCs w:val="24"/>
          <w:highlight w:val="none"/>
        </w:rPr>
        <w:t>政府采购严重违法失信行为信息记录（</w:t>
      </w:r>
      <w:r>
        <w:rPr>
          <w:rFonts w:ascii="宋体" w:hAnsi="宋体" w:cs="宋体"/>
          <w:b/>
          <w:color w:val="000000"/>
          <w:kern w:val="0"/>
          <w:sz w:val="24"/>
          <w:szCs w:val="24"/>
          <w:highlight w:val="none"/>
        </w:rPr>
        <w:t>www.ccgp.gov.cn/cr/list</w:t>
      </w:r>
      <w:r>
        <w:rPr>
          <w:rFonts w:hint="eastAsia" w:ascii="宋体" w:hAnsi="宋体" w:cs="宋体"/>
          <w:b/>
          <w:color w:val="000000"/>
          <w:kern w:val="0"/>
          <w:sz w:val="24"/>
          <w:szCs w:val="24"/>
          <w:highlight w:val="none"/>
        </w:rPr>
        <w:t>）查询截图（加盖公章或电子章）。</w:t>
      </w:r>
    </w:p>
    <w:p w14:paraId="7D769CD4">
      <w:pPr>
        <w:spacing w:line="360" w:lineRule="auto"/>
        <w:jc w:val="center"/>
        <w:rPr>
          <w:rFonts w:ascii="宋体" w:cs="宋体"/>
          <w:b/>
          <w:sz w:val="36"/>
          <w:szCs w:val="36"/>
          <w:highlight w:val="none"/>
        </w:rPr>
      </w:pPr>
    </w:p>
    <w:p w14:paraId="425BD75B">
      <w:pPr>
        <w:spacing w:line="360" w:lineRule="auto"/>
        <w:jc w:val="center"/>
        <w:rPr>
          <w:rFonts w:ascii="宋体" w:cs="宋体"/>
          <w:b/>
          <w:sz w:val="36"/>
          <w:szCs w:val="36"/>
          <w:highlight w:val="none"/>
        </w:rPr>
      </w:pPr>
    </w:p>
    <w:p w14:paraId="2D017E2B">
      <w:pPr>
        <w:spacing w:line="360" w:lineRule="auto"/>
        <w:rPr>
          <w:rFonts w:ascii="宋体" w:cs="宋体"/>
          <w:sz w:val="24"/>
          <w:szCs w:val="24"/>
          <w:highlight w:val="none"/>
        </w:rPr>
      </w:pPr>
      <w:r>
        <w:rPr>
          <w:rFonts w:ascii="宋体" w:cs="宋体"/>
          <w:sz w:val="24"/>
          <w:szCs w:val="24"/>
          <w:highlight w:val="none"/>
        </w:rPr>
        <w:br w:type="page"/>
      </w:r>
    </w:p>
    <w:p w14:paraId="7D816C22">
      <w:pPr>
        <w:pStyle w:val="5"/>
        <w:rPr>
          <w:rFonts w:ascii="宋体" w:cs="宋体"/>
          <w:bCs w:val="0"/>
          <w:sz w:val="32"/>
          <w:szCs w:val="24"/>
          <w:highlight w:val="none"/>
        </w:rPr>
      </w:pPr>
      <w:bookmarkStart w:id="163" w:name="_Toc44704918"/>
      <w:bookmarkStart w:id="164" w:name="_Toc5962"/>
      <w:bookmarkStart w:id="165" w:name="_Toc44705065"/>
      <w:bookmarkStart w:id="166" w:name="_Toc9145"/>
      <w:r>
        <w:rPr>
          <w:rFonts w:ascii="宋体" w:hAnsi="宋体" w:cs="宋体"/>
          <w:bCs w:val="0"/>
          <w:sz w:val="32"/>
          <w:szCs w:val="24"/>
          <w:highlight w:val="none"/>
        </w:rPr>
        <w:t>1.7</w:t>
      </w:r>
      <w:r>
        <w:rPr>
          <w:rFonts w:hint="eastAsia" w:ascii="宋体" w:hAnsi="宋体" w:cs="宋体"/>
          <w:bCs w:val="0"/>
          <w:sz w:val="32"/>
          <w:szCs w:val="24"/>
          <w:highlight w:val="none"/>
        </w:rPr>
        <w:t>符合招标文件第二章“投标人须知前附表”</w:t>
      </w:r>
      <w:r>
        <w:rPr>
          <w:rFonts w:ascii="宋体" w:hAnsi="宋体" w:cs="宋体"/>
          <w:bCs w:val="0"/>
          <w:sz w:val="32"/>
          <w:szCs w:val="24"/>
          <w:highlight w:val="none"/>
        </w:rPr>
        <w:t>1</w:t>
      </w:r>
      <w:r>
        <w:rPr>
          <w:rFonts w:hint="eastAsia" w:ascii="宋体" w:hAnsi="宋体" w:cs="宋体"/>
          <w:bCs w:val="0"/>
          <w:sz w:val="32"/>
          <w:szCs w:val="24"/>
          <w:highlight w:val="none"/>
          <w:lang w:val="en-US" w:eastAsia="zh-CN"/>
        </w:rPr>
        <w:t>0</w:t>
      </w:r>
      <w:r>
        <w:rPr>
          <w:rFonts w:ascii="宋体" w:hAnsi="宋体" w:cs="宋体"/>
          <w:bCs w:val="0"/>
          <w:sz w:val="32"/>
          <w:szCs w:val="24"/>
          <w:highlight w:val="none"/>
        </w:rPr>
        <w:t>.1</w:t>
      </w:r>
      <w:r>
        <w:rPr>
          <w:rFonts w:hint="eastAsia" w:ascii="宋体" w:hAnsi="宋体" w:cs="宋体"/>
          <w:bCs w:val="0"/>
          <w:sz w:val="32"/>
          <w:szCs w:val="24"/>
          <w:highlight w:val="none"/>
        </w:rPr>
        <w:t>中第</w:t>
      </w:r>
      <w:r>
        <w:rPr>
          <w:rFonts w:ascii="宋体" w:hAnsi="宋体" w:cs="宋体"/>
          <w:bCs w:val="0"/>
          <w:sz w:val="32"/>
          <w:szCs w:val="24"/>
          <w:highlight w:val="none"/>
        </w:rPr>
        <w:t>3</w:t>
      </w:r>
      <w:r>
        <w:rPr>
          <w:rFonts w:hint="eastAsia" w:ascii="宋体" w:hAnsi="宋体" w:cs="宋体"/>
          <w:bCs w:val="0"/>
          <w:sz w:val="32"/>
          <w:szCs w:val="24"/>
          <w:highlight w:val="none"/>
        </w:rPr>
        <w:t>条的证明材料；</w:t>
      </w:r>
      <w:bookmarkEnd w:id="163"/>
      <w:bookmarkEnd w:id="164"/>
      <w:bookmarkEnd w:id="165"/>
      <w:bookmarkEnd w:id="166"/>
    </w:p>
    <w:p w14:paraId="57446DCD">
      <w:pPr>
        <w:pStyle w:val="5"/>
        <w:rPr>
          <w:rFonts w:ascii="宋体" w:cs="宋体"/>
          <w:bCs w:val="0"/>
          <w:sz w:val="24"/>
          <w:szCs w:val="24"/>
          <w:highlight w:val="none"/>
        </w:rPr>
      </w:pPr>
      <w:r>
        <w:rPr>
          <w:rFonts w:hint="eastAsia" w:ascii="宋体" w:hAnsi="宋体" w:cs="宋体"/>
          <w:bCs w:val="0"/>
          <w:sz w:val="32"/>
          <w:szCs w:val="24"/>
          <w:highlight w:val="none"/>
          <w:lang w:val="en-US" w:eastAsia="zh-CN"/>
        </w:rPr>
        <w:t>无（招标文件中无此项要求，投标人可不提供）</w:t>
      </w:r>
      <w:r>
        <w:rPr>
          <w:rFonts w:ascii="宋体" w:hAnsi="宋体" w:cs="宋体"/>
          <w:bCs w:val="0"/>
          <w:sz w:val="32"/>
          <w:szCs w:val="24"/>
          <w:highlight w:val="none"/>
        </w:rPr>
        <w:br w:type="page"/>
      </w:r>
      <w:bookmarkStart w:id="167" w:name="_Toc31234"/>
      <w:bookmarkStart w:id="168" w:name="_Toc1541"/>
      <w:bookmarkStart w:id="169" w:name="_Toc44705066"/>
      <w:bookmarkStart w:id="170" w:name="_Toc44704919"/>
      <w:r>
        <w:rPr>
          <w:rFonts w:ascii="宋体" w:hAnsi="宋体" w:cs="宋体"/>
          <w:bCs w:val="0"/>
          <w:sz w:val="32"/>
          <w:szCs w:val="24"/>
          <w:highlight w:val="none"/>
        </w:rPr>
        <w:t>1.8</w:t>
      </w:r>
      <w:r>
        <w:rPr>
          <w:rFonts w:hint="eastAsia" w:ascii="宋体" w:hAnsi="宋体" w:cs="宋体"/>
          <w:bCs w:val="0"/>
          <w:sz w:val="32"/>
          <w:szCs w:val="24"/>
          <w:highlight w:val="none"/>
        </w:rPr>
        <w:t>投标承诺书</w:t>
      </w:r>
      <w:bookmarkEnd w:id="167"/>
      <w:bookmarkEnd w:id="168"/>
      <w:bookmarkEnd w:id="169"/>
      <w:bookmarkEnd w:id="170"/>
    </w:p>
    <w:p w14:paraId="6965FA51">
      <w:pPr>
        <w:spacing w:line="360" w:lineRule="auto"/>
        <w:rPr>
          <w:color w:val="000000"/>
          <w:sz w:val="24"/>
          <w:szCs w:val="24"/>
          <w:highlight w:val="none"/>
        </w:rPr>
      </w:pPr>
    </w:p>
    <w:p w14:paraId="47DB0BAE">
      <w:pPr>
        <w:spacing w:line="360" w:lineRule="auto"/>
        <w:rPr>
          <w:rFonts w:hint="eastAsia" w:ascii="宋体" w:eastAsia="宋体"/>
          <w:b/>
          <w:color w:val="000000"/>
          <w:sz w:val="24"/>
          <w:szCs w:val="24"/>
          <w:highlight w:val="none"/>
          <w:lang w:eastAsia="zh-CN"/>
        </w:rPr>
      </w:pPr>
      <w:r>
        <w:rPr>
          <w:rFonts w:hint="eastAsia"/>
          <w:color w:val="000000"/>
          <w:sz w:val="24"/>
          <w:szCs w:val="24"/>
          <w:highlight w:val="none"/>
        </w:rPr>
        <w:t>致：</w:t>
      </w:r>
      <w:r>
        <w:rPr>
          <w:rFonts w:hint="eastAsia"/>
          <w:color w:val="000000"/>
          <w:sz w:val="24"/>
          <w:szCs w:val="24"/>
          <w:highlight w:val="none"/>
          <w:u w:val="single"/>
          <w:lang w:eastAsia="zh-CN"/>
        </w:rPr>
        <w:t>乌鲁木齐高新建设工程项目管理咨询有限公司</w:t>
      </w:r>
    </w:p>
    <w:p w14:paraId="6CC72932">
      <w:pPr>
        <w:spacing w:line="360" w:lineRule="auto"/>
        <w:rPr>
          <w:b/>
          <w:color w:val="000000"/>
          <w:sz w:val="24"/>
          <w:szCs w:val="24"/>
          <w:highlight w:val="none"/>
        </w:rPr>
      </w:pPr>
    </w:p>
    <w:p w14:paraId="2692141C">
      <w:pPr>
        <w:spacing w:line="360" w:lineRule="auto"/>
        <w:ind w:firstLine="480" w:firstLineChars="200"/>
        <w:rPr>
          <w:color w:val="000000"/>
          <w:sz w:val="24"/>
          <w:szCs w:val="24"/>
          <w:highlight w:val="none"/>
        </w:rPr>
      </w:pPr>
      <w:r>
        <w:rPr>
          <w:rFonts w:hint="eastAsia"/>
          <w:color w:val="000000"/>
          <w:sz w:val="24"/>
          <w:szCs w:val="24"/>
          <w:highlight w:val="none"/>
        </w:rPr>
        <w:t>我方郑重承诺：</w:t>
      </w:r>
    </w:p>
    <w:p w14:paraId="6236DED4">
      <w:pPr>
        <w:spacing w:line="360" w:lineRule="auto"/>
        <w:ind w:firstLine="480" w:firstLineChars="200"/>
        <w:rPr>
          <w:color w:val="000000"/>
          <w:sz w:val="24"/>
          <w:szCs w:val="24"/>
          <w:highlight w:val="none"/>
        </w:rPr>
      </w:pPr>
      <w:r>
        <w:rPr>
          <w:color w:val="000000"/>
          <w:sz w:val="24"/>
          <w:szCs w:val="24"/>
          <w:highlight w:val="none"/>
        </w:rPr>
        <w:t>1.</w:t>
      </w:r>
      <w:r>
        <w:rPr>
          <w:rFonts w:hint="eastAsia"/>
          <w:color w:val="000000"/>
          <w:sz w:val="24"/>
          <w:szCs w:val="24"/>
          <w:highlight w:val="none"/>
        </w:rPr>
        <w:t>我方</w:t>
      </w:r>
      <w:r>
        <w:rPr>
          <w:rFonts w:hint="eastAsia"/>
          <w:color w:val="000000"/>
          <w:sz w:val="24"/>
          <w:szCs w:val="24"/>
          <w:highlight w:val="none"/>
          <w:u w:val="single"/>
        </w:rPr>
        <w:t>（以</w:t>
      </w:r>
      <w:r>
        <w:rPr>
          <w:color w:val="000000"/>
          <w:sz w:val="24"/>
          <w:szCs w:val="24"/>
          <w:highlight w:val="none"/>
          <w:u w:val="single"/>
        </w:rPr>
        <w:t>/</w:t>
      </w:r>
      <w:r>
        <w:rPr>
          <w:rFonts w:hint="eastAsia"/>
          <w:color w:val="000000"/>
          <w:sz w:val="24"/>
          <w:szCs w:val="24"/>
          <w:highlight w:val="none"/>
          <w:u w:val="single"/>
        </w:rPr>
        <w:t>不以）</w:t>
      </w:r>
      <w:r>
        <w:rPr>
          <w:rFonts w:hint="eastAsia"/>
          <w:color w:val="000000"/>
          <w:sz w:val="24"/>
          <w:szCs w:val="24"/>
          <w:highlight w:val="none"/>
        </w:rPr>
        <w:t>联合体方式参与投标。</w:t>
      </w:r>
    </w:p>
    <w:p w14:paraId="42BE6A08">
      <w:pPr>
        <w:spacing w:line="360" w:lineRule="auto"/>
        <w:ind w:firstLine="480" w:firstLineChars="200"/>
        <w:rPr>
          <w:color w:val="000000"/>
          <w:sz w:val="24"/>
          <w:szCs w:val="24"/>
          <w:highlight w:val="none"/>
        </w:rPr>
      </w:pPr>
      <w:r>
        <w:rPr>
          <w:color w:val="000000"/>
          <w:sz w:val="24"/>
          <w:szCs w:val="24"/>
          <w:highlight w:val="none"/>
        </w:rPr>
        <w:t>2.</w:t>
      </w:r>
      <w:r>
        <w:rPr>
          <w:rFonts w:hint="eastAsia"/>
          <w:color w:val="000000"/>
          <w:sz w:val="24"/>
          <w:szCs w:val="24"/>
          <w:highlight w:val="none"/>
        </w:rPr>
        <w:t>本投标文件中提供的所有资料是真实合法的，没有不实的描述、承诺或者伪造、变造的情形。业绩证明材料中提供的甲方联系方式可供贵方随时查证合同的真实性。如果我方在本项目投标文件中提供虚假资料，本投标文件无效，同时接受终身禁止参与</w:t>
      </w:r>
      <w:r>
        <w:rPr>
          <w:rFonts w:hint="eastAsia"/>
          <w:color w:val="000000"/>
          <w:sz w:val="24"/>
          <w:szCs w:val="24"/>
          <w:highlight w:val="none"/>
          <w:u w:val="single"/>
          <w:lang w:val="en-US" w:eastAsia="zh-CN"/>
        </w:rPr>
        <w:t xml:space="preserve">     （采购人名称）     </w:t>
      </w:r>
      <w:r>
        <w:rPr>
          <w:rFonts w:hint="eastAsia"/>
          <w:color w:val="000000"/>
          <w:sz w:val="24"/>
          <w:szCs w:val="24"/>
          <w:highlight w:val="none"/>
        </w:rPr>
        <w:t>政府采购活动的处理，并承担由此带来的一切法律后果。</w:t>
      </w:r>
    </w:p>
    <w:p w14:paraId="5E94C06B">
      <w:pPr>
        <w:pStyle w:val="21"/>
        <w:rPr>
          <w:highlight w:val="none"/>
        </w:rPr>
      </w:pPr>
    </w:p>
    <w:p w14:paraId="66994139">
      <w:pPr>
        <w:spacing w:line="360" w:lineRule="auto"/>
        <w:rPr>
          <w:color w:val="000000"/>
          <w:sz w:val="24"/>
          <w:szCs w:val="24"/>
          <w:highlight w:val="none"/>
        </w:rPr>
      </w:pPr>
    </w:p>
    <w:p w14:paraId="2DCF3C97">
      <w:pPr>
        <w:spacing w:line="360" w:lineRule="auto"/>
        <w:rPr>
          <w:color w:val="000000"/>
          <w:sz w:val="24"/>
          <w:szCs w:val="24"/>
          <w:highlight w:val="none"/>
        </w:rPr>
      </w:pPr>
    </w:p>
    <w:p w14:paraId="1D4A3A06">
      <w:pPr>
        <w:spacing w:line="360" w:lineRule="auto"/>
        <w:rPr>
          <w:color w:val="000000"/>
          <w:sz w:val="24"/>
          <w:szCs w:val="24"/>
          <w:highlight w:val="none"/>
        </w:rPr>
      </w:pPr>
    </w:p>
    <w:p w14:paraId="4F42F209">
      <w:pPr>
        <w:spacing w:line="360" w:lineRule="auto"/>
        <w:rPr>
          <w:color w:val="000000"/>
          <w:sz w:val="24"/>
          <w:szCs w:val="24"/>
          <w:highlight w:val="none"/>
        </w:rPr>
      </w:pPr>
    </w:p>
    <w:p w14:paraId="4360D542">
      <w:pPr>
        <w:shd w:val="clear"/>
        <w:spacing w:line="360" w:lineRule="auto"/>
        <w:rPr>
          <w:color w:val="000000"/>
          <w:sz w:val="24"/>
          <w:szCs w:val="24"/>
          <w:highlight w:val="none"/>
        </w:rPr>
      </w:pPr>
    </w:p>
    <w:p w14:paraId="3DBE252E">
      <w:pPr>
        <w:shd w:val="clear"/>
        <w:spacing w:line="360" w:lineRule="auto"/>
        <w:ind w:firstLine="2640" w:firstLineChars="1100"/>
        <w:rPr>
          <w:rFonts w:ascii="宋体" w:cs="宋体"/>
          <w:sz w:val="24"/>
          <w:szCs w:val="24"/>
          <w:highlight w:val="none"/>
          <w:u w:val="singl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364853EE">
      <w:pPr>
        <w:shd w:val="clear"/>
        <w:spacing w:line="360" w:lineRule="auto"/>
        <w:ind w:firstLine="2640" w:firstLineChars="1100"/>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397925C0">
      <w:pPr>
        <w:pStyle w:val="21"/>
        <w:shd w:val="clear"/>
        <w:rPr>
          <w:highlight w:val="none"/>
        </w:rPr>
      </w:pPr>
    </w:p>
    <w:p w14:paraId="0E768231">
      <w:pPr>
        <w:shd w:val="clear"/>
        <w:jc w:val="right"/>
        <w:rPr>
          <w:color w:val="000000"/>
          <w:sz w:val="24"/>
          <w:szCs w:val="24"/>
          <w:highlight w:val="none"/>
        </w:rPr>
      </w:pPr>
      <w:r>
        <w:rPr>
          <w:rFonts w:hint="eastAsia"/>
          <w:color w:val="000000"/>
          <w:sz w:val="24"/>
          <w:szCs w:val="24"/>
          <w:highlight w:val="none"/>
        </w:rPr>
        <w:t>日期：</w:t>
      </w:r>
    </w:p>
    <w:p w14:paraId="7F66A9AF">
      <w:pPr>
        <w:pStyle w:val="21"/>
        <w:rPr>
          <w:highlight w:val="none"/>
        </w:rPr>
      </w:pPr>
    </w:p>
    <w:p w14:paraId="500D1888">
      <w:pPr>
        <w:widowControl/>
        <w:jc w:val="left"/>
        <w:rPr>
          <w:rFonts w:ascii="宋体" w:cs="宋体"/>
          <w:b/>
          <w:bCs/>
          <w:sz w:val="24"/>
          <w:szCs w:val="24"/>
          <w:highlight w:val="none"/>
        </w:rPr>
      </w:pPr>
      <w:r>
        <w:rPr>
          <w:rFonts w:ascii="宋体" w:cs="宋体"/>
          <w:b/>
          <w:bCs/>
          <w:sz w:val="24"/>
          <w:szCs w:val="24"/>
          <w:highlight w:val="none"/>
        </w:rPr>
        <w:br w:type="page"/>
      </w:r>
    </w:p>
    <w:p w14:paraId="6A77B9BF">
      <w:pPr>
        <w:spacing w:line="360" w:lineRule="auto"/>
        <w:jc w:val="left"/>
        <w:rPr>
          <w:rFonts w:ascii="宋体" w:cs="宋体"/>
          <w:sz w:val="36"/>
          <w:szCs w:val="36"/>
          <w:highlight w:val="none"/>
        </w:rPr>
      </w:pPr>
      <w:bookmarkStart w:id="171" w:name="_Toc44705067"/>
      <w:bookmarkStart w:id="172" w:name="_Toc44704920"/>
      <w:bookmarkStart w:id="173" w:name="_Toc3493"/>
      <w:bookmarkStart w:id="174" w:name="_Toc28970"/>
      <w:r>
        <w:rPr>
          <w:rStyle w:val="63"/>
          <w:rFonts w:hint="eastAsia" w:ascii="宋体" w:hAnsi="宋体" w:eastAsia="宋体" w:cs="宋体"/>
        </w:rPr>
        <w:t>1.9</w:t>
      </w:r>
      <w:r>
        <w:rPr>
          <w:rStyle w:val="63"/>
          <w:rFonts w:hint="eastAsia"/>
        </w:rPr>
        <w:t>投标保证金凭证（如适用）</w:t>
      </w:r>
      <w:bookmarkEnd w:id="171"/>
      <w:bookmarkEnd w:id="172"/>
      <w:bookmarkEnd w:id="173"/>
      <w:bookmarkEnd w:id="174"/>
      <w:r>
        <w:rPr>
          <w:rFonts w:ascii="宋体" w:cs="宋体"/>
          <w:sz w:val="36"/>
          <w:szCs w:val="36"/>
          <w:highlight w:val="none"/>
        </w:rPr>
        <w:br w:type="page"/>
      </w:r>
    </w:p>
    <w:p w14:paraId="09F87BAA">
      <w:pPr>
        <w:pStyle w:val="5"/>
        <w:bidi w:val="0"/>
        <w:rPr>
          <w:rFonts w:hint="eastAsia" w:ascii="宋体" w:hAnsi="宋体" w:eastAsia="宋体" w:cs="宋体"/>
          <w:sz w:val="32"/>
          <w:szCs w:val="32"/>
        </w:rPr>
      </w:pPr>
      <w:bookmarkStart w:id="175" w:name="_Toc6279"/>
      <w:bookmarkStart w:id="176" w:name="_Toc1231"/>
      <w:r>
        <w:rPr>
          <w:rFonts w:hint="eastAsia" w:ascii="宋体" w:hAnsi="宋体" w:eastAsia="宋体" w:cs="宋体"/>
          <w:sz w:val="32"/>
          <w:szCs w:val="32"/>
          <w:lang w:val="en-US" w:eastAsia="zh-CN"/>
        </w:rPr>
        <w:t>1.10</w:t>
      </w:r>
      <w:r>
        <w:rPr>
          <w:rFonts w:hint="eastAsia" w:ascii="宋体" w:hAnsi="宋体" w:eastAsia="宋体" w:cs="宋体"/>
          <w:sz w:val="32"/>
          <w:szCs w:val="32"/>
        </w:rPr>
        <w:t>中小企业声明函</w:t>
      </w:r>
      <w:bookmarkEnd w:id="175"/>
      <w:bookmarkEnd w:id="176"/>
    </w:p>
    <w:p w14:paraId="2814620B">
      <w:pPr>
        <w:spacing w:line="360" w:lineRule="auto"/>
        <w:jc w:val="center"/>
        <w:rPr>
          <w:rFonts w:hint="eastAsia" w:ascii="宋体" w:hAnsi="宋体" w:cs="宋体"/>
          <w:b/>
          <w:spacing w:val="6"/>
          <w:sz w:val="24"/>
          <w:highlight w:val="none"/>
          <w:shd w:val="clear" w:color="auto" w:fill="FFFFFF"/>
        </w:rPr>
      </w:pPr>
    </w:p>
    <w:p w14:paraId="1E2F7FEB">
      <w:pPr>
        <w:spacing w:line="360" w:lineRule="auto"/>
        <w:jc w:val="center"/>
        <w:rPr>
          <w:rFonts w:hint="eastAsia" w:ascii="宋体" w:hAnsi="宋体" w:cs="宋体"/>
          <w:b/>
          <w:spacing w:val="6"/>
          <w:sz w:val="24"/>
          <w:highlight w:val="none"/>
          <w:shd w:val="clear" w:color="auto" w:fill="FFFFFF"/>
        </w:rPr>
      </w:pPr>
      <w:r>
        <w:rPr>
          <w:rFonts w:hint="eastAsia" w:ascii="宋体" w:hAnsi="宋体" w:cs="宋体"/>
          <w:b/>
          <w:spacing w:val="6"/>
          <w:sz w:val="24"/>
          <w:highlight w:val="none"/>
          <w:shd w:val="clear" w:color="auto" w:fill="FFFFFF"/>
        </w:rPr>
        <w:t>中小企业声明函（货物）</w:t>
      </w:r>
    </w:p>
    <w:p w14:paraId="7986F9DF">
      <w:pPr>
        <w:pStyle w:val="60"/>
      </w:pPr>
    </w:p>
    <w:p w14:paraId="31F062B4">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本公司（联合体）郑重声明，根据《政府采购促进中小企业发展管理办法》（财库﹝2020﹞46 号）的规定，本公司（联合体）参加</w:t>
      </w:r>
      <w:r>
        <w:rPr>
          <w:rFonts w:hint="eastAsia" w:ascii="宋体" w:hAnsi="宋体" w:cs="宋体"/>
          <w:spacing w:val="6"/>
          <w:sz w:val="24"/>
          <w:highlight w:val="none"/>
          <w:u w:val="single"/>
          <w:shd w:val="clear" w:color="auto" w:fill="FFFFFF"/>
        </w:rPr>
        <w:t>（单位名称）</w:t>
      </w:r>
      <w:r>
        <w:rPr>
          <w:rFonts w:hint="eastAsia" w:ascii="宋体" w:hAnsi="宋体" w:cs="宋体"/>
          <w:spacing w:val="6"/>
          <w:sz w:val="24"/>
          <w:highlight w:val="none"/>
          <w:shd w:val="clear" w:color="auto" w:fill="FFFFFF"/>
        </w:rPr>
        <w:t>的</w:t>
      </w:r>
      <w:r>
        <w:rPr>
          <w:rFonts w:hint="eastAsia" w:ascii="宋体" w:hAnsi="宋体" w:cs="宋体"/>
          <w:spacing w:val="6"/>
          <w:sz w:val="24"/>
          <w:highlight w:val="none"/>
          <w:u w:val="single"/>
          <w:shd w:val="clear" w:color="auto" w:fill="FFFFFF"/>
        </w:rPr>
        <w:t>（</w:t>
      </w:r>
      <w:r>
        <w:rPr>
          <w:rFonts w:hint="eastAsia" w:ascii="宋体" w:hAnsi="宋体" w:cs="宋体"/>
          <w:spacing w:val="6"/>
          <w:sz w:val="24"/>
          <w:highlight w:val="none"/>
          <w:u w:val="single"/>
          <w:shd w:val="clear" w:color="auto" w:fill="FFFFFF"/>
          <w:lang w:eastAsia="zh-CN"/>
        </w:rPr>
        <w:t>标项名称</w:t>
      </w:r>
      <w:r>
        <w:rPr>
          <w:rFonts w:hint="eastAsia" w:ascii="宋体" w:hAnsi="宋体" w:cs="宋体"/>
          <w:spacing w:val="6"/>
          <w:sz w:val="24"/>
          <w:highlight w:val="none"/>
          <w:u w:val="single"/>
          <w:shd w:val="clear" w:color="auto" w:fill="FFFFFF"/>
        </w:rPr>
        <w:t>）</w:t>
      </w:r>
      <w:r>
        <w:rPr>
          <w:rFonts w:hint="eastAsia" w:ascii="宋体" w:hAnsi="宋体" w:cs="宋体"/>
          <w:spacing w:val="6"/>
          <w:sz w:val="24"/>
          <w:highlight w:val="none"/>
          <w:shd w:val="clear" w:color="auto" w:fill="FFFFFF"/>
        </w:rPr>
        <w:t>采购活动，提供的货物全部由符合政策要求的中小企业制造。相关企业（含联合体中的中小企业、签订分包意向协议的中小企业）的具体情况如下：</w:t>
      </w:r>
    </w:p>
    <w:p w14:paraId="6E47B413">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1.</w:t>
      </w:r>
      <w:r>
        <w:rPr>
          <w:rFonts w:hint="eastAsia" w:ascii="宋体" w:hAnsi="宋体" w:cs="宋体"/>
          <w:spacing w:val="6"/>
          <w:sz w:val="24"/>
          <w:highlight w:val="none"/>
          <w:u w:val="single"/>
          <w:shd w:val="clear" w:color="auto" w:fill="FFFFFF"/>
        </w:rPr>
        <w:t>（标的名称）</w:t>
      </w:r>
      <w:r>
        <w:rPr>
          <w:rFonts w:hint="eastAsia" w:ascii="宋体" w:hAnsi="宋体" w:cs="宋体"/>
          <w:spacing w:val="6"/>
          <w:sz w:val="24"/>
          <w:highlight w:val="none"/>
          <w:shd w:val="clear" w:color="auto" w:fill="FFFFFF"/>
        </w:rPr>
        <w:t>，属于</w:t>
      </w:r>
      <w:r>
        <w:rPr>
          <w:rFonts w:hint="eastAsia" w:ascii="宋体" w:hAnsi="宋体" w:cs="宋体"/>
          <w:spacing w:val="6"/>
          <w:sz w:val="24"/>
          <w:highlight w:val="none"/>
          <w:u w:val="single"/>
          <w:shd w:val="clear" w:color="auto" w:fill="FFFFFF"/>
        </w:rPr>
        <w:t>（采购文件中明确的所属行业）</w:t>
      </w:r>
      <w:r>
        <w:rPr>
          <w:rFonts w:hint="eastAsia" w:ascii="宋体" w:hAnsi="宋体" w:cs="宋体"/>
          <w:spacing w:val="6"/>
          <w:sz w:val="24"/>
          <w:highlight w:val="none"/>
          <w:shd w:val="clear" w:color="auto" w:fill="FFFFFF"/>
        </w:rPr>
        <w:t>行业；制造商为</w:t>
      </w:r>
      <w:r>
        <w:rPr>
          <w:rFonts w:hint="eastAsia" w:ascii="宋体" w:hAnsi="宋体" w:cs="宋体"/>
          <w:spacing w:val="6"/>
          <w:sz w:val="24"/>
          <w:highlight w:val="none"/>
          <w:u w:val="single"/>
          <w:shd w:val="clear" w:color="auto" w:fill="FFFFFF"/>
        </w:rPr>
        <w:t>（企业名称）</w:t>
      </w:r>
      <w:r>
        <w:rPr>
          <w:rFonts w:hint="eastAsia" w:ascii="宋体" w:hAnsi="宋体" w:cs="宋体"/>
          <w:spacing w:val="6"/>
          <w:sz w:val="24"/>
          <w:highlight w:val="none"/>
          <w:shd w:val="clear" w:color="auto" w:fill="FFFFFF"/>
        </w:rPr>
        <w:t>，从业人员</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人，营业收入为</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万元，资产总额为</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万元，属于</w:t>
      </w:r>
      <w:r>
        <w:rPr>
          <w:rFonts w:hint="eastAsia" w:ascii="宋体" w:hAnsi="宋体" w:cs="宋体"/>
          <w:spacing w:val="6"/>
          <w:sz w:val="24"/>
          <w:highlight w:val="none"/>
          <w:u w:val="single"/>
          <w:shd w:val="clear" w:color="auto" w:fill="FFFFFF"/>
        </w:rPr>
        <w:t>（中型企业、小型企业、微型企业）</w:t>
      </w:r>
      <w:r>
        <w:rPr>
          <w:rFonts w:hint="eastAsia" w:ascii="宋体" w:hAnsi="宋体" w:cs="宋体"/>
          <w:spacing w:val="6"/>
          <w:sz w:val="24"/>
          <w:highlight w:val="none"/>
          <w:shd w:val="clear" w:color="auto" w:fill="FFFFFF"/>
        </w:rPr>
        <w:t>；</w:t>
      </w:r>
    </w:p>
    <w:p w14:paraId="2F67F7EE">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2.</w:t>
      </w:r>
      <w:r>
        <w:rPr>
          <w:rFonts w:hint="eastAsia" w:ascii="宋体" w:hAnsi="宋体" w:cs="宋体"/>
          <w:spacing w:val="6"/>
          <w:sz w:val="24"/>
          <w:highlight w:val="none"/>
          <w:u w:val="single"/>
          <w:shd w:val="clear" w:color="auto" w:fill="FFFFFF"/>
        </w:rPr>
        <w:t>（标的名称）</w:t>
      </w:r>
      <w:r>
        <w:rPr>
          <w:rFonts w:hint="eastAsia" w:ascii="宋体" w:hAnsi="宋体" w:cs="宋体"/>
          <w:spacing w:val="6"/>
          <w:sz w:val="24"/>
          <w:highlight w:val="none"/>
          <w:shd w:val="clear" w:color="auto" w:fill="FFFFFF"/>
        </w:rPr>
        <w:t>，属于</w:t>
      </w:r>
      <w:r>
        <w:rPr>
          <w:rFonts w:hint="eastAsia" w:ascii="宋体" w:hAnsi="宋体" w:cs="宋体"/>
          <w:spacing w:val="6"/>
          <w:sz w:val="24"/>
          <w:highlight w:val="none"/>
          <w:u w:val="single"/>
          <w:shd w:val="clear" w:color="auto" w:fill="FFFFFF"/>
        </w:rPr>
        <w:t>（采购文件中明确的所属行业）</w:t>
      </w:r>
      <w:r>
        <w:rPr>
          <w:rFonts w:hint="eastAsia" w:ascii="宋体" w:hAnsi="宋体" w:cs="宋体"/>
          <w:spacing w:val="6"/>
          <w:sz w:val="24"/>
          <w:highlight w:val="none"/>
          <w:shd w:val="clear" w:color="auto" w:fill="FFFFFF"/>
        </w:rPr>
        <w:t>行业；制造商为</w:t>
      </w:r>
      <w:r>
        <w:rPr>
          <w:rFonts w:hint="eastAsia" w:ascii="宋体" w:hAnsi="宋体" w:cs="宋体"/>
          <w:spacing w:val="6"/>
          <w:sz w:val="24"/>
          <w:highlight w:val="none"/>
          <w:u w:val="single"/>
          <w:shd w:val="clear" w:color="auto" w:fill="FFFFFF"/>
        </w:rPr>
        <w:t>（企业名称）</w:t>
      </w:r>
      <w:r>
        <w:rPr>
          <w:rFonts w:hint="eastAsia" w:ascii="宋体" w:hAnsi="宋体" w:cs="宋体"/>
          <w:spacing w:val="6"/>
          <w:sz w:val="24"/>
          <w:highlight w:val="none"/>
          <w:shd w:val="clear" w:color="auto" w:fill="FFFFFF"/>
        </w:rPr>
        <w:t>，从业人员</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人，营业收入为</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万元，资产总额为</w:t>
      </w:r>
      <w:r>
        <w:rPr>
          <w:rFonts w:hint="eastAsia" w:ascii="宋体" w:hAnsi="宋体" w:cs="宋体"/>
          <w:spacing w:val="6"/>
          <w:sz w:val="24"/>
          <w:highlight w:val="none"/>
          <w:u w:val="single"/>
          <w:shd w:val="clear" w:color="auto" w:fill="FFFFFF"/>
        </w:rPr>
        <w:t xml:space="preserve">     </w:t>
      </w:r>
      <w:r>
        <w:rPr>
          <w:rFonts w:hint="eastAsia" w:ascii="宋体" w:hAnsi="宋体" w:cs="宋体"/>
          <w:spacing w:val="6"/>
          <w:sz w:val="24"/>
          <w:highlight w:val="none"/>
          <w:shd w:val="clear" w:color="auto" w:fill="FFFFFF"/>
        </w:rPr>
        <w:t>万元，属于</w:t>
      </w:r>
      <w:r>
        <w:rPr>
          <w:rFonts w:hint="eastAsia" w:ascii="宋体" w:hAnsi="宋体" w:cs="宋体"/>
          <w:spacing w:val="6"/>
          <w:sz w:val="24"/>
          <w:highlight w:val="none"/>
          <w:u w:val="single"/>
          <w:shd w:val="clear" w:color="auto" w:fill="FFFFFF"/>
        </w:rPr>
        <w:t>（中型企业、小型企业、微型企业）</w:t>
      </w:r>
      <w:r>
        <w:rPr>
          <w:rFonts w:hint="eastAsia" w:ascii="宋体" w:hAnsi="宋体" w:cs="宋体"/>
          <w:spacing w:val="6"/>
          <w:sz w:val="24"/>
          <w:highlight w:val="none"/>
          <w:shd w:val="clear" w:color="auto" w:fill="FFFFFF"/>
        </w:rPr>
        <w:t>；</w:t>
      </w:r>
    </w:p>
    <w:p w14:paraId="368E9903">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w:t>
      </w:r>
    </w:p>
    <w:p w14:paraId="20C0BF62">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以上企业，不属于大企业的分支机构，不存在控股股东为大企业的情形，也不存在与大企业的负责人为同一人的情形。</w:t>
      </w:r>
    </w:p>
    <w:p w14:paraId="3FC7ABE4">
      <w:pPr>
        <w:spacing w:line="360" w:lineRule="auto"/>
        <w:ind w:firstLine="504" w:firstLineChars="200"/>
        <w:rPr>
          <w:rFonts w:ascii="宋体" w:hAnsi="宋体" w:cs="宋体"/>
          <w:spacing w:val="6"/>
          <w:sz w:val="24"/>
          <w:highlight w:val="none"/>
          <w:shd w:val="clear" w:color="auto" w:fill="FFFFFF"/>
        </w:rPr>
      </w:pPr>
      <w:r>
        <w:rPr>
          <w:rFonts w:hint="eastAsia" w:ascii="宋体" w:hAnsi="宋体" w:cs="宋体"/>
          <w:spacing w:val="6"/>
          <w:sz w:val="24"/>
          <w:highlight w:val="none"/>
          <w:shd w:val="clear" w:color="auto" w:fill="FFFFFF"/>
        </w:rPr>
        <w:t>本企业对上述声明内容的真实性负责。如有虚假，将依法承担相应责任。</w:t>
      </w:r>
    </w:p>
    <w:p w14:paraId="1DA51EC4">
      <w:pPr>
        <w:tabs>
          <w:tab w:val="left" w:pos="4860"/>
        </w:tabs>
        <w:spacing w:line="360" w:lineRule="auto"/>
        <w:ind w:right="1560" w:firstLine="504" w:firstLineChars="200"/>
        <w:jc w:val="center"/>
        <w:rPr>
          <w:rFonts w:ascii="宋体" w:hAnsi="宋体" w:cs="宋体"/>
          <w:spacing w:val="6"/>
          <w:sz w:val="24"/>
          <w:highlight w:val="none"/>
          <w:shd w:val="clear" w:color="auto" w:fill="FFFFFF"/>
        </w:rPr>
      </w:pPr>
    </w:p>
    <w:p w14:paraId="7088295F">
      <w:pPr>
        <w:pStyle w:val="5"/>
        <w:ind w:left="210" w:leftChars="100" w:firstLine="240" w:firstLineChars="100"/>
        <w:rPr>
          <w:rFonts w:ascii="宋体" w:hAnsi="宋体"/>
          <w:b w:val="0"/>
          <w:bCs w:val="0"/>
          <w:sz w:val="24"/>
          <w:szCs w:val="24"/>
          <w:highlight w:val="none"/>
        </w:rPr>
      </w:pPr>
      <w:bookmarkStart w:id="177" w:name="_Toc31474"/>
      <w:bookmarkStart w:id="178" w:name="_Toc26897"/>
      <w:r>
        <w:rPr>
          <w:rFonts w:hint="eastAsia" w:ascii="宋体" w:hAnsi="宋体"/>
          <w:b w:val="0"/>
          <w:bCs w:val="0"/>
          <w:sz w:val="24"/>
          <w:szCs w:val="24"/>
          <w:highlight w:val="none"/>
        </w:rPr>
        <w:t>。</w:t>
      </w:r>
      <w:bookmarkEnd w:id="177"/>
      <w:bookmarkEnd w:id="178"/>
    </w:p>
    <w:p w14:paraId="100D8750">
      <w:pPr>
        <w:pStyle w:val="5"/>
        <w:rPr>
          <w:rFonts w:ascii="宋体" w:hAnsi="宋体"/>
          <w:b w:val="0"/>
          <w:bCs w:val="0"/>
          <w:sz w:val="24"/>
          <w:szCs w:val="24"/>
          <w:highlight w:val="none"/>
        </w:rPr>
      </w:pPr>
      <w:r>
        <w:rPr>
          <w:rFonts w:hint="eastAsia" w:ascii="宋体" w:hAnsi="宋体"/>
          <w:b w:val="0"/>
          <w:bCs w:val="0"/>
          <w:sz w:val="24"/>
          <w:szCs w:val="24"/>
          <w:highlight w:val="none"/>
        </w:rPr>
        <w:t xml:space="preserve">                                     </w:t>
      </w:r>
      <w:bookmarkStart w:id="179" w:name="_Toc3373"/>
      <w:bookmarkStart w:id="180" w:name="_Toc17257"/>
      <w:r>
        <w:rPr>
          <w:rFonts w:hint="eastAsia" w:ascii="宋体" w:hAnsi="宋体"/>
          <w:b w:val="0"/>
          <w:bCs w:val="0"/>
          <w:sz w:val="24"/>
          <w:szCs w:val="24"/>
          <w:highlight w:val="none"/>
        </w:rPr>
        <w:t>企业名称（盖章）：</w:t>
      </w:r>
      <w:bookmarkEnd w:id="179"/>
      <w:bookmarkEnd w:id="180"/>
    </w:p>
    <w:p w14:paraId="53DC8FB7">
      <w:pPr>
        <w:pStyle w:val="5"/>
        <w:rPr>
          <w:rFonts w:ascii="宋体" w:hAnsi="宋体"/>
          <w:b w:val="0"/>
          <w:bCs w:val="0"/>
          <w:sz w:val="24"/>
          <w:szCs w:val="24"/>
          <w:highlight w:val="none"/>
        </w:rPr>
      </w:pPr>
      <w:r>
        <w:rPr>
          <w:rFonts w:hint="eastAsia" w:ascii="宋体" w:hAnsi="宋体"/>
          <w:b w:val="0"/>
          <w:bCs w:val="0"/>
          <w:sz w:val="24"/>
          <w:szCs w:val="24"/>
          <w:highlight w:val="none"/>
        </w:rPr>
        <w:t xml:space="preserve">                                      </w:t>
      </w:r>
      <w:bookmarkStart w:id="181" w:name="_Toc12541"/>
      <w:bookmarkStart w:id="182" w:name="_Toc8692"/>
      <w:r>
        <w:rPr>
          <w:rFonts w:hint="eastAsia" w:ascii="宋体" w:hAnsi="宋体"/>
          <w:b w:val="0"/>
          <w:bCs w:val="0"/>
          <w:sz w:val="24"/>
          <w:szCs w:val="24"/>
          <w:highlight w:val="none"/>
        </w:rPr>
        <w:t>日 期：</w:t>
      </w:r>
      <w:bookmarkEnd w:id="181"/>
      <w:bookmarkEnd w:id="182"/>
    </w:p>
    <w:p w14:paraId="4CA648FC">
      <w:pPr>
        <w:pStyle w:val="5"/>
        <w:spacing w:line="360" w:lineRule="auto"/>
        <w:ind w:firstLine="480" w:firstLineChars="200"/>
        <w:rPr>
          <w:rFonts w:ascii="宋体" w:hAnsi="宋体"/>
          <w:b w:val="0"/>
          <w:bCs w:val="0"/>
          <w:sz w:val="24"/>
          <w:szCs w:val="24"/>
          <w:highlight w:val="none"/>
        </w:rPr>
      </w:pPr>
    </w:p>
    <w:p w14:paraId="498E8C9B">
      <w:pPr>
        <w:pStyle w:val="5"/>
        <w:spacing w:line="360" w:lineRule="auto"/>
        <w:ind w:firstLine="480" w:firstLineChars="200"/>
        <w:rPr>
          <w:rFonts w:ascii="宋体" w:hAnsi="宋体"/>
          <w:b w:val="0"/>
          <w:bCs w:val="0"/>
          <w:sz w:val="24"/>
          <w:szCs w:val="24"/>
          <w:highlight w:val="none"/>
        </w:rPr>
      </w:pPr>
    </w:p>
    <w:p w14:paraId="1E18F126">
      <w:pPr>
        <w:pStyle w:val="5"/>
        <w:spacing w:line="360" w:lineRule="auto"/>
        <w:ind w:firstLine="482" w:firstLineChars="200"/>
        <w:rPr>
          <w:rFonts w:ascii="宋体" w:hAnsi="宋体"/>
          <w:bCs w:val="0"/>
          <w:sz w:val="24"/>
          <w:szCs w:val="24"/>
          <w:highlight w:val="none"/>
        </w:rPr>
      </w:pPr>
      <w:bookmarkStart w:id="183" w:name="_Toc22886"/>
      <w:bookmarkStart w:id="184" w:name="_Toc31897"/>
      <w:r>
        <w:rPr>
          <w:rFonts w:hint="eastAsia" w:ascii="宋体" w:hAnsi="宋体"/>
          <w:bCs w:val="0"/>
          <w:sz w:val="24"/>
          <w:szCs w:val="24"/>
          <w:highlight w:val="none"/>
        </w:rPr>
        <w:t>注：从业人员、营业收入、资产总额填报上一年度数据，无上度数据的新成立企业可不填报</w:t>
      </w:r>
      <w:bookmarkEnd w:id="183"/>
      <w:bookmarkEnd w:id="184"/>
    </w:p>
    <w:p w14:paraId="3395D714">
      <w:pPr>
        <w:rPr>
          <w:rFonts w:ascii="宋体" w:cs="宋体"/>
          <w:sz w:val="36"/>
          <w:szCs w:val="36"/>
          <w:highlight w:val="none"/>
        </w:rPr>
      </w:pPr>
      <w:r>
        <w:rPr>
          <w:rFonts w:ascii="宋体" w:cs="宋体"/>
          <w:sz w:val="36"/>
          <w:szCs w:val="36"/>
          <w:highlight w:val="none"/>
        </w:rPr>
        <w:br w:type="page"/>
      </w:r>
    </w:p>
    <w:p w14:paraId="14F77F04"/>
    <w:p w14:paraId="48159D22">
      <w:pPr>
        <w:pStyle w:val="21"/>
        <w:rPr>
          <w:highlight w:val="none"/>
        </w:rPr>
      </w:pPr>
    </w:p>
    <w:p w14:paraId="42FB72A3">
      <w:pPr>
        <w:rPr>
          <w:highlight w:val="none"/>
        </w:rPr>
      </w:pPr>
      <w:bookmarkStart w:id="185" w:name="_Toc14776856"/>
      <w:bookmarkStart w:id="186" w:name="_Toc2512006"/>
      <w:bookmarkStart w:id="187" w:name="_Toc44704921"/>
      <w:bookmarkStart w:id="188" w:name="_Toc44705068"/>
      <w:bookmarkStart w:id="189" w:name="_Toc2355264"/>
      <w:bookmarkStart w:id="190" w:name="_Toc497167411"/>
    </w:p>
    <w:p w14:paraId="0786867A">
      <w:pPr>
        <w:rPr>
          <w:highlight w:val="none"/>
        </w:rPr>
      </w:pPr>
    </w:p>
    <w:p w14:paraId="546D7DC0">
      <w:pPr>
        <w:pStyle w:val="21"/>
        <w:rPr>
          <w:highlight w:val="none"/>
        </w:rPr>
      </w:pPr>
    </w:p>
    <w:p w14:paraId="07A7A8DD">
      <w:pPr>
        <w:pStyle w:val="21"/>
        <w:rPr>
          <w:highlight w:val="none"/>
        </w:rPr>
      </w:pPr>
    </w:p>
    <w:p w14:paraId="4A2189E1">
      <w:pPr>
        <w:pStyle w:val="21"/>
        <w:rPr>
          <w:highlight w:val="none"/>
        </w:rPr>
      </w:pPr>
    </w:p>
    <w:p w14:paraId="39C51F40">
      <w:pPr>
        <w:pStyle w:val="21"/>
        <w:rPr>
          <w:highlight w:val="none"/>
        </w:rPr>
      </w:pPr>
    </w:p>
    <w:p w14:paraId="6FA5A824">
      <w:pPr>
        <w:pStyle w:val="21"/>
        <w:rPr>
          <w:highlight w:val="none"/>
        </w:rPr>
      </w:pPr>
    </w:p>
    <w:p w14:paraId="60862548">
      <w:pPr>
        <w:pStyle w:val="4"/>
        <w:jc w:val="center"/>
        <w:rPr>
          <w:rFonts w:ascii="宋体" w:hAnsi="宋体" w:eastAsia="宋体"/>
          <w:sz w:val="36"/>
          <w:szCs w:val="44"/>
          <w:highlight w:val="none"/>
        </w:rPr>
      </w:pPr>
      <w:bookmarkStart w:id="191" w:name="_Toc2348"/>
      <w:bookmarkStart w:id="192" w:name="_Toc32297"/>
      <w:r>
        <w:rPr>
          <w:rFonts w:hint="eastAsia" w:ascii="宋体" w:hAnsi="宋体" w:eastAsia="宋体"/>
          <w:sz w:val="36"/>
          <w:szCs w:val="44"/>
          <w:highlight w:val="none"/>
        </w:rPr>
        <w:t>投标文件</w:t>
      </w:r>
      <w:bookmarkEnd w:id="185"/>
      <w:bookmarkEnd w:id="191"/>
      <w:bookmarkEnd w:id="192"/>
    </w:p>
    <w:bookmarkEnd w:id="186"/>
    <w:bookmarkEnd w:id="187"/>
    <w:bookmarkEnd w:id="188"/>
    <w:bookmarkEnd w:id="189"/>
    <w:bookmarkEnd w:id="190"/>
    <w:p w14:paraId="676436EA">
      <w:pPr>
        <w:jc w:val="center"/>
        <w:rPr>
          <w:sz w:val="32"/>
          <w:highlight w:val="none"/>
        </w:rPr>
      </w:pPr>
    </w:p>
    <w:p w14:paraId="4A310A2D">
      <w:pPr>
        <w:widowControl/>
        <w:spacing w:line="360" w:lineRule="auto"/>
        <w:jc w:val="center"/>
        <w:rPr>
          <w:rFonts w:ascii="宋体" w:cs="宋体"/>
          <w:b/>
          <w:sz w:val="44"/>
          <w:szCs w:val="44"/>
          <w:highlight w:val="none"/>
        </w:rPr>
      </w:pPr>
      <w:r>
        <w:rPr>
          <w:rFonts w:ascii="宋体" w:cs="宋体"/>
          <w:b/>
          <w:sz w:val="44"/>
          <w:szCs w:val="44"/>
          <w:highlight w:val="none"/>
        </w:rPr>
        <w:br w:type="page"/>
      </w:r>
    </w:p>
    <w:p w14:paraId="5D6F7709">
      <w:pPr>
        <w:spacing w:line="360" w:lineRule="auto"/>
        <w:rPr>
          <w:rFonts w:ascii="宋体" w:cs="宋体"/>
          <w:sz w:val="28"/>
          <w:highlight w:val="none"/>
        </w:rPr>
      </w:pPr>
      <w:r>
        <w:rPr>
          <w:rFonts w:hint="eastAsia" w:ascii="宋体" w:hAnsi="宋体" w:cs="宋体"/>
          <w:b/>
          <w:sz w:val="24"/>
          <w:szCs w:val="24"/>
          <w:highlight w:val="none"/>
        </w:rPr>
        <w:t>投标文件封面格式</w:t>
      </w:r>
    </w:p>
    <w:p w14:paraId="6EB409DE">
      <w:pPr>
        <w:spacing w:line="360" w:lineRule="auto"/>
        <w:jc w:val="center"/>
        <w:rPr>
          <w:rFonts w:ascii="宋体" w:cs="宋体"/>
          <w:b/>
          <w:sz w:val="96"/>
          <w:highlight w:val="none"/>
        </w:rPr>
      </w:pPr>
    </w:p>
    <w:p w14:paraId="4B7A385C">
      <w:pPr>
        <w:spacing w:line="360" w:lineRule="auto"/>
        <w:jc w:val="center"/>
        <w:rPr>
          <w:rFonts w:ascii="宋体" w:cs="宋体"/>
          <w:b/>
          <w:sz w:val="80"/>
          <w:szCs w:val="80"/>
          <w:highlight w:val="none"/>
        </w:rPr>
      </w:pPr>
      <w:r>
        <w:rPr>
          <w:rFonts w:hint="eastAsia" w:ascii="宋体" w:hAnsi="宋体" w:cs="宋体"/>
          <w:b/>
          <w:sz w:val="80"/>
          <w:szCs w:val="80"/>
          <w:highlight w:val="none"/>
        </w:rPr>
        <w:t>（</w:t>
      </w:r>
      <w:r>
        <w:rPr>
          <w:rFonts w:hint="eastAsia" w:ascii="宋体" w:hAnsi="宋体" w:cs="宋体"/>
          <w:b/>
          <w:sz w:val="80"/>
          <w:szCs w:val="80"/>
          <w:highlight w:val="none"/>
          <w:lang w:eastAsia="zh-CN"/>
        </w:rPr>
        <w:t>标项名称</w:t>
      </w:r>
      <w:r>
        <w:rPr>
          <w:rFonts w:hint="eastAsia" w:ascii="宋体" w:hAnsi="宋体" w:cs="宋体"/>
          <w:b/>
          <w:sz w:val="80"/>
          <w:szCs w:val="80"/>
          <w:highlight w:val="none"/>
        </w:rPr>
        <w:t>）</w:t>
      </w:r>
    </w:p>
    <w:p w14:paraId="5D8147AB">
      <w:pPr>
        <w:spacing w:line="360" w:lineRule="auto"/>
        <w:jc w:val="center"/>
        <w:rPr>
          <w:rFonts w:ascii="宋体" w:cs="宋体"/>
          <w:b/>
          <w:sz w:val="80"/>
          <w:szCs w:val="80"/>
          <w:highlight w:val="none"/>
        </w:rPr>
      </w:pPr>
    </w:p>
    <w:p w14:paraId="412BE789">
      <w:pPr>
        <w:spacing w:line="360" w:lineRule="auto"/>
        <w:jc w:val="center"/>
        <w:rPr>
          <w:rFonts w:ascii="宋体" w:cs="宋体"/>
          <w:b/>
          <w:sz w:val="96"/>
          <w:highlight w:val="none"/>
        </w:rPr>
      </w:pPr>
      <w:r>
        <w:rPr>
          <w:rFonts w:hint="eastAsia" w:ascii="宋体" w:hAnsi="宋体" w:cs="宋体"/>
          <w:b/>
          <w:sz w:val="96"/>
          <w:highlight w:val="none"/>
        </w:rPr>
        <w:t>投标文件</w:t>
      </w:r>
    </w:p>
    <w:p w14:paraId="797F1321">
      <w:pPr>
        <w:spacing w:line="360" w:lineRule="auto"/>
        <w:rPr>
          <w:rFonts w:ascii="宋体" w:cs="宋体"/>
          <w:b/>
          <w:highlight w:val="none"/>
        </w:rPr>
      </w:pPr>
    </w:p>
    <w:p w14:paraId="7DF644D7">
      <w:pPr>
        <w:spacing w:line="360" w:lineRule="auto"/>
        <w:jc w:val="center"/>
        <w:rPr>
          <w:rFonts w:ascii="宋体" w:cs="宋体"/>
          <w:b/>
          <w:highlight w:val="none"/>
        </w:rPr>
      </w:pPr>
    </w:p>
    <w:p w14:paraId="6A06A8D0">
      <w:pPr>
        <w:spacing w:line="360" w:lineRule="auto"/>
        <w:jc w:val="center"/>
        <w:rPr>
          <w:rFonts w:ascii="宋体" w:cs="宋体"/>
          <w:b/>
          <w:highlight w:val="none"/>
        </w:rPr>
      </w:pPr>
    </w:p>
    <w:p w14:paraId="458EF210">
      <w:pPr>
        <w:spacing w:line="360" w:lineRule="auto"/>
        <w:jc w:val="center"/>
        <w:rPr>
          <w:rFonts w:ascii="宋体" w:cs="宋体"/>
          <w:b/>
          <w:highlight w:val="none"/>
        </w:rPr>
      </w:pPr>
    </w:p>
    <w:p w14:paraId="31AC4514">
      <w:pPr>
        <w:spacing w:line="360" w:lineRule="auto"/>
        <w:jc w:val="center"/>
        <w:rPr>
          <w:rFonts w:ascii="宋体" w:cs="宋体"/>
          <w:b/>
          <w:highlight w:val="none"/>
        </w:rPr>
      </w:pPr>
    </w:p>
    <w:p w14:paraId="7C99AB32">
      <w:pPr>
        <w:spacing w:line="360" w:lineRule="auto"/>
        <w:rPr>
          <w:rFonts w:ascii="宋体" w:cs="宋体"/>
          <w:b/>
          <w:sz w:val="36"/>
          <w:szCs w:val="36"/>
          <w:highlight w:val="none"/>
        </w:rPr>
      </w:pPr>
      <w:r>
        <w:rPr>
          <w:rFonts w:hint="eastAsia" w:ascii="宋体" w:hAnsi="宋体" w:cs="宋体"/>
          <w:b/>
          <w:sz w:val="36"/>
          <w:szCs w:val="36"/>
          <w:highlight w:val="none"/>
        </w:rPr>
        <w:t>招标编号：</w:t>
      </w:r>
    </w:p>
    <w:p w14:paraId="792C5E7E">
      <w:pPr>
        <w:spacing w:line="360" w:lineRule="auto"/>
        <w:ind w:left="2992" w:hanging="2631"/>
        <w:rPr>
          <w:rFonts w:ascii="宋体" w:cs="宋体"/>
          <w:b/>
          <w:sz w:val="36"/>
          <w:szCs w:val="36"/>
          <w:highlight w:val="none"/>
        </w:rPr>
      </w:pPr>
    </w:p>
    <w:p w14:paraId="5A76670C">
      <w:pPr>
        <w:spacing w:line="360" w:lineRule="auto"/>
        <w:rPr>
          <w:rFonts w:ascii="宋体" w:cs="宋体"/>
          <w:b/>
          <w:sz w:val="36"/>
          <w:szCs w:val="36"/>
          <w:highlight w:val="none"/>
          <w:u w:val="single"/>
        </w:rPr>
      </w:pPr>
      <w:r>
        <w:rPr>
          <w:rFonts w:hint="eastAsia" w:ascii="宋体" w:hAnsi="宋体" w:cs="宋体"/>
          <w:b/>
          <w:sz w:val="36"/>
          <w:szCs w:val="36"/>
          <w:highlight w:val="none"/>
        </w:rPr>
        <w:t>投标人名称：</w:t>
      </w:r>
      <w:r>
        <w:rPr>
          <w:rFonts w:ascii="宋体" w:hAnsi="宋体" w:cs="宋体"/>
          <w:b/>
          <w:sz w:val="36"/>
          <w:szCs w:val="36"/>
          <w:highlight w:val="none"/>
        </w:rPr>
        <w:t xml:space="preserve"> </w:t>
      </w:r>
      <w:r>
        <w:rPr>
          <w:rFonts w:ascii="宋体" w:hAnsi="宋体" w:cs="宋体"/>
          <w:b/>
          <w:sz w:val="36"/>
          <w:szCs w:val="36"/>
          <w:highlight w:val="none"/>
          <w:u w:val="single"/>
        </w:rPr>
        <w:t xml:space="preserve">                </w:t>
      </w:r>
      <w:r>
        <w:rPr>
          <w:rFonts w:hint="eastAsia" w:ascii="宋体" w:hAnsi="宋体" w:cs="宋体"/>
          <w:b/>
          <w:sz w:val="36"/>
          <w:szCs w:val="36"/>
          <w:highlight w:val="none"/>
          <w:u w:val="single"/>
        </w:rPr>
        <w:t>（盖公章或电子章）</w:t>
      </w:r>
    </w:p>
    <w:p w14:paraId="28A3F49D">
      <w:pPr>
        <w:spacing w:line="360" w:lineRule="auto"/>
        <w:rPr>
          <w:rFonts w:ascii="宋体" w:cs="宋体"/>
          <w:b/>
          <w:sz w:val="36"/>
          <w:szCs w:val="36"/>
          <w:highlight w:val="none"/>
        </w:rPr>
      </w:pPr>
    </w:p>
    <w:p w14:paraId="050A40C9">
      <w:pPr>
        <w:spacing w:line="360" w:lineRule="auto"/>
        <w:jc w:val="center"/>
        <w:rPr>
          <w:rFonts w:ascii="宋体" w:cs="宋体"/>
          <w:b/>
          <w:sz w:val="36"/>
          <w:szCs w:val="36"/>
          <w:highlight w:val="none"/>
        </w:rPr>
      </w:pPr>
      <w:r>
        <w:rPr>
          <w:rFonts w:ascii="宋体" w:hAnsi="宋体" w:cs="宋体"/>
          <w:b/>
          <w:sz w:val="36"/>
          <w:szCs w:val="36"/>
          <w:highlight w:val="none"/>
        </w:rPr>
        <w:t xml:space="preserve"> </w:t>
      </w:r>
      <w:r>
        <w:rPr>
          <w:rFonts w:hint="eastAsia" w:ascii="宋体" w:hAnsi="宋体" w:cs="宋体"/>
          <w:b/>
          <w:sz w:val="36"/>
          <w:szCs w:val="36"/>
          <w:highlight w:val="none"/>
        </w:rPr>
        <w:t>年</w:t>
      </w:r>
      <w:r>
        <w:rPr>
          <w:rFonts w:ascii="宋体" w:hAnsi="宋体" w:cs="宋体"/>
          <w:b/>
          <w:sz w:val="36"/>
          <w:szCs w:val="36"/>
          <w:highlight w:val="none"/>
        </w:rPr>
        <w:t xml:space="preserve">  </w:t>
      </w:r>
      <w:r>
        <w:rPr>
          <w:rFonts w:hint="eastAsia" w:ascii="宋体" w:hAnsi="宋体" w:cs="宋体"/>
          <w:b/>
          <w:sz w:val="36"/>
          <w:szCs w:val="36"/>
          <w:highlight w:val="none"/>
        </w:rPr>
        <w:t>月</w:t>
      </w:r>
      <w:r>
        <w:rPr>
          <w:rFonts w:ascii="宋体" w:hAnsi="宋体" w:cs="宋体"/>
          <w:b/>
          <w:sz w:val="36"/>
          <w:szCs w:val="36"/>
          <w:highlight w:val="none"/>
        </w:rPr>
        <w:t xml:space="preserve">  </w:t>
      </w:r>
      <w:r>
        <w:rPr>
          <w:rFonts w:hint="eastAsia" w:ascii="宋体" w:hAnsi="宋体" w:cs="宋体"/>
          <w:b/>
          <w:sz w:val="36"/>
          <w:szCs w:val="36"/>
          <w:highlight w:val="none"/>
        </w:rPr>
        <w:t>日</w:t>
      </w:r>
      <w:bookmarkStart w:id="193" w:name="_Hlt487900425"/>
      <w:bookmarkEnd w:id="193"/>
      <w:bookmarkStart w:id="194" w:name="_Toc2512007"/>
      <w:bookmarkStart w:id="195" w:name="_Toc497167412"/>
      <w:bookmarkStart w:id="196" w:name="_Toc14776857"/>
      <w:bookmarkStart w:id="197" w:name="_Toc2355265"/>
      <w:bookmarkStart w:id="198" w:name="_Toc493422658"/>
    </w:p>
    <w:p w14:paraId="4CB84243">
      <w:pPr>
        <w:spacing w:line="360" w:lineRule="auto"/>
        <w:jc w:val="center"/>
        <w:rPr>
          <w:rFonts w:ascii="宋体" w:cs="宋体"/>
          <w:b/>
          <w:sz w:val="36"/>
          <w:szCs w:val="36"/>
          <w:highlight w:val="none"/>
        </w:rPr>
      </w:pPr>
    </w:p>
    <w:p w14:paraId="7F51CFE5">
      <w:pPr>
        <w:pStyle w:val="5"/>
        <w:rPr>
          <w:rFonts w:ascii="宋体" w:cs="宋体"/>
          <w:sz w:val="36"/>
          <w:szCs w:val="36"/>
          <w:highlight w:val="none"/>
        </w:rPr>
      </w:pPr>
      <w:bookmarkStart w:id="199" w:name="_Toc44704922"/>
      <w:bookmarkStart w:id="200" w:name="_Toc10238"/>
      <w:bookmarkStart w:id="201" w:name="_Toc4410"/>
      <w:bookmarkStart w:id="202" w:name="_Toc44705069"/>
      <w:r>
        <w:rPr>
          <w:rFonts w:ascii="宋体" w:hAnsi="宋体" w:cs="宋体"/>
          <w:sz w:val="32"/>
          <w:szCs w:val="24"/>
          <w:highlight w:val="none"/>
        </w:rPr>
        <w:t>2.1</w:t>
      </w:r>
      <w:r>
        <w:rPr>
          <w:rFonts w:hint="eastAsia" w:ascii="宋体" w:hAnsi="宋体" w:cs="宋体"/>
          <w:sz w:val="32"/>
          <w:szCs w:val="24"/>
          <w:highlight w:val="none"/>
        </w:rPr>
        <w:t>、投标书格式</w:t>
      </w:r>
      <w:bookmarkEnd w:id="194"/>
      <w:bookmarkEnd w:id="195"/>
      <w:bookmarkEnd w:id="196"/>
      <w:bookmarkEnd w:id="197"/>
      <w:bookmarkEnd w:id="198"/>
      <w:bookmarkEnd w:id="199"/>
      <w:bookmarkEnd w:id="200"/>
      <w:bookmarkEnd w:id="201"/>
      <w:bookmarkEnd w:id="202"/>
    </w:p>
    <w:p w14:paraId="04F21871">
      <w:pPr>
        <w:spacing w:line="360" w:lineRule="auto"/>
        <w:jc w:val="center"/>
        <w:rPr>
          <w:rFonts w:ascii="宋体" w:cs="宋体"/>
          <w:b/>
          <w:bCs/>
          <w:sz w:val="32"/>
          <w:szCs w:val="32"/>
          <w:highlight w:val="none"/>
        </w:rPr>
      </w:pPr>
      <w:r>
        <w:rPr>
          <w:rFonts w:hint="eastAsia" w:ascii="宋体" w:hAnsi="宋体" w:cs="宋体"/>
          <w:b/>
          <w:bCs/>
          <w:sz w:val="32"/>
          <w:szCs w:val="32"/>
          <w:highlight w:val="none"/>
        </w:rPr>
        <w:t>投</w:t>
      </w:r>
      <w:r>
        <w:rPr>
          <w:rFonts w:ascii="宋体" w:hAnsi="宋体" w:cs="宋体"/>
          <w:b/>
          <w:bCs/>
          <w:sz w:val="32"/>
          <w:szCs w:val="32"/>
          <w:highlight w:val="none"/>
        </w:rPr>
        <w:t xml:space="preserve"> </w:t>
      </w:r>
      <w:r>
        <w:rPr>
          <w:rFonts w:hint="eastAsia" w:ascii="宋体" w:hAnsi="宋体" w:cs="宋体"/>
          <w:b/>
          <w:bCs/>
          <w:sz w:val="32"/>
          <w:szCs w:val="32"/>
          <w:highlight w:val="none"/>
        </w:rPr>
        <w:t>标</w:t>
      </w:r>
      <w:r>
        <w:rPr>
          <w:rFonts w:ascii="宋体" w:hAnsi="宋体" w:cs="宋体"/>
          <w:b/>
          <w:bCs/>
          <w:sz w:val="32"/>
          <w:szCs w:val="32"/>
          <w:highlight w:val="none"/>
        </w:rPr>
        <w:t xml:space="preserve"> </w:t>
      </w:r>
      <w:r>
        <w:rPr>
          <w:rFonts w:hint="eastAsia" w:ascii="宋体" w:hAnsi="宋体" w:cs="宋体"/>
          <w:b/>
          <w:bCs/>
          <w:sz w:val="32"/>
          <w:szCs w:val="32"/>
          <w:highlight w:val="none"/>
        </w:rPr>
        <w:t>书</w:t>
      </w:r>
    </w:p>
    <w:p w14:paraId="51CDB2C8">
      <w:pPr>
        <w:spacing w:line="360" w:lineRule="auto"/>
        <w:rPr>
          <w:rFonts w:hint="eastAsia" w:ascii="宋体" w:eastAsia="宋体" w:cs="宋体"/>
          <w:sz w:val="24"/>
          <w:szCs w:val="24"/>
          <w:highlight w:val="none"/>
          <w:lang w:eastAsia="zh-CN"/>
        </w:rPr>
      </w:pPr>
      <w:r>
        <w:rPr>
          <w:rFonts w:hint="eastAsia" w:ascii="宋体" w:hAnsi="宋体" w:cs="宋体"/>
          <w:sz w:val="24"/>
          <w:szCs w:val="24"/>
          <w:highlight w:val="none"/>
        </w:rPr>
        <w:t>致：</w:t>
      </w:r>
      <w:r>
        <w:rPr>
          <w:rFonts w:hint="eastAsia" w:ascii="宋体" w:hAnsi="宋体" w:cs="宋体"/>
          <w:sz w:val="24"/>
          <w:szCs w:val="24"/>
          <w:highlight w:val="none"/>
          <w:lang w:eastAsia="zh-CN"/>
        </w:rPr>
        <w:t>乌鲁木齐高新建设工程项目管理咨询有限公司</w:t>
      </w:r>
    </w:p>
    <w:p w14:paraId="5DFAB4B7">
      <w:pPr>
        <w:spacing w:line="360" w:lineRule="auto"/>
        <w:ind w:firstLine="435"/>
        <w:rPr>
          <w:rFonts w:ascii="宋体" w:cs="宋体"/>
          <w:sz w:val="24"/>
          <w:szCs w:val="24"/>
          <w:highlight w:val="none"/>
        </w:rPr>
      </w:pPr>
      <w:r>
        <w:rPr>
          <w:rFonts w:hint="eastAsia" w:ascii="宋体" w:hAnsi="宋体" w:cs="宋体"/>
          <w:sz w:val="24"/>
          <w:szCs w:val="24"/>
          <w:highlight w:val="none"/>
        </w:rPr>
        <w:t>根据贵方为</w:t>
      </w:r>
      <w:r>
        <w:rPr>
          <w:rFonts w:hint="eastAsia" w:ascii="宋体" w:hAnsi="宋体" w:cs="宋体"/>
          <w:sz w:val="24"/>
          <w:szCs w:val="24"/>
          <w:highlight w:val="none"/>
          <w:u w:val="single"/>
        </w:rPr>
        <w:t>（招标</w:t>
      </w:r>
      <w:r>
        <w:rPr>
          <w:rFonts w:hint="eastAsia" w:ascii="宋体" w:hAnsi="宋体" w:cs="宋体"/>
          <w:sz w:val="24"/>
          <w:szCs w:val="24"/>
          <w:highlight w:val="none"/>
          <w:u w:val="single"/>
          <w:lang w:eastAsia="zh-CN"/>
        </w:rPr>
        <w:t>标项名称</w:t>
      </w:r>
      <w:r>
        <w:rPr>
          <w:rFonts w:hint="eastAsia" w:ascii="宋体" w:hAnsi="宋体" w:cs="宋体"/>
          <w:sz w:val="24"/>
          <w:szCs w:val="24"/>
          <w:highlight w:val="none"/>
          <w:u w:val="single"/>
        </w:rPr>
        <w:t>）</w:t>
      </w:r>
      <w:r>
        <w:rPr>
          <w:rFonts w:hint="eastAsia" w:ascii="宋体" w:hAnsi="宋体" w:cs="宋体"/>
          <w:sz w:val="24"/>
          <w:szCs w:val="24"/>
          <w:highlight w:val="none"/>
        </w:rPr>
        <w:t>招标采购货物/服务的投标邀请</w:t>
      </w:r>
      <w:r>
        <w:rPr>
          <w:rFonts w:hint="eastAsia" w:ascii="宋体" w:hAnsi="宋体" w:cs="宋体"/>
          <w:sz w:val="24"/>
          <w:szCs w:val="24"/>
          <w:highlight w:val="none"/>
          <w:u w:val="single"/>
        </w:rPr>
        <w:t>（招标编号）</w:t>
      </w:r>
      <w:r>
        <w:rPr>
          <w:rFonts w:hint="eastAsia" w:ascii="宋体" w:hAnsi="宋体" w:cs="宋体"/>
          <w:sz w:val="24"/>
          <w:szCs w:val="24"/>
          <w:highlight w:val="none"/>
        </w:rPr>
        <w:t>，签字代表</w:t>
      </w:r>
      <w:r>
        <w:rPr>
          <w:rFonts w:hint="eastAsia" w:ascii="宋体" w:hAnsi="宋体" w:cs="宋体"/>
          <w:sz w:val="24"/>
          <w:szCs w:val="24"/>
          <w:highlight w:val="none"/>
          <w:u w:val="single"/>
        </w:rPr>
        <w:t>（姓名、职务）</w:t>
      </w:r>
      <w:r>
        <w:rPr>
          <w:rFonts w:hint="eastAsia" w:ascii="宋体" w:hAnsi="宋体" w:cs="宋体"/>
          <w:sz w:val="24"/>
          <w:szCs w:val="24"/>
          <w:highlight w:val="none"/>
        </w:rPr>
        <w:t>经正式授权并代表投标人</w:t>
      </w:r>
      <w:r>
        <w:rPr>
          <w:rFonts w:hint="eastAsia" w:ascii="宋体" w:hAnsi="宋体" w:cs="宋体"/>
          <w:sz w:val="24"/>
          <w:szCs w:val="24"/>
          <w:highlight w:val="none"/>
          <w:u w:val="single"/>
        </w:rPr>
        <w:t>（投标人名称、地址）</w:t>
      </w:r>
      <w:r>
        <w:rPr>
          <w:rFonts w:hint="eastAsia" w:ascii="宋体" w:hAnsi="宋体" w:cs="宋体"/>
          <w:sz w:val="24"/>
          <w:szCs w:val="24"/>
          <w:highlight w:val="none"/>
        </w:rPr>
        <w:t>提交下述文件电子文件</w:t>
      </w:r>
      <w:r>
        <w:rPr>
          <w:rFonts w:ascii="宋体" w:hAnsi="宋体" w:cs="宋体"/>
          <w:sz w:val="24"/>
          <w:szCs w:val="24"/>
          <w:highlight w:val="none"/>
          <w:u w:val="single"/>
        </w:rPr>
        <w:t xml:space="preserve">     </w:t>
      </w:r>
      <w:r>
        <w:rPr>
          <w:rFonts w:hint="eastAsia" w:ascii="宋体" w:hAnsi="宋体" w:cs="宋体"/>
          <w:sz w:val="24"/>
          <w:szCs w:val="24"/>
          <w:highlight w:val="none"/>
        </w:rPr>
        <w:t>份。</w:t>
      </w:r>
    </w:p>
    <w:p w14:paraId="75A250E0">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开标一览表</w:t>
      </w:r>
    </w:p>
    <w:p w14:paraId="142EAD9E">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投标分项（明细）报价表</w:t>
      </w:r>
    </w:p>
    <w:p w14:paraId="081BA666">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服务需求偏离表</w:t>
      </w:r>
    </w:p>
    <w:p w14:paraId="287AFA6F">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商务条款偏离表</w:t>
      </w:r>
    </w:p>
    <w:p w14:paraId="6414AC6E">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资格证明材料</w:t>
      </w:r>
    </w:p>
    <w:p w14:paraId="57CF67ED">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遵守国家有关法律、法规和规章，按招标文件中投标人须知和技术规格要求提供的有关文件</w:t>
      </w:r>
    </w:p>
    <w:p w14:paraId="6F2E66DC">
      <w:pPr>
        <w:numPr>
          <w:ilvl w:val="0"/>
          <w:numId w:val="18"/>
        </w:numPr>
        <w:spacing w:line="360" w:lineRule="auto"/>
        <w:rPr>
          <w:rFonts w:ascii="宋体" w:cs="宋体"/>
          <w:sz w:val="24"/>
          <w:szCs w:val="24"/>
          <w:highlight w:val="none"/>
        </w:rPr>
      </w:pPr>
      <w:r>
        <w:rPr>
          <w:rFonts w:hint="eastAsia" w:ascii="宋体" w:hAnsi="宋体" w:cs="宋体"/>
          <w:sz w:val="24"/>
          <w:szCs w:val="24"/>
          <w:highlight w:val="none"/>
        </w:rPr>
        <w:t>以</w:t>
      </w:r>
      <w:r>
        <w:rPr>
          <w:rFonts w:ascii="宋体" w:hAnsi="宋体" w:cs="宋体"/>
          <w:sz w:val="24"/>
          <w:szCs w:val="24"/>
          <w:highlight w:val="none"/>
          <w:u w:val="single"/>
        </w:rPr>
        <w:t xml:space="preserve">      </w:t>
      </w:r>
      <w:r>
        <w:rPr>
          <w:rFonts w:hint="eastAsia" w:ascii="宋体" w:hAnsi="宋体" w:cs="宋体"/>
          <w:sz w:val="24"/>
          <w:szCs w:val="24"/>
          <w:highlight w:val="none"/>
        </w:rPr>
        <w:t>形式出具的投标保证金，金额为人民币</w:t>
      </w:r>
      <w:r>
        <w:rPr>
          <w:rFonts w:ascii="宋体" w:hAnsi="宋体" w:cs="宋体"/>
          <w:sz w:val="24"/>
          <w:szCs w:val="24"/>
          <w:highlight w:val="none"/>
          <w:u w:val="single"/>
        </w:rPr>
        <w:t xml:space="preserve">     </w:t>
      </w:r>
      <w:r>
        <w:rPr>
          <w:rFonts w:hint="eastAsia" w:ascii="宋体" w:hAnsi="宋体" w:cs="宋体"/>
          <w:sz w:val="24"/>
          <w:szCs w:val="24"/>
          <w:highlight w:val="none"/>
        </w:rPr>
        <w:t>元。</w:t>
      </w:r>
    </w:p>
    <w:p w14:paraId="7E7386FD">
      <w:pPr>
        <w:spacing w:line="360" w:lineRule="auto"/>
        <w:ind w:firstLine="480" w:firstLineChars="200"/>
        <w:rPr>
          <w:rFonts w:ascii="宋体" w:cs="宋体"/>
          <w:sz w:val="24"/>
          <w:szCs w:val="24"/>
          <w:highlight w:val="none"/>
        </w:rPr>
      </w:pPr>
      <w:r>
        <w:rPr>
          <w:rFonts w:hint="eastAsia" w:ascii="宋体" w:hAnsi="宋体" w:cs="宋体"/>
          <w:sz w:val="24"/>
          <w:szCs w:val="24"/>
          <w:highlight w:val="none"/>
        </w:rPr>
        <w:t>在此，签字代表宣布同意如下：</w:t>
      </w:r>
    </w:p>
    <w:p w14:paraId="4F22A679">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所附投标价格表中规定的应提供的服务投标总价为</w:t>
      </w:r>
      <w:r>
        <w:rPr>
          <w:rFonts w:hint="eastAsia" w:ascii="宋体" w:hAnsi="宋体" w:cs="宋体"/>
          <w:sz w:val="24"/>
          <w:szCs w:val="24"/>
          <w:highlight w:val="none"/>
          <w:u w:val="single"/>
        </w:rPr>
        <w:t>　　　　　　，（并同时用文字和数字表示的投标总价）</w:t>
      </w:r>
      <w:r>
        <w:rPr>
          <w:rFonts w:hint="eastAsia" w:ascii="宋体" w:hAnsi="宋体" w:cs="宋体"/>
          <w:sz w:val="24"/>
          <w:szCs w:val="24"/>
          <w:highlight w:val="none"/>
        </w:rPr>
        <w:t>。合同履行期限</w:t>
      </w:r>
      <w:r>
        <w:rPr>
          <w:rFonts w:ascii="宋体" w:hAnsi="宋体" w:cs="宋体"/>
          <w:sz w:val="24"/>
          <w:szCs w:val="24"/>
          <w:highlight w:val="none"/>
          <w:u w:val="single"/>
        </w:rPr>
        <w:t xml:space="preserve">            </w:t>
      </w:r>
      <w:r>
        <w:rPr>
          <w:rFonts w:hint="eastAsia" w:ascii="宋体" w:hAnsi="宋体" w:cs="宋体"/>
          <w:sz w:val="24"/>
          <w:szCs w:val="24"/>
          <w:highlight w:val="none"/>
          <w:u w:val="single"/>
          <w:lang w:eastAsia="zh-CN"/>
        </w:rPr>
        <w:t>，</w:t>
      </w:r>
      <w:r>
        <w:rPr>
          <w:rFonts w:hint="eastAsia" w:ascii="宋体" w:hAnsi="宋体" w:cs="宋体"/>
          <w:sz w:val="24"/>
          <w:szCs w:val="24"/>
          <w:highlight w:val="none"/>
          <w:u w:val="single"/>
          <w:lang w:val="en-US" w:eastAsia="zh-CN"/>
        </w:rPr>
        <w:t>质保期</w:t>
      </w:r>
      <w:r>
        <w:rPr>
          <w:rFonts w:ascii="宋体" w:hAnsi="宋体" w:cs="宋体"/>
          <w:sz w:val="24"/>
          <w:szCs w:val="24"/>
          <w:highlight w:val="none"/>
          <w:u w:val="single"/>
        </w:rPr>
        <w:t xml:space="preserve">       </w:t>
      </w:r>
      <w:r>
        <w:rPr>
          <w:rFonts w:hint="eastAsia" w:ascii="宋体" w:hAnsi="宋体" w:cs="宋体"/>
          <w:sz w:val="24"/>
          <w:szCs w:val="24"/>
          <w:highlight w:val="none"/>
          <w:u w:val="single"/>
          <w:lang w:eastAsia="zh-CN"/>
        </w:rPr>
        <w:t>。</w:t>
      </w:r>
    </w:p>
    <w:p w14:paraId="3A8453BB">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我方将按招标文件的规定履行合同责任和义务。</w:t>
      </w:r>
    </w:p>
    <w:p w14:paraId="5F82F386">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我方已详细审查全部招标文件。我方完全理解并同意放弃对这方面有不明及误解的权利</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并对招标文件的全部内容均无异议，予以认可。</w:t>
      </w:r>
    </w:p>
    <w:p w14:paraId="68A3892A">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本投标有效期为自开标日起</w:t>
      </w:r>
      <w:r>
        <w:rPr>
          <w:rFonts w:ascii="宋体" w:hAnsi="宋体" w:cs="宋体"/>
          <w:sz w:val="24"/>
          <w:szCs w:val="24"/>
          <w:highlight w:val="none"/>
          <w:u w:val="single"/>
        </w:rPr>
        <w:t xml:space="preserve">        </w:t>
      </w:r>
      <w:r>
        <w:rPr>
          <w:rFonts w:hint="eastAsia" w:ascii="宋体" w:hAnsi="宋体" w:cs="宋体"/>
          <w:sz w:val="24"/>
          <w:szCs w:val="24"/>
          <w:highlight w:val="none"/>
        </w:rPr>
        <w:t>个日历日。</w:t>
      </w:r>
    </w:p>
    <w:p w14:paraId="0ECAB257">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如果在规定的开标时间后，我方在投标有效期内撤回投标，投标保证金将不予退还。</w:t>
      </w:r>
    </w:p>
    <w:p w14:paraId="1373B353">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我方承诺，我方与采购人和采购代理机构无关联。</w:t>
      </w:r>
    </w:p>
    <w:p w14:paraId="2B9401E1">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我方同意提供按照贵方可能要求的与其投标有关的一切数据或资料，完全理解贵方不一定接受最低投标报价的投标或收到的任何投标。</w:t>
      </w:r>
    </w:p>
    <w:p w14:paraId="580A4FD4">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我方承诺：我方在本项目投标中的陈述和本投标文件及资格证明材料的一切资料均为真实合法，没有不实的描述、承诺或者伪造、变造的情形。如果我方在本项目投标中做虚假陈述或者在投标文件中提供虚假资料，我方愿接受有关处理，同时承担由此带来的一切法律后果。</w:t>
      </w:r>
    </w:p>
    <w:p w14:paraId="1843C966">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若我方获得中标，我方保证在领取中标通知书的同时，按有关规定向贵方支付招标代理服务费。</w:t>
      </w:r>
    </w:p>
    <w:p w14:paraId="2EABF6A8">
      <w:pPr>
        <w:numPr>
          <w:ilvl w:val="1"/>
          <w:numId w:val="19"/>
        </w:numPr>
        <w:spacing w:line="360" w:lineRule="auto"/>
        <w:rPr>
          <w:rFonts w:ascii="宋体" w:cs="宋体"/>
          <w:sz w:val="24"/>
          <w:szCs w:val="24"/>
          <w:highlight w:val="none"/>
        </w:rPr>
      </w:pPr>
      <w:r>
        <w:rPr>
          <w:rFonts w:hint="eastAsia" w:ascii="宋体" w:hAnsi="宋体" w:cs="宋体"/>
          <w:sz w:val="24"/>
          <w:szCs w:val="24"/>
          <w:highlight w:val="none"/>
        </w:rPr>
        <w:t>与本投标有关的一切正式往来信函请寄：</w:t>
      </w:r>
    </w:p>
    <w:tbl>
      <w:tblPr>
        <w:tblStyle w:val="48"/>
        <w:tblW w:w="0" w:type="auto"/>
        <w:tblInd w:w="0" w:type="dxa"/>
        <w:tblLayout w:type="fixed"/>
        <w:tblCellMar>
          <w:top w:w="0" w:type="dxa"/>
          <w:left w:w="108" w:type="dxa"/>
          <w:bottom w:w="0" w:type="dxa"/>
          <w:right w:w="108" w:type="dxa"/>
        </w:tblCellMar>
      </w:tblPr>
      <w:tblGrid>
        <w:gridCol w:w="4291"/>
        <w:gridCol w:w="4291"/>
      </w:tblGrid>
      <w:tr w14:paraId="7D270F57">
        <w:tblPrEx>
          <w:tblCellMar>
            <w:top w:w="0" w:type="dxa"/>
            <w:left w:w="108" w:type="dxa"/>
            <w:bottom w:w="0" w:type="dxa"/>
            <w:right w:w="108" w:type="dxa"/>
          </w:tblCellMar>
        </w:tblPrEx>
        <w:trPr>
          <w:trHeight w:val="716" w:hRule="atLeast"/>
        </w:trPr>
        <w:tc>
          <w:tcPr>
            <w:tcW w:w="4291" w:type="dxa"/>
          </w:tcPr>
          <w:p w14:paraId="5FA207E4">
            <w:pPr>
              <w:spacing w:line="360" w:lineRule="auto"/>
              <w:rPr>
                <w:rFonts w:ascii="宋体"/>
                <w:sz w:val="24"/>
                <w:szCs w:val="24"/>
                <w:highlight w:val="none"/>
              </w:rPr>
            </w:pPr>
            <w:r>
              <w:rPr>
                <w:rFonts w:hint="eastAsia" w:ascii="宋体" w:hAnsi="宋体"/>
                <w:sz w:val="24"/>
                <w:szCs w:val="24"/>
                <w:highlight w:val="none"/>
              </w:rPr>
              <w:t>地址</w:t>
            </w:r>
            <w:r>
              <w:rPr>
                <w:rFonts w:ascii="宋体" w:hAnsi="宋体"/>
                <w:sz w:val="24"/>
                <w:szCs w:val="24"/>
                <w:highlight w:val="none"/>
                <w:u w:val="single"/>
              </w:rPr>
              <w:t xml:space="preserve">                              </w:t>
            </w:r>
          </w:p>
          <w:p w14:paraId="55A8AA7C">
            <w:pPr>
              <w:spacing w:line="360" w:lineRule="auto"/>
              <w:rPr>
                <w:rFonts w:ascii="宋体"/>
                <w:sz w:val="24"/>
                <w:szCs w:val="24"/>
                <w:highlight w:val="none"/>
              </w:rPr>
            </w:pPr>
            <w:r>
              <w:rPr>
                <w:rFonts w:hint="eastAsia" w:ascii="宋体" w:hAnsi="宋体"/>
                <w:sz w:val="24"/>
                <w:szCs w:val="24"/>
                <w:highlight w:val="none"/>
              </w:rPr>
              <w:t>电话</w:t>
            </w:r>
            <w:r>
              <w:rPr>
                <w:rFonts w:ascii="宋体" w:hAnsi="宋体"/>
                <w:sz w:val="24"/>
                <w:szCs w:val="24"/>
                <w:highlight w:val="none"/>
                <w:u w:val="single"/>
              </w:rPr>
              <w:t xml:space="preserve">                              </w:t>
            </w:r>
          </w:p>
        </w:tc>
        <w:tc>
          <w:tcPr>
            <w:tcW w:w="4291" w:type="dxa"/>
          </w:tcPr>
          <w:p w14:paraId="73E06798">
            <w:pPr>
              <w:spacing w:line="360" w:lineRule="auto"/>
              <w:rPr>
                <w:rFonts w:ascii="宋体"/>
                <w:sz w:val="24"/>
                <w:szCs w:val="24"/>
                <w:highlight w:val="none"/>
              </w:rPr>
            </w:pPr>
            <w:r>
              <w:rPr>
                <w:rFonts w:hint="eastAsia" w:ascii="宋体" w:hAnsi="宋体"/>
                <w:sz w:val="24"/>
                <w:szCs w:val="24"/>
                <w:highlight w:val="none"/>
              </w:rPr>
              <w:t>传真</w:t>
            </w:r>
            <w:r>
              <w:rPr>
                <w:rFonts w:ascii="宋体" w:hAnsi="宋体"/>
                <w:sz w:val="24"/>
                <w:szCs w:val="24"/>
                <w:highlight w:val="none"/>
                <w:u w:val="single"/>
              </w:rPr>
              <w:t xml:space="preserve">                               </w:t>
            </w:r>
          </w:p>
          <w:p w14:paraId="727F28D2">
            <w:pPr>
              <w:spacing w:line="360" w:lineRule="auto"/>
              <w:rPr>
                <w:rFonts w:ascii="宋体"/>
                <w:sz w:val="24"/>
                <w:szCs w:val="24"/>
                <w:highlight w:val="none"/>
              </w:rPr>
            </w:pPr>
            <w:r>
              <w:rPr>
                <w:rFonts w:hint="eastAsia" w:ascii="宋体" w:hAnsi="宋体"/>
                <w:sz w:val="24"/>
                <w:szCs w:val="24"/>
                <w:highlight w:val="none"/>
              </w:rPr>
              <w:t>电子函件</w:t>
            </w:r>
            <w:r>
              <w:rPr>
                <w:rFonts w:ascii="宋体" w:hAnsi="宋体"/>
                <w:sz w:val="24"/>
                <w:szCs w:val="24"/>
                <w:highlight w:val="none"/>
                <w:u w:val="single"/>
              </w:rPr>
              <w:t xml:space="preserve">                           </w:t>
            </w:r>
          </w:p>
        </w:tc>
      </w:tr>
    </w:tbl>
    <w:p w14:paraId="34255715">
      <w:pPr>
        <w:spacing w:line="360" w:lineRule="auto"/>
        <w:jc w:val="right"/>
        <w:rPr>
          <w:rFonts w:ascii="宋体" w:cs="宋体"/>
          <w:sz w:val="24"/>
          <w:szCs w:val="24"/>
          <w:highlight w:val="none"/>
        </w:rPr>
      </w:pPr>
    </w:p>
    <w:p w14:paraId="7406D490">
      <w:pPr>
        <w:spacing w:line="360" w:lineRule="auto"/>
        <w:jc w:val="right"/>
        <w:rPr>
          <w:rFonts w:ascii="宋体" w:cs="宋体"/>
          <w:sz w:val="24"/>
          <w:szCs w:val="24"/>
          <w:highlight w:val="none"/>
        </w:rPr>
      </w:pPr>
    </w:p>
    <w:p w14:paraId="68B650B3">
      <w:pPr>
        <w:spacing w:line="360" w:lineRule="auto"/>
        <w:jc w:val="right"/>
        <w:rPr>
          <w:rFonts w:ascii="宋体" w:cs="宋体"/>
          <w:sz w:val="24"/>
          <w:szCs w:val="24"/>
          <w:highlight w:val="non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0F1A6048">
      <w:pPr>
        <w:pStyle w:val="21"/>
        <w:rPr>
          <w:highlight w:val="none"/>
        </w:rPr>
      </w:pPr>
    </w:p>
    <w:p w14:paraId="23011556">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1BB9942E">
      <w:pPr>
        <w:pStyle w:val="21"/>
        <w:rPr>
          <w:highlight w:val="none"/>
        </w:rPr>
      </w:pPr>
    </w:p>
    <w:p w14:paraId="08D285B6">
      <w:pPr>
        <w:spacing w:line="360" w:lineRule="auto"/>
        <w:jc w:val="right"/>
        <w:rPr>
          <w:rFonts w:ascii="宋体" w:cs="宋体"/>
          <w:sz w:val="24"/>
          <w:szCs w:val="24"/>
          <w:highlight w:val="none"/>
        </w:rPr>
      </w:pPr>
      <w:r>
        <w:rPr>
          <w:rFonts w:hint="eastAsia" w:ascii="宋体" w:hAnsi="宋体" w:cs="宋体"/>
          <w:sz w:val="24"/>
          <w:szCs w:val="24"/>
          <w:highlight w:val="none"/>
        </w:rPr>
        <w:t>日期：</w:t>
      </w:r>
    </w:p>
    <w:p w14:paraId="4C37A869">
      <w:pPr>
        <w:pStyle w:val="5"/>
        <w:rPr>
          <w:rFonts w:ascii="宋体" w:cs="宋体"/>
          <w:szCs w:val="21"/>
          <w:highlight w:val="none"/>
        </w:rPr>
      </w:pPr>
      <w:bookmarkStart w:id="203" w:name="_Toc2355266"/>
      <w:bookmarkStart w:id="204" w:name="_Toc2512008"/>
      <w:bookmarkStart w:id="205" w:name="_Toc497167413"/>
      <w:r>
        <w:rPr>
          <w:rFonts w:ascii="宋体" w:cs="宋体"/>
          <w:szCs w:val="21"/>
          <w:highlight w:val="none"/>
        </w:rPr>
        <w:br w:type="page"/>
      </w:r>
      <w:bookmarkStart w:id="206" w:name="_Toc9696"/>
      <w:bookmarkStart w:id="207" w:name="_Toc14776858"/>
      <w:bookmarkStart w:id="208" w:name="_Toc44705070"/>
      <w:bookmarkStart w:id="209" w:name="_Toc44704923"/>
      <w:bookmarkStart w:id="210" w:name="_Toc19421"/>
      <w:r>
        <w:rPr>
          <w:rFonts w:ascii="宋体" w:hAnsi="宋体" w:cs="宋体"/>
          <w:sz w:val="32"/>
          <w:szCs w:val="24"/>
          <w:highlight w:val="none"/>
        </w:rPr>
        <w:t>2.2</w:t>
      </w:r>
      <w:r>
        <w:rPr>
          <w:rFonts w:hint="eastAsia" w:ascii="宋体" w:hAnsi="宋体" w:cs="宋体"/>
          <w:sz w:val="32"/>
          <w:szCs w:val="24"/>
          <w:highlight w:val="none"/>
        </w:rPr>
        <w:t>、开标一览表格式</w:t>
      </w:r>
      <w:bookmarkEnd w:id="203"/>
      <w:bookmarkEnd w:id="204"/>
      <w:bookmarkEnd w:id="205"/>
      <w:bookmarkEnd w:id="206"/>
      <w:bookmarkEnd w:id="207"/>
      <w:bookmarkEnd w:id="208"/>
      <w:bookmarkEnd w:id="209"/>
      <w:bookmarkEnd w:id="210"/>
    </w:p>
    <w:p w14:paraId="6B5283F5">
      <w:pPr>
        <w:spacing w:line="360" w:lineRule="auto"/>
        <w:jc w:val="center"/>
        <w:rPr>
          <w:rFonts w:ascii="宋体" w:cs="宋体"/>
          <w:b/>
          <w:bCs/>
          <w:sz w:val="32"/>
          <w:szCs w:val="32"/>
          <w:highlight w:val="none"/>
        </w:rPr>
      </w:pPr>
      <w:r>
        <w:rPr>
          <w:rFonts w:hint="eastAsia" w:ascii="宋体" w:hAnsi="宋体" w:cs="宋体"/>
          <w:b/>
          <w:bCs/>
          <w:sz w:val="32"/>
          <w:szCs w:val="32"/>
          <w:highlight w:val="none"/>
        </w:rPr>
        <w:t>开标一览表</w:t>
      </w:r>
    </w:p>
    <w:p w14:paraId="7AEE8161">
      <w:pPr>
        <w:spacing w:line="360" w:lineRule="auto"/>
        <w:rPr>
          <w:rFonts w:ascii="宋体" w:cs="宋体"/>
          <w:sz w:val="24"/>
          <w:highlight w:val="none"/>
        </w:rPr>
      </w:pPr>
      <w:r>
        <w:rPr>
          <w:rFonts w:hint="eastAsia" w:ascii="宋体" w:hAnsi="宋体" w:cs="宋体"/>
          <w:sz w:val="24"/>
          <w:highlight w:val="none"/>
        </w:rPr>
        <w:t>投标人名称：</w:t>
      </w:r>
      <w:r>
        <w:rPr>
          <w:rFonts w:ascii="宋体" w:hAnsi="宋体" w:cs="宋体"/>
          <w:sz w:val="24"/>
          <w:highlight w:val="none"/>
        </w:rPr>
        <w:t xml:space="preserve">                </w:t>
      </w:r>
    </w:p>
    <w:p w14:paraId="2F8FDEE0">
      <w:pPr>
        <w:spacing w:line="360" w:lineRule="auto"/>
        <w:rPr>
          <w:rFonts w:ascii="宋体" w:cs="宋体"/>
          <w:sz w:val="24"/>
          <w:highlight w:val="none"/>
        </w:rPr>
      </w:pPr>
      <w:r>
        <w:rPr>
          <w:rFonts w:hint="eastAsia" w:ascii="宋体" w:hAnsi="宋体" w:cs="宋体"/>
          <w:sz w:val="24"/>
          <w:highlight w:val="none"/>
          <w:lang w:eastAsia="zh-CN"/>
        </w:rPr>
        <w:t>标项名称</w:t>
      </w:r>
      <w:r>
        <w:rPr>
          <w:rFonts w:hint="eastAsia" w:ascii="宋体" w:hAnsi="宋体" w:cs="宋体"/>
          <w:sz w:val="24"/>
          <w:highlight w:val="none"/>
        </w:rPr>
        <w:t>：</w:t>
      </w:r>
    </w:p>
    <w:p w14:paraId="38903AD8">
      <w:pPr>
        <w:spacing w:line="360" w:lineRule="auto"/>
        <w:rPr>
          <w:rFonts w:ascii="宋体" w:cs="宋体"/>
          <w:sz w:val="24"/>
          <w:highlight w:val="none"/>
        </w:rPr>
      </w:pPr>
      <w:r>
        <w:rPr>
          <w:rFonts w:hint="eastAsia" w:ascii="宋体" w:hAnsi="宋体" w:cs="宋体"/>
          <w:sz w:val="24"/>
          <w:highlight w:val="none"/>
        </w:rPr>
        <w:t>项目编号：</w:t>
      </w:r>
      <w:r>
        <w:rPr>
          <w:rFonts w:ascii="宋体" w:hAnsi="宋体" w:cs="宋体"/>
          <w:sz w:val="24"/>
          <w:highlight w:val="none"/>
        </w:rPr>
        <w:t xml:space="preserve">                                                   </w:t>
      </w:r>
      <w:r>
        <w:rPr>
          <w:rFonts w:hint="eastAsia" w:ascii="宋体" w:hAnsi="宋体" w:cs="宋体"/>
          <w:b/>
          <w:sz w:val="24"/>
          <w:highlight w:val="none"/>
        </w:rPr>
        <w:t>单位：元</w:t>
      </w:r>
    </w:p>
    <w:tbl>
      <w:tblPr>
        <w:tblStyle w:val="48"/>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3951"/>
        <w:gridCol w:w="3544"/>
      </w:tblGrid>
      <w:tr w14:paraId="786AE3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869" w:type="dxa"/>
            <w:tcBorders>
              <w:top w:val="single" w:color="auto" w:sz="4" w:space="0"/>
              <w:bottom w:val="single" w:color="auto" w:sz="4" w:space="0"/>
              <w:right w:val="single" w:color="auto" w:sz="4" w:space="0"/>
            </w:tcBorders>
            <w:vAlign w:val="center"/>
          </w:tcPr>
          <w:p w14:paraId="4D2A35D9">
            <w:pPr>
              <w:spacing w:line="360" w:lineRule="auto"/>
              <w:jc w:val="center"/>
              <w:rPr>
                <w:rFonts w:ascii="宋体" w:cs="宋体"/>
                <w:sz w:val="24"/>
                <w:highlight w:val="none"/>
              </w:rPr>
            </w:pPr>
            <w:r>
              <w:rPr>
                <w:rFonts w:hint="eastAsia" w:ascii="宋体" w:hAnsi="宋体" w:cs="宋体"/>
                <w:sz w:val="24"/>
                <w:highlight w:val="none"/>
              </w:rPr>
              <w:t>序号</w:t>
            </w:r>
          </w:p>
        </w:tc>
        <w:tc>
          <w:tcPr>
            <w:tcW w:w="3951" w:type="dxa"/>
            <w:tcBorders>
              <w:top w:val="single" w:color="auto" w:sz="4" w:space="0"/>
              <w:left w:val="single" w:color="auto" w:sz="4" w:space="0"/>
              <w:bottom w:val="single" w:color="auto" w:sz="4" w:space="0"/>
              <w:right w:val="single" w:color="auto" w:sz="4" w:space="0"/>
            </w:tcBorders>
            <w:vAlign w:val="center"/>
          </w:tcPr>
          <w:p w14:paraId="3EAE87AB">
            <w:pPr>
              <w:spacing w:line="360" w:lineRule="auto"/>
              <w:jc w:val="center"/>
              <w:rPr>
                <w:rFonts w:hint="eastAsia" w:ascii="宋体" w:eastAsia="宋体" w:cs="宋体"/>
                <w:sz w:val="24"/>
                <w:highlight w:val="none"/>
                <w:lang w:eastAsia="zh-CN"/>
              </w:rPr>
            </w:pPr>
            <w:r>
              <w:rPr>
                <w:rFonts w:hint="eastAsia" w:ascii="宋体" w:hAnsi="宋体" w:cs="宋体"/>
                <w:sz w:val="24"/>
                <w:highlight w:val="none"/>
                <w:lang w:eastAsia="zh-CN"/>
              </w:rPr>
              <w:t>标项名称</w:t>
            </w:r>
          </w:p>
        </w:tc>
        <w:tc>
          <w:tcPr>
            <w:tcW w:w="3544" w:type="dxa"/>
            <w:tcBorders>
              <w:top w:val="single" w:color="auto" w:sz="4" w:space="0"/>
              <w:left w:val="single" w:color="auto" w:sz="4" w:space="0"/>
              <w:bottom w:val="single" w:color="auto" w:sz="4" w:space="0"/>
            </w:tcBorders>
            <w:vAlign w:val="center"/>
          </w:tcPr>
          <w:p w14:paraId="67689DDE">
            <w:pPr>
              <w:spacing w:line="360" w:lineRule="auto"/>
              <w:ind w:right="-107" w:rightChars="-51"/>
              <w:jc w:val="center"/>
              <w:rPr>
                <w:rFonts w:ascii="宋体" w:cs="宋体"/>
                <w:sz w:val="24"/>
                <w:highlight w:val="none"/>
              </w:rPr>
            </w:pPr>
            <w:r>
              <w:rPr>
                <w:rFonts w:hint="eastAsia" w:ascii="宋体" w:hAnsi="宋体" w:cs="宋体"/>
                <w:sz w:val="24"/>
                <w:highlight w:val="none"/>
              </w:rPr>
              <w:t>投标总价（元）</w:t>
            </w:r>
          </w:p>
        </w:tc>
      </w:tr>
      <w:tr w14:paraId="160CD1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6" w:hRule="atLeast"/>
        </w:trPr>
        <w:tc>
          <w:tcPr>
            <w:tcW w:w="869" w:type="dxa"/>
            <w:tcBorders>
              <w:top w:val="single" w:color="auto" w:sz="4" w:space="0"/>
              <w:bottom w:val="single" w:color="auto" w:sz="4" w:space="0"/>
              <w:right w:val="single" w:color="auto" w:sz="4" w:space="0"/>
            </w:tcBorders>
            <w:vAlign w:val="center"/>
          </w:tcPr>
          <w:p w14:paraId="7C6FD706">
            <w:pPr>
              <w:spacing w:line="360" w:lineRule="auto"/>
              <w:jc w:val="center"/>
              <w:rPr>
                <w:rFonts w:ascii="宋体" w:cs="宋体"/>
                <w:sz w:val="24"/>
                <w:highlight w:val="none"/>
              </w:rPr>
            </w:pPr>
          </w:p>
        </w:tc>
        <w:tc>
          <w:tcPr>
            <w:tcW w:w="3951" w:type="dxa"/>
            <w:tcBorders>
              <w:top w:val="single" w:color="auto" w:sz="4" w:space="0"/>
              <w:left w:val="single" w:color="auto" w:sz="4" w:space="0"/>
              <w:bottom w:val="single" w:color="auto" w:sz="4" w:space="0"/>
              <w:right w:val="single" w:color="auto" w:sz="4" w:space="0"/>
            </w:tcBorders>
            <w:vAlign w:val="center"/>
          </w:tcPr>
          <w:p w14:paraId="462EF530">
            <w:pPr>
              <w:spacing w:line="360" w:lineRule="auto"/>
              <w:jc w:val="center"/>
              <w:rPr>
                <w:rFonts w:ascii="宋体" w:cs="宋体"/>
                <w:sz w:val="24"/>
                <w:highlight w:val="none"/>
              </w:rPr>
            </w:pPr>
          </w:p>
        </w:tc>
        <w:tc>
          <w:tcPr>
            <w:tcW w:w="3544" w:type="dxa"/>
            <w:tcBorders>
              <w:top w:val="single" w:color="auto" w:sz="4" w:space="0"/>
              <w:left w:val="single" w:color="auto" w:sz="4" w:space="0"/>
              <w:bottom w:val="single" w:color="auto" w:sz="4" w:space="0"/>
            </w:tcBorders>
            <w:vAlign w:val="center"/>
          </w:tcPr>
          <w:p w14:paraId="067A75B5">
            <w:pPr>
              <w:spacing w:line="360" w:lineRule="auto"/>
              <w:jc w:val="left"/>
              <w:rPr>
                <w:rFonts w:ascii="宋体" w:cs="宋体"/>
                <w:sz w:val="24"/>
                <w:highlight w:val="none"/>
              </w:rPr>
            </w:pPr>
            <w:r>
              <w:rPr>
                <w:rFonts w:ascii="宋体" w:cs="宋体"/>
                <w:sz w:val="24"/>
                <w:highlight w:val="none"/>
              </w:rPr>
              <w:t>大写</w:t>
            </w:r>
            <w:r>
              <w:rPr>
                <w:rFonts w:hint="eastAsia" w:ascii="宋体" w:cs="宋体"/>
                <w:sz w:val="24"/>
                <w:highlight w:val="none"/>
              </w:rPr>
              <w:t xml:space="preserve">： </w:t>
            </w:r>
            <w:r>
              <w:rPr>
                <w:rFonts w:ascii="宋体" w:cs="宋体"/>
                <w:sz w:val="24"/>
                <w:highlight w:val="none"/>
              </w:rPr>
              <w:t xml:space="preserve">     小写：</w:t>
            </w:r>
          </w:p>
        </w:tc>
      </w:tr>
      <w:tr w14:paraId="3E7166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 w:hRule="atLeast"/>
        </w:trPr>
        <w:tc>
          <w:tcPr>
            <w:tcW w:w="4820" w:type="dxa"/>
            <w:gridSpan w:val="2"/>
            <w:tcBorders>
              <w:top w:val="single" w:color="auto" w:sz="4" w:space="0"/>
              <w:bottom w:val="single" w:color="auto" w:sz="4" w:space="0"/>
              <w:right w:val="single" w:color="auto" w:sz="4" w:space="0"/>
            </w:tcBorders>
            <w:vAlign w:val="center"/>
          </w:tcPr>
          <w:p w14:paraId="55B38090">
            <w:pPr>
              <w:spacing w:line="360" w:lineRule="auto"/>
              <w:rPr>
                <w:rFonts w:hint="eastAsia" w:ascii="宋体" w:hAnsi="宋体" w:cs="宋体"/>
                <w:sz w:val="24"/>
                <w:highlight w:val="none"/>
              </w:rPr>
            </w:pPr>
            <w:r>
              <w:rPr>
                <w:rFonts w:hint="eastAsia" w:ascii="宋体" w:hAnsi="宋体" w:cs="宋体"/>
                <w:sz w:val="24"/>
                <w:highlight w:val="none"/>
              </w:rPr>
              <w:t>合同履行期限：</w:t>
            </w:r>
          </w:p>
        </w:tc>
        <w:tc>
          <w:tcPr>
            <w:tcW w:w="3544" w:type="dxa"/>
            <w:tcBorders>
              <w:top w:val="single" w:color="auto" w:sz="4" w:space="0"/>
              <w:left w:val="single" w:color="auto" w:sz="4" w:space="0"/>
              <w:bottom w:val="single" w:color="auto" w:sz="4" w:space="0"/>
            </w:tcBorders>
            <w:vAlign w:val="center"/>
          </w:tcPr>
          <w:p w14:paraId="54F059B5">
            <w:pPr>
              <w:spacing w:line="360" w:lineRule="auto"/>
              <w:rPr>
                <w:rFonts w:ascii="宋体" w:cs="宋体"/>
                <w:sz w:val="24"/>
                <w:highlight w:val="none"/>
              </w:rPr>
            </w:pPr>
            <w:r>
              <w:rPr>
                <w:rFonts w:ascii="宋体" w:cs="宋体"/>
                <w:sz w:val="24"/>
                <w:highlight w:val="none"/>
              </w:rPr>
              <w:t>质保期</w:t>
            </w:r>
            <w:r>
              <w:rPr>
                <w:rFonts w:hint="eastAsia" w:ascii="宋体" w:cs="宋体"/>
                <w:sz w:val="24"/>
                <w:highlight w:val="none"/>
              </w:rPr>
              <w:t>：</w:t>
            </w:r>
            <w:r>
              <w:rPr>
                <w:rFonts w:ascii="宋体" w:cs="宋体"/>
                <w:sz w:val="24"/>
                <w:highlight w:val="none"/>
              </w:rPr>
              <w:t xml:space="preserve"> </w:t>
            </w:r>
          </w:p>
        </w:tc>
      </w:tr>
    </w:tbl>
    <w:p w14:paraId="7EE1BEBD">
      <w:pPr>
        <w:spacing w:line="360" w:lineRule="auto"/>
        <w:rPr>
          <w:rFonts w:ascii="宋体" w:cs="宋体"/>
          <w:sz w:val="24"/>
          <w:highlight w:val="none"/>
        </w:rPr>
      </w:pPr>
      <w:r>
        <w:rPr>
          <w:rFonts w:hint="eastAsia" w:ascii="宋体" w:hAnsi="宋体" w:cs="宋体"/>
          <w:sz w:val="24"/>
          <w:highlight w:val="none"/>
        </w:rPr>
        <w:t>投标人盖章（公章</w:t>
      </w:r>
      <w:r>
        <w:rPr>
          <w:rFonts w:hint="eastAsia" w:ascii="宋体" w:hAnsi="宋体" w:cs="宋体"/>
          <w:sz w:val="24"/>
          <w:szCs w:val="24"/>
          <w:highlight w:val="none"/>
          <w:lang w:val="en-US" w:eastAsia="zh-CN"/>
        </w:rPr>
        <w:t>或电子章</w:t>
      </w:r>
      <w:r>
        <w:rPr>
          <w:rFonts w:hint="eastAsia" w:ascii="宋体" w:hAnsi="宋体" w:cs="宋体"/>
          <w:sz w:val="24"/>
          <w:highlight w:val="none"/>
        </w:rPr>
        <w:t>）：</w:t>
      </w:r>
      <w:r>
        <w:rPr>
          <w:rFonts w:ascii="宋体" w:hAnsi="宋体" w:cs="宋体"/>
          <w:sz w:val="24"/>
          <w:highlight w:val="none"/>
          <w:u w:val="single"/>
        </w:rPr>
        <w:t xml:space="preserve">              </w:t>
      </w:r>
    </w:p>
    <w:p w14:paraId="16E5C441">
      <w:pPr>
        <w:spacing w:line="360" w:lineRule="auto"/>
        <w:rPr>
          <w:rFonts w:ascii="宋体" w:cs="宋体"/>
          <w:sz w:val="24"/>
          <w:highlight w:val="none"/>
        </w:rPr>
      </w:pPr>
      <w:r>
        <w:rPr>
          <w:rFonts w:hint="eastAsia" w:ascii="宋体" w:hAnsi="宋体" w:cs="宋体"/>
          <w:sz w:val="24"/>
          <w:highlight w:val="none"/>
        </w:rPr>
        <w:t>法定代表人或代理人（签字或盖章）：</w:t>
      </w:r>
      <w:r>
        <w:rPr>
          <w:rFonts w:ascii="宋体" w:hAnsi="宋体" w:cs="宋体"/>
          <w:sz w:val="24"/>
          <w:highlight w:val="none"/>
          <w:u w:val="single"/>
        </w:rPr>
        <w:t xml:space="preserve">              </w:t>
      </w:r>
    </w:p>
    <w:p w14:paraId="47D5AE6F">
      <w:pPr>
        <w:spacing w:line="360" w:lineRule="auto"/>
        <w:ind w:right="120"/>
        <w:jc w:val="right"/>
        <w:rPr>
          <w:rFonts w:ascii="宋体" w:cs="宋体"/>
          <w:sz w:val="24"/>
          <w:highlight w:val="none"/>
        </w:rPr>
      </w:pPr>
      <w:r>
        <w:rPr>
          <w:rFonts w:hint="eastAsia" w:ascii="宋体" w:hAnsi="宋体" w:cs="宋体"/>
          <w:sz w:val="24"/>
          <w:highlight w:val="none"/>
        </w:rPr>
        <w:t>日期：</w:t>
      </w:r>
      <w:r>
        <w:rPr>
          <w:rFonts w:ascii="宋体" w:hAnsi="宋体" w:cs="宋体"/>
          <w:sz w:val="24"/>
          <w:highlight w:val="none"/>
        </w:rPr>
        <w:t xml:space="preserve">   </w:t>
      </w:r>
      <w:r>
        <w:rPr>
          <w:rFonts w:hint="eastAsia" w:ascii="宋体" w:hAnsi="宋体" w:cs="宋体"/>
          <w:sz w:val="24"/>
          <w:highlight w:val="none"/>
        </w:rPr>
        <w:t>年</w:t>
      </w:r>
      <w:r>
        <w:rPr>
          <w:rFonts w:ascii="宋体" w:hAnsi="宋体" w:cs="宋体"/>
          <w:sz w:val="24"/>
          <w:highlight w:val="none"/>
        </w:rPr>
        <w:t xml:space="preserve">  </w:t>
      </w:r>
      <w:r>
        <w:rPr>
          <w:rFonts w:hint="eastAsia" w:ascii="宋体" w:hAnsi="宋体" w:cs="宋体"/>
          <w:sz w:val="24"/>
          <w:highlight w:val="none"/>
        </w:rPr>
        <w:t>月</w:t>
      </w:r>
      <w:r>
        <w:rPr>
          <w:rFonts w:ascii="宋体" w:hAnsi="宋体" w:cs="宋体"/>
          <w:sz w:val="24"/>
          <w:highlight w:val="none"/>
        </w:rPr>
        <w:t xml:space="preserve">  </w:t>
      </w:r>
      <w:r>
        <w:rPr>
          <w:rFonts w:hint="eastAsia" w:ascii="宋体" w:hAnsi="宋体" w:cs="宋体"/>
          <w:sz w:val="24"/>
          <w:highlight w:val="none"/>
        </w:rPr>
        <w:t>日</w:t>
      </w:r>
    </w:p>
    <w:p w14:paraId="048BD6E1">
      <w:pPr>
        <w:tabs>
          <w:tab w:val="left" w:pos="1800"/>
          <w:tab w:val="left" w:pos="5580"/>
        </w:tabs>
        <w:spacing w:line="360" w:lineRule="auto"/>
        <w:jc w:val="left"/>
        <w:rPr>
          <w:rFonts w:ascii="宋体" w:cs="宋体"/>
          <w:sz w:val="24"/>
          <w:highlight w:val="none"/>
          <w:u w:val="single"/>
        </w:rPr>
      </w:pPr>
    </w:p>
    <w:p w14:paraId="5A94D461">
      <w:pPr>
        <w:spacing w:line="360" w:lineRule="auto"/>
        <w:rPr>
          <w:rFonts w:ascii="宋体" w:cs="宋体"/>
          <w:sz w:val="24"/>
          <w:szCs w:val="24"/>
          <w:highlight w:val="none"/>
        </w:rPr>
      </w:pPr>
      <w:r>
        <w:rPr>
          <w:rFonts w:hint="eastAsia" w:ascii="宋体" w:hAnsi="宋体" w:cs="宋体"/>
          <w:sz w:val="24"/>
          <w:szCs w:val="24"/>
          <w:highlight w:val="none"/>
        </w:rPr>
        <w:t>（退还投标保证金时，将依据以下账户信息）</w:t>
      </w:r>
    </w:p>
    <w:p w14:paraId="4ED3FFDD">
      <w:pPr>
        <w:spacing w:line="360" w:lineRule="auto"/>
        <w:rPr>
          <w:rFonts w:ascii="宋体" w:cs="宋体"/>
          <w:sz w:val="24"/>
          <w:szCs w:val="24"/>
          <w:highlight w:val="none"/>
        </w:rPr>
      </w:pPr>
      <w:r>
        <w:rPr>
          <w:rFonts w:hint="eastAsia" w:ascii="宋体" w:hAnsi="宋体" w:cs="宋体"/>
          <w:sz w:val="24"/>
          <w:szCs w:val="24"/>
          <w:highlight w:val="none"/>
        </w:rPr>
        <w:t>投标人开户银行（全称）：</w:t>
      </w:r>
    </w:p>
    <w:p w14:paraId="7BF461CC">
      <w:pPr>
        <w:spacing w:line="360" w:lineRule="auto"/>
        <w:rPr>
          <w:rFonts w:ascii="宋体" w:cs="宋体"/>
          <w:sz w:val="24"/>
          <w:szCs w:val="24"/>
          <w:highlight w:val="none"/>
        </w:rPr>
      </w:pPr>
      <w:r>
        <w:rPr>
          <w:rFonts w:hint="eastAsia" w:ascii="宋体" w:hAnsi="宋体" w:cs="宋体"/>
          <w:sz w:val="24"/>
          <w:szCs w:val="24"/>
          <w:highlight w:val="none"/>
        </w:rPr>
        <w:t>投标人银行账号：</w:t>
      </w:r>
    </w:p>
    <w:p w14:paraId="45C3D795">
      <w:pPr>
        <w:spacing w:line="360" w:lineRule="auto"/>
        <w:rPr>
          <w:rFonts w:ascii="宋体" w:cs="宋体"/>
          <w:sz w:val="24"/>
          <w:szCs w:val="24"/>
          <w:highlight w:val="none"/>
        </w:rPr>
      </w:pPr>
      <w:r>
        <w:rPr>
          <w:rFonts w:hint="eastAsia" w:ascii="宋体" w:hAnsi="宋体" w:cs="宋体"/>
          <w:sz w:val="24"/>
          <w:szCs w:val="24"/>
          <w:highlight w:val="none"/>
        </w:rPr>
        <w:t>投标人地址：</w:t>
      </w:r>
    </w:p>
    <w:p w14:paraId="1F2DDF12">
      <w:pPr>
        <w:spacing w:line="360" w:lineRule="auto"/>
        <w:rPr>
          <w:rFonts w:ascii="宋体" w:cs="宋体"/>
          <w:sz w:val="24"/>
          <w:highlight w:val="none"/>
          <w:u w:val="singl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7A192137">
      <w:pPr>
        <w:spacing w:line="360" w:lineRule="auto"/>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372E61B3">
      <w:pPr>
        <w:spacing w:line="360" w:lineRule="auto"/>
        <w:rPr>
          <w:rFonts w:ascii="宋体" w:cs="宋体"/>
          <w:sz w:val="24"/>
          <w:szCs w:val="24"/>
          <w:highlight w:val="none"/>
        </w:rPr>
      </w:pPr>
      <w:r>
        <w:rPr>
          <w:rFonts w:hint="eastAsia" w:ascii="宋体" w:hAnsi="宋体" w:cs="宋体"/>
          <w:sz w:val="24"/>
          <w:highlight w:val="none"/>
        </w:rPr>
        <w:t>日期：</w:t>
      </w:r>
    </w:p>
    <w:p w14:paraId="74634F4F">
      <w:pPr>
        <w:pStyle w:val="27"/>
        <w:spacing w:line="360" w:lineRule="auto"/>
        <w:rPr>
          <w:rFonts w:hAnsi="宋体" w:cs="宋体"/>
          <w:b/>
          <w:sz w:val="24"/>
          <w:highlight w:val="none"/>
        </w:rPr>
      </w:pPr>
      <w:r>
        <w:rPr>
          <w:rFonts w:hint="eastAsia" w:hAnsi="宋体" w:cs="宋体"/>
          <w:sz w:val="24"/>
          <w:highlight w:val="none"/>
        </w:rPr>
        <w:t>注：</w:t>
      </w:r>
      <w:r>
        <w:rPr>
          <w:rFonts w:hAnsi="宋体" w:cs="宋体"/>
          <w:sz w:val="24"/>
          <w:highlight w:val="none"/>
        </w:rPr>
        <w:t xml:space="preserve"> 1</w:t>
      </w:r>
      <w:r>
        <w:rPr>
          <w:rFonts w:hint="eastAsia" w:hAnsi="宋体" w:cs="宋体"/>
          <w:sz w:val="24"/>
          <w:highlight w:val="none"/>
        </w:rPr>
        <w:t>、开标一览表内容与投标文件中相应内容不一致的，以开标一览表本表为准。</w:t>
      </w:r>
    </w:p>
    <w:p w14:paraId="615143C2">
      <w:pPr>
        <w:pStyle w:val="5"/>
        <w:rPr>
          <w:rFonts w:ascii="宋体" w:cs="宋体"/>
          <w:sz w:val="24"/>
          <w:highlight w:val="none"/>
        </w:rPr>
      </w:pPr>
      <w:r>
        <w:rPr>
          <w:rFonts w:ascii="宋体" w:cs="宋体"/>
          <w:sz w:val="24"/>
          <w:highlight w:val="none"/>
        </w:rPr>
        <w:br w:type="page"/>
      </w:r>
      <w:bookmarkStart w:id="211" w:name="_Toc44704924"/>
      <w:bookmarkStart w:id="212" w:name="_Toc2355267"/>
      <w:bookmarkStart w:id="213" w:name="_Toc14776859"/>
      <w:bookmarkStart w:id="214" w:name="_Toc2512009"/>
      <w:bookmarkStart w:id="215" w:name="_Toc497167414"/>
      <w:bookmarkStart w:id="216" w:name="_Toc13660"/>
      <w:bookmarkStart w:id="217" w:name="_Toc18606"/>
      <w:bookmarkStart w:id="218" w:name="_Toc493422660"/>
      <w:bookmarkStart w:id="219" w:name="_Toc44705071"/>
      <w:r>
        <w:rPr>
          <w:rFonts w:ascii="宋体" w:hAnsi="宋体" w:cs="宋体"/>
          <w:sz w:val="32"/>
          <w:szCs w:val="24"/>
          <w:highlight w:val="none"/>
        </w:rPr>
        <w:t>2.3</w:t>
      </w:r>
      <w:r>
        <w:rPr>
          <w:rFonts w:hint="eastAsia" w:ascii="宋体" w:hAnsi="宋体" w:cs="宋体"/>
          <w:sz w:val="32"/>
          <w:szCs w:val="24"/>
          <w:highlight w:val="none"/>
        </w:rPr>
        <w:t>、投标分项（明细）报价表格式</w:t>
      </w:r>
      <w:bookmarkEnd w:id="211"/>
      <w:bookmarkEnd w:id="212"/>
      <w:bookmarkEnd w:id="213"/>
      <w:bookmarkEnd w:id="214"/>
      <w:bookmarkEnd w:id="215"/>
      <w:bookmarkEnd w:id="216"/>
      <w:bookmarkEnd w:id="217"/>
      <w:bookmarkEnd w:id="218"/>
      <w:bookmarkEnd w:id="219"/>
    </w:p>
    <w:p w14:paraId="65BA8E8E">
      <w:pPr>
        <w:spacing w:line="360" w:lineRule="auto"/>
        <w:jc w:val="center"/>
        <w:rPr>
          <w:rFonts w:ascii="宋体" w:cs="宋体"/>
          <w:b/>
          <w:sz w:val="24"/>
          <w:highlight w:val="none"/>
        </w:rPr>
      </w:pPr>
      <w:r>
        <w:rPr>
          <w:rFonts w:hint="eastAsia" w:ascii="宋体" w:hAnsi="宋体" w:cs="宋体"/>
          <w:b/>
          <w:sz w:val="24"/>
          <w:highlight w:val="none"/>
        </w:rPr>
        <w:t>明细报价表</w:t>
      </w:r>
    </w:p>
    <w:p w14:paraId="3075E578">
      <w:pPr>
        <w:spacing w:line="360" w:lineRule="auto"/>
        <w:ind w:left="-735" w:leftChars="-350" w:firstLine="960" w:firstLineChars="400"/>
        <w:jc w:val="left"/>
        <w:rPr>
          <w:rFonts w:ascii="宋体" w:cs="宋体"/>
          <w:sz w:val="24"/>
          <w:highlight w:val="none"/>
        </w:rPr>
      </w:pPr>
      <w:r>
        <w:rPr>
          <w:rFonts w:hint="eastAsia" w:ascii="宋体" w:hAnsi="宋体" w:cs="宋体"/>
          <w:sz w:val="24"/>
          <w:highlight w:val="none"/>
          <w:lang w:eastAsia="zh-CN"/>
        </w:rPr>
        <w:t>标项名称</w:t>
      </w:r>
      <w:r>
        <w:rPr>
          <w:rFonts w:hint="eastAsia" w:ascii="宋体" w:hAnsi="宋体" w:cs="宋体"/>
          <w:sz w:val="24"/>
          <w:highlight w:val="none"/>
        </w:rPr>
        <w:t>：</w:t>
      </w:r>
      <w:r>
        <w:rPr>
          <w:rFonts w:ascii="宋体" w:hAnsi="宋体" w:cs="宋体"/>
          <w:sz w:val="24"/>
          <w:highlight w:val="none"/>
        </w:rPr>
        <w:t xml:space="preserve">                             </w:t>
      </w:r>
    </w:p>
    <w:p w14:paraId="4CC0CD40">
      <w:pPr>
        <w:spacing w:line="360" w:lineRule="auto"/>
        <w:ind w:left="-735" w:leftChars="-350" w:firstLine="960" w:firstLineChars="400"/>
        <w:jc w:val="left"/>
        <w:rPr>
          <w:rFonts w:ascii="宋体" w:cs="宋体"/>
          <w:sz w:val="24"/>
          <w:highlight w:val="none"/>
        </w:rPr>
      </w:pPr>
      <w:r>
        <w:rPr>
          <w:rFonts w:hint="eastAsia" w:ascii="宋体" w:hAnsi="宋体" w:cs="宋体"/>
          <w:sz w:val="24"/>
          <w:highlight w:val="none"/>
        </w:rPr>
        <w:t>项目编号：</w:t>
      </w:r>
      <w:r>
        <w:rPr>
          <w:rFonts w:ascii="宋体" w:hAnsi="宋体" w:cs="宋体"/>
          <w:sz w:val="24"/>
          <w:highlight w:val="none"/>
        </w:rPr>
        <w:t xml:space="preserve">                                                    </w:t>
      </w:r>
      <w:r>
        <w:rPr>
          <w:rFonts w:hint="eastAsia" w:ascii="宋体" w:hAnsi="宋体" w:cs="宋体"/>
          <w:sz w:val="24"/>
          <w:highlight w:val="none"/>
        </w:rPr>
        <w:t>单位：元</w:t>
      </w:r>
    </w:p>
    <w:tbl>
      <w:tblPr>
        <w:tblStyle w:val="48"/>
        <w:tblW w:w="109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827"/>
        <w:gridCol w:w="1722"/>
        <w:gridCol w:w="1387"/>
        <w:gridCol w:w="1310"/>
        <w:gridCol w:w="1310"/>
        <w:gridCol w:w="1310"/>
      </w:tblGrid>
      <w:tr w14:paraId="49992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7F480230">
            <w:pPr>
              <w:spacing w:line="360" w:lineRule="auto"/>
              <w:jc w:val="left"/>
              <w:rPr>
                <w:rFonts w:ascii="宋体" w:cs="宋体"/>
                <w:sz w:val="24"/>
                <w:highlight w:val="none"/>
              </w:rPr>
            </w:pPr>
            <w:r>
              <w:rPr>
                <w:rFonts w:hint="eastAsia" w:ascii="宋体" w:hAnsi="宋体" w:cs="宋体"/>
                <w:sz w:val="24"/>
                <w:highlight w:val="none"/>
              </w:rPr>
              <w:t>序号</w:t>
            </w:r>
          </w:p>
        </w:tc>
        <w:tc>
          <w:tcPr>
            <w:tcW w:w="2827" w:type="dxa"/>
            <w:vAlign w:val="center"/>
          </w:tcPr>
          <w:p w14:paraId="0D465DAE">
            <w:pPr>
              <w:spacing w:line="360" w:lineRule="auto"/>
              <w:jc w:val="left"/>
              <w:rPr>
                <w:rFonts w:ascii="宋体" w:cs="宋体"/>
                <w:sz w:val="24"/>
                <w:highlight w:val="none"/>
              </w:rPr>
            </w:pPr>
            <w:r>
              <w:rPr>
                <w:rFonts w:hint="eastAsia" w:ascii="宋体" w:cs="宋体"/>
                <w:sz w:val="24"/>
                <w:highlight w:val="none"/>
              </w:rPr>
              <w:t>规格型号</w:t>
            </w:r>
          </w:p>
        </w:tc>
        <w:tc>
          <w:tcPr>
            <w:tcW w:w="1722" w:type="dxa"/>
            <w:vAlign w:val="center"/>
          </w:tcPr>
          <w:p w14:paraId="0A757FF2">
            <w:pPr>
              <w:spacing w:line="360" w:lineRule="auto"/>
              <w:jc w:val="left"/>
              <w:rPr>
                <w:rFonts w:ascii="宋体" w:cs="宋体"/>
                <w:sz w:val="24"/>
                <w:highlight w:val="none"/>
              </w:rPr>
            </w:pPr>
            <w:r>
              <w:rPr>
                <w:rFonts w:hint="eastAsia" w:ascii="宋体" w:hAnsi="宋体" w:cs="宋体"/>
                <w:sz w:val="24"/>
                <w:highlight w:val="none"/>
              </w:rPr>
              <w:t>品牌</w:t>
            </w:r>
          </w:p>
        </w:tc>
        <w:tc>
          <w:tcPr>
            <w:tcW w:w="1387" w:type="dxa"/>
            <w:vAlign w:val="center"/>
          </w:tcPr>
          <w:p w14:paraId="719FD508">
            <w:pPr>
              <w:spacing w:line="360" w:lineRule="auto"/>
              <w:jc w:val="left"/>
              <w:rPr>
                <w:rFonts w:ascii="宋体" w:cs="宋体"/>
                <w:sz w:val="24"/>
                <w:highlight w:val="none"/>
              </w:rPr>
            </w:pPr>
            <w:r>
              <w:rPr>
                <w:rFonts w:hint="eastAsia" w:ascii="宋体" w:hAnsi="宋体" w:cs="宋体"/>
                <w:sz w:val="24"/>
                <w:highlight w:val="none"/>
              </w:rPr>
              <w:t>单价</w:t>
            </w:r>
          </w:p>
        </w:tc>
        <w:tc>
          <w:tcPr>
            <w:tcW w:w="1310" w:type="dxa"/>
            <w:vAlign w:val="center"/>
          </w:tcPr>
          <w:p w14:paraId="2AB16E30">
            <w:pPr>
              <w:spacing w:line="360" w:lineRule="auto"/>
              <w:jc w:val="left"/>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数量</w:t>
            </w:r>
          </w:p>
        </w:tc>
        <w:tc>
          <w:tcPr>
            <w:tcW w:w="1310" w:type="dxa"/>
            <w:vAlign w:val="center"/>
          </w:tcPr>
          <w:p w14:paraId="31BD7410">
            <w:pPr>
              <w:spacing w:line="360" w:lineRule="auto"/>
              <w:jc w:val="left"/>
              <w:rPr>
                <w:rFonts w:ascii="宋体" w:cs="宋体"/>
                <w:sz w:val="24"/>
                <w:highlight w:val="none"/>
              </w:rPr>
            </w:pPr>
            <w:r>
              <w:rPr>
                <w:rFonts w:hint="eastAsia" w:ascii="宋体" w:hAnsi="宋体" w:cs="宋体"/>
                <w:sz w:val="24"/>
                <w:highlight w:val="none"/>
              </w:rPr>
              <w:t>合价</w:t>
            </w:r>
          </w:p>
        </w:tc>
        <w:tc>
          <w:tcPr>
            <w:tcW w:w="1310" w:type="dxa"/>
          </w:tcPr>
          <w:p w14:paraId="3B33DA74">
            <w:pPr>
              <w:spacing w:line="360" w:lineRule="auto"/>
              <w:jc w:val="left"/>
              <w:rPr>
                <w:rFonts w:ascii="宋体" w:hAnsi="宋体" w:cs="宋体"/>
                <w:sz w:val="24"/>
                <w:highlight w:val="none"/>
              </w:rPr>
            </w:pPr>
            <w:r>
              <w:rPr>
                <w:rFonts w:hint="eastAsia" w:ascii="宋体" w:hAnsi="宋体" w:cs="宋体"/>
                <w:sz w:val="24"/>
                <w:highlight w:val="none"/>
              </w:rPr>
              <w:t>备注</w:t>
            </w:r>
          </w:p>
        </w:tc>
      </w:tr>
      <w:tr w14:paraId="72597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129" w:type="dxa"/>
            <w:vAlign w:val="center"/>
          </w:tcPr>
          <w:p w14:paraId="03F273FF">
            <w:pPr>
              <w:spacing w:line="360" w:lineRule="auto"/>
              <w:jc w:val="left"/>
              <w:rPr>
                <w:rFonts w:ascii="宋体" w:cs="宋体"/>
                <w:sz w:val="24"/>
                <w:highlight w:val="none"/>
              </w:rPr>
            </w:pPr>
            <w:r>
              <w:rPr>
                <w:rFonts w:ascii="宋体" w:hAnsi="宋体" w:cs="宋体"/>
                <w:sz w:val="24"/>
                <w:highlight w:val="none"/>
              </w:rPr>
              <w:t>1</w:t>
            </w:r>
          </w:p>
        </w:tc>
        <w:tc>
          <w:tcPr>
            <w:tcW w:w="2827" w:type="dxa"/>
            <w:vAlign w:val="center"/>
          </w:tcPr>
          <w:p w14:paraId="19E7FFD4">
            <w:pPr>
              <w:spacing w:line="360" w:lineRule="auto"/>
              <w:jc w:val="left"/>
              <w:rPr>
                <w:rFonts w:ascii="宋体" w:cs="宋体"/>
                <w:sz w:val="24"/>
                <w:highlight w:val="none"/>
              </w:rPr>
            </w:pPr>
          </w:p>
        </w:tc>
        <w:tc>
          <w:tcPr>
            <w:tcW w:w="1722" w:type="dxa"/>
            <w:vAlign w:val="center"/>
          </w:tcPr>
          <w:p w14:paraId="61E4AB8A">
            <w:pPr>
              <w:spacing w:line="360" w:lineRule="auto"/>
              <w:jc w:val="left"/>
              <w:rPr>
                <w:rFonts w:ascii="宋体" w:cs="宋体"/>
                <w:sz w:val="24"/>
                <w:highlight w:val="none"/>
              </w:rPr>
            </w:pPr>
          </w:p>
        </w:tc>
        <w:tc>
          <w:tcPr>
            <w:tcW w:w="1387" w:type="dxa"/>
            <w:vAlign w:val="center"/>
          </w:tcPr>
          <w:p w14:paraId="046CE4F2">
            <w:pPr>
              <w:spacing w:line="360" w:lineRule="auto"/>
              <w:jc w:val="left"/>
              <w:rPr>
                <w:rFonts w:ascii="宋体" w:cs="宋体"/>
                <w:sz w:val="24"/>
                <w:highlight w:val="none"/>
              </w:rPr>
            </w:pPr>
          </w:p>
        </w:tc>
        <w:tc>
          <w:tcPr>
            <w:tcW w:w="1310" w:type="dxa"/>
            <w:vAlign w:val="center"/>
          </w:tcPr>
          <w:p w14:paraId="14DCA3DE">
            <w:pPr>
              <w:spacing w:line="360" w:lineRule="auto"/>
              <w:jc w:val="left"/>
              <w:rPr>
                <w:rFonts w:ascii="宋体" w:cs="宋体"/>
                <w:sz w:val="24"/>
                <w:highlight w:val="none"/>
              </w:rPr>
            </w:pPr>
          </w:p>
        </w:tc>
        <w:tc>
          <w:tcPr>
            <w:tcW w:w="1310" w:type="dxa"/>
            <w:vAlign w:val="center"/>
          </w:tcPr>
          <w:p w14:paraId="1A89722E">
            <w:pPr>
              <w:spacing w:line="360" w:lineRule="auto"/>
              <w:jc w:val="left"/>
              <w:rPr>
                <w:rFonts w:ascii="宋体" w:cs="宋体"/>
                <w:sz w:val="24"/>
                <w:highlight w:val="none"/>
              </w:rPr>
            </w:pPr>
          </w:p>
        </w:tc>
        <w:tc>
          <w:tcPr>
            <w:tcW w:w="1310" w:type="dxa"/>
          </w:tcPr>
          <w:p w14:paraId="58B1AB35">
            <w:pPr>
              <w:spacing w:line="360" w:lineRule="auto"/>
              <w:jc w:val="left"/>
              <w:rPr>
                <w:rFonts w:ascii="宋体" w:cs="宋体"/>
                <w:sz w:val="24"/>
                <w:highlight w:val="none"/>
              </w:rPr>
            </w:pPr>
          </w:p>
        </w:tc>
      </w:tr>
      <w:tr w14:paraId="77E87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704343E9">
            <w:pPr>
              <w:spacing w:line="360" w:lineRule="auto"/>
              <w:jc w:val="left"/>
              <w:rPr>
                <w:rFonts w:ascii="宋体" w:cs="宋体"/>
                <w:sz w:val="24"/>
                <w:highlight w:val="none"/>
              </w:rPr>
            </w:pPr>
            <w:r>
              <w:rPr>
                <w:rFonts w:ascii="宋体" w:hAnsi="宋体" w:cs="宋体"/>
                <w:sz w:val="24"/>
                <w:highlight w:val="none"/>
              </w:rPr>
              <w:t>2</w:t>
            </w:r>
          </w:p>
        </w:tc>
        <w:tc>
          <w:tcPr>
            <w:tcW w:w="2827" w:type="dxa"/>
            <w:vAlign w:val="center"/>
          </w:tcPr>
          <w:p w14:paraId="2957C0C9">
            <w:pPr>
              <w:spacing w:line="360" w:lineRule="auto"/>
              <w:jc w:val="left"/>
              <w:rPr>
                <w:rFonts w:ascii="宋体" w:cs="宋体"/>
                <w:sz w:val="24"/>
                <w:highlight w:val="none"/>
              </w:rPr>
            </w:pPr>
          </w:p>
        </w:tc>
        <w:tc>
          <w:tcPr>
            <w:tcW w:w="1722" w:type="dxa"/>
            <w:vAlign w:val="center"/>
          </w:tcPr>
          <w:p w14:paraId="5D30CFE1">
            <w:pPr>
              <w:spacing w:line="360" w:lineRule="auto"/>
              <w:jc w:val="left"/>
              <w:rPr>
                <w:rFonts w:ascii="宋体" w:cs="宋体"/>
                <w:sz w:val="24"/>
                <w:highlight w:val="none"/>
              </w:rPr>
            </w:pPr>
          </w:p>
        </w:tc>
        <w:tc>
          <w:tcPr>
            <w:tcW w:w="1387" w:type="dxa"/>
            <w:vAlign w:val="center"/>
          </w:tcPr>
          <w:p w14:paraId="594A7325">
            <w:pPr>
              <w:spacing w:line="360" w:lineRule="auto"/>
              <w:jc w:val="left"/>
              <w:rPr>
                <w:rFonts w:ascii="宋体" w:cs="宋体"/>
                <w:sz w:val="24"/>
                <w:highlight w:val="none"/>
              </w:rPr>
            </w:pPr>
          </w:p>
        </w:tc>
        <w:tc>
          <w:tcPr>
            <w:tcW w:w="1310" w:type="dxa"/>
            <w:vAlign w:val="center"/>
          </w:tcPr>
          <w:p w14:paraId="0DC8AA29">
            <w:pPr>
              <w:spacing w:line="360" w:lineRule="auto"/>
              <w:jc w:val="left"/>
              <w:rPr>
                <w:rFonts w:ascii="宋体" w:cs="宋体"/>
                <w:sz w:val="24"/>
                <w:highlight w:val="none"/>
              </w:rPr>
            </w:pPr>
          </w:p>
        </w:tc>
        <w:tc>
          <w:tcPr>
            <w:tcW w:w="1310" w:type="dxa"/>
            <w:vAlign w:val="center"/>
          </w:tcPr>
          <w:p w14:paraId="73142704">
            <w:pPr>
              <w:spacing w:line="360" w:lineRule="auto"/>
              <w:jc w:val="left"/>
              <w:rPr>
                <w:rFonts w:ascii="宋体" w:cs="宋体"/>
                <w:sz w:val="24"/>
                <w:highlight w:val="none"/>
              </w:rPr>
            </w:pPr>
          </w:p>
        </w:tc>
        <w:tc>
          <w:tcPr>
            <w:tcW w:w="1310" w:type="dxa"/>
          </w:tcPr>
          <w:p w14:paraId="5FC9BDA7">
            <w:pPr>
              <w:spacing w:line="360" w:lineRule="auto"/>
              <w:jc w:val="left"/>
              <w:rPr>
                <w:rFonts w:ascii="宋体" w:cs="宋体"/>
                <w:sz w:val="24"/>
                <w:highlight w:val="none"/>
              </w:rPr>
            </w:pPr>
          </w:p>
        </w:tc>
      </w:tr>
      <w:tr w14:paraId="320C5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4BDD6743">
            <w:pPr>
              <w:spacing w:line="360" w:lineRule="auto"/>
              <w:jc w:val="left"/>
              <w:rPr>
                <w:rFonts w:ascii="宋体" w:hAnsi="宋体" w:cs="宋体"/>
                <w:sz w:val="24"/>
                <w:highlight w:val="none"/>
              </w:rPr>
            </w:pPr>
          </w:p>
        </w:tc>
        <w:tc>
          <w:tcPr>
            <w:tcW w:w="2827" w:type="dxa"/>
            <w:vAlign w:val="center"/>
          </w:tcPr>
          <w:p w14:paraId="6924049B">
            <w:pPr>
              <w:spacing w:line="360" w:lineRule="auto"/>
              <w:jc w:val="left"/>
              <w:rPr>
                <w:rFonts w:ascii="宋体" w:cs="宋体"/>
                <w:sz w:val="24"/>
                <w:highlight w:val="none"/>
              </w:rPr>
            </w:pPr>
          </w:p>
        </w:tc>
        <w:tc>
          <w:tcPr>
            <w:tcW w:w="1722" w:type="dxa"/>
            <w:vAlign w:val="center"/>
          </w:tcPr>
          <w:p w14:paraId="0B2FCE68">
            <w:pPr>
              <w:spacing w:line="360" w:lineRule="auto"/>
              <w:jc w:val="left"/>
              <w:rPr>
                <w:rFonts w:ascii="宋体" w:cs="宋体"/>
                <w:sz w:val="24"/>
                <w:highlight w:val="none"/>
              </w:rPr>
            </w:pPr>
          </w:p>
        </w:tc>
        <w:tc>
          <w:tcPr>
            <w:tcW w:w="1387" w:type="dxa"/>
            <w:vAlign w:val="center"/>
          </w:tcPr>
          <w:p w14:paraId="268A2373">
            <w:pPr>
              <w:spacing w:line="360" w:lineRule="auto"/>
              <w:jc w:val="left"/>
              <w:rPr>
                <w:rFonts w:ascii="宋体" w:cs="宋体"/>
                <w:sz w:val="24"/>
                <w:highlight w:val="none"/>
              </w:rPr>
            </w:pPr>
          </w:p>
        </w:tc>
        <w:tc>
          <w:tcPr>
            <w:tcW w:w="1310" w:type="dxa"/>
            <w:vAlign w:val="center"/>
          </w:tcPr>
          <w:p w14:paraId="0F2DCCD5">
            <w:pPr>
              <w:spacing w:line="360" w:lineRule="auto"/>
              <w:jc w:val="left"/>
              <w:rPr>
                <w:rFonts w:ascii="宋体" w:cs="宋体"/>
                <w:sz w:val="24"/>
                <w:highlight w:val="none"/>
              </w:rPr>
            </w:pPr>
          </w:p>
        </w:tc>
        <w:tc>
          <w:tcPr>
            <w:tcW w:w="1310" w:type="dxa"/>
            <w:vAlign w:val="center"/>
          </w:tcPr>
          <w:p w14:paraId="6B837ACC">
            <w:pPr>
              <w:spacing w:line="360" w:lineRule="auto"/>
              <w:jc w:val="left"/>
              <w:rPr>
                <w:rFonts w:ascii="宋体" w:cs="宋体"/>
                <w:sz w:val="24"/>
                <w:highlight w:val="none"/>
              </w:rPr>
            </w:pPr>
          </w:p>
        </w:tc>
        <w:tc>
          <w:tcPr>
            <w:tcW w:w="1310" w:type="dxa"/>
          </w:tcPr>
          <w:p w14:paraId="61676217">
            <w:pPr>
              <w:spacing w:line="360" w:lineRule="auto"/>
              <w:jc w:val="left"/>
              <w:rPr>
                <w:rFonts w:ascii="宋体" w:cs="宋体"/>
                <w:sz w:val="24"/>
                <w:highlight w:val="none"/>
              </w:rPr>
            </w:pPr>
          </w:p>
        </w:tc>
      </w:tr>
      <w:tr w14:paraId="12CCD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1D6ED43C">
            <w:pPr>
              <w:spacing w:line="360" w:lineRule="auto"/>
              <w:jc w:val="left"/>
              <w:rPr>
                <w:rFonts w:ascii="宋体" w:hAnsi="宋体" w:cs="宋体"/>
                <w:sz w:val="24"/>
                <w:highlight w:val="none"/>
              </w:rPr>
            </w:pPr>
            <w:r>
              <w:rPr>
                <w:rFonts w:ascii="宋体" w:hAnsi="宋体" w:cs="宋体"/>
                <w:sz w:val="24"/>
                <w:highlight w:val="none"/>
              </w:rPr>
              <w:t>……</w:t>
            </w:r>
          </w:p>
        </w:tc>
        <w:tc>
          <w:tcPr>
            <w:tcW w:w="2827" w:type="dxa"/>
            <w:vAlign w:val="center"/>
          </w:tcPr>
          <w:p w14:paraId="3E66FDAD">
            <w:pPr>
              <w:spacing w:line="360" w:lineRule="auto"/>
              <w:jc w:val="left"/>
              <w:rPr>
                <w:rFonts w:ascii="宋体" w:cs="宋体"/>
                <w:sz w:val="24"/>
                <w:highlight w:val="none"/>
              </w:rPr>
            </w:pPr>
          </w:p>
        </w:tc>
        <w:tc>
          <w:tcPr>
            <w:tcW w:w="1722" w:type="dxa"/>
            <w:vAlign w:val="center"/>
          </w:tcPr>
          <w:p w14:paraId="7F619EF9">
            <w:pPr>
              <w:spacing w:line="360" w:lineRule="auto"/>
              <w:jc w:val="left"/>
              <w:rPr>
                <w:rFonts w:ascii="宋体" w:cs="宋体"/>
                <w:sz w:val="24"/>
                <w:highlight w:val="none"/>
              </w:rPr>
            </w:pPr>
          </w:p>
        </w:tc>
        <w:tc>
          <w:tcPr>
            <w:tcW w:w="1387" w:type="dxa"/>
            <w:vAlign w:val="center"/>
          </w:tcPr>
          <w:p w14:paraId="64A2043C">
            <w:pPr>
              <w:spacing w:line="360" w:lineRule="auto"/>
              <w:jc w:val="left"/>
              <w:rPr>
                <w:rFonts w:ascii="宋体" w:cs="宋体"/>
                <w:sz w:val="24"/>
                <w:highlight w:val="none"/>
              </w:rPr>
            </w:pPr>
          </w:p>
        </w:tc>
        <w:tc>
          <w:tcPr>
            <w:tcW w:w="1310" w:type="dxa"/>
            <w:vAlign w:val="center"/>
          </w:tcPr>
          <w:p w14:paraId="7FC92387">
            <w:pPr>
              <w:spacing w:line="360" w:lineRule="auto"/>
              <w:jc w:val="left"/>
              <w:rPr>
                <w:rFonts w:ascii="宋体" w:cs="宋体"/>
                <w:sz w:val="24"/>
                <w:highlight w:val="none"/>
              </w:rPr>
            </w:pPr>
          </w:p>
        </w:tc>
        <w:tc>
          <w:tcPr>
            <w:tcW w:w="1310" w:type="dxa"/>
            <w:vAlign w:val="center"/>
          </w:tcPr>
          <w:p w14:paraId="2595FC05">
            <w:pPr>
              <w:spacing w:line="360" w:lineRule="auto"/>
              <w:jc w:val="left"/>
              <w:rPr>
                <w:rFonts w:ascii="宋体" w:cs="宋体"/>
                <w:sz w:val="24"/>
                <w:highlight w:val="none"/>
              </w:rPr>
            </w:pPr>
          </w:p>
        </w:tc>
        <w:tc>
          <w:tcPr>
            <w:tcW w:w="1310" w:type="dxa"/>
          </w:tcPr>
          <w:p w14:paraId="42BDA9B5">
            <w:pPr>
              <w:spacing w:line="360" w:lineRule="auto"/>
              <w:jc w:val="left"/>
              <w:rPr>
                <w:rFonts w:ascii="宋体" w:cs="宋体"/>
                <w:sz w:val="24"/>
                <w:highlight w:val="none"/>
              </w:rPr>
            </w:pPr>
          </w:p>
        </w:tc>
      </w:tr>
      <w:tr w14:paraId="50E38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 w:hRule="atLeast"/>
          <w:jc w:val="center"/>
        </w:trPr>
        <w:tc>
          <w:tcPr>
            <w:tcW w:w="1129" w:type="dxa"/>
            <w:vAlign w:val="center"/>
          </w:tcPr>
          <w:p w14:paraId="0C435D9A">
            <w:pPr>
              <w:spacing w:line="360" w:lineRule="auto"/>
              <w:jc w:val="left"/>
              <w:rPr>
                <w:rFonts w:ascii="宋体" w:cs="宋体"/>
                <w:sz w:val="24"/>
                <w:highlight w:val="none"/>
              </w:rPr>
            </w:pPr>
          </w:p>
        </w:tc>
        <w:tc>
          <w:tcPr>
            <w:tcW w:w="2827" w:type="dxa"/>
            <w:vAlign w:val="center"/>
          </w:tcPr>
          <w:p w14:paraId="68FBF075">
            <w:pPr>
              <w:spacing w:line="360" w:lineRule="auto"/>
              <w:jc w:val="left"/>
              <w:rPr>
                <w:rFonts w:ascii="宋体" w:cs="宋体"/>
                <w:sz w:val="24"/>
                <w:highlight w:val="none"/>
              </w:rPr>
            </w:pPr>
            <w:r>
              <w:rPr>
                <w:rFonts w:hint="eastAsia" w:ascii="宋体" w:hAnsi="宋体" w:cs="宋体"/>
                <w:sz w:val="24"/>
                <w:highlight w:val="none"/>
              </w:rPr>
              <w:t>其他费用</w:t>
            </w:r>
          </w:p>
        </w:tc>
        <w:tc>
          <w:tcPr>
            <w:tcW w:w="5729" w:type="dxa"/>
            <w:gridSpan w:val="4"/>
            <w:vAlign w:val="center"/>
          </w:tcPr>
          <w:p w14:paraId="218D78B6">
            <w:pPr>
              <w:spacing w:line="360" w:lineRule="auto"/>
              <w:jc w:val="left"/>
              <w:rPr>
                <w:rFonts w:ascii="宋体" w:cs="宋体"/>
                <w:sz w:val="24"/>
                <w:highlight w:val="none"/>
              </w:rPr>
            </w:pPr>
          </w:p>
        </w:tc>
        <w:tc>
          <w:tcPr>
            <w:tcW w:w="1310" w:type="dxa"/>
            <w:vAlign w:val="center"/>
          </w:tcPr>
          <w:p w14:paraId="76E84B7A">
            <w:pPr>
              <w:spacing w:line="360" w:lineRule="auto"/>
              <w:jc w:val="left"/>
              <w:rPr>
                <w:rFonts w:ascii="宋体" w:cs="宋体"/>
                <w:sz w:val="24"/>
                <w:highlight w:val="none"/>
              </w:rPr>
            </w:pPr>
          </w:p>
        </w:tc>
      </w:tr>
      <w:tr w14:paraId="36A4A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jc w:val="center"/>
        </w:trPr>
        <w:tc>
          <w:tcPr>
            <w:tcW w:w="1129" w:type="dxa"/>
            <w:vAlign w:val="center"/>
          </w:tcPr>
          <w:p w14:paraId="74481409">
            <w:pPr>
              <w:spacing w:line="360" w:lineRule="auto"/>
              <w:jc w:val="left"/>
              <w:rPr>
                <w:rFonts w:ascii="宋体" w:cs="宋体"/>
                <w:sz w:val="24"/>
                <w:highlight w:val="none"/>
              </w:rPr>
            </w:pPr>
            <w:r>
              <w:rPr>
                <w:rFonts w:hint="eastAsia" w:ascii="宋体" w:hAnsi="宋体" w:cs="宋体"/>
                <w:sz w:val="24"/>
                <w:highlight w:val="none"/>
              </w:rPr>
              <w:t>总计</w:t>
            </w:r>
          </w:p>
        </w:tc>
        <w:tc>
          <w:tcPr>
            <w:tcW w:w="8556" w:type="dxa"/>
            <w:gridSpan w:val="5"/>
            <w:vAlign w:val="center"/>
          </w:tcPr>
          <w:p w14:paraId="5525B50D">
            <w:pPr>
              <w:spacing w:line="360" w:lineRule="auto"/>
              <w:jc w:val="left"/>
              <w:rPr>
                <w:rFonts w:ascii="宋体" w:cs="宋体"/>
                <w:sz w:val="24"/>
                <w:highlight w:val="none"/>
              </w:rPr>
            </w:pPr>
            <w:r>
              <w:rPr>
                <w:rFonts w:hint="eastAsia" w:ascii="宋体" w:hAnsi="宋体" w:cs="宋体"/>
                <w:sz w:val="24"/>
                <w:highlight w:val="none"/>
              </w:rPr>
              <w:t>小写</w:t>
            </w:r>
            <w:r>
              <w:rPr>
                <w:rFonts w:ascii="宋体" w:hAnsi="宋体" w:cs="宋体"/>
                <w:sz w:val="24"/>
                <w:highlight w:val="none"/>
              </w:rPr>
              <w:t xml:space="preserve">:                                  </w:t>
            </w:r>
          </w:p>
          <w:p w14:paraId="5F87691C">
            <w:pPr>
              <w:spacing w:line="360" w:lineRule="auto"/>
              <w:jc w:val="left"/>
              <w:rPr>
                <w:rFonts w:ascii="宋体" w:hAnsi="宋体" w:cs="宋体"/>
                <w:sz w:val="24"/>
                <w:highlight w:val="none"/>
              </w:rPr>
            </w:pPr>
            <w:r>
              <w:rPr>
                <w:rFonts w:hint="eastAsia" w:ascii="宋体" w:hAnsi="宋体" w:cs="宋体"/>
                <w:sz w:val="24"/>
                <w:highlight w:val="none"/>
              </w:rPr>
              <w:t>大写</w:t>
            </w:r>
            <w:r>
              <w:rPr>
                <w:rFonts w:ascii="宋体" w:hAnsi="宋体" w:cs="宋体"/>
                <w:sz w:val="24"/>
                <w:highlight w:val="none"/>
              </w:rPr>
              <w:t>:</w:t>
            </w:r>
          </w:p>
        </w:tc>
        <w:tc>
          <w:tcPr>
            <w:tcW w:w="1310" w:type="dxa"/>
            <w:vAlign w:val="center"/>
          </w:tcPr>
          <w:p w14:paraId="32808B39">
            <w:pPr>
              <w:spacing w:line="360" w:lineRule="auto"/>
              <w:jc w:val="left"/>
              <w:rPr>
                <w:rFonts w:hint="eastAsia" w:ascii="宋体" w:hAnsi="宋体" w:cs="宋体"/>
                <w:sz w:val="24"/>
                <w:highlight w:val="none"/>
              </w:rPr>
            </w:pPr>
          </w:p>
        </w:tc>
      </w:tr>
    </w:tbl>
    <w:p w14:paraId="29C8998F">
      <w:pPr>
        <w:spacing w:line="360" w:lineRule="auto"/>
        <w:jc w:val="left"/>
        <w:rPr>
          <w:rFonts w:ascii="宋体" w:cs="宋体"/>
          <w:sz w:val="24"/>
          <w:highlight w:val="none"/>
        </w:rPr>
      </w:pPr>
    </w:p>
    <w:p w14:paraId="3A6D72A2">
      <w:pPr>
        <w:spacing w:line="360" w:lineRule="auto"/>
        <w:jc w:val="left"/>
        <w:rPr>
          <w:rFonts w:ascii="宋体" w:cs="宋体"/>
          <w:sz w:val="24"/>
          <w:highlight w:val="none"/>
        </w:rPr>
      </w:pPr>
    </w:p>
    <w:p w14:paraId="2EE280F8">
      <w:pPr>
        <w:spacing w:line="360" w:lineRule="auto"/>
        <w:jc w:val="left"/>
        <w:rPr>
          <w:rFonts w:ascii="宋体" w:cs="宋体"/>
          <w:sz w:val="24"/>
          <w:highlight w:val="none"/>
        </w:rPr>
      </w:pPr>
      <w:r>
        <w:rPr>
          <w:rFonts w:hint="eastAsia" w:ascii="宋体" w:hAnsi="宋体" w:cs="宋体"/>
          <w:sz w:val="24"/>
          <w:highlight w:val="none"/>
        </w:rPr>
        <w:t>投标人法定代表人或代理人（盖章或签字）：</w:t>
      </w:r>
    </w:p>
    <w:p w14:paraId="208C8529">
      <w:pPr>
        <w:spacing w:line="360" w:lineRule="auto"/>
        <w:jc w:val="left"/>
        <w:rPr>
          <w:rFonts w:ascii="宋体" w:cs="宋体"/>
          <w:sz w:val="24"/>
          <w:highlight w:val="none"/>
        </w:rPr>
      </w:pPr>
    </w:p>
    <w:p w14:paraId="7025B5A1">
      <w:pPr>
        <w:spacing w:line="360" w:lineRule="auto"/>
        <w:jc w:val="left"/>
        <w:rPr>
          <w:rFonts w:ascii="宋体" w:cs="宋体"/>
          <w:sz w:val="24"/>
          <w:highlight w:val="none"/>
        </w:rPr>
      </w:pPr>
      <w:r>
        <w:rPr>
          <w:rFonts w:hint="eastAsia" w:ascii="宋体" w:hAnsi="宋体" w:cs="宋体"/>
          <w:sz w:val="24"/>
          <w:highlight w:val="none"/>
        </w:rPr>
        <w:t>投标人盖章：</w:t>
      </w:r>
      <w:r>
        <w:rPr>
          <w:rFonts w:ascii="宋体" w:hAnsi="宋体" w:cs="宋体"/>
          <w:sz w:val="24"/>
          <w:highlight w:val="none"/>
        </w:rPr>
        <w:t xml:space="preserve">                                       </w:t>
      </w:r>
    </w:p>
    <w:p w14:paraId="60DAE332">
      <w:pPr>
        <w:spacing w:line="360" w:lineRule="auto"/>
        <w:jc w:val="left"/>
        <w:rPr>
          <w:rFonts w:ascii="宋体" w:cs="宋体"/>
          <w:sz w:val="24"/>
          <w:highlight w:val="none"/>
        </w:rPr>
      </w:pPr>
    </w:p>
    <w:p w14:paraId="71AFA547">
      <w:pPr>
        <w:spacing w:line="360" w:lineRule="auto"/>
        <w:jc w:val="left"/>
        <w:rPr>
          <w:rFonts w:ascii="宋体" w:cs="宋体"/>
          <w:sz w:val="24"/>
          <w:highlight w:val="none"/>
        </w:rPr>
      </w:pPr>
    </w:p>
    <w:p w14:paraId="182C7497">
      <w:pPr>
        <w:spacing w:line="360" w:lineRule="auto"/>
        <w:jc w:val="right"/>
        <w:rPr>
          <w:rFonts w:ascii="宋体" w:cs="宋体"/>
          <w:sz w:val="24"/>
          <w:highlight w:val="none"/>
        </w:rPr>
      </w:pPr>
      <w:r>
        <w:rPr>
          <w:rFonts w:hint="eastAsia" w:ascii="宋体" w:hAnsi="宋体" w:cs="宋体"/>
          <w:sz w:val="24"/>
          <w:highlight w:val="none"/>
        </w:rPr>
        <w:t>年</w:t>
      </w:r>
      <w:r>
        <w:rPr>
          <w:rFonts w:ascii="宋体" w:hAnsi="宋体" w:cs="宋体"/>
          <w:sz w:val="24"/>
          <w:highlight w:val="none"/>
        </w:rPr>
        <w:t xml:space="preserve">   </w:t>
      </w:r>
      <w:r>
        <w:rPr>
          <w:rFonts w:hint="eastAsia" w:ascii="宋体" w:hAnsi="宋体" w:cs="宋体"/>
          <w:sz w:val="24"/>
          <w:highlight w:val="none"/>
        </w:rPr>
        <w:t>月</w:t>
      </w:r>
      <w:r>
        <w:rPr>
          <w:rFonts w:ascii="宋体" w:hAnsi="宋体" w:cs="宋体"/>
          <w:sz w:val="24"/>
          <w:highlight w:val="none"/>
        </w:rPr>
        <w:t xml:space="preserve">   </w:t>
      </w:r>
      <w:r>
        <w:rPr>
          <w:rFonts w:hint="eastAsia" w:ascii="宋体" w:hAnsi="宋体" w:cs="宋体"/>
          <w:sz w:val="24"/>
          <w:highlight w:val="none"/>
        </w:rPr>
        <w:t>日</w:t>
      </w:r>
    </w:p>
    <w:p w14:paraId="1B1A7B1C">
      <w:pPr>
        <w:spacing w:line="360" w:lineRule="auto"/>
        <w:jc w:val="left"/>
        <w:rPr>
          <w:rFonts w:ascii="宋体" w:cs="宋体"/>
          <w:sz w:val="24"/>
          <w:highlight w:val="none"/>
        </w:rPr>
      </w:pPr>
    </w:p>
    <w:p w14:paraId="2FCC1936">
      <w:pPr>
        <w:spacing w:line="360" w:lineRule="auto"/>
        <w:jc w:val="left"/>
        <w:rPr>
          <w:rFonts w:ascii="宋体" w:cs="宋体"/>
          <w:sz w:val="24"/>
          <w:highlight w:val="none"/>
        </w:rPr>
      </w:pPr>
    </w:p>
    <w:p w14:paraId="1D81854E">
      <w:pPr>
        <w:spacing w:line="360" w:lineRule="auto"/>
        <w:jc w:val="left"/>
        <w:rPr>
          <w:rFonts w:ascii="宋体" w:cs="宋体"/>
          <w:sz w:val="24"/>
          <w:highlight w:val="none"/>
        </w:rPr>
      </w:pPr>
      <w:r>
        <w:rPr>
          <w:rFonts w:hint="eastAsia" w:ascii="宋体" w:hAnsi="宋体" w:cs="宋体"/>
          <w:sz w:val="24"/>
          <w:highlight w:val="none"/>
        </w:rPr>
        <w:t>注：上述报价包含一切由供方承担的费用；</w:t>
      </w:r>
    </w:p>
    <w:p w14:paraId="11A66CC0">
      <w:pPr>
        <w:widowControl/>
        <w:spacing w:line="360" w:lineRule="auto"/>
        <w:jc w:val="left"/>
        <w:rPr>
          <w:rFonts w:ascii="宋体" w:cs="宋体"/>
          <w:b/>
          <w:sz w:val="24"/>
          <w:highlight w:val="none"/>
        </w:rPr>
      </w:pPr>
      <w:r>
        <w:rPr>
          <w:rFonts w:ascii="宋体" w:cs="宋体"/>
          <w:b/>
          <w:sz w:val="24"/>
          <w:highlight w:val="none"/>
        </w:rPr>
        <w:br w:type="page"/>
      </w:r>
    </w:p>
    <w:p w14:paraId="7142C9E9">
      <w:pPr>
        <w:pStyle w:val="5"/>
        <w:rPr>
          <w:rFonts w:ascii="宋体" w:cs="宋体"/>
          <w:bCs w:val="0"/>
          <w:sz w:val="32"/>
          <w:szCs w:val="24"/>
          <w:highlight w:val="none"/>
        </w:rPr>
      </w:pPr>
      <w:bookmarkStart w:id="220" w:name="_Toc44704925"/>
      <w:bookmarkStart w:id="221" w:name="_Toc18549"/>
      <w:bookmarkStart w:id="222" w:name="_Toc44705072"/>
      <w:bookmarkStart w:id="223" w:name="_Toc3583"/>
      <w:r>
        <w:rPr>
          <w:rFonts w:ascii="宋体" w:hAnsi="宋体" w:cs="宋体"/>
          <w:bCs w:val="0"/>
          <w:sz w:val="32"/>
          <w:szCs w:val="24"/>
          <w:highlight w:val="none"/>
        </w:rPr>
        <w:t>2.4</w:t>
      </w:r>
      <w:r>
        <w:rPr>
          <w:rFonts w:hint="eastAsia" w:ascii="宋体" w:hAnsi="宋体" w:cs="宋体"/>
          <w:bCs w:val="0"/>
          <w:sz w:val="32"/>
          <w:szCs w:val="24"/>
          <w:highlight w:val="none"/>
        </w:rPr>
        <w:t>、技术规格偏离表格式</w:t>
      </w:r>
      <w:bookmarkEnd w:id="220"/>
      <w:bookmarkEnd w:id="221"/>
      <w:bookmarkEnd w:id="222"/>
      <w:bookmarkEnd w:id="223"/>
    </w:p>
    <w:p w14:paraId="4FE468BB">
      <w:pPr>
        <w:spacing w:line="360" w:lineRule="auto"/>
        <w:jc w:val="center"/>
        <w:rPr>
          <w:rFonts w:ascii="宋体" w:cs="宋体"/>
          <w:b/>
          <w:bCs/>
          <w:sz w:val="32"/>
          <w:szCs w:val="32"/>
          <w:highlight w:val="none"/>
        </w:rPr>
      </w:pPr>
      <w:r>
        <w:rPr>
          <w:rFonts w:hint="eastAsia" w:ascii="宋体" w:hAnsi="宋体" w:cs="宋体"/>
          <w:b/>
          <w:bCs/>
          <w:sz w:val="32"/>
          <w:szCs w:val="32"/>
          <w:highlight w:val="none"/>
        </w:rPr>
        <w:t>技术规格偏离表</w:t>
      </w:r>
    </w:p>
    <w:p w14:paraId="3058E1B6">
      <w:pPr>
        <w:spacing w:line="360" w:lineRule="auto"/>
        <w:jc w:val="center"/>
        <w:rPr>
          <w:rFonts w:ascii="宋体" w:cs="宋体"/>
          <w:b/>
          <w:bCs/>
          <w:szCs w:val="21"/>
          <w:highlight w:val="none"/>
        </w:rPr>
      </w:pPr>
    </w:p>
    <w:p w14:paraId="78AF1552">
      <w:pPr>
        <w:tabs>
          <w:tab w:val="left" w:pos="1800"/>
          <w:tab w:val="left" w:pos="5580"/>
        </w:tabs>
        <w:spacing w:line="360" w:lineRule="auto"/>
        <w:jc w:val="left"/>
        <w:rPr>
          <w:rFonts w:ascii="宋体" w:cs="宋体"/>
          <w:sz w:val="24"/>
          <w:highlight w:val="none"/>
          <w:u w:val="single"/>
        </w:rPr>
      </w:pPr>
      <w:r>
        <w:rPr>
          <w:rFonts w:hint="eastAsia" w:ascii="宋体" w:hAnsi="宋体" w:cs="宋体"/>
          <w:sz w:val="24"/>
          <w:highlight w:val="none"/>
        </w:rPr>
        <w:t>招标编号：</w:t>
      </w:r>
    </w:p>
    <w:p w14:paraId="01E64866">
      <w:pPr>
        <w:tabs>
          <w:tab w:val="left" w:pos="1800"/>
          <w:tab w:val="left" w:pos="5580"/>
        </w:tabs>
        <w:spacing w:line="360" w:lineRule="auto"/>
        <w:jc w:val="left"/>
        <w:rPr>
          <w:rFonts w:ascii="宋体" w:cs="宋体"/>
          <w:sz w:val="24"/>
          <w:highlight w:val="none"/>
          <w:u w:val="single"/>
        </w:rPr>
      </w:pPr>
      <w:r>
        <w:rPr>
          <w:rFonts w:hint="eastAsia" w:ascii="宋体" w:hAnsi="宋体" w:cs="宋体"/>
          <w:sz w:val="24"/>
          <w:highlight w:val="none"/>
          <w:lang w:eastAsia="zh-CN"/>
        </w:rPr>
        <w:t>标项名称</w:t>
      </w:r>
      <w:r>
        <w:rPr>
          <w:rFonts w:hint="eastAsia" w:ascii="宋体" w:hAnsi="宋体" w:cs="宋体"/>
          <w:sz w:val="24"/>
          <w:highlight w:val="none"/>
        </w:rPr>
        <w:t>：</w:t>
      </w:r>
      <w:r>
        <w:rPr>
          <w:rFonts w:hint="eastAsia" w:ascii="宋体" w:hAnsi="宋体" w:cs="宋体"/>
          <w:sz w:val="24"/>
          <w:highlight w:val="none"/>
          <w:u w:val="single"/>
        </w:rPr>
        <w:t>　</w:t>
      </w:r>
      <w:r>
        <w:rPr>
          <w:rFonts w:ascii="宋体" w:hAnsi="宋体" w:cs="宋体"/>
          <w:sz w:val="24"/>
          <w:highlight w:val="none"/>
          <w:u w:val="single"/>
        </w:rPr>
        <w:t xml:space="preserve">          </w:t>
      </w:r>
    </w:p>
    <w:p w14:paraId="5B0285B4">
      <w:pPr>
        <w:spacing w:line="360" w:lineRule="auto"/>
        <w:rPr>
          <w:rFonts w:ascii="宋体" w:cs="宋体"/>
          <w:sz w:val="24"/>
          <w:szCs w:val="24"/>
          <w:highlight w:val="none"/>
        </w:rPr>
      </w:pPr>
    </w:p>
    <w:tbl>
      <w:tblPr>
        <w:tblStyle w:val="48"/>
        <w:tblW w:w="92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176"/>
        <w:gridCol w:w="1176"/>
        <w:gridCol w:w="2136"/>
        <w:gridCol w:w="1176"/>
        <w:gridCol w:w="1176"/>
        <w:gridCol w:w="1051"/>
        <w:gridCol w:w="690"/>
      </w:tblGrid>
      <w:tr w14:paraId="12FBD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696" w:type="dxa"/>
            <w:vAlign w:val="center"/>
          </w:tcPr>
          <w:p w14:paraId="57772B76">
            <w:pPr>
              <w:spacing w:line="360" w:lineRule="auto"/>
              <w:jc w:val="center"/>
              <w:rPr>
                <w:rFonts w:ascii="宋体" w:cs="宋体"/>
                <w:sz w:val="24"/>
                <w:szCs w:val="24"/>
                <w:highlight w:val="none"/>
              </w:rPr>
            </w:pPr>
            <w:r>
              <w:rPr>
                <w:rFonts w:hint="eastAsia" w:ascii="宋体" w:hAnsi="宋体" w:cs="宋体"/>
                <w:sz w:val="24"/>
                <w:szCs w:val="24"/>
                <w:highlight w:val="none"/>
              </w:rPr>
              <w:t>序号</w:t>
            </w:r>
          </w:p>
        </w:tc>
        <w:tc>
          <w:tcPr>
            <w:tcW w:w="1176" w:type="dxa"/>
            <w:vAlign w:val="center"/>
          </w:tcPr>
          <w:p w14:paraId="56F4A5A7">
            <w:pPr>
              <w:spacing w:line="360" w:lineRule="auto"/>
              <w:jc w:val="center"/>
              <w:rPr>
                <w:rFonts w:ascii="宋体" w:cs="宋体"/>
                <w:sz w:val="24"/>
                <w:szCs w:val="24"/>
                <w:highlight w:val="none"/>
              </w:rPr>
            </w:pPr>
            <w:r>
              <w:rPr>
                <w:rFonts w:hint="eastAsia" w:ascii="宋体" w:hAnsi="宋体" w:cs="宋体"/>
                <w:sz w:val="24"/>
                <w:szCs w:val="24"/>
                <w:highlight w:val="none"/>
              </w:rPr>
              <w:t>标的名称</w:t>
            </w:r>
          </w:p>
        </w:tc>
        <w:tc>
          <w:tcPr>
            <w:tcW w:w="1176" w:type="dxa"/>
            <w:vAlign w:val="center"/>
          </w:tcPr>
          <w:p w14:paraId="32014A3C">
            <w:pPr>
              <w:spacing w:line="360" w:lineRule="auto"/>
              <w:jc w:val="center"/>
              <w:rPr>
                <w:rFonts w:ascii="宋体" w:cs="宋体"/>
                <w:sz w:val="24"/>
                <w:szCs w:val="24"/>
                <w:highlight w:val="none"/>
              </w:rPr>
            </w:pPr>
            <w:r>
              <w:rPr>
                <w:rFonts w:hint="eastAsia" w:ascii="宋体" w:hAnsi="宋体" w:cs="宋体"/>
                <w:sz w:val="24"/>
                <w:szCs w:val="24"/>
                <w:highlight w:val="none"/>
              </w:rPr>
              <w:t>招标文件</w:t>
            </w:r>
          </w:p>
          <w:p w14:paraId="537C23D5">
            <w:pPr>
              <w:spacing w:line="360" w:lineRule="auto"/>
              <w:jc w:val="center"/>
              <w:rPr>
                <w:rFonts w:ascii="宋体" w:cs="宋体"/>
                <w:sz w:val="24"/>
                <w:szCs w:val="24"/>
                <w:highlight w:val="none"/>
              </w:rPr>
            </w:pPr>
            <w:r>
              <w:rPr>
                <w:rFonts w:hint="eastAsia" w:ascii="宋体" w:hAnsi="宋体" w:cs="宋体"/>
                <w:sz w:val="24"/>
                <w:szCs w:val="24"/>
                <w:highlight w:val="none"/>
              </w:rPr>
              <w:t>条目号</w:t>
            </w:r>
          </w:p>
        </w:tc>
        <w:tc>
          <w:tcPr>
            <w:tcW w:w="2136" w:type="dxa"/>
            <w:vAlign w:val="center"/>
          </w:tcPr>
          <w:p w14:paraId="2CC1AE19">
            <w:pPr>
              <w:spacing w:line="360" w:lineRule="auto"/>
              <w:jc w:val="center"/>
              <w:rPr>
                <w:rFonts w:ascii="宋体" w:cs="宋体"/>
                <w:sz w:val="24"/>
                <w:szCs w:val="24"/>
                <w:highlight w:val="none"/>
              </w:rPr>
            </w:pPr>
            <w:r>
              <w:rPr>
                <w:rFonts w:hint="eastAsia" w:ascii="宋体" w:hAnsi="宋体" w:cs="宋体"/>
                <w:sz w:val="24"/>
                <w:szCs w:val="24"/>
                <w:highlight w:val="none"/>
              </w:rPr>
              <w:t>招标文件要求规格</w:t>
            </w:r>
          </w:p>
        </w:tc>
        <w:tc>
          <w:tcPr>
            <w:tcW w:w="1176" w:type="dxa"/>
            <w:vAlign w:val="center"/>
          </w:tcPr>
          <w:p w14:paraId="2FAFB72D">
            <w:pPr>
              <w:spacing w:line="360" w:lineRule="auto"/>
              <w:jc w:val="center"/>
              <w:rPr>
                <w:rFonts w:ascii="宋体" w:cs="宋体"/>
                <w:sz w:val="24"/>
                <w:szCs w:val="24"/>
                <w:highlight w:val="none"/>
              </w:rPr>
            </w:pPr>
            <w:r>
              <w:rPr>
                <w:rFonts w:hint="eastAsia" w:ascii="宋体" w:hAnsi="宋体" w:cs="宋体"/>
                <w:sz w:val="24"/>
                <w:szCs w:val="24"/>
                <w:highlight w:val="none"/>
              </w:rPr>
              <w:t>投标规格</w:t>
            </w:r>
          </w:p>
        </w:tc>
        <w:tc>
          <w:tcPr>
            <w:tcW w:w="1176" w:type="dxa"/>
            <w:vAlign w:val="center"/>
          </w:tcPr>
          <w:p w14:paraId="5E28A494">
            <w:pPr>
              <w:spacing w:line="360" w:lineRule="auto"/>
              <w:jc w:val="center"/>
              <w:rPr>
                <w:rFonts w:ascii="宋体" w:cs="宋体"/>
                <w:sz w:val="24"/>
                <w:szCs w:val="24"/>
                <w:highlight w:val="none"/>
              </w:rPr>
            </w:pPr>
            <w:r>
              <w:rPr>
                <w:rFonts w:hint="eastAsia" w:ascii="宋体" w:hAnsi="宋体" w:cs="宋体"/>
                <w:sz w:val="24"/>
                <w:szCs w:val="24"/>
                <w:highlight w:val="none"/>
              </w:rPr>
              <w:t>偏离情况</w:t>
            </w:r>
          </w:p>
        </w:tc>
        <w:tc>
          <w:tcPr>
            <w:tcW w:w="1051" w:type="dxa"/>
            <w:vAlign w:val="center"/>
          </w:tcPr>
          <w:p w14:paraId="75478CD9">
            <w:pPr>
              <w:spacing w:line="360" w:lineRule="auto"/>
              <w:jc w:val="center"/>
              <w:rPr>
                <w:rFonts w:hint="default" w:ascii="宋体" w:eastAsia="宋体" w:cs="宋体"/>
                <w:sz w:val="24"/>
                <w:szCs w:val="24"/>
                <w:highlight w:val="none"/>
                <w:lang w:val="en-US" w:eastAsia="zh-CN"/>
              </w:rPr>
            </w:pPr>
            <w:r>
              <w:rPr>
                <w:rFonts w:hint="eastAsia" w:ascii="宋体" w:cs="宋体"/>
                <w:sz w:val="24"/>
                <w:szCs w:val="24"/>
                <w:highlight w:val="none"/>
                <w:lang w:val="en-US" w:eastAsia="zh-CN"/>
              </w:rPr>
              <w:t>佐证材料的页数</w:t>
            </w:r>
          </w:p>
        </w:tc>
        <w:tc>
          <w:tcPr>
            <w:tcW w:w="690" w:type="dxa"/>
            <w:vAlign w:val="center"/>
          </w:tcPr>
          <w:p w14:paraId="59FA4927">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说明</w:t>
            </w:r>
          </w:p>
        </w:tc>
      </w:tr>
      <w:tr w14:paraId="73D9E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96" w:type="dxa"/>
          </w:tcPr>
          <w:p w14:paraId="6A4E5118">
            <w:pPr>
              <w:spacing w:line="360" w:lineRule="auto"/>
              <w:rPr>
                <w:rFonts w:ascii="宋体" w:cs="宋体"/>
                <w:sz w:val="24"/>
                <w:szCs w:val="24"/>
                <w:highlight w:val="none"/>
              </w:rPr>
            </w:pPr>
          </w:p>
        </w:tc>
        <w:tc>
          <w:tcPr>
            <w:tcW w:w="1176" w:type="dxa"/>
          </w:tcPr>
          <w:p w14:paraId="31BF3A1A">
            <w:pPr>
              <w:spacing w:line="360" w:lineRule="auto"/>
              <w:rPr>
                <w:rFonts w:ascii="宋体" w:cs="宋体"/>
                <w:sz w:val="24"/>
                <w:szCs w:val="24"/>
                <w:highlight w:val="none"/>
              </w:rPr>
            </w:pPr>
          </w:p>
        </w:tc>
        <w:tc>
          <w:tcPr>
            <w:tcW w:w="1176" w:type="dxa"/>
          </w:tcPr>
          <w:p w14:paraId="7CB8052D">
            <w:pPr>
              <w:spacing w:line="360" w:lineRule="auto"/>
              <w:rPr>
                <w:rFonts w:ascii="宋体" w:cs="宋体"/>
                <w:sz w:val="24"/>
                <w:szCs w:val="24"/>
                <w:highlight w:val="none"/>
              </w:rPr>
            </w:pPr>
          </w:p>
        </w:tc>
        <w:tc>
          <w:tcPr>
            <w:tcW w:w="2136" w:type="dxa"/>
          </w:tcPr>
          <w:p w14:paraId="3D0157AD">
            <w:pPr>
              <w:spacing w:line="360" w:lineRule="auto"/>
              <w:rPr>
                <w:rFonts w:ascii="宋体" w:cs="宋体"/>
                <w:sz w:val="24"/>
                <w:szCs w:val="24"/>
                <w:highlight w:val="none"/>
              </w:rPr>
            </w:pPr>
          </w:p>
        </w:tc>
        <w:tc>
          <w:tcPr>
            <w:tcW w:w="1176" w:type="dxa"/>
          </w:tcPr>
          <w:p w14:paraId="5CC28530">
            <w:pPr>
              <w:spacing w:line="360" w:lineRule="auto"/>
              <w:rPr>
                <w:rFonts w:ascii="宋体" w:cs="宋体"/>
                <w:sz w:val="24"/>
                <w:szCs w:val="24"/>
                <w:highlight w:val="none"/>
              </w:rPr>
            </w:pPr>
          </w:p>
        </w:tc>
        <w:tc>
          <w:tcPr>
            <w:tcW w:w="1176" w:type="dxa"/>
          </w:tcPr>
          <w:p w14:paraId="541812F0">
            <w:pPr>
              <w:spacing w:line="360" w:lineRule="auto"/>
              <w:rPr>
                <w:rFonts w:ascii="宋体" w:cs="宋体"/>
                <w:sz w:val="24"/>
                <w:szCs w:val="24"/>
                <w:highlight w:val="none"/>
              </w:rPr>
            </w:pPr>
          </w:p>
        </w:tc>
        <w:tc>
          <w:tcPr>
            <w:tcW w:w="1051" w:type="dxa"/>
          </w:tcPr>
          <w:p w14:paraId="11259049">
            <w:pPr>
              <w:spacing w:line="360" w:lineRule="auto"/>
              <w:rPr>
                <w:rFonts w:ascii="宋体" w:cs="宋体"/>
                <w:sz w:val="24"/>
                <w:szCs w:val="24"/>
                <w:highlight w:val="none"/>
              </w:rPr>
            </w:pPr>
          </w:p>
        </w:tc>
        <w:tc>
          <w:tcPr>
            <w:tcW w:w="690" w:type="dxa"/>
          </w:tcPr>
          <w:p w14:paraId="351CE514">
            <w:pPr>
              <w:spacing w:line="360" w:lineRule="auto"/>
              <w:rPr>
                <w:rFonts w:ascii="宋体" w:cs="宋体"/>
                <w:sz w:val="24"/>
                <w:szCs w:val="24"/>
                <w:highlight w:val="none"/>
              </w:rPr>
            </w:pPr>
          </w:p>
        </w:tc>
      </w:tr>
      <w:tr w14:paraId="190F7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696" w:type="dxa"/>
          </w:tcPr>
          <w:p w14:paraId="765533E7">
            <w:pPr>
              <w:spacing w:line="360" w:lineRule="auto"/>
              <w:rPr>
                <w:rFonts w:ascii="宋体" w:cs="宋体"/>
                <w:sz w:val="24"/>
                <w:szCs w:val="24"/>
                <w:highlight w:val="none"/>
              </w:rPr>
            </w:pPr>
          </w:p>
        </w:tc>
        <w:tc>
          <w:tcPr>
            <w:tcW w:w="1176" w:type="dxa"/>
          </w:tcPr>
          <w:p w14:paraId="7DDC93CF">
            <w:pPr>
              <w:spacing w:line="360" w:lineRule="auto"/>
              <w:rPr>
                <w:rFonts w:ascii="宋体" w:cs="宋体"/>
                <w:sz w:val="24"/>
                <w:szCs w:val="24"/>
                <w:highlight w:val="none"/>
              </w:rPr>
            </w:pPr>
          </w:p>
        </w:tc>
        <w:tc>
          <w:tcPr>
            <w:tcW w:w="1176" w:type="dxa"/>
          </w:tcPr>
          <w:p w14:paraId="1A748C93">
            <w:pPr>
              <w:spacing w:line="360" w:lineRule="auto"/>
              <w:rPr>
                <w:rFonts w:ascii="宋体" w:cs="宋体"/>
                <w:sz w:val="24"/>
                <w:szCs w:val="24"/>
                <w:highlight w:val="none"/>
              </w:rPr>
            </w:pPr>
          </w:p>
        </w:tc>
        <w:tc>
          <w:tcPr>
            <w:tcW w:w="2136" w:type="dxa"/>
          </w:tcPr>
          <w:p w14:paraId="06B36E5F">
            <w:pPr>
              <w:spacing w:line="360" w:lineRule="auto"/>
              <w:rPr>
                <w:rFonts w:ascii="宋体" w:cs="宋体"/>
                <w:sz w:val="24"/>
                <w:szCs w:val="24"/>
                <w:highlight w:val="none"/>
              </w:rPr>
            </w:pPr>
          </w:p>
        </w:tc>
        <w:tc>
          <w:tcPr>
            <w:tcW w:w="1176" w:type="dxa"/>
          </w:tcPr>
          <w:p w14:paraId="6B6272CF">
            <w:pPr>
              <w:spacing w:line="360" w:lineRule="auto"/>
              <w:rPr>
                <w:rFonts w:ascii="宋体" w:cs="宋体"/>
                <w:sz w:val="24"/>
                <w:szCs w:val="24"/>
                <w:highlight w:val="none"/>
              </w:rPr>
            </w:pPr>
          </w:p>
        </w:tc>
        <w:tc>
          <w:tcPr>
            <w:tcW w:w="1176" w:type="dxa"/>
          </w:tcPr>
          <w:p w14:paraId="43F4308F">
            <w:pPr>
              <w:spacing w:line="360" w:lineRule="auto"/>
              <w:rPr>
                <w:rFonts w:ascii="宋体" w:cs="宋体"/>
                <w:sz w:val="24"/>
                <w:szCs w:val="24"/>
                <w:highlight w:val="none"/>
              </w:rPr>
            </w:pPr>
          </w:p>
        </w:tc>
        <w:tc>
          <w:tcPr>
            <w:tcW w:w="1051" w:type="dxa"/>
          </w:tcPr>
          <w:p w14:paraId="04424A38">
            <w:pPr>
              <w:spacing w:line="360" w:lineRule="auto"/>
              <w:rPr>
                <w:rFonts w:ascii="宋体" w:cs="宋体"/>
                <w:sz w:val="24"/>
                <w:szCs w:val="24"/>
                <w:highlight w:val="none"/>
              </w:rPr>
            </w:pPr>
          </w:p>
        </w:tc>
        <w:tc>
          <w:tcPr>
            <w:tcW w:w="690" w:type="dxa"/>
          </w:tcPr>
          <w:p w14:paraId="1E4C5B79">
            <w:pPr>
              <w:spacing w:line="360" w:lineRule="auto"/>
              <w:rPr>
                <w:rFonts w:ascii="宋体" w:cs="宋体"/>
                <w:sz w:val="24"/>
                <w:szCs w:val="24"/>
                <w:highlight w:val="none"/>
              </w:rPr>
            </w:pPr>
          </w:p>
        </w:tc>
      </w:tr>
      <w:tr w14:paraId="52102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696" w:type="dxa"/>
          </w:tcPr>
          <w:p w14:paraId="492E5FFF">
            <w:pPr>
              <w:spacing w:line="360" w:lineRule="auto"/>
              <w:rPr>
                <w:rFonts w:ascii="宋体" w:cs="宋体"/>
                <w:sz w:val="24"/>
                <w:szCs w:val="24"/>
                <w:highlight w:val="none"/>
              </w:rPr>
            </w:pPr>
          </w:p>
        </w:tc>
        <w:tc>
          <w:tcPr>
            <w:tcW w:w="1176" w:type="dxa"/>
          </w:tcPr>
          <w:p w14:paraId="28E5754E">
            <w:pPr>
              <w:spacing w:line="360" w:lineRule="auto"/>
              <w:rPr>
                <w:rFonts w:ascii="宋体" w:cs="宋体"/>
                <w:sz w:val="24"/>
                <w:szCs w:val="24"/>
                <w:highlight w:val="none"/>
              </w:rPr>
            </w:pPr>
          </w:p>
        </w:tc>
        <w:tc>
          <w:tcPr>
            <w:tcW w:w="1176" w:type="dxa"/>
          </w:tcPr>
          <w:p w14:paraId="424593F1">
            <w:pPr>
              <w:spacing w:line="360" w:lineRule="auto"/>
              <w:rPr>
                <w:rFonts w:ascii="宋体" w:cs="宋体"/>
                <w:sz w:val="24"/>
                <w:szCs w:val="24"/>
                <w:highlight w:val="none"/>
              </w:rPr>
            </w:pPr>
          </w:p>
        </w:tc>
        <w:tc>
          <w:tcPr>
            <w:tcW w:w="2136" w:type="dxa"/>
          </w:tcPr>
          <w:p w14:paraId="6AB8E77E">
            <w:pPr>
              <w:spacing w:line="360" w:lineRule="auto"/>
              <w:rPr>
                <w:rFonts w:ascii="宋体" w:cs="宋体"/>
                <w:sz w:val="24"/>
                <w:szCs w:val="24"/>
                <w:highlight w:val="none"/>
              </w:rPr>
            </w:pPr>
          </w:p>
        </w:tc>
        <w:tc>
          <w:tcPr>
            <w:tcW w:w="1176" w:type="dxa"/>
          </w:tcPr>
          <w:p w14:paraId="1F646DF7">
            <w:pPr>
              <w:spacing w:line="360" w:lineRule="auto"/>
              <w:rPr>
                <w:rFonts w:ascii="宋体" w:cs="宋体"/>
                <w:sz w:val="24"/>
                <w:szCs w:val="24"/>
                <w:highlight w:val="none"/>
              </w:rPr>
            </w:pPr>
          </w:p>
        </w:tc>
        <w:tc>
          <w:tcPr>
            <w:tcW w:w="1176" w:type="dxa"/>
          </w:tcPr>
          <w:p w14:paraId="16CFEC54">
            <w:pPr>
              <w:spacing w:line="360" w:lineRule="auto"/>
              <w:rPr>
                <w:rFonts w:ascii="宋体" w:cs="宋体"/>
                <w:sz w:val="24"/>
                <w:szCs w:val="24"/>
                <w:highlight w:val="none"/>
              </w:rPr>
            </w:pPr>
          </w:p>
        </w:tc>
        <w:tc>
          <w:tcPr>
            <w:tcW w:w="1051" w:type="dxa"/>
          </w:tcPr>
          <w:p w14:paraId="150E4F7C">
            <w:pPr>
              <w:spacing w:line="360" w:lineRule="auto"/>
              <w:rPr>
                <w:rFonts w:ascii="宋体" w:cs="宋体"/>
                <w:sz w:val="24"/>
                <w:szCs w:val="24"/>
                <w:highlight w:val="none"/>
              </w:rPr>
            </w:pPr>
          </w:p>
        </w:tc>
        <w:tc>
          <w:tcPr>
            <w:tcW w:w="690" w:type="dxa"/>
          </w:tcPr>
          <w:p w14:paraId="009B6DC8">
            <w:pPr>
              <w:spacing w:line="360" w:lineRule="auto"/>
              <w:rPr>
                <w:rFonts w:ascii="宋体" w:cs="宋体"/>
                <w:sz w:val="24"/>
                <w:szCs w:val="24"/>
                <w:highlight w:val="none"/>
              </w:rPr>
            </w:pPr>
          </w:p>
        </w:tc>
      </w:tr>
      <w:tr w14:paraId="63889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696" w:type="dxa"/>
          </w:tcPr>
          <w:p w14:paraId="3C39B518">
            <w:pPr>
              <w:spacing w:line="360" w:lineRule="auto"/>
              <w:rPr>
                <w:rFonts w:ascii="宋体" w:cs="宋体"/>
                <w:sz w:val="24"/>
                <w:szCs w:val="24"/>
                <w:highlight w:val="none"/>
              </w:rPr>
            </w:pPr>
          </w:p>
        </w:tc>
        <w:tc>
          <w:tcPr>
            <w:tcW w:w="1176" w:type="dxa"/>
          </w:tcPr>
          <w:p w14:paraId="7AC97BB7">
            <w:pPr>
              <w:spacing w:line="360" w:lineRule="auto"/>
              <w:rPr>
                <w:rFonts w:ascii="宋体" w:cs="宋体"/>
                <w:sz w:val="24"/>
                <w:szCs w:val="24"/>
                <w:highlight w:val="none"/>
              </w:rPr>
            </w:pPr>
          </w:p>
        </w:tc>
        <w:tc>
          <w:tcPr>
            <w:tcW w:w="1176" w:type="dxa"/>
          </w:tcPr>
          <w:p w14:paraId="7EB5AE7E">
            <w:pPr>
              <w:spacing w:line="360" w:lineRule="auto"/>
              <w:rPr>
                <w:rFonts w:ascii="宋体" w:cs="宋体"/>
                <w:sz w:val="24"/>
                <w:szCs w:val="24"/>
                <w:highlight w:val="none"/>
              </w:rPr>
            </w:pPr>
          </w:p>
        </w:tc>
        <w:tc>
          <w:tcPr>
            <w:tcW w:w="2136" w:type="dxa"/>
          </w:tcPr>
          <w:p w14:paraId="73D04994">
            <w:pPr>
              <w:spacing w:line="360" w:lineRule="auto"/>
              <w:rPr>
                <w:rFonts w:ascii="宋体" w:cs="宋体"/>
                <w:sz w:val="24"/>
                <w:szCs w:val="24"/>
                <w:highlight w:val="none"/>
              </w:rPr>
            </w:pPr>
          </w:p>
        </w:tc>
        <w:tc>
          <w:tcPr>
            <w:tcW w:w="1176" w:type="dxa"/>
          </w:tcPr>
          <w:p w14:paraId="3201E97F">
            <w:pPr>
              <w:spacing w:line="360" w:lineRule="auto"/>
              <w:rPr>
                <w:rFonts w:ascii="宋体" w:cs="宋体"/>
                <w:sz w:val="24"/>
                <w:szCs w:val="24"/>
                <w:highlight w:val="none"/>
              </w:rPr>
            </w:pPr>
          </w:p>
        </w:tc>
        <w:tc>
          <w:tcPr>
            <w:tcW w:w="1176" w:type="dxa"/>
          </w:tcPr>
          <w:p w14:paraId="03828154">
            <w:pPr>
              <w:spacing w:line="360" w:lineRule="auto"/>
              <w:rPr>
                <w:rFonts w:ascii="宋体" w:cs="宋体"/>
                <w:sz w:val="24"/>
                <w:szCs w:val="24"/>
                <w:highlight w:val="none"/>
              </w:rPr>
            </w:pPr>
          </w:p>
        </w:tc>
        <w:tc>
          <w:tcPr>
            <w:tcW w:w="1051" w:type="dxa"/>
          </w:tcPr>
          <w:p w14:paraId="3B175308">
            <w:pPr>
              <w:spacing w:line="360" w:lineRule="auto"/>
              <w:rPr>
                <w:rFonts w:ascii="宋体" w:cs="宋体"/>
                <w:sz w:val="24"/>
                <w:szCs w:val="24"/>
                <w:highlight w:val="none"/>
              </w:rPr>
            </w:pPr>
          </w:p>
        </w:tc>
        <w:tc>
          <w:tcPr>
            <w:tcW w:w="690" w:type="dxa"/>
          </w:tcPr>
          <w:p w14:paraId="2E3AF014">
            <w:pPr>
              <w:spacing w:line="360" w:lineRule="auto"/>
              <w:rPr>
                <w:rFonts w:ascii="宋体" w:cs="宋体"/>
                <w:sz w:val="24"/>
                <w:szCs w:val="24"/>
                <w:highlight w:val="none"/>
              </w:rPr>
            </w:pPr>
          </w:p>
        </w:tc>
      </w:tr>
      <w:tr w14:paraId="0A52C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96" w:type="dxa"/>
          </w:tcPr>
          <w:p w14:paraId="54738BDC">
            <w:pPr>
              <w:spacing w:line="360" w:lineRule="auto"/>
              <w:rPr>
                <w:rFonts w:ascii="宋体" w:cs="宋体"/>
                <w:sz w:val="24"/>
                <w:szCs w:val="24"/>
                <w:highlight w:val="none"/>
              </w:rPr>
            </w:pPr>
          </w:p>
        </w:tc>
        <w:tc>
          <w:tcPr>
            <w:tcW w:w="1176" w:type="dxa"/>
          </w:tcPr>
          <w:p w14:paraId="5989AA12">
            <w:pPr>
              <w:spacing w:line="360" w:lineRule="auto"/>
              <w:rPr>
                <w:rFonts w:ascii="宋体" w:cs="宋体"/>
                <w:sz w:val="24"/>
                <w:szCs w:val="24"/>
                <w:highlight w:val="none"/>
              </w:rPr>
            </w:pPr>
          </w:p>
        </w:tc>
        <w:tc>
          <w:tcPr>
            <w:tcW w:w="1176" w:type="dxa"/>
          </w:tcPr>
          <w:p w14:paraId="59690BD7">
            <w:pPr>
              <w:spacing w:line="360" w:lineRule="auto"/>
              <w:rPr>
                <w:rFonts w:ascii="宋体" w:cs="宋体"/>
                <w:sz w:val="24"/>
                <w:szCs w:val="24"/>
                <w:highlight w:val="none"/>
              </w:rPr>
            </w:pPr>
          </w:p>
        </w:tc>
        <w:tc>
          <w:tcPr>
            <w:tcW w:w="2136" w:type="dxa"/>
          </w:tcPr>
          <w:p w14:paraId="2B206BFF">
            <w:pPr>
              <w:spacing w:line="360" w:lineRule="auto"/>
              <w:rPr>
                <w:rFonts w:ascii="宋体" w:cs="宋体"/>
                <w:sz w:val="24"/>
                <w:szCs w:val="24"/>
                <w:highlight w:val="none"/>
              </w:rPr>
            </w:pPr>
          </w:p>
        </w:tc>
        <w:tc>
          <w:tcPr>
            <w:tcW w:w="1176" w:type="dxa"/>
          </w:tcPr>
          <w:p w14:paraId="2D41F38E">
            <w:pPr>
              <w:spacing w:line="360" w:lineRule="auto"/>
              <w:rPr>
                <w:rFonts w:ascii="宋体" w:cs="宋体"/>
                <w:sz w:val="24"/>
                <w:szCs w:val="24"/>
                <w:highlight w:val="none"/>
              </w:rPr>
            </w:pPr>
          </w:p>
        </w:tc>
        <w:tc>
          <w:tcPr>
            <w:tcW w:w="1176" w:type="dxa"/>
          </w:tcPr>
          <w:p w14:paraId="5FE58186">
            <w:pPr>
              <w:spacing w:line="360" w:lineRule="auto"/>
              <w:rPr>
                <w:rFonts w:ascii="宋体" w:cs="宋体"/>
                <w:sz w:val="24"/>
                <w:szCs w:val="24"/>
                <w:highlight w:val="none"/>
              </w:rPr>
            </w:pPr>
          </w:p>
        </w:tc>
        <w:tc>
          <w:tcPr>
            <w:tcW w:w="1051" w:type="dxa"/>
          </w:tcPr>
          <w:p w14:paraId="7E609F4D">
            <w:pPr>
              <w:spacing w:line="360" w:lineRule="auto"/>
              <w:rPr>
                <w:rFonts w:ascii="宋体" w:cs="宋体"/>
                <w:sz w:val="24"/>
                <w:szCs w:val="24"/>
                <w:highlight w:val="none"/>
              </w:rPr>
            </w:pPr>
          </w:p>
        </w:tc>
        <w:tc>
          <w:tcPr>
            <w:tcW w:w="690" w:type="dxa"/>
          </w:tcPr>
          <w:p w14:paraId="6CCD1BF1">
            <w:pPr>
              <w:spacing w:line="360" w:lineRule="auto"/>
              <w:rPr>
                <w:rFonts w:ascii="宋体" w:cs="宋体"/>
                <w:sz w:val="24"/>
                <w:szCs w:val="24"/>
                <w:highlight w:val="none"/>
              </w:rPr>
            </w:pPr>
          </w:p>
        </w:tc>
      </w:tr>
      <w:tr w14:paraId="1DD8A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96" w:type="dxa"/>
          </w:tcPr>
          <w:p w14:paraId="13D01E9D">
            <w:pPr>
              <w:spacing w:line="360" w:lineRule="auto"/>
              <w:rPr>
                <w:rFonts w:ascii="宋体" w:cs="宋体"/>
                <w:sz w:val="24"/>
                <w:szCs w:val="24"/>
                <w:highlight w:val="none"/>
              </w:rPr>
            </w:pPr>
          </w:p>
        </w:tc>
        <w:tc>
          <w:tcPr>
            <w:tcW w:w="1176" w:type="dxa"/>
          </w:tcPr>
          <w:p w14:paraId="6DA22EA7">
            <w:pPr>
              <w:spacing w:line="360" w:lineRule="auto"/>
              <w:rPr>
                <w:rFonts w:ascii="宋体" w:cs="宋体"/>
                <w:sz w:val="24"/>
                <w:szCs w:val="24"/>
                <w:highlight w:val="none"/>
              </w:rPr>
            </w:pPr>
          </w:p>
        </w:tc>
        <w:tc>
          <w:tcPr>
            <w:tcW w:w="1176" w:type="dxa"/>
          </w:tcPr>
          <w:p w14:paraId="776E88F3">
            <w:pPr>
              <w:spacing w:line="360" w:lineRule="auto"/>
              <w:rPr>
                <w:rFonts w:ascii="宋体" w:cs="宋体"/>
                <w:sz w:val="24"/>
                <w:szCs w:val="24"/>
                <w:highlight w:val="none"/>
              </w:rPr>
            </w:pPr>
          </w:p>
        </w:tc>
        <w:tc>
          <w:tcPr>
            <w:tcW w:w="2136" w:type="dxa"/>
          </w:tcPr>
          <w:p w14:paraId="7BC123ED">
            <w:pPr>
              <w:spacing w:line="360" w:lineRule="auto"/>
              <w:rPr>
                <w:rFonts w:ascii="宋体" w:cs="宋体"/>
                <w:sz w:val="24"/>
                <w:szCs w:val="24"/>
                <w:highlight w:val="none"/>
              </w:rPr>
            </w:pPr>
          </w:p>
        </w:tc>
        <w:tc>
          <w:tcPr>
            <w:tcW w:w="1176" w:type="dxa"/>
          </w:tcPr>
          <w:p w14:paraId="5CB37DFA">
            <w:pPr>
              <w:spacing w:line="360" w:lineRule="auto"/>
              <w:rPr>
                <w:rFonts w:ascii="宋体" w:cs="宋体"/>
                <w:sz w:val="24"/>
                <w:szCs w:val="24"/>
                <w:highlight w:val="none"/>
              </w:rPr>
            </w:pPr>
          </w:p>
        </w:tc>
        <w:tc>
          <w:tcPr>
            <w:tcW w:w="1176" w:type="dxa"/>
          </w:tcPr>
          <w:p w14:paraId="1389F6B4">
            <w:pPr>
              <w:spacing w:line="360" w:lineRule="auto"/>
              <w:rPr>
                <w:rFonts w:ascii="宋体" w:cs="宋体"/>
                <w:sz w:val="24"/>
                <w:szCs w:val="24"/>
                <w:highlight w:val="none"/>
              </w:rPr>
            </w:pPr>
          </w:p>
        </w:tc>
        <w:tc>
          <w:tcPr>
            <w:tcW w:w="1051" w:type="dxa"/>
          </w:tcPr>
          <w:p w14:paraId="54527BA3">
            <w:pPr>
              <w:spacing w:line="360" w:lineRule="auto"/>
              <w:rPr>
                <w:rFonts w:ascii="宋体" w:cs="宋体"/>
                <w:sz w:val="24"/>
                <w:szCs w:val="24"/>
                <w:highlight w:val="none"/>
              </w:rPr>
            </w:pPr>
          </w:p>
        </w:tc>
        <w:tc>
          <w:tcPr>
            <w:tcW w:w="690" w:type="dxa"/>
          </w:tcPr>
          <w:p w14:paraId="5C4483A9">
            <w:pPr>
              <w:spacing w:line="360" w:lineRule="auto"/>
              <w:rPr>
                <w:rFonts w:ascii="宋体" w:cs="宋体"/>
                <w:sz w:val="24"/>
                <w:szCs w:val="24"/>
                <w:highlight w:val="none"/>
              </w:rPr>
            </w:pPr>
          </w:p>
        </w:tc>
      </w:tr>
      <w:tr w14:paraId="49F1A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96" w:type="dxa"/>
          </w:tcPr>
          <w:p w14:paraId="0789CC28">
            <w:pPr>
              <w:spacing w:line="360" w:lineRule="auto"/>
              <w:rPr>
                <w:rFonts w:ascii="宋体" w:cs="宋体"/>
                <w:sz w:val="24"/>
                <w:szCs w:val="24"/>
                <w:highlight w:val="none"/>
              </w:rPr>
            </w:pPr>
          </w:p>
        </w:tc>
        <w:tc>
          <w:tcPr>
            <w:tcW w:w="1176" w:type="dxa"/>
          </w:tcPr>
          <w:p w14:paraId="57AF2DC0">
            <w:pPr>
              <w:spacing w:line="360" w:lineRule="auto"/>
              <w:rPr>
                <w:rFonts w:ascii="宋体" w:cs="宋体"/>
                <w:sz w:val="24"/>
                <w:szCs w:val="24"/>
                <w:highlight w:val="none"/>
              </w:rPr>
            </w:pPr>
          </w:p>
        </w:tc>
        <w:tc>
          <w:tcPr>
            <w:tcW w:w="1176" w:type="dxa"/>
          </w:tcPr>
          <w:p w14:paraId="1EA7383B">
            <w:pPr>
              <w:spacing w:line="360" w:lineRule="auto"/>
              <w:rPr>
                <w:rFonts w:ascii="宋体" w:cs="宋体"/>
                <w:sz w:val="24"/>
                <w:szCs w:val="24"/>
                <w:highlight w:val="none"/>
              </w:rPr>
            </w:pPr>
          </w:p>
        </w:tc>
        <w:tc>
          <w:tcPr>
            <w:tcW w:w="2136" w:type="dxa"/>
          </w:tcPr>
          <w:p w14:paraId="00C56A30">
            <w:pPr>
              <w:spacing w:line="360" w:lineRule="auto"/>
              <w:rPr>
                <w:rFonts w:ascii="宋体" w:cs="宋体"/>
                <w:sz w:val="24"/>
                <w:szCs w:val="24"/>
                <w:highlight w:val="none"/>
              </w:rPr>
            </w:pPr>
          </w:p>
        </w:tc>
        <w:tc>
          <w:tcPr>
            <w:tcW w:w="1176" w:type="dxa"/>
          </w:tcPr>
          <w:p w14:paraId="5A85112B">
            <w:pPr>
              <w:spacing w:line="360" w:lineRule="auto"/>
              <w:rPr>
                <w:rFonts w:ascii="宋体" w:cs="宋体"/>
                <w:sz w:val="24"/>
                <w:szCs w:val="24"/>
                <w:highlight w:val="none"/>
              </w:rPr>
            </w:pPr>
          </w:p>
        </w:tc>
        <w:tc>
          <w:tcPr>
            <w:tcW w:w="1176" w:type="dxa"/>
          </w:tcPr>
          <w:p w14:paraId="29CFD3C9">
            <w:pPr>
              <w:spacing w:line="360" w:lineRule="auto"/>
              <w:rPr>
                <w:rFonts w:ascii="宋体" w:cs="宋体"/>
                <w:sz w:val="24"/>
                <w:szCs w:val="24"/>
                <w:highlight w:val="none"/>
              </w:rPr>
            </w:pPr>
          </w:p>
        </w:tc>
        <w:tc>
          <w:tcPr>
            <w:tcW w:w="1051" w:type="dxa"/>
          </w:tcPr>
          <w:p w14:paraId="21C2184E">
            <w:pPr>
              <w:spacing w:line="360" w:lineRule="auto"/>
              <w:rPr>
                <w:rFonts w:ascii="宋体" w:cs="宋体"/>
                <w:sz w:val="24"/>
                <w:szCs w:val="24"/>
                <w:highlight w:val="none"/>
              </w:rPr>
            </w:pPr>
          </w:p>
        </w:tc>
        <w:tc>
          <w:tcPr>
            <w:tcW w:w="690" w:type="dxa"/>
          </w:tcPr>
          <w:p w14:paraId="54AF513A">
            <w:pPr>
              <w:spacing w:line="360" w:lineRule="auto"/>
              <w:rPr>
                <w:rFonts w:ascii="宋体" w:cs="宋体"/>
                <w:sz w:val="24"/>
                <w:szCs w:val="24"/>
                <w:highlight w:val="none"/>
              </w:rPr>
            </w:pPr>
          </w:p>
        </w:tc>
      </w:tr>
      <w:tr w14:paraId="2E3D1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96" w:type="dxa"/>
          </w:tcPr>
          <w:p w14:paraId="3496144F">
            <w:pPr>
              <w:spacing w:line="360" w:lineRule="auto"/>
              <w:rPr>
                <w:rFonts w:ascii="宋体" w:cs="宋体"/>
                <w:sz w:val="24"/>
                <w:szCs w:val="24"/>
                <w:highlight w:val="none"/>
              </w:rPr>
            </w:pPr>
          </w:p>
        </w:tc>
        <w:tc>
          <w:tcPr>
            <w:tcW w:w="1176" w:type="dxa"/>
          </w:tcPr>
          <w:p w14:paraId="1C8424B6">
            <w:pPr>
              <w:spacing w:line="360" w:lineRule="auto"/>
              <w:rPr>
                <w:rFonts w:ascii="宋体" w:cs="宋体"/>
                <w:sz w:val="24"/>
                <w:szCs w:val="24"/>
                <w:highlight w:val="none"/>
              </w:rPr>
            </w:pPr>
          </w:p>
        </w:tc>
        <w:tc>
          <w:tcPr>
            <w:tcW w:w="1176" w:type="dxa"/>
          </w:tcPr>
          <w:p w14:paraId="1EEA8A30">
            <w:pPr>
              <w:spacing w:line="360" w:lineRule="auto"/>
              <w:rPr>
                <w:rFonts w:ascii="宋体" w:cs="宋体"/>
                <w:sz w:val="24"/>
                <w:szCs w:val="24"/>
                <w:highlight w:val="none"/>
              </w:rPr>
            </w:pPr>
          </w:p>
        </w:tc>
        <w:tc>
          <w:tcPr>
            <w:tcW w:w="2136" w:type="dxa"/>
          </w:tcPr>
          <w:p w14:paraId="71739264">
            <w:pPr>
              <w:spacing w:line="360" w:lineRule="auto"/>
              <w:rPr>
                <w:rFonts w:ascii="宋体" w:cs="宋体"/>
                <w:sz w:val="24"/>
                <w:szCs w:val="24"/>
                <w:highlight w:val="none"/>
              </w:rPr>
            </w:pPr>
          </w:p>
        </w:tc>
        <w:tc>
          <w:tcPr>
            <w:tcW w:w="1176" w:type="dxa"/>
          </w:tcPr>
          <w:p w14:paraId="63E480F6">
            <w:pPr>
              <w:spacing w:line="360" w:lineRule="auto"/>
              <w:rPr>
                <w:rFonts w:ascii="宋体" w:cs="宋体"/>
                <w:sz w:val="24"/>
                <w:szCs w:val="24"/>
                <w:highlight w:val="none"/>
              </w:rPr>
            </w:pPr>
          </w:p>
        </w:tc>
        <w:tc>
          <w:tcPr>
            <w:tcW w:w="1176" w:type="dxa"/>
          </w:tcPr>
          <w:p w14:paraId="42449F2E">
            <w:pPr>
              <w:spacing w:line="360" w:lineRule="auto"/>
              <w:rPr>
                <w:rFonts w:ascii="宋体" w:cs="宋体"/>
                <w:sz w:val="24"/>
                <w:szCs w:val="24"/>
                <w:highlight w:val="none"/>
              </w:rPr>
            </w:pPr>
          </w:p>
        </w:tc>
        <w:tc>
          <w:tcPr>
            <w:tcW w:w="1051" w:type="dxa"/>
          </w:tcPr>
          <w:p w14:paraId="61407581">
            <w:pPr>
              <w:spacing w:line="360" w:lineRule="auto"/>
              <w:rPr>
                <w:rFonts w:ascii="宋体" w:cs="宋体"/>
                <w:sz w:val="24"/>
                <w:szCs w:val="24"/>
                <w:highlight w:val="none"/>
              </w:rPr>
            </w:pPr>
          </w:p>
        </w:tc>
        <w:tc>
          <w:tcPr>
            <w:tcW w:w="690" w:type="dxa"/>
          </w:tcPr>
          <w:p w14:paraId="2C8CB256">
            <w:pPr>
              <w:spacing w:line="360" w:lineRule="auto"/>
              <w:rPr>
                <w:rFonts w:ascii="宋体" w:cs="宋体"/>
                <w:sz w:val="24"/>
                <w:szCs w:val="24"/>
                <w:highlight w:val="none"/>
              </w:rPr>
            </w:pPr>
          </w:p>
        </w:tc>
      </w:tr>
    </w:tbl>
    <w:p w14:paraId="5CE74F1F">
      <w:pPr>
        <w:spacing w:line="360" w:lineRule="auto"/>
        <w:rPr>
          <w:rFonts w:ascii="宋体" w:cs="宋体"/>
          <w:sz w:val="24"/>
          <w:szCs w:val="24"/>
          <w:highlight w:val="none"/>
          <w:u w:val="singl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589FBFD6">
      <w:pPr>
        <w:spacing w:line="360" w:lineRule="auto"/>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72C44733">
      <w:pPr>
        <w:spacing w:line="360" w:lineRule="auto"/>
        <w:rPr>
          <w:rFonts w:ascii="宋体" w:cs="宋体"/>
          <w:sz w:val="24"/>
          <w:szCs w:val="24"/>
          <w:highlight w:val="none"/>
        </w:rPr>
      </w:pPr>
      <w:r>
        <w:rPr>
          <w:rFonts w:hint="eastAsia" w:ascii="宋体" w:hAnsi="宋体" w:cs="宋体"/>
          <w:sz w:val="24"/>
          <w:szCs w:val="24"/>
          <w:highlight w:val="none"/>
        </w:rPr>
        <w:t>日期：</w:t>
      </w:r>
    </w:p>
    <w:p w14:paraId="35CC584F">
      <w:pPr>
        <w:spacing w:line="360" w:lineRule="auto"/>
        <w:rPr>
          <w:rFonts w:ascii="宋体" w:cs="宋体"/>
          <w:sz w:val="24"/>
          <w:highlight w:val="none"/>
        </w:rPr>
      </w:pPr>
      <w:r>
        <w:rPr>
          <w:rFonts w:hint="eastAsia" w:ascii="宋体" w:hAnsi="宋体" w:cs="宋体"/>
          <w:sz w:val="24"/>
          <w:highlight w:val="none"/>
        </w:rPr>
        <w:t>注：</w:t>
      </w:r>
      <w:r>
        <w:rPr>
          <w:rFonts w:ascii="宋体" w:hAnsi="宋体" w:cs="宋体"/>
          <w:sz w:val="24"/>
          <w:highlight w:val="none"/>
        </w:rPr>
        <w:t>1</w:t>
      </w:r>
      <w:r>
        <w:rPr>
          <w:rFonts w:hint="eastAsia" w:ascii="宋体" w:hAnsi="宋体" w:cs="宋体"/>
          <w:sz w:val="24"/>
          <w:highlight w:val="none"/>
        </w:rPr>
        <w:t>、投标人应对招标文件技术要求逐条填写偏离情况（正偏离、负偏离或无偏离），并说明偏离的具体内容及做出必要说明。投标人应对故意隐瞒偏离的行为承担责任。</w:t>
      </w:r>
    </w:p>
    <w:p w14:paraId="79AB555F">
      <w:pPr>
        <w:spacing w:line="360" w:lineRule="auto"/>
        <w:rPr>
          <w:rFonts w:ascii="宋体" w:cs="宋体"/>
          <w:sz w:val="24"/>
          <w:highlight w:val="none"/>
        </w:rPr>
      </w:pPr>
      <w:r>
        <w:rPr>
          <w:rFonts w:ascii="宋体" w:hAnsi="宋体" w:cs="宋体"/>
          <w:kern w:val="0"/>
          <w:sz w:val="24"/>
          <w:highlight w:val="none"/>
        </w:rPr>
        <w:t>2</w:t>
      </w:r>
      <w:r>
        <w:rPr>
          <w:rFonts w:hint="eastAsia" w:ascii="宋体" w:hAnsi="宋体" w:cs="宋体"/>
          <w:kern w:val="0"/>
          <w:sz w:val="24"/>
          <w:highlight w:val="none"/>
        </w:rPr>
        <w:t>、投标人应根据自身投标服务合理填写投标规格，</w:t>
      </w:r>
      <w:r>
        <w:rPr>
          <w:rFonts w:hint="eastAsia" w:ascii="宋体" w:hAnsi="宋体" w:cs="宋体"/>
          <w:sz w:val="24"/>
          <w:highlight w:val="none"/>
        </w:rPr>
        <w:t>如完全复制招标文件内容，评委有权按不响应处理，情况恶劣时将做无效投标处理。</w:t>
      </w:r>
    </w:p>
    <w:p w14:paraId="6E12BF0D">
      <w:pPr>
        <w:pStyle w:val="5"/>
        <w:rPr>
          <w:rFonts w:ascii="宋体" w:cs="宋体"/>
          <w:sz w:val="24"/>
          <w:highlight w:val="none"/>
        </w:rPr>
      </w:pPr>
      <w:r>
        <w:rPr>
          <w:rFonts w:ascii="宋体" w:cs="宋体"/>
          <w:sz w:val="24"/>
          <w:highlight w:val="none"/>
        </w:rPr>
        <w:br w:type="page"/>
      </w:r>
      <w:bookmarkStart w:id="224" w:name="_Toc2355269"/>
      <w:bookmarkStart w:id="225" w:name="_Toc497167416"/>
      <w:bookmarkStart w:id="226" w:name="_Toc44705073"/>
      <w:bookmarkStart w:id="227" w:name="_Toc14776861"/>
      <w:bookmarkStart w:id="228" w:name="_Toc2512011"/>
      <w:bookmarkStart w:id="229" w:name="_Toc44704926"/>
      <w:bookmarkStart w:id="230" w:name="_Toc493422663"/>
      <w:bookmarkStart w:id="231" w:name="_Toc18274"/>
      <w:bookmarkStart w:id="232" w:name="_Toc12605"/>
      <w:r>
        <w:rPr>
          <w:rFonts w:ascii="宋体" w:hAnsi="宋体" w:cs="宋体"/>
          <w:sz w:val="32"/>
          <w:szCs w:val="24"/>
          <w:highlight w:val="none"/>
        </w:rPr>
        <w:t>2.5</w:t>
      </w:r>
      <w:r>
        <w:rPr>
          <w:rFonts w:hint="eastAsia" w:ascii="宋体" w:hAnsi="宋体" w:cs="宋体"/>
          <w:sz w:val="32"/>
          <w:szCs w:val="24"/>
          <w:highlight w:val="none"/>
        </w:rPr>
        <w:t>、商务条款偏离表格式</w:t>
      </w:r>
      <w:bookmarkEnd w:id="224"/>
      <w:bookmarkEnd w:id="225"/>
      <w:bookmarkEnd w:id="226"/>
      <w:bookmarkEnd w:id="227"/>
      <w:bookmarkEnd w:id="228"/>
      <w:bookmarkEnd w:id="229"/>
      <w:bookmarkEnd w:id="230"/>
      <w:bookmarkEnd w:id="231"/>
      <w:bookmarkEnd w:id="232"/>
    </w:p>
    <w:p w14:paraId="0F4F4F7D">
      <w:pPr>
        <w:spacing w:line="360" w:lineRule="auto"/>
        <w:rPr>
          <w:rFonts w:ascii="宋体" w:cs="宋体"/>
          <w:sz w:val="24"/>
          <w:szCs w:val="24"/>
          <w:highlight w:val="none"/>
        </w:rPr>
      </w:pPr>
    </w:p>
    <w:p w14:paraId="75873D67">
      <w:pPr>
        <w:spacing w:line="360" w:lineRule="auto"/>
        <w:jc w:val="center"/>
        <w:rPr>
          <w:rFonts w:ascii="宋体" w:cs="宋体"/>
          <w:b/>
          <w:bCs/>
          <w:sz w:val="32"/>
          <w:szCs w:val="32"/>
          <w:highlight w:val="none"/>
        </w:rPr>
      </w:pPr>
      <w:r>
        <w:rPr>
          <w:rFonts w:hint="eastAsia" w:ascii="宋体" w:hAnsi="宋体" w:cs="宋体"/>
          <w:b/>
          <w:bCs/>
          <w:sz w:val="32"/>
          <w:szCs w:val="32"/>
          <w:highlight w:val="none"/>
        </w:rPr>
        <w:t>商务条款偏离表</w:t>
      </w:r>
    </w:p>
    <w:p w14:paraId="00806962">
      <w:pPr>
        <w:tabs>
          <w:tab w:val="left" w:pos="1800"/>
          <w:tab w:val="left" w:pos="5580"/>
        </w:tabs>
        <w:spacing w:line="360" w:lineRule="auto"/>
        <w:jc w:val="left"/>
        <w:rPr>
          <w:rFonts w:ascii="宋体" w:cs="宋体"/>
          <w:sz w:val="24"/>
          <w:highlight w:val="none"/>
          <w:u w:val="single"/>
        </w:rPr>
      </w:pPr>
      <w:r>
        <w:rPr>
          <w:rFonts w:hint="eastAsia" w:ascii="宋体" w:hAnsi="宋体" w:cs="宋体"/>
          <w:sz w:val="24"/>
          <w:highlight w:val="none"/>
        </w:rPr>
        <w:t>招标编号：</w:t>
      </w:r>
    </w:p>
    <w:p w14:paraId="72FFE501">
      <w:pPr>
        <w:tabs>
          <w:tab w:val="left" w:pos="1800"/>
          <w:tab w:val="left" w:pos="5580"/>
        </w:tabs>
        <w:spacing w:line="360" w:lineRule="auto"/>
        <w:jc w:val="left"/>
        <w:rPr>
          <w:rFonts w:ascii="宋体" w:cs="宋体"/>
          <w:sz w:val="24"/>
          <w:highlight w:val="none"/>
          <w:u w:val="single"/>
        </w:rPr>
      </w:pPr>
      <w:r>
        <w:rPr>
          <w:rFonts w:hint="eastAsia" w:ascii="宋体" w:hAnsi="宋体" w:cs="宋体"/>
          <w:sz w:val="24"/>
          <w:highlight w:val="none"/>
          <w:lang w:eastAsia="zh-CN"/>
        </w:rPr>
        <w:t>标项名称</w:t>
      </w:r>
      <w:r>
        <w:rPr>
          <w:rFonts w:hint="eastAsia" w:ascii="宋体" w:hAnsi="宋体" w:cs="宋体"/>
          <w:sz w:val="24"/>
          <w:highlight w:val="none"/>
        </w:rPr>
        <w:t>：</w:t>
      </w:r>
      <w:r>
        <w:rPr>
          <w:rFonts w:hint="eastAsia" w:ascii="宋体" w:hAnsi="宋体" w:cs="宋体"/>
          <w:sz w:val="24"/>
          <w:highlight w:val="none"/>
          <w:u w:val="single"/>
        </w:rPr>
        <w:t>　</w:t>
      </w:r>
      <w:r>
        <w:rPr>
          <w:rFonts w:ascii="宋体" w:hAnsi="宋体" w:cs="宋体"/>
          <w:sz w:val="24"/>
          <w:highlight w:val="none"/>
          <w:u w:val="single"/>
        </w:rPr>
        <w:t xml:space="preserve">          </w:t>
      </w:r>
    </w:p>
    <w:p w14:paraId="0995A1F9">
      <w:pPr>
        <w:tabs>
          <w:tab w:val="left" w:pos="1800"/>
          <w:tab w:val="left" w:pos="5580"/>
        </w:tabs>
        <w:spacing w:line="360" w:lineRule="auto"/>
        <w:jc w:val="left"/>
        <w:rPr>
          <w:rFonts w:ascii="宋体" w:cs="宋体"/>
          <w:sz w:val="24"/>
          <w:highlight w:val="none"/>
          <w:u w:val="single"/>
        </w:rPr>
      </w:pPr>
    </w:p>
    <w:tbl>
      <w:tblPr>
        <w:tblStyle w:val="48"/>
        <w:tblW w:w="90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750"/>
        <w:gridCol w:w="2208"/>
        <w:gridCol w:w="2041"/>
        <w:gridCol w:w="1275"/>
        <w:gridCol w:w="986"/>
      </w:tblGrid>
      <w:tr w14:paraId="66236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72" w:type="dxa"/>
            <w:vAlign w:val="center"/>
          </w:tcPr>
          <w:p w14:paraId="4B266038">
            <w:pPr>
              <w:spacing w:line="360" w:lineRule="auto"/>
              <w:jc w:val="center"/>
              <w:rPr>
                <w:rFonts w:ascii="宋体" w:cs="宋体"/>
                <w:sz w:val="24"/>
                <w:szCs w:val="24"/>
                <w:highlight w:val="none"/>
              </w:rPr>
            </w:pPr>
            <w:r>
              <w:rPr>
                <w:rFonts w:hint="eastAsia" w:ascii="宋体" w:hAnsi="宋体" w:cs="宋体"/>
                <w:sz w:val="24"/>
                <w:szCs w:val="24"/>
                <w:highlight w:val="none"/>
              </w:rPr>
              <w:t>序号</w:t>
            </w:r>
          </w:p>
        </w:tc>
        <w:tc>
          <w:tcPr>
            <w:tcW w:w="1750" w:type="dxa"/>
            <w:vAlign w:val="center"/>
          </w:tcPr>
          <w:p w14:paraId="30C213E6">
            <w:pPr>
              <w:spacing w:line="360" w:lineRule="auto"/>
              <w:jc w:val="center"/>
              <w:rPr>
                <w:rFonts w:ascii="宋体" w:cs="宋体"/>
                <w:sz w:val="24"/>
                <w:szCs w:val="24"/>
                <w:highlight w:val="none"/>
              </w:rPr>
            </w:pPr>
            <w:r>
              <w:rPr>
                <w:rFonts w:hint="eastAsia" w:ascii="宋体" w:hAnsi="宋体" w:cs="宋体"/>
                <w:sz w:val="24"/>
                <w:szCs w:val="24"/>
                <w:highlight w:val="none"/>
              </w:rPr>
              <w:t>招标文件</w:t>
            </w:r>
          </w:p>
          <w:p w14:paraId="11705752">
            <w:pPr>
              <w:spacing w:line="360" w:lineRule="auto"/>
              <w:jc w:val="center"/>
              <w:rPr>
                <w:rFonts w:ascii="宋体" w:cs="宋体"/>
                <w:sz w:val="24"/>
                <w:szCs w:val="24"/>
                <w:highlight w:val="none"/>
              </w:rPr>
            </w:pPr>
            <w:r>
              <w:rPr>
                <w:rFonts w:hint="eastAsia" w:ascii="宋体" w:hAnsi="宋体" w:cs="宋体"/>
                <w:sz w:val="24"/>
                <w:szCs w:val="24"/>
                <w:highlight w:val="none"/>
              </w:rPr>
              <w:t>条目号</w:t>
            </w:r>
          </w:p>
        </w:tc>
        <w:tc>
          <w:tcPr>
            <w:tcW w:w="2208" w:type="dxa"/>
            <w:vAlign w:val="center"/>
          </w:tcPr>
          <w:p w14:paraId="6BCF9E9D">
            <w:pPr>
              <w:spacing w:line="360" w:lineRule="auto"/>
              <w:jc w:val="center"/>
              <w:rPr>
                <w:rFonts w:ascii="宋体" w:cs="宋体"/>
                <w:sz w:val="24"/>
                <w:szCs w:val="24"/>
                <w:highlight w:val="none"/>
              </w:rPr>
            </w:pPr>
            <w:r>
              <w:rPr>
                <w:rFonts w:hint="eastAsia" w:ascii="宋体" w:hAnsi="宋体" w:cs="宋体"/>
                <w:sz w:val="24"/>
                <w:szCs w:val="24"/>
                <w:highlight w:val="none"/>
              </w:rPr>
              <w:t>招标文件的</w:t>
            </w:r>
          </w:p>
          <w:p w14:paraId="7B9EA5CF">
            <w:pPr>
              <w:spacing w:line="360" w:lineRule="auto"/>
              <w:jc w:val="center"/>
              <w:rPr>
                <w:rFonts w:ascii="宋体" w:cs="宋体"/>
                <w:sz w:val="24"/>
                <w:szCs w:val="24"/>
                <w:highlight w:val="none"/>
              </w:rPr>
            </w:pPr>
            <w:r>
              <w:rPr>
                <w:rFonts w:hint="eastAsia" w:ascii="宋体" w:hAnsi="宋体" w:cs="宋体"/>
                <w:sz w:val="24"/>
                <w:szCs w:val="24"/>
                <w:highlight w:val="none"/>
              </w:rPr>
              <w:t>商务条款</w:t>
            </w:r>
          </w:p>
        </w:tc>
        <w:tc>
          <w:tcPr>
            <w:tcW w:w="2041" w:type="dxa"/>
            <w:vAlign w:val="center"/>
          </w:tcPr>
          <w:p w14:paraId="7C498528">
            <w:pPr>
              <w:spacing w:line="360" w:lineRule="auto"/>
              <w:jc w:val="center"/>
              <w:rPr>
                <w:rFonts w:ascii="宋体" w:cs="宋体"/>
                <w:sz w:val="24"/>
                <w:szCs w:val="24"/>
                <w:highlight w:val="none"/>
              </w:rPr>
            </w:pPr>
            <w:r>
              <w:rPr>
                <w:rFonts w:hint="eastAsia" w:ascii="宋体" w:hAnsi="宋体" w:cs="宋体"/>
                <w:sz w:val="24"/>
                <w:szCs w:val="24"/>
                <w:highlight w:val="none"/>
              </w:rPr>
              <w:t>投标文件的</w:t>
            </w:r>
          </w:p>
          <w:p w14:paraId="39B35B1E">
            <w:pPr>
              <w:spacing w:line="360" w:lineRule="auto"/>
              <w:jc w:val="center"/>
              <w:rPr>
                <w:rFonts w:ascii="宋体" w:cs="宋体"/>
                <w:sz w:val="24"/>
                <w:szCs w:val="24"/>
                <w:highlight w:val="none"/>
              </w:rPr>
            </w:pPr>
            <w:r>
              <w:rPr>
                <w:rFonts w:hint="eastAsia" w:ascii="宋体" w:hAnsi="宋体" w:cs="宋体"/>
                <w:sz w:val="24"/>
                <w:szCs w:val="24"/>
                <w:highlight w:val="none"/>
              </w:rPr>
              <w:t>商务条款</w:t>
            </w:r>
          </w:p>
        </w:tc>
        <w:tc>
          <w:tcPr>
            <w:tcW w:w="1275" w:type="dxa"/>
            <w:vAlign w:val="center"/>
          </w:tcPr>
          <w:p w14:paraId="5F79E545">
            <w:pPr>
              <w:spacing w:line="360" w:lineRule="auto"/>
              <w:jc w:val="center"/>
              <w:rPr>
                <w:rFonts w:ascii="宋体" w:cs="宋体"/>
                <w:sz w:val="24"/>
                <w:szCs w:val="24"/>
                <w:highlight w:val="none"/>
              </w:rPr>
            </w:pPr>
            <w:r>
              <w:rPr>
                <w:rFonts w:hint="eastAsia" w:ascii="宋体" w:hAnsi="宋体" w:cs="宋体"/>
                <w:sz w:val="24"/>
                <w:szCs w:val="24"/>
                <w:highlight w:val="none"/>
              </w:rPr>
              <w:t>偏离情况</w:t>
            </w:r>
          </w:p>
        </w:tc>
        <w:tc>
          <w:tcPr>
            <w:tcW w:w="986" w:type="dxa"/>
            <w:vAlign w:val="center"/>
          </w:tcPr>
          <w:p w14:paraId="54CD8128">
            <w:pPr>
              <w:spacing w:line="360" w:lineRule="auto"/>
              <w:jc w:val="center"/>
              <w:rPr>
                <w:rFonts w:ascii="宋体" w:cs="宋体"/>
                <w:sz w:val="24"/>
                <w:szCs w:val="24"/>
                <w:highlight w:val="none"/>
              </w:rPr>
            </w:pPr>
            <w:r>
              <w:rPr>
                <w:rFonts w:hint="eastAsia" w:ascii="宋体" w:hAnsi="宋体" w:cs="宋体"/>
                <w:sz w:val="24"/>
                <w:szCs w:val="24"/>
                <w:highlight w:val="none"/>
              </w:rPr>
              <w:t>说明</w:t>
            </w:r>
          </w:p>
        </w:tc>
      </w:tr>
      <w:tr w14:paraId="52F91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72" w:type="dxa"/>
          </w:tcPr>
          <w:p w14:paraId="19BED8CC">
            <w:pPr>
              <w:spacing w:line="360" w:lineRule="auto"/>
              <w:rPr>
                <w:rFonts w:ascii="宋体" w:cs="宋体"/>
                <w:sz w:val="24"/>
                <w:szCs w:val="24"/>
                <w:highlight w:val="none"/>
              </w:rPr>
            </w:pPr>
          </w:p>
        </w:tc>
        <w:tc>
          <w:tcPr>
            <w:tcW w:w="1750" w:type="dxa"/>
          </w:tcPr>
          <w:p w14:paraId="6BFFA73F">
            <w:pPr>
              <w:spacing w:line="360" w:lineRule="auto"/>
              <w:rPr>
                <w:rFonts w:ascii="宋体" w:cs="宋体"/>
                <w:sz w:val="24"/>
                <w:szCs w:val="24"/>
                <w:highlight w:val="none"/>
              </w:rPr>
            </w:pPr>
          </w:p>
        </w:tc>
        <w:tc>
          <w:tcPr>
            <w:tcW w:w="2208" w:type="dxa"/>
          </w:tcPr>
          <w:p w14:paraId="793C732E">
            <w:pPr>
              <w:spacing w:line="360" w:lineRule="auto"/>
              <w:rPr>
                <w:rFonts w:ascii="宋体" w:cs="宋体"/>
                <w:sz w:val="24"/>
                <w:szCs w:val="24"/>
                <w:highlight w:val="none"/>
              </w:rPr>
            </w:pPr>
          </w:p>
        </w:tc>
        <w:tc>
          <w:tcPr>
            <w:tcW w:w="2041" w:type="dxa"/>
          </w:tcPr>
          <w:p w14:paraId="1B5585DF">
            <w:pPr>
              <w:spacing w:line="360" w:lineRule="auto"/>
              <w:rPr>
                <w:rFonts w:ascii="宋体" w:cs="宋体"/>
                <w:sz w:val="24"/>
                <w:szCs w:val="24"/>
                <w:highlight w:val="none"/>
              </w:rPr>
            </w:pPr>
          </w:p>
        </w:tc>
        <w:tc>
          <w:tcPr>
            <w:tcW w:w="1275" w:type="dxa"/>
          </w:tcPr>
          <w:p w14:paraId="583CAD69">
            <w:pPr>
              <w:spacing w:line="360" w:lineRule="auto"/>
              <w:rPr>
                <w:rFonts w:ascii="宋体" w:cs="宋体"/>
                <w:sz w:val="24"/>
                <w:szCs w:val="24"/>
                <w:highlight w:val="none"/>
              </w:rPr>
            </w:pPr>
          </w:p>
        </w:tc>
        <w:tc>
          <w:tcPr>
            <w:tcW w:w="986" w:type="dxa"/>
          </w:tcPr>
          <w:p w14:paraId="1B1ABCD3">
            <w:pPr>
              <w:spacing w:line="360" w:lineRule="auto"/>
              <w:rPr>
                <w:rFonts w:ascii="宋体" w:cs="宋体"/>
                <w:sz w:val="24"/>
                <w:szCs w:val="24"/>
                <w:highlight w:val="none"/>
              </w:rPr>
            </w:pPr>
          </w:p>
        </w:tc>
      </w:tr>
      <w:tr w14:paraId="2724F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2" w:type="dxa"/>
          </w:tcPr>
          <w:p w14:paraId="6B5886D3">
            <w:pPr>
              <w:spacing w:line="360" w:lineRule="auto"/>
              <w:rPr>
                <w:rFonts w:ascii="宋体" w:cs="宋体"/>
                <w:sz w:val="24"/>
                <w:szCs w:val="24"/>
                <w:highlight w:val="none"/>
              </w:rPr>
            </w:pPr>
          </w:p>
        </w:tc>
        <w:tc>
          <w:tcPr>
            <w:tcW w:w="1750" w:type="dxa"/>
          </w:tcPr>
          <w:p w14:paraId="71C81057">
            <w:pPr>
              <w:spacing w:line="360" w:lineRule="auto"/>
              <w:rPr>
                <w:rFonts w:ascii="宋体" w:cs="宋体"/>
                <w:sz w:val="24"/>
                <w:szCs w:val="24"/>
                <w:highlight w:val="none"/>
              </w:rPr>
            </w:pPr>
          </w:p>
        </w:tc>
        <w:tc>
          <w:tcPr>
            <w:tcW w:w="2208" w:type="dxa"/>
          </w:tcPr>
          <w:p w14:paraId="7C554407">
            <w:pPr>
              <w:spacing w:line="360" w:lineRule="auto"/>
              <w:rPr>
                <w:rFonts w:ascii="宋体" w:cs="宋体"/>
                <w:sz w:val="24"/>
                <w:szCs w:val="24"/>
                <w:highlight w:val="none"/>
              </w:rPr>
            </w:pPr>
          </w:p>
        </w:tc>
        <w:tc>
          <w:tcPr>
            <w:tcW w:w="2041" w:type="dxa"/>
          </w:tcPr>
          <w:p w14:paraId="1EDF8C76">
            <w:pPr>
              <w:spacing w:line="360" w:lineRule="auto"/>
              <w:rPr>
                <w:rFonts w:ascii="宋体" w:cs="宋体"/>
                <w:sz w:val="24"/>
                <w:szCs w:val="24"/>
                <w:highlight w:val="none"/>
              </w:rPr>
            </w:pPr>
          </w:p>
        </w:tc>
        <w:tc>
          <w:tcPr>
            <w:tcW w:w="1275" w:type="dxa"/>
          </w:tcPr>
          <w:p w14:paraId="7D8123C1">
            <w:pPr>
              <w:spacing w:line="360" w:lineRule="auto"/>
              <w:rPr>
                <w:rFonts w:ascii="宋体" w:cs="宋体"/>
                <w:sz w:val="24"/>
                <w:szCs w:val="24"/>
                <w:highlight w:val="none"/>
              </w:rPr>
            </w:pPr>
          </w:p>
        </w:tc>
        <w:tc>
          <w:tcPr>
            <w:tcW w:w="986" w:type="dxa"/>
          </w:tcPr>
          <w:p w14:paraId="58ECE7D5">
            <w:pPr>
              <w:spacing w:line="360" w:lineRule="auto"/>
              <w:rPr>
                <w:rFonts w:ascii="宋体" w:cs="宋体"/>
                <w:sz w:val="24"/>
                <w:szCs w:val="24"/>
                <w:highlight w:val="none"/>
              </w:rPr>
            </w:pPr>
          </w:p>
        </w:tc>
      </w:tr>
      <w:tr w14:paraId="10D38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72" w:type="dxa"/>
          </w:tcPr>
          <w:p w14:paraId="142A8260">
            <w:pPr>
              <w:spacing w:line="360" w:lineRule="auto"/>
              <w:rPr>
                <w:rFonts w:ascii="宋体" w:cs="宋体"/>
                <w:sz w:val="24"/>
                <w:szCs w:val="24"/>
                <w:highlight w:val="none"/>
              </w:rPr>
            </w:pPr>
          </w:p>
        </w:tc>
        <w:tc>
          <w:tcPr>
            <w:tcW w:w="1750" w:type="dxa"/>
          </w:tcPr>
          <w:p w14:paraId="5864D755">
            <w:pPr>
              <w:spacing w:line="360" w:lineRule="auto"/>
              <w:rPr>
                <w:rFonts w:ascii="宋体" w:cs="宋体"/>
                <w:sz w:val="24"/>
                <w:szCs w:val="24"/>
                <w:highlight w:val="none"/>
              </w:rPr>
            </w:pPr>
          </w:p>
        </w:tc>
        <w:tc>
          <w:tcPr>
            <w:tcW w:w="2208" w:type="dxa"/>
          </w:tcPr>
          <w:p w14:paraId="7948D0DA">
            <w:pPr>
              <w:spacing w:line="360" w:lineRule="auto"/>
              <w:rPr>
                <w:rFonts w:ascii="宋体" w:cs="宋体"/>
                <w:sz w:val="24"/>
                <w:szCs w:val="24"/>
                <w:highlight w:val="none"/>
              </w:rPr>
            </w:pPr>
          </w:p>
        </w:tc>
        <w:tc>
          <w:tcPr>
            <w:tcW w:w="2041" w:type="dxa"/>
          </w:tcPr>
          <w:p w14:paraId="24A1C538">
            <w:pPr>
              <w:spacing w:line="360" w:lineRule="auto"/>
              <w:rPr>
                <w:rFonts w:ascii="宋体" w:cs="宋体"/>
                <w:sz w:val="24"/>
                <w:szCs w:val="24"/>
                <w:highlight w:val="none"/>
              </w:rPr>
            </w:pPr>
          </w:p>
        </w:tc>
        <w:tc>
          <w:tcPr>
            <w:tcW w:w="1275" w:type="dxa"/>
          </w:tcPr>
          <w:p w14:paraId="50C83FEE">
            <w:pPr>
              <w:spacing w:line="360" w:lineRule="auto"/>
              <w:rPr>
                <w:rFonts w:ascii="宋体" w:cs="宋体"/>
                <w:sz w:val="24"/>
                <w:szCs w:val="24"/>
                <w:highlight w:val="none"/>
              </w:rPr>
            </w:pPr>
          </w:p>
        </w:tc>
        <w:tc>
          <w:tcPr>
            <w:tcW w:w="986" w:type="dxa"/>
          </w:tcPr>
          <w:p w14:paraId="33FF9D47">
            <w:pPr>
              <w:spacing w:line="360" w:lineRule="auto"/>
              <w:rPr>
                <w:rFonts w:ascii="宋体" w:cs="宋体"/>
                <w:sz w:val="24"/>
                <w:szCs w:val="24"/>
                <w:highlight w:val="none"/>
              </w:rPr>
            </w:pPr>
          </w:p>
        </w:tc>
      </w:tr>
      <w:tr w14:paraId="77E12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72" w:type="dxa"/>
          </w:tcPr>
          <w:p w14:paraId="41D1F939">
            <w:pPr>
              <w:spacing w:line="360" w:lineRule="auto"/>
              <w:rPr>
                <w:rFonts w:ascii="宋体" w:cs="宋体"/>
                <w:sz w:val="24"/>
                <w:szCs w:val="24"/>
                <w:highlight w:val="none"/>
              </w:rPr>
            </w:pPr>
          </w:p>
        </w:tc>
        <w:tc>
          <w:tcPr>
            <w:tcW w:w="1750" w:type="dxa"/>
          </w:tcPr>
          <w:p w14:paraId="4A159A95">
            <w:pPr>
              <w:spacing w:line="360" w:lineRule="auto"/>
              <w:rPr>
                <w:rFonts w:ascii="宋体" w:cs="宋体"/>
                <w:sz w:val="24"/>
                <w:szCs w:val="24"/>
                <w:highlight w:val="none"/>
              </w:rPr>
            </w:pPr>
          </w:p>
        </w:tc>
        <w:tc>
          <w:tcPr>
            <w:tcW w:w="2208" w:type="dxa"/>
          </w:tcPr>
          <w:p w14:paraId="552996F1">
            <w:pPr>
              <w:spacing w:line="360" w:lineRule="auto"/>
              <w:rPr>
                <w:rFonts w:ascii="宋体" w:cs="宋体"/>
                <w:sz w:val="24"/>
                <w:szCs w:val="24"/>
                <w:highlight w:val="none"/>
              </w:rPr>
            </w:pPr>
          </w:p>
        </w:tc>
        <w:tc>
          <w:tcPr>
            <w:tcW w:w="2041" w:type="dxa"/>
          </w:tcPr>
          <w:p w14:paraId="5E03C9BE">
            <w:pPr>
              <w:spacing w:line="360" w:lineRule="auto"/>
              <w:rPr>
                <w:rFonts w:ascii="宋体" w:cs="宋体"/>
                <w:sz w:val="24"/>
                <w:szCs w:val="24"/>
                <w:highlight w:val="none"/>
              </w:rPr>
            </w:pPr>
          </w:p>
        </w:tc>
        <w:tc>
          <w:tcPr>
            <w:tcW w:w="1275" w:type="dxa"/>
          </w:tcPr>
          <w:p w14:paraId="72FD1DDC">
            <w:pPr>
              <w:spacing w:line="360" w:lineRule="auto"/>
              <w:rPr>
                <w:rFonts w:ascii="宋体" w:cs="宋体"/>
                <w:sz w:val="24"/>
                <w:szCs w:val="24"/>
                <w:highlight w:val="none"/>
              </w:rPr>
            </w:pPr>
          </w:p>
        </w:tc>
        <w:tc>
          <w:tcPr>
            <w:tcW w:w="986" w:type="dxa"/>
          </w:tcPr>
          <w:p w14:paraId="2E64E177">
            <w:pPr>
              <w:spacing w:line="360" w:lineRule="auto"/>
              <w:rPr>
                <w:rFonts w:ascii="宋体" w:cs="宋体"/>
                <w:sz w:val="24"/>
                <w:szCs w:val="24"/>
                <w:highlight w:val="none"/>
              </w:rPr>
            </w:pPr>
          </w:p>
        </w:tc>
      </w:tr>
      <w:tr w14:paraId="009E8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68E4AC69">
            <w:pPr>
              <w:spacing w:line="360" w:lineRule="auto"/>
              <w:rPr>
                <w:rFonts w:ascii="宋体" w:cs="宋体"/>
                <w:sz w:val="24"/>
                <w:szCs w:val="24"/>
                <w:highlight w:val="none"/>
              </w:rPr>
            </w:pPr>
          </w:p>
        </w:tc>
        <w:tc>
          <w:tcPr>
            <w:tcW w:w="1750" w:type="dxa"/>
          </w:tcPr>
          <w:p w14:paraId="3DA23B5A">
            <w:pPr>
              <w:spacing w:line="360" w:lineRule="auto"/>
              <w:rPr>
                <w:rFonts w:ascii="宋体" w:cs="宋体"/>
                <w:sz w:val="24"/>
                <w:szCs w:val="24"/>
                <w:highlight w:val="none"/>
              </w:rPr>
            </w:pPr>
          </w:p>
        </w:tc>
        <w:tc>
          <w:tcPr>
            <w:tcW w:w="2208" w:type="dxa"/>
          </w:tcPr>
          <w:p w14:paraId="6D93EF6B">
            <w:pPr>
              <w:spacing w:line="360" w:lineRule="auto"/>
              <w:rPr>
                <w:rFonts w:ascii="宋体" w:cs="宋体"/>
                <w:sz w:val="24"/>
                <w:szCs w:val="24"/>
                <w:highlight w:val="none"/>
              </w:rPr>
            </w:pPr>
          </w:p>
        </w:tc>
        <w:tc>
          <w:tcPr>
            <w:tcW w:w="2041" w:type="dxa"/>
          </w:tcPr>
          <w:p w14:paraId="7A0BB05A">
            <w:pPr>
              <w:spacing w:line="360" w:lineRule="auto"/>
              <w:rPr>
                <w:rFonts w:ascii="宋体" w:cs="宋体"/>
                <w:sz w:val="24"/>
                <w:szCs w:val="24"/>
                <w:highlight w:val="none"/>
              </w:rPr>
            </w:pPr>
          </w:p>
        </w:tc>
        <w:tc>
          <w:tcPr>
            <w:tcW w:w="1275" w:type="dxa"/>
          </w:tcPr>
          <w:p w14:paraId="204706D4">
            <w:pPr>
              <w:spacing w:line="360" w:lineRule="auto"/>
              <w:rPr>
                <w:rFonts w:ascii="宋体" w:cs="宋体"/>
                <w:sz w:val="24"/>
                <w:szCs w:val="24"/>
                <w:highlight w:val="none"/>
              </w:rPr>
            </w:pPr>
          </w:p>
        </w:tc>
        <w:tc>
          <w:tcPr>
            <w:tcW w:w="986" w:type="dxa"/>
          </w:tcPr>
          <w:p w14:paraId="3184E0B6">
            <w:pPr>
              <w:spacing w:line="360" w:lineRule="auto"/>
              <w:rPr>
                <w:rFonts w:ascii="宋体" w:cs="宋体"/>
                <w:sz w:val="24"/>
                <w:szCs w:val="24"/>
                <w:highlight w:val="none"/>
              </w:rPr>
            </w:pPr>
          </w:p>
        </w:tc>
      </w:tr>
      <w:tr w14:paraId="6172C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5B9E5966">
            <w:pPr>
              <w:spacing w:line="360" w:lineRule="auto"/>
              <w:rPr>
                <w:rFonts w:ascii="宋体" w:cs="宋体"/>
                <w:sz w:val="24"/>
                <w:szCs w:val="24"/>
                <w:highlight w:val="none"/>
              </w:rPr>
            </w:pPr>
          </w:p>
        </w:tc>
        <w:tc>
          <w:tcPr>
            <w:tcW w:w="1750" w:type="dxa"/>
          </w:tcPr>
          <w:p w14:paraId="3398BA0A">
            <w:pPr>
              <w:spacing w:line="360" w:lineRule="auto"/>
              <w:rPr>
                <w:rFonts w:ascii="宋体" w:cs="宋体"/>
                <w:sz w:val="24"/>
                <w:szCs w:val="24"/>
                <w:highlight w:val="none"/>
              </w:rPr>
            </w:pPr>
          </w:p>
        </w:tc>
        <w:tc>
          <w:tcPr>
            <w:tcW w:w="2208" w:type="dxa"/>
          </w:tcPr>
          <w:p w14:paraId="57834C3E">
            <w:pPr>
              <w:spacing w:line="360" w:lineRule="auto"/>
              <w:rPr>
                <w:rFonts w:ascii="宋体" w:cs="宋体"/>
                <w:sz w:val="24"/>
                <w:szCs w:val="24"/>
                <w:highlight w:val="none"/>
              </w:rPr>
            </w:pPr>
          </w:p>
        </w:tc>
        <w:tc>
          <w:tcPr>
            <w:tcW w:w="2041" w:type="dxa"/>
          </w:tcPr>
          <w:p w14:paraId="14CE35F2">
            <w:pPr>
              <w:spacing w:line="360" w:lineRule="auto"/>
              <w:rPr>
                <w:rFonts w:ascii="宋体" w:cs="宋体"/>
                <w:sz w:val="24"/>
                <w:szCs w:val="24"/>
                <w:highlight w:val="none"/>
              </w:rPr>
            </w:pPr>
          </w:p>
        </w:tc>
        <w:tc>
          <w:tcPr>
            <w:tcW w:w="1275" w:type="dxa"/>
          </w:tcPr>
          <w:p w14:paraId="585DD03A">
            <w:pPr>
              <w:spacing w:line="360" w:lineRule="auto"/>
              <w:rPr>
                <w:rFonts w:ascii="宋体" w:cs="宋体"/>
                <w:sz w:val="24"/>
                <w:szCs w:val="24"/>
                <w:highlight w:val="none"/>
              </w:rPr>
            </w:pPr>
          </w:p>
        </w:tc>
        <w:tc>
          <w:tcPr>
            <w:tcW w:w="986" w:type="dxa"/>
          </w:tcPr>
          <w:p w14:paraId="0F9B2AFB">
            <w:pPr>
              <w:spacing w:line="360" w:lineRule="auto"/>
              <w:rPr>
                <w:rFonts w:ascii="宋体" w:cs="宋体"/>
                <w:sz w:val="24"/>
                <w:szCs w:val="24"/>
                <w:highlight w:val="none"/>
              </w:rPr>
            </w:pPr>
          </w:p>
        </w:tc>
      </w:tr>
      <w:tr w14:paraId="4483B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5A6E5A79">
            <w:pPr>
              <w:spacing w:line="360" w:lineRule="auto"/>
              <w:rPr>
                <w:rFonts w:ascii="宋体" w:cs="宋体"/>
                <w:sz w:val="24"/>
                <w:szCs w:val="24"/>
                <w:highlight w:val="none"/>
              </w:rPr>
            </w:pPr>
          </w:p>
        </w:tc>
        <w:tc>
          <w:tcPr>
            <w:tcW w:w="1750" w:type="dxa"/>
          </w:tcPr>
          <w:p w14:paraId="2BFA5FD7">
            <w:pPr>
              <w:spacing w:line="360" w:lineRule="auto"/>
              <w:rPr>
                <w:rFonts w:ascii="宋体" w:cs="宋体"/>
                <w:sz w:val="24"/>
                <w:szCs w:val="24"/>
                <w:highlight w:val="none"/>
              </w:rPr>
            </w:pPr>
          </w:p>
        </w:tc>
        <w:tc>
          <w:tcPr>
            <w:tcW w:w="2208" w:type="dxa"/>
          </w:tcPr>
          <w:p w14:paraId="5C06536D">
            <w:pPr>
              <w:spacing w:line="360" w:lineRule="auto"/>
              <w:rPr>
                <w:rFonts w:ascii="宋体" w:cs="宋体"/>
                <w:sz w:val="24"/>
                <w:szCs w:val="24"/>
                <w:highlight w:val="none"/>
              </w:rPr>
            </w:pPr>
          </w:p>
        </w:tc>
        <w:tc>
          <w:tcPr>
            <w:tcW w:w="2041" w:type="dxa"/>
          </w:tcPr>
          <w:p w14:paraId="1F4F54D6">
            <w:pPr>
              <w:spacing w:line="360" w:lineRule="auto"/>
              <w:rPr>
                <w:rFonts w:ascii="宋体" w:cs="宋体"/>
                <w:sz w:val="24"/>
                <w:szCs w:val="24"/>
                <w:highlight w:val="none"/>
              </w:rPr>
            </w:pPr>
          </w:p>
        </w:tc>
        <w:tc>
          <w:tcPr>
            <w:tcW w:w="1275" w:type="dxa"/>
          </w:tcPr>
          <w:p w14:paraId="7B8E4D13">
            <w:pPr>
              <w:spacing w:line="360" w:lineRule="auto"/>
              <w:rPr>
                <w:rFonts w:ascii="宋体" w:cs="宋体"/>
                <w:sz w:val="24"/>
                <w:szCs w:val="24"/>
                <w:highlight w:val="none"/>
              </w:rPr>
            </w:pPr>
          </w:p>
        </w:tc>
        <w:tc>
          <w:tcPr>
            <w:tcW w:w="986" w:type="dxa"/>
          </w:tcPr>
          <w:p w14:paraId="610FAAFD">
            <w:pPr>
              <w:spacing w:line="360" w:lineRule="auto"/>
              <w:rPr>
                <w:rFonts w:ascii="宋体" w:cs="宋体"/>
                <w:sz w:val="24"/>
                <w:szCs w:val="24"/>
                <w:highlight w:val="none"/>
              </w:rPr>
            </w:pPr>
          </w:p>
        </w:tc>
      </w:tr>
      <w:tr w14:paraId="64E4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1C296962">
            <w:pPr>
              <w:spacing w:line="360" w:lineRule="auto"/>
              <w:rPr>
                <w:rFonts w:ascii="宋体" w:cs="宋体"/>
                <w:sz w:val="24"/>
                <w:szCs w:val="24"/>
                <w:highlight w:val="none"/>
              </w:rPr>
            </w:pPr>
          </w:p>
        </w:tc>
        <w:tc>
          <w:tcPr>
            <w:tcW w:w="1750" w:type="dxa"/>
          </w:tcPr>
          <w:p w14:paraId="41D57DE8">
            <w:pPr>
              <w:spacing w:line="360" w:lineRule="auto"/>
              <w:rPr>
                <w:rFonts w:ascii="宋体" w:cs="宋体"/>
                <w:sz w:val="24"/>
                <w:szCs w:val="24"/>
                <w:highlight w:val="none"/>
              </w:rPr>
            </w:pPr>
          </w:p>
        </w:tc>
        <w:tc>
          <w:tcPr>
            <w:tcW w:w="2208" w:type="dxa"/>
          </w:tcPr>
          <w:p w14:paraId="2689F36E">
            <w:pPr>
              <w:spacing w:line="360" w:lineRule="auto"/>
              <w:rPr>
                <w:rFonts w:ascii="宋体" w:cs="宋体"/>
                <w:sz w:val="24"/>
                <w:szCs w:val="24"/>
                <w:highlight w:val="none"/>
              </w:rPr>
            </w:pPr>
          </w:p>
        </w:tc>
        <w:tc>
          <w:tcPr>
            <w:tcW w:w="2041" w:type="dxa"/>
          </w:tcPr>
          <w:p w14:paraId="2033AE5B">
            <w:pPr>
              <w:spacing w:line="360" w:lineRule="auto"/>
              <w:rPr>
                <w:rFonts w:ascii="宋体" w:cs="宋体"/>
                <w:sz w:val="24"/>
                <w:szCs w:val="24"/>
                <w:highlight w:val="none"/>
              </w:rPr>
            </w:pPr>
          </w:p>
        </w:tc>
        <w:tc>
          <w:tcPr>
            <w:tcW w:w="1275" w:type="dxa"/>
          </w:tcPr>
          <w:p w14:paraId="45E0DA5F">
            <w:pPr>
              <w:spacing w:line="360" w:lineRule="auto"/>
              <w:rPr>
                <w:rFonts w:ascii="宋体" w:cs="宋体"/>
                <w:sz w:val="24"/>
                <w:szCs w:val="24"/>
                <w:highlight w:val="none"/>
              </w:rPr>
            </w:pPr>
          </w:p>
        </w:tc>
        <w:tc>
          <w:tcPr>
            <w:tcW w:w="986" w:type="dxa"/>
          </w:tcPr>
          <w:p w14:paraId="738E2D63">
            <w:pPr>
              <w:spacing w:line="360" w:lineRule="auto"/>
              <w:rPr>
                <w:rFonts w:ascii="宋体" w:cs="宋体"/>
                <w:sz w:val="24"/>
                <w:szCs w:val="24"/>
                <w:highlight w:val="none"/>
              </w:rPr>
            </w:pPr>
          </w:p>
        </w:tc>
      </w:tr>
      <w:tr w14:paraId="1FCA1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26E177A8">
            <w:pPr>
              <w:spacing w:line="360" w:lineRule="auto"/>
              <w:rPr>
                <w:rFonts w:ascii="宋体" w:cs="宋体"/>
                <w:sz w:val="24"/>
                <w:szCs w:val="24"/>
                <w:highlight w:val="none"/>
              </w:rPr>
            </w:pPr>
          </w:p>
        </w:tc>
        <w:tc>
          <w:tcPr>
            <w:tcW w:w="1750" w:type="dxa"/>
          </w:tcPr>
          <w:p w14:paraId="7B5738EC">
            <w:pPr>
              <w:spacing w:line="360" w:lineRule="auto"/>
              <w:rPr>
                <w:rFonts w:ascii="宋体" w:cs="宋体"/>
                <w:sz w:val="24"/>
                <w:szCs w:val="24"/>
                <w:highlight w:val="none"/>
              </w:rPr>
            </w:pPr>
          </w:p>
        </w:tc>
        <w:tc>
          <w:tcPr>
            <w:tcW w:w="2208" w:type="dxa"/>
          </w:tcPr>
          <w:p w14:paraId="6C7A45EF">
            <w:pPr>
              <w:spacing w:line="360" w:lineRule="auto"/>
              <w:rPr>
                <w:rFonts w:ascii="宋体" w:cs="宋体"/>
                <w:sz w:val="24"/>
                <w:szCs w:val="24"/>
                <w:highlight w:val="none"/>
              </w:rPr>
            </w:pPr>
          </w:p>
        </w:tc>
        <w:tc>
          <w:tcPr>
            <w:tcW w:w="2041" w:type="dxa"/>
          </w:tcPr>
          <w:p w14:paraId="6D112908">
            <w:pPr>
              <w:spacing w:line="360" w:lineRule="auto"/>
              <w:rPr>
                <w:rFonts w:ascii="宋体" w:cs="宋体"/>
                <w:sz w:val="24"/>
                <w:szCs w:val="24"/>
                <w:highlight w:val="none"/>
              </w:rPr>
            </w:pPr>
          </w:p>
        </w:tc>
        <w:tc>
          <w:tcPr>
            <w:tcW w:w="1275" w:type="dxa"/>
          </w:tcPr>
          <w:p w14:paraId="18692499">
            <w:pPr>
              <w:spacing w:line="360" w:lineRule="auto"/>
              <w:rPr>
                <w:rFonts w:ascii="宋体" w:cs="宋体"/>
                <w:sz w:val="24"/>
                <w:szCs w:val="24"/>
                <w:highlight w:val="none"/>
              </w:rPr>
            </w:pPr>
          </w:p>
        </w:tc>
        <w:tc>
          <w:tcPr>
            <w:tcW w:w="986" w:type="dxa"/>
          </w:tcPr>
          <w:p w14:paraId="2429D2B3">
            <w:pPr>
              <w:spacing w:line="360" w:lineRule="auto"/>
              <w:rPr>
                <w:rFonts w:ascii="宋体" w:cs="宋体"/>
                <w:sz w:val="24"/>
                <w:szCs w:val="24"/>
                <w:highlight w:val="none"/>
              </w:rPr>
            </w:pPr>
          </w:p>
        </w:tc>
      </w:tr>
      <w:tr w14:paraId="35F85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57A694A1">
            <w:pPr>
              <w:spacing w:line="360" w:lineRule="auto"/>
              <w:rPr>
                <w:rFonts w:ascii="宋体" w:cs="宋体"/>
                <w:sz w:val="24"/>
                <w:szCs w:val="24"/>
                <w:highlight w:val="none"/>
              </w:rPr>
            </w:pPr>
          </w:p>
        </w:tc>
        <w:tc>
          <w:tcPr>
            <w:tcW w:w="1750" w:type="dxa"/>
          </w:tcPr>
          <w:p w14:paraId="0EAF6FD5">
            <w:pPr>
              <w:spacing w:line="360" w:lineRule="auto"/>
              <w:rPr>
                <w:rFonts w:ascii="宋体" w:cs="宋体"/>
                <w:sz w:val="24"/>
                <w:szCs w:val="24"/>
                <w:highlight w:val="none"/>
              </w:rPr>
            </w:pPr>
          </w:p>
        </w:tc>
        <w:tc>
          <w:tcPr>
            <w:tcW w:w="2208" w:type="dxa"/>
          </w:tcPr>
          <w:p w14:paraId="5DA3A353">
            <w:pPr>
              <w:spacing w:line="360" w:lineRule="auto"/>
              <w:rPr>
                <w:rFonts w:ascii="宋体" w:cs="宋体"/>
                <w:sz w:val="24"/>
                <w:szCs w:val="24"/>
                <w:highlight w:val="none"/>
              </w:rPr>
            </w:pPr>
          </w:p>
        </w:tc>
        <w:tc>
          <w:tcPr>
            <w:tcW w:w="2041" w:type="dxa"/>
          </w:tcPr>
          <w:p w14:paraId="484EAF8A">
            <w:pPr>
              <w:spacing w:line="360" w:lineRule="auto"/>
              <w:rPr>
                <w:rFonts w:ascii="宋体" w:cs="宋体"/>
                <w:sz w:val="24"/>
                <w:szCs w:val="24"/>
                <w:highlight w:val="none"/>
              </w:rPr>
            </w:pPr>
          </w:p>
        </w:tc>
        <w:tc>
          <w:tcPr>
            <w:tcW w:w="1275" w:type="dxa"/>
          </w:tcPr>
          <w:p w14:paraId="3F34F0CA">
            <w:pPr>
              <w:spacing w:line="360" w:lineRule="auto"/>
              <w:rPr>
                <w:rFonts w:ascii="宋体" w:cs="宋体"/>
                <w:sz w:val="24"/>
                <w:szCs w:val="24"/>
                <w:highlight w:val="none"/>
              </w:rPr>
            </w:pPr>
          </w:p>
        </w:tc>
        <w:tc>
          <w:tcPr>
            <w:tcW w:w="986" w:type="dxa"/>
          </w:tcPr>
          <w:p w14:paraId="3980D05E">
            <w:pPr>
              <w:spacing w:line="360" w:lineRule="auto"/>
              <w:rPr>
                <w:rFonts w:ascii="宋体" w:cs="宋体"/>
                <w:sz w:val="24"/>
                <w:szCs w:val="24"/>
                <w:highlight w:val="none"/>
              </w:rPr>
            </w:pPr>
          </w:p>
        </w:tc>
      </w:tr>
    </w:tbl>
    <w:p w14:paraId="4A8DFBE6">
      <w:pPr>
        <w:spacing w:line="360" w:lineRule="auto"/>
        <w:rPr>
          <w:rFonts w:ascii="宋体" w:cs="宋体"/>
          <w:sz w:val="24"/>
          <w:szCs w:val="24"/>
          <w:highlight w:val="none"/>
          <w:u w:val="singl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7659AE77">
      <w:pPr>
        <w:spacing w:line="360" w:lineRule="auto"/>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66E5DF50">
      <w:pPr>
        <w:spacing w:line="360" w:lineRule="auto"/>
        <w:rPr>
          <w:rFonts w:ascii="宋体" w:cs="宋体"/>
          <w:sz w:val="24"/>
          <w:szCs w:val="24"/>
          <w:highlight w:val="none"/>
        </w:rPr>
      </w:pPr>
      <w:r>
        <w:rPr>
          <w:rFonts w:hint="eastAsia" w:ascii="宋体" w:hAnsi="宋体" w:cs="宋体"/>
          <w:sz w:val="24"/>
          <w:szCs w:val="24"/>
          <w:highlight w:val="none"/>
        </w:rPr>
        <w:t>日期：</w:t>
      </w:r>
    </w:p>
    <w:p w14:paraId="6B0D88DD">
      <w:pPr>
        <w:spacing w:line="360" w:lineRule="auto"/>
        <w:rPr>
          <w:rFonts w:ascii="宋体" w:cs="宋体"/>
          <w:sz w:val="24"/>
          <w:szCs w:val="24"/>
          <w:highlight w:val="none"/>
        </w:rPr>
      </w:pPr>
      <w:r>
        <w:rPr>
          <w:rFonts w:hint="eastAsia" w:ascii="宋体" w:hAnsi="宋体" w:cs="宋体"/>
          <w:sz w:val="24"/>
          <w:szCs w:val="24"/>
          <w:highlight w:val="none"/>
        </w:rPr>
        <w:t>注：投标人如果对包括服务期限、服务地点，付款方式、时间、条件及合同条款等在内的商务条款的响应有任何偏离（正偏离</w:t>
      </w:r>
      <w:r>
        <w:rPr>
          <w:rFonts w:ascii="宋体" w:hAnsi="宋体" w:cs="宋体"/>
          <w:sz w:val="24"/>
          <w:szCs w:val="24"/>
          <w:highlight w:val="none"/>
        </w:rPr>
        <w:t>/</w:t>
      </w:r>
      <w:r>
        <w:rPr>
          <w:rFonts w:hint="eastAsia" w:ascii="宋体" w:hAnsi="宋体" w:cs="宋体"/>
          <w:sz w:val="24"/>
          <w:szCs w:val="24"/>
          <w:highlight w:val="none"/>
        </w:rPr>
        <w:t>负偏离），请在本表中详细填写；如对商务条款没有偏离，请注明“无偏离”。</w:t>
      </w:r>
    </w:p>
    <w:p w14:paraId="56840D95">
      <w:pPr>
        <w:pStyle w:val="5"/>
        <w:rPr>
          <w:rFonts w:ascii="宋体"/>
          <w:highlight w:val="none"/>
        </w:rPr>
      </w:pPr>
      <w:r>
        <w:rPr>
          <w:highlight w:val="none"/>
          <w:u w:val="single"/>
        </w:rPr>
        <w:br w:type="page"/>
      </w:r>
      <w:bookmarkStart w:id="233" w:name="_Toc2355270"/>
      <w:bookmarkStart w:id="234" w:name="_Toc14776862"/>
      <w:bookmarkStart w:id="235" w:name="_Toc2512012"/>
      <w:bookmarkStart w:id="236" w:name="_Toc2371"/>
      <w:bookmarkStart w:id="237" w:name="_Toc497167417"/>
      <w:bookmarkStart w:id="238" w:name="_Toc7289"/>
      <w:bookmarkStart w:id="239" w:name="_Toc493422664"/>
      <w:bookmarkStart w:id="240" w:name="_Toc44705074"/>
      <w:bookmarkStart w:id="241" w:name="_Toc44704927"/>
      <w:r>
        <w:rPr>
          <w:rFonts w:ascii="宋体" w:hAnsi="宋体"/>
          <w:sz w:val="32"/>
          <w:highlight w:val="none"/>
        </w:rPr>
        <w:t>2.6</w:t>
      </w:r>
      <w:r>
        <w:rPr>
          <w:rFonts w:hint="eastAsia" w:ascii="宋体" w:hAnsi="宋体"/>
          <w:sz w:val="32"/>
          <w:highlight w:val="none"/>
        </w:rPr>
        <w:t>、法定代表人授权书格式</w:t>
      </w:r>
      <w:bookmarkEnd w:id="233"/>
      <w:bookmarkEnd w:id="234"/>
      <w:bookmarkEnd w:id="235"/>
      <w:bookmarkEnd w:id="236"/>
      <w:bookmarkEnd w:id="237"/>
      <w:bookmarkEnd w:id="238"/>
      <w:bookmarkEnd w:id="239"/>
      <w:bookmarkEnd w:id="240"/>
      <w:bookmarkEnd w:id="241"/>
    </w:p>
    <w:p w14:paraId="0CDF8D04">
      <w:pPr>
        <w:spacing w:line="360" w:lineRule="auto"/>
        <w:rPr>
          <w:rFonts w:ascii="宋体" w:cs="宋体"/>
          <w:szCs w:val="21"/>
          <w:highlight w:val="none"/>
        </w:rPr>
      </w:pPr>
    </w:p>
    <w:p w14:paraId="5615E607">
      <w:pPr>
        <w:spacing w:line="360" w:lineRule="auto"/>
        <w:jc w:val="center"/>
        <w:rPr>
          <w:rFonts w:ascii="宋体" w:cs="宋体"/>
          <w:b/>
          <w:bCs/>
          <w:sz w:val="32"/>
          <w:szCs w:val="32"/>
          <w:highlight w:val="none"/>
        </w:rPr>
      </w:pPr>
      <w:r>
        <w:rPr>
          <w:rFonts w:hint="eastAsia" w:ascii="宋体" w:hAnsi="宋体" w:cs="宋体"/>
          <w:b/>
          <w:bCs/>
          <w:sz w:val="32"/>
          <w:szCs w:val="32"/>
          <w:highlight w:val="none"/>
        </w:rPr>
        <w:t>法定代表人授权书</w:t>
      </w:r>
    </w:p>
    <w:p w14:paraId="28A4D4FE">
      <w:pPr>
        <w:spacing w:line="360" w:lineRule="auto"/>
        <w:rPr>
          <w:rFonts w:ascii="宋体" w:cs="宋体"/>
          <w:sz w:val="24"/>
          <w:szCs w:val="24"/>
          <w:highlight w:val="none"/>
        </w:rPr>
      </w:pPr>
    </w:p>
    <w:p w14:paraId="655571D3">
      <w:pPr>
        <w:spacing w:line="360" w:lineRule="auto"/>
        <w:ind w:firstLine="435"/>
        <w:rPr>
          <w:rFonts w:ascii="宋体" w:cs="宋体"/>
          <w:sz w:val="24"/>
          <w:szCs w:val="24"/>
          <w:highlight w:val="none"/>
        </w:rPr>
      </w:pPr>
      <w:r>
        <w:rPr>
          <w:rFonts w:hint="eastAsia" w:ascii="宋体" w:hAnsi="宋体" w:cs="宋体"/>
          <w:sz w:val="24"/>
          <w:szCs w:val="24"/>
          <w:highlight w:val="none"/>
        </w:rPr>
        <w:t>本授权书声明：注册于（国家或地区的名称）的</w:t>
      </w:r>
      <w:r>
        <w:rPr>
          <w:rFonts w:hint="eastAsia" w:ascii="宋体" w:hAnsi="宋体" w:cs="宋体"/>
          <w:sz w:val="24"/>
          <w:szCs w:val="24"/>
          <w:highlight w:val="none"/>
          <w:u w:val="single"/>
        </w:rPr>
        <w:t>（投标人名称）</w:t>
      </w:r>
      <w:r>
        <w:rPr>
          <w:rFonts w:hint="eastAsia" w:ascii="宋体" w:hAnsi="宋体" w:cs="宋体"/>
          <w:sz w:val="24"/>
          <w:szCs w:val="24"/>
          <w:highlight w:val="none"/>
        </w:rPr>
        <w:t>的在下面签字的</w:t>
      </w:r>
      <w:r>
        <w:rPr>
          <w:rFonts w:hint="eastAsia" w:ascii="宋体" w:hAnsi="宋体" w:cs="宋体"/>
          <w:sz w:val="24"/>
          <w:szCs w:val="24"/>
          <w:highlight w:val="none"/>
          <w:u w:val="single"/>
        </w:rPr>
        <w:t>（法定代表人姓名、职务、身份证号码）</w:t>
      </w:r>
      <w:r>
        <w:rPr>
          <w:rFonts w:hint="eastAsia" w:ascii="宋体" w:hAnsi="宋体" w:cs="宋体"/>
          <w:sz w:val="24"/>
          <w:szCs w:val="24"/>
          <w:highlight w:val="none"/>
        </w:rPr>
        <w:t>代表本公司授权的在下面签字的</w:t>
      </w:r>
      <w:r>
        <w:rPr>
          <w:rFonts w:hint="eastAsia" w:ascii="宋体" w:hAnsi="宋体" w:cs="宋体"/>
          <w:sz w:val="24"/>
          <w:szCs w:val="24"/>
          <w:highlight w:val="none"/>
          <w:u w:val="single"/>
        </w:rPr>
        <w:t>（被授权人的姓名、职务、身份证号码）</w:t>
      </w:r>
      <w:r>
        <w:rPr>
          <w:rFonts w:hint="eastAsia" w:ascii="宋体" w:hAnsi="宋体" w:cs="宋体"/>
          <w:sz w:val="24"/>
          <w:szCs w:val="24"/>
          <w:highlight w:val="none"/>
        </w:rPr>
        <w:t>为本公司的合法代理人，就项目（招标编号：</w:t>
      </w:r>
      <w:r>
        <w:rPr>
          <w:rFonts w:ascii="宋体" w:hAnsi="宋体" w:cs="宋体"/>
          <w:sz w:val="24"/>
          <w:szCs w:val="24"/>
          <w:highlight w:val="none"/>
          <w:u w:val="single"/>
        </w:rPr>
        <w:t xml:space="preserve">                </w:t>
      </w:r>
      <w:r>
        <w:rPr>
          <w:rFonts w:hint="eastAsia" w:ascii="宋体" w:hAnsi="宋体" w:cs="宋体"/>
          <w:sz w:val="24"/>
          <w:szCs w:val="24"/>
          <w:highlight w:val="none"/>
          <w:u w:val="single"/>
        </w:rPr>
        <w:t>）</w:t>
      </w:r>
      <w:r>
        <w:rPr>
          <w:rFonts w:hint="eastAsia" w:ascii="宋体" w:hAnsi="宋体" w:cs="宋体"/>
          <w:sz w:val="24"/>
          <w:szCs w:val="24"/>
          <w:highlight w:val="none"/>
        </w:rPr>
        <w:t>的采购（含投标和转为其他方式），以本公司名义处理一切与之有关的事务。我公司对被授权人的签名负全部法律责任。</w:t>
      </w:r>
    </w:p>
    <w:p w14:paraId="23458C0B">
      <w:pPr>
        <w:spacing w:line="360" w:lineRule="auto"/>
        <w:ind w:firstLine="435"/>
        <w:rPr>
          <w:rFonts w:ascii="宋体" w:cs="宋体"/>
          <w:sz w:val="24"/>
          <w:szCs w:val="24"/>
          <w:highlight w:val="none"/>
        </w:rPr>
      </w:pPr>
      <w:r>
        <w:rPr>
          <w:rFonts w:hint="eastAsia" w:ascii="宋体" w:hAnsi="宋体" w:cs="宋体"/>
          <w:sz w:val="24"/>
          <w:szCs w:val="24"/>
          <w:highlight w:val="none"/>
        </w:rPr>
        <w:t>本授权书于年月日盖章生效，特此声明。</w:t>
      </w:r>
    </w:p>
    <w:p w14:paraId="3B65BAC6">
      <w:pPr>
        <w:spacing w:line="360" w:lineRule="auto"/>
        <w:ind w:firstLine="435"/>
        <w:rPr>
          <w:rFonts w:ascii="宋体" w:cs="宋体"/>
          <w:sz w:val="24"/>
          <w:szCs w:val="24"/>
          <w:highlight w:val="none"/>
        </w:rPr>
      </w:pPr>
    </w:p>
    <w:p w14:paraId="401B7A28">
      <w:pPr>
        <w:spacing w:line="360" w:lineRule="auto"/>
        <w:ind w:firstLine="435"/>
        <w:rPr>
          <w:rFonts w:ascii="宋体" w:cs="宋体"/>
          <w:sz w:val="24"/>
          <w:szCs w:val="24"/>
          <w:highlight w:val="none"/>
        </w:rPr>
      </w:pPr>
    </w:p>
    <w:p w14:paraId="4E2622C2">
      <w:pPr>
        <w:spacing w:line="360" w:lineRule="auto"/>
        <w:ind w:firstLine="435"/>
        <w:rPr>
          <w:rFonts w:ascii="宋体" w:cs="宋体"/>
          <w:sz w:val="24"/>
          <w:szCs w:val="24"/>
          <w:highlight w:val="none"/>
        </w:rPr>
      </w:pPr>
    </w:p>
    <w:p w14:paraId="3DEF4359">
      <w:pPr>
        <w:spacing w:line="360" w:lineRule="auto"/>
        <w:ind w:firstLine="435"/>
        <w:jc w:val="right"/>
        <w:rPr>
          <w:rFonts w:ascii="宋体" w:cs="宋体"/>
          <w:sz w:val="24"/>
          <w:szCs w:val="24"/>
          <w:highlight w:val="none"/>
        </w:rPr>
      </w:pPr>
      <w:r>
        <w:rPr>
          <w:rFonts w:hint="eastAsia" w:ascii="宋体" w:hAnsi="宋体" w:cs="宋体"/>
          <w:sz w:val="24"/>
          <w:szCs w:val="24"/>
          <w:highlight w:val="none"/>
        </w:rPr>
        <w:t>法定代表人签字或盖章：</w:t>
      </w:r>
    </w:p>
    <w:p w14:paraId="41FF9C5F">
      <w:pPr>
        <w:pStyle w:val="21"/>
        <w:rPr>
          <w:highlight w:val="none"/>
        </w:rPr>
      </w:pPr>
    </w:p>
    <w:p w14:paraId="66703D59">
      <w:pPr>
        <w:spacing w:line="360" w:lineRule="auto"/>
        <w:ind w:firstLine="435"/>
        <w:jc w:val="right"/>
        <w:rPr>
          <w:rFonts w:ascii="宋体" w:cs="宋体"/>
          <w:sz w:val="24"/>
          <w:highlight w:val="none"/>
        </w:rPr>
      </w:pPr>
      <w:r>
        <w:rPr>
          <w:rFonts w:hint="eastAsia" w:ascii="宋体" w:hAnsi="宋体" w:cs="宋体"/>
          <w:sz w:val="24"/>
          <w:highlight w:val="none"/>
        </w:rPr>
        <w:t>授权代表签字：</w:t>
      </w:r>
    </w:p>
    <w:p w14:paraId="7450D522">
      <w:pPr>
        <w:pStyle w:val="21"/>
        <w:rPr>
          <w:highlight w:val="none"/>
        </w:rPr>
      </w:pPr>
    </w:p>
    <w:p w14:paraId="15CD06F1">
      <w:pPr>
        <w:spacing w:line="360" w:lineRule="auto"/>
        <w:ind w:firstLine="435"/>
        <w:jc w:val="right"/>
        <w:rPr>
          <w:rFonts w:ascii="宋体" w:cs="宋体"/>
          <w:sz w:val="24"/>
          <w:highlight w:val="none"/>
          <w:u w:val="single"/>
        </w:rPr>
      </w:pPr>
      <w:r>
        <w:rPr>
          <w:rFonts w:hint="eastAsia" w:ascii="宋体" w:hAnsi="宋体" w:cs="宋体"/>
          <w:sz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highlight w:val="none"/>
        </w:rPr>
        <w:t>）：</w:t>
      </w:r>
    </w:p>
    <w:p w14:paraId="7B65B51C">
      <w:pPr>
        <w:spacing w:line="360" w:lineRule="auto"/>
        <w:ind w:firstLine="435"/>
        <w:rPr>
          <w:rFonts w:ascii="宋体" w:cs="宋体"/>
          <w:highlight w:val="none"/>
        </w:rPr>
      </w:pPr>
    </w:p>
    <w:p w14:paraId="727A3CD4">
      <w:pPr>
        <w:spacing w:line="360" w:lineRule="auto"/>
        <w:ind w:firstLine="435"/>
        <w:rPr>
          <w:rFonts w:ascii="宋体" w:cs="宋体"/>
          <w:sz w:val="24"/>
          <w:szCs w:val="24"/>
          <w:highlight w:val="none"/>
        </w:rPr>
      </w:pPr>
      <w:r>
        <w:rPr>
          <w:rFonts w:hint="eastAsia" w:ascii="宋体" w:hAnsi="宋体" w:cs="宋体"/>
          <w:sz w:val="24"/>
          <w:szCs w:val="24"/>
          <w:highlight w:val="none"/>
        </w:rPr>
        <w:t>附：</w:t>
      </w:r>
    </w:p>
    <w:p w14:paraId="3EA99B38">
      <w:pPr>
        <w:spacing w:line="360" w:lineRule="auto"/>
        <w:ind w:firstLine="435"/>
        <w:rPr>
          <w:rFonts w:ascii="宋体" w:cs="宋体"/>
          <w:sz w:val="24"/>
          <w:szCs w:val="24"/>
          <w:highlight w:val="none"/>
          <w:u w:val="single"/>
        </w:rPr>
      </w:pPr>
      <w:r>
        <w:rPr>
          <w:rFonts w:hint="eastAsia" w:ascii="宋体" w:hAnsi="宋体" w:cs="宋体"/>
          <w:sz w:val="24"/>
          <w:szCs w:val="24"/>
          <w:highlight w:val="none"/>
        </w:rPr>
        <w:t>被授权人姓名：</w:t>
      </w:r>
    </w:p>
    <w:p w14:paraId="3520C343">
      <w:pPr>
        <w:spacing w:line="360" w:lineRule="auto"/>
        <w:ind w:firstLine="435"/>
        <w:rPr>
          <w:rFonts w:ascii="宋体" w:cs="宋体"/>
          <w:sz w:val="24"/>
          <w:szCs w:val="24"/>
          <w:highlight w:val="none"/>
        </w:rPr>
      </w:pPr>
      <w:r>
        <w:rPr>
          <w:rFonts w:hint="eastAsia" w:ascii="宋体" w:hAnsi="宋体" w:cs="宋体"/>
          <w:sz w:val="24"/>
          <w:szCs w:val="24"/>
          <w:highlight w:val="none"/>
        </w:rPr>
        <w:t>职　　　　务：</w:t>
      </w:r>
    </w:p>
    <w:p w14:paraId="76D68695">
      <w:pPr>
        <w:spacing w:line="360" w:lineRule="auto"/>
        <w:ind w:firstLine="435"/>
        <w:rPr>
          <w:rFonts w:ascii="宋体" w:cs="宋体"/>
          <w:sz w:val="24"/>
          <w:szCs w:val="24"/>
          <w:highlight w:val="none"/>
        </w:rPr>
      </w:pPr>
      <w:r>
        <w:rPr>
          <w:rFonts w:hint="eastAsia" w:ascii="宋体" w:hAnsi="宋体" w:cs="宋体"/>
          <w:sz w:val="24"/>
          <w:szCs w:val="24"/>
          <w:highlight w:val="none"/>
        </w:rPr>
        <w:t>详细通讯地址：</w:t>
      </w:r>
    </w:p>
    <w:p w14:paraId="21B2B60C">
      <w:pPr>
        <w:spacing w:line="360" w:lineRule="auto"/>
        <w:ind w:firstLine="435"/>
        <w:rPr>
          <w:rFonts w:ascii="宋体" w:cs="宋体"/>
          <w:sz w:val="24"/>
          <w:szCs w:val="24"/>
          <w:highlight w:val="none"/>
        </w:rPr>
      </w:pPr>
      <w:r>
        <w:rPr>
          <w:rFonts w:hint="eastAsia" w:ascii="宋体" w:hAnsi="宋体" w:cs="宋体"/>
          <w:sz w:val="24"/>
          <w:szCs w:val="24"/>
          <w:highlight w:val="none"/>
        </w:rPr>
        <w:t>邮</w:t>
      </w:r>
      <w:r>
        <w:rPr>
          <w:rFonts w:ascii="宋体" w:hAnsi="宋体" w:cs="宋体"/>
          <w:sz w:val="24"/>
          <w:szCs w:val="24"/>
          <w:highlight w:val="none"/>
        </w:rPr>
        <w:t xml:space="preserve"> </w:t>
      </w:r>
      <w:r>
        <w:rPr>
          <w:rFonts w:hint="eastAsia" w:ascii="宋体" w:hAnsi="宋体" w:cs="宋体"/>
          <w:sz w:val="24"/>
          <w:szCs w:val="24"/>
          <w:highlight w:val="none"/>
        </w:rPr>
        <w:t>政</w:t>
      </w:r>
      <w:r>
        <w:rPr>
          <w:rFonts w:ascii="宋体" w:hAnsi="宋体" w:cs="宋体"/>
          <w:sz w:val="24"/>
          <w:szCs w:val="24"/>
          <w:highlight w:val="none"/>
        </w:rPr>
        <w:t xml:space="preserve">  </w:t>
      </w:r>
      <w:r>
        <w:rPr>
          <w:rFonts w:hint="eastAsia" w:ascii="宋体" w:hAnsi="宋体" w:cs="宋体"/>
          <w:sz w:val="24"/>
          <w:szCs w:val="24"/>
          <w:highlight w:val="none"/>
        </w:rPr>
        <w:t>编</w:t>
      </w:r>
      <w:r>
        <w:rPr>
          <w:rFonts w:ascii="宋体" w:hAnsi="宋体" w:cs="宋体"/>
          <w:sz w:val="24"/>
          <w:szCs w:val="24"/>
          <w:highlight w:val="none"/>
        </w:rPr>
        <w:t xml:space="preserve"> </w:t>
      </w:r>
      <w:r>
        <w:rPr>
          <w:rFonts w:hint="eastAsia" w:ascii="宋体" w:hAnsi="宋体" w:cs="宋体"/>
          <w:sz w:val="24"/>
          <w:szCs w:val="24"/>
          <w:highlight w:val="none"/>
        </w:rPr>
        <w:t>码：</w:t>
      </w:r>
    </w:p>
    <w:p w14:paraId="37685C20">
      <w:pPr>
        <w:spacing w:line="360" w:lineRule="auto"/>
        <w:ind w:firstLine="435"/>
        <w:rPr>
          <w:rFonts w:ascii="宋体" w:cs="宋体"/>
          <w:sz w:val="24"/>
          <w:szCs w:val="24"/>
          <w:highlight w:val="none"/>
        </w:rPr>
      </w:pPr>
      <w:r>
        <w:rPr>
          <w:rFonts w:hint="eastAsia" w:ascii="宋体" w:hAnsi="宋体" w:cs="宋体"/>
          <w:sz w:val="24"/>
          <w:szCs w:val="24"/>
          <w:highlight w:val="none"/>
        </w:rPr>
        <w:t>传　　　　真：</w:t>
      </w:r>
    </w:p>
    <w:p w14:paraId="69D385A4">
      <w:pPr>
        <w:spacing w:line="360" w:lineRule="auto"/>
        <w:ind w:firstLine="435"/>
        <w:rPr>
          <w:rFonts w:ascii="宋体" w:cs="宋体"/>
          <w:sz w:val="24"/>
          <w:szCs w:val="24"/>
          <w:highlight w:val="none"/>
        </w:rPr>
      </w:pPr>
      <w:r>
        <w:rPr>
          <w:rFonts w:hint="eastAsia" w:ascii="宋体" w:hAnsi="宋体" w:cs="宋体"/>
          <w:sz w:val="24"/>
          <w:szCs w:val="24"/>
          <w:highlight w:val="none"/>
        </w:rPr>
        <w:t>电　　　　话：</w:t>
      </w:r>
    </w:p>
    <w:p w14:paraId="681704EC">
      <w:pPr>
        <w:spacing w:line="360" w:lineRule="auto"/>
        <w:ind w:firstLine="435"/>
        <w:rPr>
          <w:rFonts w:ascii="宋体" w:cs="宋体"/>
          <w:sz w:val="24"/>
          <w:szCs w:val="24"/>
          <w:highlight w:val="none"/>
        </w:rPr>
      </w:pPr>
      <w:r>
        <w:rPr>
          <w:rFonts w:hint="eastAsia" w:ascii="宋体" w:hAnsi="宋体" w:cs="宋体"/>
          <w:sz w:val="24"/>
          <w:szCs w:val="24"/>
          <w:highlight w:val="none"/>
        </w:rPr>
        <w:t>手</w:t>
      </w:r>
      <w:r>
        <w:rPr>
          <w:rFonts w:ascii="宋体" w:hAnsi="宋体" w:cs="宋体"/>
          <w:sz w:val="24"/>
          <w:szCs w:val="24"/>
          <w:highlight w:val="none"/>
        </w:rPr>
        <w:t xml:space="preserve">        </w:t>
      </w:r>
      <w:r>
        <w:rPr>
          <w:rFonts w:hint="eastAsia" w:ascii="宋体" w:hAnsi="宋体" w:cs="宋体"/>
          <w:sz w:val="24"/>
          <w:szCs w:val="24"/>
          <w:highlight w:val="none"/>
        </w:rPr>
        <w:t>机：</w:t>
      </w:r>
    </w:p>
    <w:p w14:paraId="5BCCCA3D">
      <w:pPr>
        <w:spacing w:line="360" w:lineRule="auto"/>
        <w:ind w:firstLine="435"/>
        <w:rPr>
          <w:rFonts w:ascii="宋体" w:cs="宋体"/>
          <w:highlight w:val="none"/>
        </w:rPr>
      </w:pPr>
    </w:p>
    <w:p w14:paraId="3F6F4A43">
      <w:pPr>
        <w:spacing w:line="360" w:lineRule="auto"/>
        <w:ind w:firstLine="435"/>
        <w:rPr>
          <w:rFonts w:ascii="宋体" w:cs="宋体"/>
          <w:b/>
          <w:highlight w:val="none"/>
        </w:rPr>
      </w:pPr>
      <w:r>
        <w:rPr>
          <w:rFonts w:hint="eastAsia" w:ascii="宋体" w:hAnsi="宋体" w:cs="宋体"/>
          <w:b/>
          <w:highlight w:val="none"/>
        </w:rPr>
        <w:t>（后附法定代表人和被授权人身份证复印件加盖单位公章）</w:t>
      </w:r>
    </w:p>
    <w:p w14:paraId="46C59811">
      <w:pPr>
        <w:pStyle w:val="5"/>
        <w:rPr>
          <w:rFonts w:ascii="宋体" w:cs="宋体"/>
          <w:highlight w:val="none"/>
        </w:rPr>
      </w:pPr>
      <w:r>
        <w:rPr>
          <w:rFonts w:ascii="宋体" w:cs="宋体"/>
          <w:highlight w:val="none"/>
        </w:rPr>
        <w:br w:type="page"/>
      </w:r>
      <w:bookmarkStart w:id="242" w:name="_Toc497167418"/>
      <w:bookmarkStart w:id="243" w:name="_Toc493422670"/>
      <w:bookmarkStart w:id="244" w:name="_Toc2512013"/>
      <w:bookmarkStart w:id="245" w:name="_Toc2355271"/>
      <w:bookmarkStart w:id="246" w:name="_Toc44704928"/>
      <w:bookmarkStart w:id="247" w:name="_Toc4535"/>
      <w:bookmarkStart w:id="248" w:name="_Toc14776863"/>
      <w:bookmarkStart w:id="249" w:name="_Toc44705075"/>
      <w:bookmarkStart w:id="250" w:name="_Toc4153"/>
      <w:r>
        <w:rPr>
          <w:rFonts w:ascii="宋体" w:hAnsi="宋体" w:cs="宋体"/>
          <w:sz w:val="32"/>
          <w:szCs w:val="24"/>
          <w:highlight w:val="none"/>
        </w:rPr>
        <w:t>2.7</w:t>
      </w:r>
      <w:r>
        <w:rPr>
          <w:rFonts w:hint="eastAsia" w:ascii="宋体" w:hAnsi="宋体" w:cs="宋体"/>
          <w:sz w:val="32"/>
          <w:szCs w:val="24"/>
          <w:highlight w:val="none"/>
        </w:rPr>
        <w:t>、按招标文件中投标人须知和采购需求中要求提供的有关文件</w:t>
      </w:r>
      <w:bookmarkEnd w:id="242"/>
      <w:bookmarkEnd w:id="243"/>
      <w:bookmarkEnd w:id="244"/>
      <w:bookmarkEnd w:id="245"/>
      <w:r>
        <w:rPr>
          <w:rFonts w:hint="eastAsia" w:ascii="宋体" w:hAnsi="宋体" w:cs="宋体"/>
          <w:sz w:val="32"/>
          <w:szCs w:val="24"/>
          <w:highlight w:val="none"/>
        </w:rPr>
        <w:t>（部分格式）</w:t>
      </w:r>
      <w:bookmarkEnd w:id="246"/>
      <w:bookmarkEnd w:id="247"/>
      <w:bookmarkEnd w:id="248"/>
      <w:bookmarkEnd w:id="249"/>
      <w:bookmarkEnd w:id="250"/>
    </w:p>
    <w:p w14:paraId="23BBD77F">
      <w:pPr>
        <w:spacing w:line="360" w:lineRule="auto"/>
        <w:rPr>
          <w:rFonts w:ascii="宋体" w:cs="宋体"/>
          <w:highlight w:val="none"/>
        </w:rPr>
      </w:pPr>
      <w:r>
        <w:rPr>
          <w:rFonts w:hint="eastAsia" w:ascii="宋体" w:hAnsi="宋体" w:cs="宋体"/>
          <w:color w:val="000000"/>
          <w:sz w:val="24"/>
          <w:szCs w:val="24"/>
          <w:highlight w:val="none"/>
        </w:rPr>
        <w:t>一、目录</w:t>
      </w:r>
    </w:p>
    <w:p w14:paraId="4CE4A241">
      <w:pPr>
        <w:spacing w:line="360" w:lineRule="auto"/>
        <w:rPr>
          <w:rFonts w:ascii="宋体" w:cs="宋体"/>
          <w:sz w:val="24"/>
          <w:szCs w:val="24"/>
          <w:highlight w:val="none"/>
        </w:rPr>
      </w:pPr>
      <w:r>
        <w:rPr>
          <w:rFonts w:ascii="宋体" w:hAnsi="宋体" w:cs="宋体"/>
          <w:color w:val="000000"/>
          <w:sz w:val="24"/>
          <w:szCs w:val="24"/>
          <w:highlight w:val="none"/>
        </w:rPr>
        <w:t>2.7.1</w:t>
      </w:r>
      <w:r>
        <w:rPr>
          <w:rFonts w:hint="eastAsia" w:ascii="宋体" w:hAnsi="宋体" w:cs="宋体"/>
          <w:sz w:val="24"/>
          <w:szCs w:val="24"/>
          <w:highlight w:val="none"/>
        </w:rPr>
        <w:t>近三年类似项目业绩表</w:t>
      </w:r>
      <w:r>
        <w:rPr>
          <w:rFonts w:hint="eastAsia" w:ascii="宋体" w:hAnsi="宋体" w:cs="宋体"/>
          <w:color w:val="000000"/>
          <w:sz w:val="24"/>
          <w:szCs w:val="24"/>
          <w:highlight w:val="none"/>
        </w:rPr>
        <w:t>（</w:t>
      </w:r>
      <w:r>
        <w:rPr>
          <w:rFonts w:hint="eastAsia" w:ascii="宋体" w:hAnsi="宋体" w:cs="宋体"/>
          <w:sz w:val="24"/>
          <w:szCs w:val="24"/>
          <w:highlight w:val="none"/>
        </w:rPr>
        <w:t>须提供中标</w:t>
      </w:r>
      <w:r>
        <w:rPr>
          <w:rFonts w:ascii="宋体" w:hAnsi="宋体" w:cs="宋体"/>
          <w:sz w:val="24"/>
          <w:szCs w:val="24"/>
          <w:highlight w:val="none"/>
        </w:rPr>
        <w:t>/</w:t>
      </w:r>
      <w:r>
        <w:rPr>
          <w:rFonts w:hint="eastAsia" w:ascii="宋体" w:hAnsi="宋体" w:cs="宋体"/>
          <w:sz w:val="24"/>
          <w:szCs w:val="24"/>
          <w:highlight w:val="none"/>
        </w:rPr>
        <w:t>成交通知书或者合同复印件加盖公章）；</w:t>
      </w:r>
    </w:p>
    <w:p w14:paraId="23C68773">
      <w:pPr>
        <w:tabs>
          <w:tab w:val="left" w:pos="720"/>
        </w:tabs>
        <w:autoSpaceDE w:val="0"/>
        <w:autoSpaceDN w:val="0"/>
        <w:adjustRightInd w:val="0"/>
        <w:spacing w:line="360" w:lineRule="auto"/>
        <w:ind w:right="17"/>
        <w:jc w:val="left"/>
        <w:rPr>
          <w:rFonts w:ascii="宋体" w:cs="宋体"/>
          <w:sz w:val="24"/>
          <w:szCs w:val="24"/>
          <w:highlight w:val="none"/>
        </w:rPr>
      </w:pPr>
      <w:r>
        <w:rPr>
          <w:rFonts w:ascii="宋体" w:hAnsi="宋体" w:cs="宋体"/>
          <w:sz w:val="24"/>
          <w:szCs w:val="24"/>
          <w:highlight w:val="none"/>
        </w:rPr>
        <w:t>2.7.2</w:t>
      </w:r>
      <w:r>
        <w:rPr>
          <w:rFonts w:hint="eastAsia" w:ascii="宋体" w:hAnsi="宋体" w:cs="宋体"/>
          <w:sz w:val="24"/>
          <w:szCs w:val="24"/>
          <w:highlight w:val="none"/>
        </w:rPr>
        <w:t>项目人员配备表；</w:t>
      </w:r>
    </w:p>
    <w:p w14:paraId="7A4C5148">
      <w:pPr>
        <w:tabs>
          <w:tab w:val="left" w:pos="720"/>
        </w:tabs>
        <w:autoSpaceDE w:val="0"/>
        <w:autoSpaceDN w:val="0"/>
        <w:adjustRightInd w:val="0"/>
        <w:spacing w:line="360" w:lineRule="auto"/>
        <w:ind w:right="17"/>
        <w:jc w:val="left"/>
        <w:rPr>
          <w:rFonts w:ascii="宋体" w:cs="宋体"/>
          <w:b/>
          <w:bCs/>
          <w:color w:val="000000"/>
          <w:sz w:val="24"/>
          <w:szCs w:val="24"/>
          <w:highlight w:val="none"/>
        </w:rPr>
      </w:pPr>
      <w:r>
        <w:rPr>
          <w:rFonts w:ascii="宋体" w:hAnsi="宋体" w:cs="宋体"/>
          <w:sz w:val="24"/>
          <w:szCs w:val="24"/>
          <w:highlight w:val="none"/>
        </w:rPr>
        <w:t>2.7.3</w:t>
      </w:r>
      <w:r>
        <w:rPr>
          <w:rFonts w:hint="eastAsia" w:ascii="宋体" w:hAnsi="宋体" w:cs="宋体"/>
          <w:sz w:val="24"/>
          <w:szCs w:val="24"/>
          <w:highlight w:val="none"/>
        </w:rPr>
        <w:t>服务方案</w:t>
      </w:r>
      <w:r>
        <w:rPr>
          <w:rFonts w:ascii="宋体" w:cs="宋体"/>
          <w:sz w:val="24"/>
          <w:szCs w:val="24"/>
          <w:highlight w:val="none"/>
        </w:rPr>
        <w:t>-</w:t>
      </w:r>
      <w:r>
        <w:rPr>
          <w:rFonts w:hint="eastAsia" w:ascii="宋体" w:hAnsi="宋体" w:cs="宋体"/>
          <w:sz w:val="24"/>
          <w:szCs w:val="24"/>
          <w:highlight w:val="none"/>
        </w:rPr>
        <w:t>格式自拟；</w:t>
      </w:r>
      <w:r>
        <w:rPr>
          <w:rFonts w:ascii="宋体" w:hAnsi="宋体" w:cs="宋体"/>
          <w:sz w:val="24"/>
          <w:szCs w:val="24"/>
          <w:highlight w:val="none"/>
        </w:rPr>
        <w:t xml:space="preserve"> </w:t>
      </w:r>
    </w:p>
    <w:p w14:paraId="70C922B0">
      <w:pPr>
        <w:tabs>
          <w:tab w:val="left" w:pos="720"/>
        </w:tabs>
        <w:autoSpaceDE w:val="0"/>
        <w:autoSpaceDN w:val="0"/>
        <w:adjustRightInd w:val="0"/>
        <w:spacing w:line="360" w:lineRule="auto"/>
        <w:ind w:right="17"/>
        <w:jc w:val="left"/>
        <w:rPr>
          <w:rFonts w:ascii="宋体" w:cs="宋体"/>
          <w:color w:val="000000"/>
          <w:sz w:val="24"/>
          <w:highlight w:val="none"/>
        </w:rPr>
      </w:pPr>
      <w:r>
        <w:rPr>
          <w:rFonts w:ascii="宋体" w:hAnsi="宋体" w:cs="宋体"/>
          <w:color w:val="000000"/>
          <w:sz w:val="24"/>
          <w:highlight w:val="none"/>
        </w:rPr>
        <w:t>2.7.</w:t>
      </w:r>
      <w:r>
        <w:rPr>
          <w:rFonts w:hint="eastAsia" w:ascii="宋体" w:hAnsi="宋体" w:cs="宋体"/>
          <w:color w:val="000000"/>
          <w:sz w:val="24"/>
          <w:highlight w:val="none"/>
          <w:lang w:val="en-US" w:eastAsia="zh-CN"/>
        </w:rPr>
        <w:t>4</w:t>
      </w:r>
      <w:r>
        <w:rPr>
          <w:rFonts w:hint="eastAsia" w:ascii="宋体" w:hAnsi="宋体" w:cs="宋体"/>
          <w:color w:val="000000"/>
          <w:sz w:val="24"/>
          <w:highlight w:val="none"/>
        </w:rPr>
        <w:t>残疾人福利性单位声明函（</w:t>
      </w:r>
      <w:r>
        <w:rPr>
          <w:rFonts w:hint="eastAsia" w:ascii="宋体" w:hAnsi="宋体" w:cs="宋体"/>
          <w:sz w:val="24"/>
          <w:szCs w:val="24"/>
          <w:highlight w:val="none"/>
        </w:rPr>
        <w:t>格式，不符合 条件无须提交</w:t>
      </w:r>
      <w:r>
        <w:rPr>
          <w:rFonts w:hint="eastAsia" w:ascii="宋体" w:hAnsi="宋体" w:cs="宋体"/>
          <w:color w:val="000000"/>
          <w:sz w:val="24"/>
          <w:highlight w:val="none"/>
        </w:rPr>
        <w:t>）</w:t>
      </w:r>
    </w:p>
    <w:p w14:paraId="2B986492">
      <w:pPr>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2.7.</w:t>
      </w:r>
      <w:r>
        <w:rPr>
          <w:rFonts w:hint="eastAsia" w:ascii="宋体" w:hAnsi="宋体" w:eastAsia="宋体" w:cs="宋体"/>
          <w:color w:val="000000"/>
          <w:sz w:val="24"/>
          <w:highlight w:val="none"/>
          <w:lang w:val="en-US" w:eastAsia="zh-CN"/>
        </w:rPr>
        <w:t>5</w:t>
      </w:r>
      <w:r>
        <w:rPr>
          <w:rFonts w:hint="eastAsia" w:ascii="宋体" w:hAnsi="宋体" w:eastAsia="宋体" w:cs="宋体"/>
          <w:color w:val="000000"/>
          <w:sz w:val="24"/>
          <w:highlight w:val="none"/>
        </w:rPr>
        <w:t>节能产品、环境标志产品证明材料（如适用）；</w:t>
      </w:r>
    </w:p>
    <w:p w14:paraId="65E3D1D6">
      <w:pPr>
        <w:spacing w:line="360" w:lineRule="auto"/>
        <w:rPr>
          <w:rFonts w:hint="default"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2.7.6保密承诺函；</w:t>
      </w:r>
    </w:p>
    <w:p w14:paraId="78E1FB25">
      <w:pPr>
        <w:spacing w:line="360" w:lineRule="auto"/>
        <w:rPr>
          <w:rFonts w:ascii="宋体" w:cs="宋体"/>
          <w:color w:val="000000"/>
          <w:sz w:val="24"/>
          <w:highlight w:val="none"/>
        </w:rPr>
      </w:pPr>
      <w:r>
        <w:rPr>
          <w:rFonts w:ascii="宋体" w:hAnsi="宋体" w:cs="宋体"/>
          <w:color w:val="000000"/>
          <w:kern w:val="0"/>
          <w:sz w:val="24"/>
          <w:highlight w:val="none"/>
        </w:rPr>
        <w:t>2.7.</w:t>
      </w:r>
      <w:r>
        <w:rPr>
          <w:rFonts w:hint="eastAsia" w:ascii="宋体" w:hAnsi="宋体" w:cs="宋体"/>
          <w:color w:val="000000"/>
          <w:kern w:val="0"/>
          <w:sz w:val="24"/>
          <w:highlight w:val="none"/>
          <w:lang w:val="en-US" w:eastAsia="zh-CN"/>
        </w:rPr>
        <w:t>7</w:t>
      </w:r>
      <w:r>
        <w:rPr>
          <w:rFonts w:hint="eastAsia" w:ascii="宋体" w:hAnsi="宋体" w:cs="宋体"/>
          <w:color w:val="000000"/>
          <w:sz w:val="24"/>
          <w:highlight w:val="none"/>
        </w:rPr>
        <w:t>招标文件要求的其它文件及投标人认为有必要提供的其它文件。</w:t>
      </w:r>
    </w:p>
    <w:p w14:paraId="624BA725">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二、填写须知</w:t>
      </w:r>
    </w:p>
    <w:p w14:paraId="6C075BAE">
      <w:pPr>
        <w:spacing w:line="360" w:lineRule="auto"/>
        <w:rPr>
          <w:rFonts w:ascii="宋体" w:cs="宋体"/>
          <w:color w:val="000000"/>
          <w:sz w:val="24"/>
          <w:szCs w:val="24"/>
          <w:highlight w:val="none"/>
        </w:rPr>
      </w:pPr>
      <w:r>
        <w:rPr>
          <w:rFonts w:ascii="宋体" w:hAnsi="宋体" w:cs="宋体"/>
          <w:color w:val="000000"/>
          <w:sz w:val="24"/>
          <w:szCs w:val="24"/>
          <w:highlight w:val="none"/>
        </w:rPr>
        <w:t>1</w:t>
      </w:r>
      <w:r>
        <w:rPr>
          <w:rFonts w:hint="eastAsia" w:ascii="宋体" w:hAnsi="宋体" w:cs="宋体"/>
          <w:color w:val="000000"/>
          <w:sz w:val="24"/>
          <w:szCs w:val="24"/>
          <w:highlight w:val="none"/>
        </w:rPr>
        <w:t>）制造商或经销商作为投标人应填写和提交下述规定的全部格式以及其他有关资料。</w:t>
      </w:r>
    </w:p>
    <w:p w14:paraId="16BE2DD6">
      <w:pPr>
        <w:spacing w:line="360" w:lineRule="auto"/>
        <w:rPr>
          <w:rFonts w:ascii="宋体" w:cs="宋体"/>
          <w:color w:val="000000"/>
          <w:sz w:val="24"/>
          <w:szCs w:val="24"/>
          <w:highlight w:val="none"/>
        </w:rPr>
      </w:pPr>
      <w:r>
        <w:rPr>
          <w:rFonts w:ascii="宋体" w:hAnsi="宋体" w:cs="宋体"/>
          <w:color w:val="000000"/>
          <w:sz w:val="24"/>
          <w:szCs w:val="24"/>
          <w:highlight w:val="none"/>
        </w:rPr>
        <w:t>2</w:t>
      </w:r>
      <w:r>
        <w:rPr>
          <w:rFonts w:hint="eastAsia" w:ascii="宋体" w:hAnsi="宋体" w:cs="宋体"/>
          <w:color w:val="000000"/>
          <w:sz w:val="24"/>
          <w:szCs w:val="24"/>
          <w:highlight w:val="none"/>
        </w:rPr>
        <w:t>）所附格式中要求填写的全部问题和信息都必须填写。</w:t>
      </w:r>
    </w:p>
    <w:p w14:paraId="1900B216">
      <w:pPr>
        <w:spacing w:line="360" w:lineRule="auto"/>
        <w:rPr>
          <w:rFonts w:ascii="宋体" w:cs="宋体"/>
          <w:color w:val="000000"/>
          <w:sz w:val="24"/>
          <w:szCs w:val="24"/>
          <w:highlight w:val="none"/>
        </w:rPr>
      </w:pPr>
      <w:r>
        <w:rPr>
          <w:rFonts w:ascii="宋体" w:hAnsi="宋体" w:cs="宋体"/>
          <w:color w:val="000000"/>
          <w:sz w:val="24"/>
          <w:szCs w:val="24"/>
          <w:highlight w:val="none"/>
        </w:rPr>
        <w:t>3</w:t>
      </w:r>
      <w:r>
        <w:rPr>
          <w:rFonts w:hint="eastAsia" w:ascii="宋体" w:hAnsi="宋体" w:cs="宋体"/>
          <w:color w:val="000000"/>
          <w:sz w:val="24"/>
          <w:szCs w:val="24"/>
          <w:highlight w:val="none"/>
        </w:rPr>
        <w:t>）本资格声明的签字人应保证全部声明和填写的内容是真实的和正确的。</w:t>
      </w:r>
    </w:p>
    <w:p w14:paraId="43C25F0A">
      <w:pPr>
        <w:spacing w:line="360" w:lineRule="auto"/>
        <w:rPr>
          <w:rFonts w:ascii="宋体" w:cs="宋体"/>
          <w:color w:val="000000"/>
          <w:sz w:val="24"/>
          <w:szCs w:val="24"/>
          <w:highlight w:val="none"/>
        </w:rPr>
      </w:pPr>
      <w:r>
        <w:rPr>
          <w:rFonts w:ascii="宋体" w:hAnsi="宋体" w:cs="宋体"/>
          <w:color w:val="000000"/>
          <w:sz w:val="24"/>
          <w:szCs w:val="24"/>
          <w:highlight w:val="none"/>
        </w:rPr>
        <w:t>4</w:t>
      </w:r>
      <w:r>
        <w:rPr>
          <w:rFonts w:hint="eastAsia" w:ascii="宋体" w:hAnsi="宋体" w:cs="宋体"/>
          <w:color w:val="000000"/>
          <w:sz w:val="24"/>
          <w:szCs w:val="24"/>
          <w:highlight w:val="none"/>
        </w:rPr>
        <w:t>）评标委员会将依据投标人提交的资料根据自己的评价和考虑决定投标人履行合同的能力。</w:t>
      </w:r>
    </w:p>
    <w:p w14:paraId="0840D2ED">
      <w:pPr>
        <w:spacing w:line="360" w:lineRule="auto"/>
        <w:rPr>
          <w:rFonts w:ascii="宋体" w:cs="宋体"/>
          <w:color w:val="000000"/>
          <w:sz w:val="24"/>
          <w:szCs w:val="24"/>
          <w:highlight w:val="none"/>
        </w:rPr>
      </w:pPr>
      <w:r>
        <w:rPr>
          <w:rFonts w:ascii="宋体" w:hAnsi="宋体" w:cs="宋体"/>
          <w:color w:val="000000"/>
          <w:sz w:val="24"/>
          <w:szCs w:val="24"/>
          <w:highlight w:val="none"/>
        </w:rPr>
        <w:t>5</w:t>
      </w:r>
      <w:r>
        <w:rPr>
          <w:rFonts w:hint="eastAsia" w:ascii="宋体" w:hAnsi="宋体" w:cs="宋体"/>
          <w:color w:val="000000"/>
          <w:sz w:val="24"/>
          <w:szCs w:val="24"/>
          <w:highlight w:val="none"/>
        </w:rPr>
        <w:t>）投标人提交的材料将被保密，但不退还。</w:t>
      </w:r>
    </w:p>
    <w:p w14:paraId="6A744EE2">
      <w:pPr>
        <w:spacing w:line="360" w:lineRule="auto"/>
        <w:rPr>
          <w:rFonts w:ascii="宋体" w:cs="宋体"/>
          <w:color w:val="000000"/>
          <w:sz w:val="24"/>
          <w:szCs w:val="24"/>
          <w:highlight w:val="none"/>
        </w:rPr>
      </w:pPr>
      <w:r>
        <w:rPr>
          <w:rFonts w:ascii="宋体" w:hAnsi="宋体" w:cs="宋体"/>
          <w:color w:val="000000"/>
          <w:sz w:val="24"/>
          <w:szCs w:val="24"/>
          <w:highlight w:val="none"/>
        </w:rPr>
        <w:t>6</w:t>
      </w:r>
      <w:r>
        <w:rPr>
          <w:rFonts w:hint="eastAsia" w:ascii="宋体" w:hAnsi="宋体" w:cs="宋体"/>
          <w:color w:val="000000"/>
          <w:sz w:val="24"/>
          <w:szCs w:val="24"/>
          <w:highlight w:val="none"/>
        </w:rPr>
        <w:t>）全部文件应按“投标人须知前附表”规定的份数提交。</w:t>
      </w:r>
    </w:p>
    <w:p w14:paraId="16B8048F">
      <w:pPr>
        <w:spacing w:line="360" w:lineRule="auto"/>
        <w:rPr>
          <w:rFonts w:ascii="宋体" w:cs="宋体"/>
          <w:b/>
          <w:color w:val="000000"/>
          <w:sz w:val="24"/>
          <w:szCs w:val="24"/>
          <w:highlight w:val="none"/>
        </w:rPr>
      </w:pPr>
      <w:r>
        <w:rPr>
          <w:rFonts w:ascii="宋体" w:hAnsi="宋体" w:cs="宋体"/>
          <w:b/>
          <w:color w:val="000000"/>
          <w:sz w:val="24"/>
          <w:szCs w:val="24"/>
          <w:highlight w:val="none"/>
        </w:rPr>
        <w:t>2.7.1-2.7.</w:t>
      </w:r>
      <w:r>
        <w:rPr>
          <w:rFonts w:hint="eastAsia" w:ascii="宋体" w:hAnsi="宋体" w:cs="宋体"/>
          <w:b/>
          <w:color w:val="000000"/>
          <w:sz w:val="24"/>
          <w:szCs w:val="24"/>
          <w:highlight w:val="none"/>
          <w:lang w:val="en-US" w:eastAsia="zh-CN"/>
        </w:rPr>
        <w:t>7</w:t>
      </w:r>
      <w:r>
        <w:rPr>
          <w:rFonts w:hint="eastAsia" w:ascii="宋体" w:hAnsi="宋体" w:cs="宋体"/>
          <w:b/>
          <w:color w:val="000000"/>
          <w:sz w:val="24"/>
          <w:szCs w:val="24"/>
          <w:highlight w:val="none"/>
        </w:rPr>
        <w:t>为附加条件，执行招标文件中评标方法综合打分。</w:t>
      </w:r>
    </w:p>
    <w:p w14:paraId="4690ABC3">
      <w:pPr>
        <w:pStyle w:val="7"/>
        <w:rPr>
          <w:rFonts w:ascii="宋体" w:cs="宋体"/>
          <w:sz w:val="24"/>
          <w:szCs w:val="24"/>
          <w:highlight w:val="none"/>
          <w:lang w:eastAsia="zh-CN"/>
        </w:rPr>
      </w:pPr>
      <w:r>
        <w:rPr>
          <w:rFonts w:ascii="宋体" w:cs="宋体"/>
          <w:color w:val="000000"/>
          <w:highlight w:val="none"/>
          <w:lang w:eastAsia="zh-CN"/>
        </w:rPr>
        <w:br w:type="page"/>
      </w:r>
      <w:bookmarkStart w:id="251" w:name="_Toc493422672"/>
      <w:bookmarkStart w:id="252" w:name="_Toc44704929"/>
      <w:bookmarkStart w:id="253" w:name="_Toc1413"/>
      <w:bookmarkStart w:id="254" w:name="_Toc25100"/>
      <w:r>
        <w:rPr>
          <w:rFonts w:ascii="宋体" w:hAnsi="宋体" w:cs="宋体"/>
          <w:szCs w:val="24"/>
          <w:highlight w:val="none"/>
          <w:lang w:eastAsia="zh-CN"/>
        </w:rPr>
        <w:t>2.7.1</w:t>
      </w:r>
      <w:bookmarkEnd w:id="251"/>
      <w:r>
        <w:rPr>
          <w:rFonts w:hint="eastAsia" w:ascii="宋体" w:hAnsi="宋体" w:cs="宋体"/>
          <w:szCs w:val="24"/>
          <w:highlight w:val="none"/>
          <w:lang w:eastAsia="zh-CN"/>
        </w:rPr>
        <w:t>近三年类似项目业绩表</w:t>
      </w:r>
      <w:bookmarkEnd w:id="252"/>
      <w:bookmarkEnd w:id="253"/>
      <w:bookmarkEnd w:id="254"/>
    </w:p>
    <w:p w14:paraId="055B22C8">
      <w:pPr>
        <w:spacing w:line="360" w:lineRule="auto"/>
        <w:rPr>
          <w:rFonts w:ascii="宋体" w:cs="宋体"/>
          <w:color w:val="000000"/>
          <w:szCs w:val="21"/>
          <w:highlight w:val="none"/>
        </w:rPr>
      </w:pPr>
    </w:p>
    <w:p w14:paraId="1DB450C5">
      <w:pPr>
        <w:spacing w:line="360" w:lineRule="auto"/>
        <w:jc w:val="center"/>
        <w:rPr>
          <w:rFonts w:ascii="宋体" w:cs="宋体"/>
          <w:b/>
          <w:color w:val="000000"/>
          <w:sz w:val="24"/>
          <w:szCs w:val="24"/>
          <w:highlight w:val="none"/>
        </w:rPr>
      </w:pPr>
      <w:r>
        <w:rPr>
          <w:rFonts w:hint="eastAsia" w:ascii="宋体" w:hAnsi="宋体" w:cs="宋体"/>
          <w:b/>
          <w:color w:val="000000"/>
          <w:sz w:val="24"/>
          <w:szCs w:val="24"/>
          <w:highlight w:val="none"/>
        </w:rPr>
        <w:t>近三年类似项目业绩表（</w:t>
      </w:r>
      <w:r>
        <w:rPr>
          <w:rFonts w:hint="eastAsia" w:ascii="宋体" w:hAnsi="宋体" w:cs="宋体"/>
          <w:b/>
          <w:color w:val="000000"/>
          <w:sz w:val="24"/>
          <w:szCs w:val="24"/>
          <w:highlight w:val="none"/>
          <w:lang w:eastAsia="zh-CN"/>
        </w:rPr>
        <w:t>2022年</w:t>
      </w:r>
      <w:r>
        <w:rPr>
          <w:rFonts w:hint="eastAsia" w:ascii="宋体" w:hAnsi="宋体" w:cs="宋体"/>
          <w:b/>
          <w:color w:val="000000"/>
          <w:sz w:val="24"/>
          <w:szCs w:val="24"/>
          <w:highlight w:val="none"/>
        </w:rPr>
        <w:t>至今）</w:t>
      </w:r>
    </w:p>
    <w:p w14:paraId="4F2FFFE8">
      <w:pPr>
        <w:spacing w:line="360" w:lineRule="auto"/>
        <w:jc w:val="center"/>
        <w:rPr>
          <w:rFonts w:ascii="宋体" w:cs="宋体"/>
          <w:b/>
          <w:color w:val="000000"/>
          <w:sz w:val="24"/>
          <w:szCs w:val="24"/>
          <w:highlight w:val="none"/>
        </w:rPr>
      </w:pPr>
    </w:p>
    <w:tbl>
      <w:tblPr>
        <w:tblStyle w:val="48"/>
        <w:tblW w:w="9908"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979"/>
        <w:gridCol w:w="1980"/>
        <w:gridCol w:w="1262"/>
        <w:gridCol w:w="1262"/>
        <w:gridCol w:w="1262"/>
        <w:gridCol w:w="1442"/>
      </w:tblGrid>
      <w:tr w14:paraId="29F35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3" w:hRule="atLeast"/>
        </w:trPr>
        <w:tc>
          <w:tcPr>
            <w:tcW w:w="721" w:type="dxa"/>
            <w:vAlign w:val="center"/>
          </w:tcPr>
          <w:p w14:paraId="4800C237">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序号</w:t>
            </w:r>
          </w:p>
        </w:tc>
        <w:tc>
          <w:tcPr>
            <w:tcW w:w="1979" w:type="dxa"/>
            <w:vAlign w:val="center"/>
          </w:tcPr>
          <w:p w14:paraId="56BE7910">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业主名称</w:t>
            </w:r>
          </w:p>
        </w:tc>
        <w:tc>
          <w:tcPr>
            <w:tcW w:w="1980" w:type="dxa"/>
            <w:vAlign w:val="center"/>
          </w:tcPr>
          <w:p w14:paraId="07277AC8">
            <w:pPr>
              <w:spacing w:line="360" w:lineRule="auto"/>
              <w:jc w:val="center"/>
              <w:rPr>
                <w:rFonts w:hint="eastAsia" w:asci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标项名称</w:t>
            </w:r>
          </w:p>
        </w:tc>
        <w:tc>
          <w:tcPr>
            <w:tcW w:w="1262" w:type="dxa"/>
            <w:vAlign w:val="center"/>
          </w:tcPr>
          <w:p w14:paraId="3BB295B0">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联系人</w:t>
            </w:r>
          </w:p>
        </w:tc>
        <w:tc>
          <w:tcPr>
            <w:tcW w:w="1262" w:type="dxa"/>
            <w:vAlign w:val="center"/>
          </w:tcPr>
          <w:p w14:paraId="4803F611">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联系方式</w:t>
            </w:r>
          </w:p>
        </w:tc>
        <w:tc>
          <w:tcPr>
            <w:tcW w:w="1262" w:type="dxa"/>
            <w:vAlign w:val="center"/>
          </w:tcPr>
          <w:p w14:paraId="6AB3EB3E">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完成情况</w:t>
            </w:r>
          </w:p>
        </w:tc>
        <w:tc>
          <w:tcPr>
            <w:tcW w:w="1442" w:type="dxa"/>
            <w:vAlign w:val="center"/>
          </w:tcPr>
          <w:p w14:paraId="67AA71DC">
            <w:pPr>
              <w:spacing w:line="360" w:lineRule="auto"/>
              <w:jc w:val="center"/>
              <w:rPr>
                <w:rFonts w:ascii="宋体" w:cs="宋体"/>
                <w:color w:val="000000"/>
                <w:sz w:val="24"/>
                <w:szCs w:val="24"/>
                <w:highlight w:val="none"/>
              </w:rPr>
            </w:pPr>
            <w:r>
              <w:rPr>
                <w:rFonts w:hint="eastAsia" w:ascii="宋体" w:hAnsi="宋体" w:cs="宋体"/>
                <w:color w:val="000000"/>
                <w:sz w:val="24"/>
                <w:szCs w:val="24"/>
                <w:highlight w:val="none"/>
              </w:rPr>
              <w:t>是否有用户反馈情况</w:t>
            </w:r>
          </w:p>
        </w:tc>
      </w:tr>
      <w:tr w14:paraId="5E1BF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00084616">
            <w:pPr>
              <w:spacing w:line="360" w:lineRule="auto"/>
              <w:jc w:val="center"/>
              <w:rPr>
                <w:rFonts w:ascii="宋体" w:cs="宋体"/>
                <w:color w:val="000000"/>
                <w:sz w:val="24"/>
                <w:szCs w:val="24"/>
                <w:highlight w:val="none"/>
              </w:rPr>
            </w:pPr>
          </w:p>
        </w:tc>
        <w:tc>
          <w:tcPr>
            <w:tcW w:w="1979" w:type="dxa"/>
          </w:tcPr>
          <w:p w14:paraId="30FE8F41">
            <w:pPr>
              <w:spacing w:line="360" w:lineRule="auto"/>
              <w:jc w:val="center"/>
              <w:rPr>
                <w:rFonts w:ascii="宋体" w:cs="宋体"/>
                <w:color w:val="000000"/>
                <w:sz w:val="24"/>
                <w:szCs w:val="24"/>
                <w:highlight w:val="none"/>
              </w:rPr>
            </w:pPr>
          </w:p>
        </w:tc>
        <w:tc>
          <w:tcPr>
            <w:tcW w:w="1980" w:type="dxa"/>
          </w:tcPr>
          <w:p w14:paraId="7E5AF0AD">
            <w:pPr>
              <w:spacing w:line="360" w:lineRule="auto"/>
              <w:jc w:val="center"/>
              <w:rPr>
                <w:rFonts w:ascii="宋体" w:cs="宋体"/>
                <w:color w:val="000000"/>
                <w:sz w:val="24"/>
                <w:szCs w:val="24"/>
                <w:highlight w:val="none"/>
              </w:rPr>
            </w:pPr>
          </w:p>
        </w:tc>
        <w:tc>
          <w:tcPr>
            <w:tcW w:w="1262" w:type="dxa"/>
          </w:tcPr>
          <w:p w14:paraId="0FC6FE42">
            <w:pPr>
              <w:spacing w:line="360" w:lineRule="auto"/>
              <w:jc w:val="center"/>
              <w:rPr>
                <w:rFonts w:ascii="宋体" w:cs="宋体"/>
                <w:color w:val="000000"/>
                <w:sz w:val="24"/>
                <w:szCs w:val="24"/>
                <w:highlight w:val="none"/>
              </w:rPr>
            </w:pPr>
          </w:p>
        </w:tc>
        <w:tc>
          <w:tcPr>
            <w:tcW w:w="1262" w:type="dxa"/>
          </w:tcPr>
          <w:p w14:paraId="65961DDD">
            <w:pPr>
              <w:spacing w:line="360" w:lineRule="auto"/>
              <w:jc w:val="center"/>
              <w:rPr>
                <w:rFonts w:ascii="宋体" w:cs="宋体"/>
                <w:color w:val="000000"/>
                <w:sz w:val="24"/>
                <w:szCs w:val="24"/>
                <w:highlight w:val="none"/>
              </w:rPr>
            </w:pPr>
          </w:p>
        </w:tc>
        <w:tc>
          <w:tcPr>
            <w:tcW w:w="1262" w:type="dxa"/>
          </w:tcPr>
          <w:p w14:paraId="3F2E28A8">
            <w:pPr>
              <w:spacing w:line="360" w:lineRule="auto"/>
              <w:jc w:val="center"/>
              <w:rPr>
                <w:rFonts w:ascii="宋体" w:cs="宋体"/>
                <w:color w:val="000000"/>
                <w:sz w:val="24"/>
                <w:szCs w:val="24"/>
                <w:highlight w:val="none"/>
              </w:rPr>
            </w:pPr>
          </w:p>
        </w:tc>
        <w:tc>
          <w:tcPr>
            <w:tcW w:w="1442" w:type="dxa"/>
          </w:tcPr>
          <w:p w14:paraId="028A4988">
            <w:pPr>
              <w:spacing w:line="360" w:lineRule="auto"/>
              <w:jc w:val="center"/>
              <w:rPr>
                <w:rFonts w:ascii="宋体" w:cs="宋体"/>
                <w:color w:val="000000"/>
                <w:sz w:val="24"/>
                <w:szCs w:val="24"/>
                <w:highlight w:val="none"/>
              </w:rPr>
            </w:pPr>
          </w:p>
        </w:tc>
      </w:tr>
      <w:tr w14:paraId="369A3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74D05870">
            <w:pPr>
              <w:spacing w:line="360" w:lineRule="auto"/>
              <w:jc w:val="center"/>
              <w:rPr>
                <w:rFonts w:ascii="宋体" w:cs="宋体"/>
                <w:color w:val="000000"/>
                <w:sz w:val="24"/>
                <w:szCs w:val="24"/>
                <w:highlight w:val="none"/>
              </w:rPr>
            </w:pPr>
          </w:p>
        </w:tc>
        <w:tc>
          <w:tcPr>
            <w:tcW w:w="1979" w:type="dxa"/>
          </w:tcPr>
          <w:p w14:paraId="0A0ECB22">
            <w:pPr>
              <w:spacing w:line="360" w:lineRule="auto"/>
              <w:jc w:val="center"/>
              <w:rPr>
                <w:rFonts w:ascii="宋体" w:cs="宋体"/>
                <w:color w:val="000000"/>
                <w:sz w:val="24"/>
                <w:szCs w:val="24"/>
                <w:highlight w:val="none"/>
              </w:rPr>
            </w:pPr>
          </w:p>
        </w:tc>
        <w:tc>
          <w:tcPr>
            <w:tcW w:w="1980" w:type="dxa"/>
          </w:tcPr>
          <w:p w14:paraId="4F80D11E">
            <w:pPr>
              <w:spacing w:line="360" w:lineRule="auto"/>
              <w:jc w:val="center"/>
              <w:rPr>
                <w:rFonts w:ascii="宋体" w:cs="宋体"/>
                <w:color w:val="000000"/>
                <w:sz w:val="24"/>
                <w:szCs w:val="24"/>
                <w:highlight w:val="none"/>
              </w:rPr>
            </w:pPr>
          </w:p>
        </w:tc>
        <w:tc>
          <w:tcPr>
            <w:tcW w:w="1262" w:type="dxa"/>
          </w:tcPr>
          <w:p w14:paraId="4CBA032C">
            <w:pPr>
              <w:spacing w:line="360" w:lineRule="auto"/>
              <w:jc w:val="center"/>
              <w:rPr>
                <w:rFonts w:ascii="宋体" w:cs="宋体"/>
                <w:color w:val="000000"/>
                <w:sz w:val="24"/>
                <w:szCs w:val="24"/>
                <w:highlight w:val="none"/>
              </w:rPr>
            </w:pPr>
          </w:p>
        </w:tc>
        <w:tc>
          <w:tcPr>
            <w:tcW w:w="1262" w:type="dxa"/>
          </w:tcPr>
          <w:p w14:paraId="44040ACC">
            <w:pPr>
              <w:spacing w:line="360" w:lineRule="auto"/>
              <w:jc w:val="center"/>
              <w:rPr>
                <w:rFonts w:ascii="宋体" w:cs="宋体"/>
                <w:color w:val="000000"/>
                <w:sz w:val="24"/>
                <w:szCs w:val="24"/>
                <w:highlight w:val="none"/>
              </w:rPr>
            </w:pPr>
          </w:p>
        </w:tc>
        <w:tc>
          <w:tcPr>
            <w:tcW w:w="1262" w:type="dxa"/>
          </w:tcPr>
          <w:p w14:paraId="5FBE52F3">
            <w:pPr>
              <w:spacing w:line="360" w:lineRule="auto"/>
              <w:jc w:val="center"/>
              <w:rPr>
                <w:rFonts w:ascii="宋体" w:cs="宋体"/>
                <w:color w:val="000000"/>
                <w:sz w:val="24"/>
                <w:szCs w:val="24"/>
                <w:highlight w:val="none"/>
              </w:rPr>
            </w:pPr>
          </w:p>
        </w:tc>
        <w:tc>
          <w:tcPr>
            <w:tcW w:w="1442" w:type="dxa"/>
          </w:tcPr>
          <w:p w14:paraId="2C68F445">
            <w:pPr>
              <w:spacing w:line="360" w:lineRule="auto"/>
              <w:jc w:val="center"/>
              <w:rPr>
                <w:rFonts w:ascii="宋体" w:cs="宋体"/>
                <w:color w:val="000000"/>
                <w:sz w:val="24"/>
                <w:szCs w:val="24"/>
                <w:highlight w:val="none"/>
              </w:rPr>
            </w:pPr>
          </w:p>
        </w:tc>
      </w:tr>
      <w:tr w14:paraId="1FC33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58E33707">
            <w:pPr>
              <w:spacing w:line="360" w:lineRule="auto"/>
              <w:jc w:val="center"/>
              <w:rPr>
                <w:rFonts w:ascii="宋体" w:cs="宋体"/>
                <w:color w:val="000000"/>
                <w:sz w:val="24"/>
                <w:szCs w:val="24"/>
                <w:highlight w:val="none"/>
              </w:rPr>
            </w:pPr>
          </w:p>
        </w:tc>
        <w:tc>
          <w:tcPr>
            <w:tcW w:w="1979" w:type="dxa"/>
          </w:tcPr>
          <w:p w14:paraId="23365ADD">
            <w:pPr>
              <w:spacing w:line="360" w:lineRule="auto"/>
              <w:jc w:val="center"/>
              <w:rPr>
                <w:rFonts w:ascii="宋体" w:cs="宋体"/>
                <w:color w:val="000000"/>
                <w:sz w:val="24"/>
                <w:szCs w:val="24"/>
                <w:highlight w:val="none"/>
              </w:rPr>
            </w:pPr>
          </w:p>
        </w:tc>
        <w:tc>
          <w:tcPr>
            <w:tcW w:w="1980" w:type="dxa"/>
          </w:tcPr>
          <w:p w14:paraId="0251CF38">
            <w:pPr>
              <w:spacing w:line="360" w:lineRule="auto"/>
              <w:jc w:val="center"/>
              <w:rPr>
                <w:rFonts w:ascii="宋体" w:cs="宋体"/>
                <w:color w:val="000000"/>
                <w:sz w:val="24"/>
                <w:szCs w:val="24"/>
                <w:highlight w:val="none"/>
              </w:rPr>
            </w:pPr>
          </w:p>
        </w:tc>
        <w:tc>
          <w:tcPr>
            <w:tcW w:w="1262" w:type="dxa"/>
          </w:tcPr>
          <w:p w14:paraId="7F59137E">
            <w:pPr>
              <w:spacing w:line="360" w:lineRule="auto"/>
              <w:jc w:val="center"/>
              <w:rPr>
                <w:rFonts w:ascii="宋体" w:cs="宋体"/>
                <w:color w:val="000000"/>
                <w:sz w:val="24"/>
                <w:szCs w:val="24"/>
                <w:highlight w:val="none"/>
              </w:rPr>
            </w:pPr>
          </w:p>
        </w:tc>
        <w:tc>
          <w:tcPr>
            <w:tcW w:w="1262" w:type="dxa"/>
          </w:tcPr>
          <w:p w14:paraId="5A2EF156">
            <w:pPr>
              <w:spacing w:line="360" w:lineRule="auto"/>
              <w:jc w:val="center"/>
              <w:rPr>
                <w:rFonts w:ascii="宋体" w:cs="宋体"/>
                <w:color w:val="000000"/>
                <w:sz w:val="24"/>
                <w:szCs w:val="24"/>
                <w:highlight w:val="none"/>
              </w:rPr>
            </w:pPr>
          </w:p>
        </w:tc>
        <w:tc>
          <w:tcPr>
            <w:tcW w:w="1262" w:type="dxa"/>
          </w:tcPr>
          <w:p w14:paraId="54F5A3D7">
            <w:pPr>
              <w:spacing w:line="360" w:lineRule="auto"/>
              <w:jc w:val="center"/>
              <w:rPr>
                <w:rFonts w:ascii="宋体" w:cs="宋体"/>
                <w:color w:val="000000"/>
                <w:sz w:val="24"/>
                <w:szCs w:val="24"/>
                <w:highlight w:val="none"/>
              </w:rPr>
            </w:pPr>
          </w:p>
        </w:tc>
        <w:tc>
          <w:tcPr>
            <w:tcW w:w="1442" w:type="dxa"/>
          </w:tcPr>
          <w:p w14:paraId="3D297F7B">
            <w:pPr>
              <w:spacing w:line="360" w:lineRule="auto"/>
              <w:jc w:val="center"/>
              <w:rPr>
                <w:rFonts w:ascii="宋体" w:cs="宋体"/>
                <w:color w:val="000000"/>
                <w:sz w:val="24"/>
                <w:szCs w:val="24"/>
                <w:highlight w:val="none"/>
              </w:rPr>
            </w:pPr>
          </w:p>
        </w:tc>
      </w:tr>
      <w:tr w14:paraId="0217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3BED691E">
            <w:pPr>
              <w:spacing w:line="360" w:lineRule="auto"/>
              <w:jc w:val="center"/>
              <w:rPr>
                <w:rFonts w:ascii="宋体" w:cs="宋体"/>
                <w:color w:val="000000"/>
                <w:sz w:val="24"/>
                <w:szCs w:val="24"/>
                <w:highlight w:val="none"/>
              </w:rPr>
            </w:pPr>
          </w:p>
        </w:tc>
        <w:tc>
          <w:tcPr>
            <w:tcW w:w="1979" w:type="dxa"/>
          </w:tcPr>
          <w:p w14:paraId="5846DA9B">
            <w:pPr>
              <w:spacing w:line="360" w:lineRule="auto"/>
              <w:jc w:val="center"/>
              <w:rPr>
                <w:rFonts w:ascii="宋体" w:cs="宋体"/>
                <w:color w:val="000000"/>
                <w:sz w:val="24"/>
                <w:szCs w:val="24"/>
                <w:highlight w:val="none"/>
              </w:rPr>
            </w:pPr>
          </w:p>
        </w:tc>
        <w:tc>
          <w:tcPr>
            <w:tcW w:w="1980" w:type="dxa"/>
          </w:tcPr>
          <w:p w14:paraId="1FBAAF05">
            <w:pPr>
              <w:spacing w:line="360" w:lineRule="auto"/>
              <w:jc w:val="center"/>
              <w:rPr>
                <w:rFonts w:ascii="宋体" w:cs="宋体"/>
                <w:color w:val="000000"/>
                <w:sz w:val="24"/>
                <w:szCs w:val="24"/>
                <w:highlight w:val="none"/>
              </w:rPr>
            </w:pPr>
          </w:p>
        </w:tc>
        <w:tc>
          <w:tcPr>
            <w:tcW w:w="1262" w:type="dxa"/>
          </w:tcPr>
          <w:p w14:paraId="235F7DD4">
            <w:pPr>
              <w:spacing w:line="360" w:lineRule="auto"/>
              <w:jc w:val="center"/>
              <w:rPr>
                <w:rFonts w:ascii="宋体" w:cs="宋体"/>
                <w:color w:val="000000"/>
                <w:sz w:val="24"/>
                <w:szCs w:val="24"/>
                <w:highlight w:val="none"/>
              </w:rPr>
            </w:pPr>
          </w:p>
        </w:tc>
        <w:tc>
          <w:tcPr>
            <w:tcW w:w="1262" w:type="dxa"/>
          </w:tcPr>
          <w:p w14:paraId="09DFB7B9">
            <w:pPr>
              <w:spacing w:line="360" w:lineRule="auto"/>
              <w:jc w:val="center"/>
              <w:rPr>
                <w:rFonts w:ascii="宋体" w:cs="宋体"/>
                <w:color w:val="000000"/>
                <w:sz w:val="24"/>
                <w:szCs w:val="24"/>
                <w:highlight w:val="none"/>
              </w:rPr>
            </w:pPr>
          </w:p>
        </w:tc>
        <w:tc>
          <w:tcPr>
            <w:tcW w:w="1262" w:type="dxa"/>
          </w:tcPr>
          <w:p w14:paraId="38FF5199">
            <w:pPr>
              <w:spacing w:line="360" w:lineRule="auto"/>
              <w:jc w:val="center"/>
              <w:rPr>
                <w:rFonts w:ascii="宋体" w:cs="宋体"/>
                <w:color w:val="000000"/>
                <w:sz w:val="24"/>
                <w:szCs w:val="24"/>
                <w:highlight w:val="none"/>
              </w:rPr>
            </w:pPr>
          </w:p>
        </w:tc>
        <w:tc>
          <w:tcPr>
            <w:tcW w:w="1442" w:type="dxa"/>
          </w:tcPr>
          <w:p w14:paraId="3B8AD022">
            <w:pPr>
              <w:spacing w:line="360" w:lineRule="auto"/>
              <w:jc w:val="center"/>
              <w:rPr>
                <w:rFonts w:ascii="宋体" w:cs="宋体"/>
                <w:color w:val="000000"/>
                <w:sz w:val="24"/>
                <w:szCs w:val="24"/>
                <w:highlight w:val="none"/>
              </w:rPr>
            </w:pPr>
          </w:p>
        </w:tc>
      </w:tr>
      <w:tr w14:paraId="7BD8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6C49A455">
            <w:pPr>
              <w:spacing w:line="360" w:lineRule="auto"/>
              <w:jc w:val="center"/>
              <w:rPr>
                <w:rFonts w:ascii="宋体" w:cs="宋体"/>
                <w:color w:val="000000"/>
                <w:sz w:val="24"/>
                <w:szCs w:val="24"/>
                <w:highlight w:val="none"/>
              </w:rPr>
            </w:pPr>
          </w:p>
        </w:tc>
        <w:tc>
          <w:tcPr>
            <w:tcW w:w="1979" w:type="dxa"/>
          </w:tcPr>
          <w:p w14:paraId="26EF2F1B">
            <w:pPr>
              <w:spacing w:line="360" w:lineRule="auto"/>
              <w:jc w:val="center"/>
              <w:rPr>
                <w:rFonts w:ascii="宋体" w:cs="宋体"/>
                <w:color w:val="000000"/>
                <w:sz w:val="24"/>
                <w:szCs w:val="24"/>
                <w:highlight w:val="none"/>
              </w:rPr>
            </w:pPr>
          </w:p>
        </w:tc>
        <w:tc>
          <w:tcPr>
            <w:tcW w:w="1980" w:type="dxa"/>
          </w:tcPr>
          <w:p w14:paraId="57A26165">
            <w:pPr>
              <w:spacing w:line="360" w:lineRule="auto"/>
              <w:jc w:val="center"/>
              <w:rPr>
                <w:rFonts w:ascii="宋体" w:cs="宋体"/>
                <w:color w:val="000000"/>
                <w:sz w:val="24"/>
                <w:szCs w:val="24"/>
                <w:highlight w:val="none"/>
              </w:rPr>
            </w:pPr>
          </w:p>
        </w:tc>
        <w:tc>
          <w:tcPr>
            <w:tcW w:w="1262" w:type="dxa"/>
          </w:tcPr>
          <w:p w14:paraId="34CA4486">
            <w:pPr>
              <w:spacing w:line="360" w:lineRule="auto"/>
              <w:jc w:val="center"/>
              <w:rPr>
                <w:rFonts w:ascii="宋体" w:cs="宋体"/>
                <w:color w:val="000000"/>
                <w:sz w:val="24"/>
                <w:szCs w:val="24"/>
                <w:highlight w:val="none"/>
              </w:rPr>
            </w:pPr>
          </w:p>
        </w:tc>
        <w:tc>
          <w:tcPr>
            <w:tcW w:w="1262" w:type="dxa"/>
          </w:tcPr>
          <w:p w14:paraId="49DD8F98">
            <w:pPr>
              <w:spacing w:line="360" w:lineRule="auto"/>
              <w:jc w:val="center"/>
              <w:rPr>
                <w:rFonts w:ascii="宋体" w:cs="宋体"/>
                <w:color w:val="000000"/>
                <w:sz w:val="24"/>
                <w:szCs w:val="24"/>
                <w:highlight w:val="none"/>
              </w:rPr>
            </w:pPr>
          </w:p>
        </w:tc>
        <w:tc>
          <w:tcPr>
            <w:tcW w:w="1262" w:type="dxa"/>
          </w:tcPr>
          <w:p w14:paraId="6549B549">
            <w:pPr>
              <w:spacing w:line="360" w:lineRule="auto"/>
              <w:jc w:val="center"/>
              <w:rPr>
                <w:rFonts w:ascii="宋体" w:cs="宋体"/>
                <w:color w:val="000000"/>
                <w:sz w:val="24"/>
                <w:szCs w:val="24"/>
                <w:highlight w:val="none"/>
              </w:rPr>
            </w:pPr>
          </w:p>
        </w:tc>
        <w:tc>
          <w:tcPr>
            <w:tcW w:w="1442" w:type="dxa"/>
          </w:tcPr>
          <w:p w14:paraId="3392DEBD">
            <w:pPr>
              <w:spacing w:line="360" w:lineRule="auto"/>
              <w:jc w:val="center"/>
              <w:rPr>
                <w:rFonts w:ascii="宋体" w:cs="宋体"/>
                <w:color w:val="000000"/>
                <w:sz w:val="24"/>
                <w:szCs w:val="24"/>
                <w:highlight w:val="none"/>
              </w:rPr>
            </w:pPr>
          </w:p>
        </w:tc>
      </w:tr>
    </w:tbl>
    <w:p w14:paraId="2514B64D">
      <w:pPr>
        <w:spacing w:line="360" w:lineRule="auto"/>
        <w:rPr>
          <w:rFonts w:ascii="宋体" w:cs="宋体"/>
          <w:color w:val="000000"/>
          <w:sz w:val="24"/>
          <w:szCs w:val="24"/>
          <w:highlight w:val="none"/>
        </w:rPr>
      </w:pPr>
    </w:p>
    <w:p w14:paraId="065ABE9C">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注：</w:t>
      </w:r>
      <w:r>
        <w:rPr>
          <w:rFonts w:ascii="宋体" w:hAnsi="宋体" w:cs="宋体"/>
          <w:color w:val="000000"/>
          <w:sz w:val="24"/>
          <w:szCs w:val="24"/>
          <w:highlight w:val="none"/>
        </w:rPr>
        <w:t>1</w:t>
      </w:r>
      <w:r>
        <w:rPr>
          <w:rFonts w:hint="eastAsia" w:ascii="宋体" w:hAnsi="宋体" w:cs="宋体"/>
          <w:color w:val="000000"/>
          <w:sz w:val="24"/>
          <w:szCs w:val="24"/>
          <w:highlight w:val="none"/>
        </w:rPr>
        <w:t>、项目业绩证明以加盖投标人公章的合同复印件或成交</w:t>
      </w:r>
      <w:r>
        <w:rPr>
          <w:rFonts w:ascii="宋体" w:hAnsi="宋体" w:cs="宋体"/>
          <w:color w:val="000000"/>
          <w:sz w:val="24"/>
          <w:szCs w:val="24"/>
          <w:highlight w:val="none"/>
        </w:rPr>
        <w:t>/</w:t>
      </w:r>
      <w:r>
        <w:rPr>
          <w:rFonts w:hint="eastAsia" w:ascii="宋体" w:hAnsi="宋体" w:cs="宋体"/>
          <w:color w:val="000000"/>
          <w:sz w:val="24"/>
          <w:szCs w:val="24"/>
          <w:highlight w:val="none"/>
        </w:rPr>
        <w:t>中标通知书作为依据。</w:t>
      </w:r>
    </w:p>
    <w:p w14:paraId="6E4C7DDB">
      <w:pPr>
        <w:numPr>
          <w:ilvl w:val="0"/>
          <w:numId w:val="20"/>
        </w:numPr>
        <w:spacing w:line="360" w:lineRule="auto"/>
        <w:rPr>
          <w:rFonts w:ascii="宋体" w:cs="宋体"/>
          <w:color w:val="000000"/>
          <w:sz w:val="24"/>
          <w:highlight w:val="none"/>
        </w:rPr>
      </w:pPr>
      <w:r>
        <w:rPr>
          <w:rFonts w:hint="eastAsia" w:ascii="宋体" w:hAnsi="宋体" w:cs="宋体"/>
          <w:color w:val="000000"/>
          <w:sz w:val="24"/>
          <w:highlight w:val="none"/>
        </w:rPr>
        <w:t>如投标人成立日期不足三年，请提供自成立之日至投标之日的同类项目案例；</w:t>
      </w:r>
    </w:p>
    <w:p w14:paraId="6EC05A0E">
      <w:pPr>
        <w:spacing w:line="360" w:lineRule="auto"/>
        <w:rPr>
          <w:rFonts w:ascii="宋体" w:cs="宋体"/>
          <w:color w:val="000000"/>
          <w:sz w:val="24"/>
          <w:szCs w:val="24"/>
          <w:highlight w:val="none"/>
        </w:rPr>
      </w:pPr>
      <w:r>
        <w:rPr>
          <w:rFonts w:ascii="宋体" w:hAnsi="宋体" w:cs="宋体"/>
          <w:color w:val="000000"/>
          <w:sz w:val="24"/>
          <w:szCs w:val="24"/>
          <w:highlight w:val="none"/>
        </w:rPr>
        <w:t>3</w:t>
      </w:r>
      <w:r>
        <w:rPr>
          <w:rFonts w:hint="eastAsia" w:ascii="宋体" w:hAnsi="宋体" w:cs="宋体"/>
          <w:color w:val="000000"/>
          <w:sz w:val="24"/>
          <w:szCs w:val="24"/>
          <w:highlight w:val="none"/>
        </w:rPr>
        <w:t>、所有复印件应清晰，并由投标人单位加盖公章；</w:t>
      </w:r>
    </w:p>
    <w:p w14:paraId="2B15EFFF">
      <w:pPr>
        <w:spacing w:line="360" w:lineRule="auto"/>
        <w:rPr>
          <w:rFonts w:ascii="宋体" w:cs="宋体"/>
          <w:color w:val="000000"/>
          <w:sz w:val="24"/>
          <w:szCs w:val="24"/>
          <w:highlight w:val="none"/>
        </w:rPr>
      </w:pPr>
      <w:r>
        <w:rPr>
          <w:rFonts w:ascii="宋体" w:hAnsi="宋体" w:cs="宋体"/>
          <w:color w:val="000000"/>
          <w:sz w:val="24"/>
          <w:szCs w:val="24"/>
          <w:highlight w:val="none"/>
        </w:rPr>
        <w:t>4</w:t>
      </w:r>
      <w:r>
        <w:rPr>
          <w:rFonts w:hint="eastAsia" w:ascii="宋体" w:hAnsi="宋体" w:cs="宋体"/>
          <w:color w:val="000000"/>
          <w:sz w:val="24"/>
          <w:szCs w:val="24"/>
          <w:highlight w:val="none"/>
        </w:rPr>
        <w:t>、不提供复印件的案例，评分阶段不予以考虑。</w:t>
      </w:r>
    </w:p>
    <w:p w14:paraId="04ABA210">
      <w:pPr>
        <w:spacing w:line="360" w:lineRule="auto"/>
        <w:rPr>
          <w:rFonts w:ascii="宋体" w:cs="宋体"/>
          <w:color w:val="000000"/>
          <w:sz w:val="24"/>
          <w:szCs w:val="24"/>
          <w:highlight w:val="none"/>
        </w:rPr>
      </w:pPr>
    </w:p>
    <w:p w14:paraId="4A1EEA8B">
      <w:pPr>
        <w:spacing w:line="360" w:lineRule="auto"/>
        <w:jc w:val="right"/>
        <w:rPr>
          <w:rFonts w:ascii="宋体" w:cs="宋体"/>
          <w:sz w:val="24"/>
          <w:szCs w:val="24"/>
          <w:highlight w:val="non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2F3D9343">
      <w:pPr>
        <w:pStyle w:val="21"/>
        <w:rPr>
          <w:highlight w:val="none"/>
        </w:rPr>
      </w:pPr>
    </w:p>
    <w:p w14:paraId="09FBAC36">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430D5DB6">
      <w:pPr>
        <w:pStyle w:val="21"/>
        <w:rPr>
          <w:highlight w:val="none"/>
        </w:rPr>
      </w:pPr>
    </w:p>
    <w:p w14:paraId="1B1FDC3D">
      <w:pPr>
        <w:spacing w:line="360" w:lineRule="auto"/>
        <w:jc w:val="right"/>
        <w:rPr>
          <w:rFonts w:ascii="宋体" w:cs="宋体"/>
          <w:sz w:val="24"/>
          <w:szCs w:val="24"/>
          <w:highlight w:val="none"/>
        </w:rPr>
      </w:pPr>
      <w:r>
        <w:rPr>
          <w:rFonts w:hint="eastAsia" w:ascii="宋体" w:hAnsi="宋体" w:cs="宋体"/>
          <w:sz w:val="24"/>
          <w:szCs w:val="24"/>
          <w:highlight w:val="none"/>
        </w:rPr>
        <w:t>日期：</w:t>
      </w:r>
    </w:p>
    <w:p w14:paraId="1AE4B720">
      <w:pPr>
        <w:pStyle w:val="7"/>
        <w:rPr>
          <w:rFonts w:ascii="宋体" w:cs="宋体"/>
          <w:b w:val="0"/>
          <w:color w:val="000000"/>
          <w:sz w:val="24"/>
          <w:szCs w:val="24"/>
          <w:highlight w:val="none"/>
          <w:u w:val="single"/>
          <w:lang w:eastAsia="zh-CN"/>
        </w:rPr>
      </w:pPr>
      <w:r>
        <w:rPr>
          <w:rFonts w:ascii="宋体" w:cs="宋体"/>
          <w:color w:val="000000"/>
          <w:sz w:val="24"/>
          <w:szCs w:val="24"/>
          <w:highlight w:val="none"/>
          <w:u w:val="single"/>
          <w:lang w:eastAsia="zh-CN"/>
        </w:rPr>
        <w:br w:type="page"/>
      </w:r>
      <w:bookmarkStart w:id="255" w:name="_Toc493422675"/>
      <w:bookmarkStart w:id="256" w:name="_Toc15630"/>
      <w:bookmarkStart w:id="257" w:name="_Toc23626"/>
      <w:bookmarkStart w:id="258" w:name="_Toc44704930"/>
      <w:r>
        <w:rPr>
          <w:rFonts w:ascii="宋体" w:hAnsi="宋体" w:cs="宋体"/>
          <w:szCs w:val="24"/>
          <w:highlight w:val="none"/>
          <w:lang w:eastAsia="zh-CN"/>
        </w:rPr>
        <w:t>2.7.</w:t>
      </w:r>
      <w:bookmarkEnd w:id="255"/>
      <w:r>
        <w:rPr>
          <w:rFonts w:ascii="宋体" w:hAnsi="宋体" w:cs="宋体"/>
          <w:szCs w:val="24"/>
          <w:highlight w:val="none"/>
          <w:lang w:eastAsia="zh-CN"/>
        </w:rPr>
        <w:t>2</w:t>
      </w:r>
      <w:r>
        <w:rPr>
          <w:rFonts w:hint="eastAsia" w:ascii="宋体" w:hAnsi="宋体" w:cs="宋体"/>
          <w:szCs w:val="24"/>
          <w:highlight w:val="none"/>
          <w:lang w:eastAsia="zh-CN"/>
        </w:rPr>
        <w:t>项目人员配备表</w:t>
      </w:r>
      <w:bookmarkEnd w:id="256"/>
      <w:bookmarkEnd w:id="257"/>
      <w:bookmarkEnd w:id="258"/>
    </w:p>
    <w:p w14:paraId="67FE861B">
      <w:pPr>
        <w:spacing w:line="360" w:lineRule="auto"/>
        <w:rPr>
          <w:rFonts w:ascii="宋体" w:cs="宋体"/>
          <w:highlight w:val="none"/>
        </w:rPr>
      </w:pPr>
      <w:bookmarkStart w:id="259" w:name="_Toc508200460"/>
      <w:bookmarkStart w:id="260" w:name="_Toc521670795"/>
    </w:p>
    <w:p w14:paraId="1B6E63F5">
      <w:pPr>
        <w:spacing w:line="360" w:lineRule="auto"/>
        <w:rPr>
          <w:rFonts w:ascii="宋体" w:cs="宋体"/>
          <w:sz w:val="24"/>
          <w:szCs w:val="24"/>
          <w:highlight w:val="none"/>
        </w:rPr>
      </w:pPr>
      <w:bookmarkStart w:id="261" w:name="_Toc2512014"/>
      <w:bookmarkStart w:id="262" w:name="_Toc2355272"/>
      <w:r>
        <w:rPr>
          <w:rFonts w:hint="eastAsia" w:ascii="宋体" w:hAnsi="宋体" w:cs="宋体"/>
          <w:sz w:val="24"/>
          <w:szCs w:val="24"/>
          <w:highlight w:val="none"/>
        </w:rPr>
        <w:t>项目人员配备表格式</w:t>
      </w:r>
      <w:bookmarkEnd w:id="259"/>
      <w:bookmarkEnd w:id="260"/>
      <w:bookmarkEnd w:id="261"/>
      <w:bookmarkEnd w:id="262"/>
    </w:p>
    <w:p w14:paraId="0391D599">
      <w:pPr>
        <w:spacing w:line="360" w:lineRule="auto"/>
        <w:rPr>
          <w:rFonts w:ascii="宋体" w:cs="宋体"/>
          <w:sz w:val="24"/>
          <w:szCs w:val="24"/>
          <w:highlight w:val="none"/>
        </w:rPr>
      </w:pPr>
      <w:r>
        <w:rPr>
          <w:rFonts w:hint="eastAsia" w:ascii="宋体" w:hAnsi="宋体" w:cs="宋体"/>
          <w:sz w:val="24"/>
          <w:szCs w:val="24"/>
          <w:highlight w:val="none"/>
          <w:lang w:eastAsia="zh-CN"/>
        </w:rPr>
        <w:t>标项名称</w:t>
      </w:r>
      <w:r>
        <w:rPr>
          <w:rFonts w:hint="eastAsia" w:ascii="宋体" w:hAnsi="宋体" w:cs="宋体"/>
          <w:sz w:val="24"/>
          <w:szCs w:val="24"/>
          <w:highlight w:val="none"/>
        </w:rPr>
        <w:t>：</w:t>
      </w:r>
    </w:p>
    <w:p w14:paraId="0514E540">
      <w:pPr>
        <w:spacing w:line="360" w:lineRule="auto"/>
        <w:rPr>
          <w:rFonts w:ascii="宋体" w:cs="宋体"/>
          <w:sz w:val="24"/>
          <w:szCs w:val="24"/>
          <w:highlight w:val="none"/>
        </w:rPr>
      </w:pPr>
      <w:r>
        <w:rPr>
          <w:rFonts w:hint="eastAsia" w:ascii="宋体" w:hAnsi="宋体" w:cs="宋体"/>
          <w:sz w:val="24"/>
          <w:szCs w:val="24"/>
          <w:highlight w:val="none"/>
        </w:rPr>
        <w:t>项目编号：</w:t>
      </w:r>
    </w:p>
    <w:tbl>
      <w:tblPr>
        <w:tblStyle w:val="48"/>
        <w:tblW w:w="96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1533"/>
        <w:gridCol w:w="1872"/>
        <w:gridCol w:w="1872"/>
        <w:gridCol w:w="1872"/>
        <w:gridCol w:w="1333"/>
      </w:tblGrid>
      <w:tr w14:paraId="2F485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147" w:type="dxa"/>
            <w:vAlign w:val="center"/>
          </w:tcPr>
          <w:p w14:paraId="52A60BA5">
            <w:pPr>
              <w:spacing w:line="360" w:lineRule="auto"/>
              <w:rPr>
                <w:rFonts w:ascii="宋体" w:cs="宋体"/>
                <w:sz w:val="24"/>
                <w:szCs w:val="24"/>
                <w:highlight w:val="none"/>
              </w:rPr>
            </w:pPr>
            <w:r>
              <w:rPr>
                <w:rFonts w:hint="eastAsia" w:ascii="宋体" w:hAnsi="宋体" w:cs="宋体"/>
                <w:sz w:val="24"/>
                <w:szCs w:val="24"/>
                <w:highlight w:val="none"/>
              </w:rPr>
              <w:t>序号</w:t>
            </w:r>
          </w:p>
        </w:tc>
        <w:tc>
          <w:tcPr>
            <w:tcW w:w="1533" w:type="dxa"/>
            <w:vAlign w:val="center"/>
          </w:tcPr>
          <w:p w14:paraId="6D3EDEDB">
            <w:pPr>
              <w:spacing w:line="360" w:lineRule="auto"/>
              <w:rPr>
                <w:rFonts w:ascii="宋体" w:cs="宋体"/>
                <w:sz w:val="24"/>
                <w:szCs w:val="24"/>
                <w:highlight w:val="none"/>
              </w:rPr>
            </w:pPr>
            <w:r>
              <w:rPr>
                <w:rFonts w:hint="eastAsia" w:ascii="宋体" w:hAnsi="宋体" w:cs="宋体"/>
                <w:sz w:val="24"/>
                <w:szCs w:val="24"/>
                <w:highlight w:val="none"/>
              </w:rPr>
              <w:t>姓名</w:t>
            </w:r>
          </w:p>
        </w:tc>
        <w:tc>
          <w:tcPr>
            <w:tcW w:w="1872" w:type="dxa"/>
            <w:vAlign w:val="center"/>
          </w:tcPr>
          <w:p w14:paraId="39C16E16">
            <w:pPr>
              <w:spacing w:line="360" w:lineRule="auto"/>
              <w:rPr>
                <w:rFonts w:ascii="宋体" w:cs="宋体"/>
                <w:sz w:val="24"/>
                <w:szCs w:val="24"/>
                <w:highlight w:val="none"/>
              </w:rPr>
            </w:pPr>
            <w:r>
              <w:rPr>
                <w:rFonts w:hint="eastAsia" w:ascii="宋体" w:hAnsi="宋体" w:cs="宋体"/>
                <w:sz w:val="24"/>
                <w:szCs w:val="24"/>
                <w:highlight w:val="none"/>
              </w:rPr>
              <w:t>职务</w:t>
            </w:r>
          </w:p>
        </w:tc>
        <w:tc>
          <w:tcPr>
            <w:tcW w:w="1872" w:type="dxa"/>
            <w:vAlign w:val="center"/>
          </w:tcPr>
          <w:p w14:paraId="496D9DF1">
            <w:pPr>
              <w:spacing w:line="360" w:lineRule="auto"/>
              <w:rPr>
                <w:rFonts w:ascii="宋体" w:cs="宋体"/>
                <w:sz w:val="24"/>
                <w:szCs w:val="24"/>
                <w:highlight w:val="none"/>
              </w:rPr>
            </w:pPr>
            <w:r>
              <w:rPr>
                <w:rFonts w:hint="eastAsia" w:ascii="宋体" w:hAnsi="宋体" w:cs="宋体"/>
                <w:sz w:val="24"/>
                <w:szCs w:val="24"/>
                <w:highlight w:val="none"/>
              </w:rPr>
              <w:t>职称</w:t>
            </w:r>
          </w:p>
        </w:tc>
        <w:tc>
          <w:tcPr>
            <w:tcW w:w="1872" w:type="dxa"/>
            <w:vAlign w:val="center"/>
          </w:tcPr>
          <w:p w14:paraId="5DDD8C3A">
            <w:pPr>
              <w:spacing w:line="360" w:lineRule="auto"/>
              <w:rPr>
                <w:rFonts w:ascii="宋体" w:cs="宋体"/>
                <w:sz w:val="24"/>
                <w:szCs w:val="24"/>
                <w:highlight w:val="none"/>
              </w:rPr>
            </w:pPr>
            <w:r>
              <w:rPr>
                <w:rFonts w:hint="eastAsia" w:ascii="宋体" w:hAnsi="宋体" w:cs="宋体"/>
                <w:sz w:val="24"/>
                <w:szCs w:val="24"/>
                <w:highlight w:val="none"/>
              </w:rPr>
              <w:t>行业经验</w:t>
            </w:r>
          </w:p>
        </w:tc>
        <w:tc>
          <w:tcPr>
            <w:tcW w:w="1333" w:type="dxa"/>
            <w:vAlign w:val="center"/>
          </w:tcPr>
          <w:p w14:paraId="5F760DBB">
            <w:pPr>
              <w:spacing w:line="360" w:lineRule="auto"/>
              <w:rPr>
                <w:rFonts w:ascii="宋体" w:cs="宋体"/>
                <w:sz w:val="24"/>
                <w:szCs w:val="24"/>
                <w:highlight w:val="none"/>
              </w:rPr>
            </w:pPr>
            <w:r>
              <w:rPr>
                <w:rFonts w:hint="eastAsia" w:ascii="宋体" w:hAnsi="宋体" w:cs="宋体"/>
                <w:sz w:val="24"/>
                <w:szCs w:val="24"/>
                <w:highlight w:val="none"/>
              </w:rPr>
              <w:t>备注</w:t>
            </w:r>
          </w:p>
        </w:tc>
      </w:tr>
      <w:tr w14:paraId="3AD9F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329BE6FD">
            <w:pPr>
              <w:spacing w:line="360" w:lineRule="auto"/>
              <w:rPr>
                <w:rFonts w:ascii="宋体" w:cs="宋体"/>
                <w:sz w:val="24"/>
                <w:szCs w:val="24"/>
                <w:highlight w:val="none"/>
              </w:rPr>
            </w:pPr>
            <w:r>
              <w:rPr>
                <w:rFonts w:ascii="宋体" w:hAnsi="宋体" w:cs="宋体"/>
                <w:sz w:val="24"/>
                <w:szCs w:val="24"/>
                <w:highlight w:val="none"/>
              </w:rPr>
              <w:t>1.</w:t>
            </w:r>
          </w:p>
        </w:tc>
        <w:tc>
          <w:tcPr>
            <w:tcW w:w="1533" w:type="dxa"/>
            <w:vAlign w:val="center"/>
          </w:tcPr>
          <w:p w14:paraId="00201C67">
            <w:pPr>
              <w:spacing w:line="360" w:lineRule="auto"/>
              <w:rPr>
                <w:rFonts w:ascii="宋体" w:cs="宋体"/>
                <w:sz w:val="24"/>
                <w:szCs w:val="24"/>
                <w:highlight w:val="none"/>
              </w:rPr>
            </w:pPr>
          </w:p>
        </w:tc>
        <w:tc>
          <w:tcPr>
            <w:tcW w:w="1872" w:type="dxa"/>
            <w:vAlign w:val="center"/>
          </w:tcPr>
          <w:p w14:paraId="63A716B2">
            <w:pPr>
              <w:spacing w:line="360" w:lineRule="auto"/>
              <w:rPr>
                <w:rFonts w:ascii="宋体" w:cs="宋体"/>
                <w:sz w:val="24"/>
                <w:szCs w:val="24"/>
                <w:highlight w:val="none"/>
              </w:rPr>
            </w:pPr>
          </w:p>
        </w:tc>
        <w:tc>
          <w:tcPr>
            <w:tcW w:w="1872" w:type="dxa"/>
            <w:vAlign w:val="center"/>
          </w:tcPr>
          <w:p w14:paraId="3A206C4B">
            <w:pPr>
              <w:spacing w:line="360" w:lineRule="auto"/>
              <w:rPr>
                <w:rFonts w:ascii="宋体" w:cs="宋体"/>
                <w:sz w:val="24"/>
                <w:szCs w:val="24"/>
                <w:highlight w:val="none"/>
              </w:rPr>
            </w:pPr>
          </w:p>
        </w:tc>
        <w:tc>
          <w:tcPr>
            <w:tcW w:w="1872" w:type="dxa"/>
            <w:vAlign w:val="center"/>
          </w:tcPr>
          <w:p w14:paraId="71F24DFD">
            <w:pPr>
              <w:spacing w:line="360" w:lineRule="auto"/>
              <w:rPr>
                <w:rFonts w:ascii="宋体" w:cs="宋体"/>
                <w:sz w:val="24"/>
                <w:szCs w:val="24"/>
                <w:highlight w:val="none"/>
              </w:rPr>
            </w:pPr>
          </w:p>
        </w:tc>
        <w:tc>
          <w:tcPr>
            <w:tcW w:w="1333" w:type="dxa"/>
            <w:vAlign w:val="center"/>
          </w:tcPr>
          <w:p w14:paraId="7C766B13">
            <w:pPr>
              <w:spacing w:line="360" w:lineRule="auto"/>
              <w:rPr>
                <w:rFonts w:ascii="宋体" w:cs="宋体"/>
                <w:sz w:val="24"/>
                <w:szCs w:val="24"/>
                <w:highlight w:val="none"/>
              </w:rPr>
            </w:pPr>
          </w:p>
        </w:tc>
      </w:tr>
      <w:tr w14:paraId="7C9A5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632A7CF3">
            <w:pPr>
              <w:spacing w:line="360" w:lineRule="auto"/>
              <w:rPr>
                <w:rFonts w:ascii="宋体" w:cs="宋体"/>
                <w:sz w:val="24"/>
                <w:szCs w:val="24"/>
                <w:highlight w:val="none"/>
              </w:rPr>
            </w:pPr>
            <w:r>
              <w:rPr>
                <w:rFonts w:ascii="宋体" w:hAnsi="宋体" w:cs="宋体"/>
                <w:sz w:val="24"/>
                <w:szCs w:val="24"/>
                <w:highlight w:val="none"/>
              </w:rPr>
              <w:t>2.</w:t>
            </w:r>
          </w:p>
        </w:tc>
        <w:tc>
          <w:tcPr>
            <w:tcW w:w="1533" w:type="dxa"/>
            <w:vAlign w:val="center"/>
          </w:tcPr>
          <w:p w14:paraId="78896CE2">
            <w:pPr>
              <w:spacing w:line="360" w:lineRule="auto"/>
              <w:rPr>
                <w:rFonts w:ascii="宋体" w:cs="宋体"/>
                <w:sz w:val="24"/>
                <w:szCs w:val="24"/>
                <w:highlight w:val="none"/>
              </w:rPr>
            </w:pPr>
          </w:p>
        </w:tc>
        <w:tc>
          <w:tcPr>
            <w:tcW w:w="1872" w:type="dxa"/>
            <w:vAlign w:val="center"/>
          </w:tcPr>
          <w:p w14:paraId="11D81A44">
            <w:pPr>
              <w:spacing w:line="360" w:lineRule="auto"/>
              <w:rPr>
                <w:rFonts w:ascii="宋体" w:cs="宋体"/>
                <w:sz w:val="24"/>
                <w:szCs w:val="24"/>
                <w:highlight w:val="none"/>
              </w:rPr>
            </w:pPr>
          </w:p>
        </w:tc>
        <w:tc>
          <w:tcPr>
            <w:tcW w:w="1872" w:type="dxa"/>
            <w:vAlign w:val="center"/>
          </w:tcPr>
          <w:p w14:paraId="35E37392">
            <w:pPr>
              <w:spacing w:line="360" w:lineRule="auto"/>
              <w:rPr>
                <w:rFonts w:ascii="宋体" w:cs="宋体"/>
                <w:sz w:val="24"/>
                <w:szCs w:val="24"/>
                <w:highlight w:val="none"/>
              </w:rPr>
            </w:pPr>
          </w:p>
        </w:tc>
        <w:tc>
          <w:tcPr>
            <w:tcW w:w="1872" w:type="dxa"/>
            <w:vAlign w:val="center"/>
          </w:tcPr>
          <w:p w14:paraId="5FF0BA1C">
            <w:pPr>
              <w:spacing w:line="360" w:lineRule="auto"/>
              <w:rPr>
                <w:rFonts w:ascii="宋体" w:cs="宋体"/>
                <w:sz w:val="24"/>
                <w:szCs w:val="24"/>
                <w:highlight w:val="none"/>
              </w:rPr>
            </w:pPr>
          </w:p>
        </w:tc>
        <w:tc>
          <w:tcPr>
            <w:tcW w:w="1333" w:type="dxa"/>
            <w:vAlign w:val="center"/>
          </w:tcPr>
          <w:p w14:paraId="0A8351A0">
            <w:pPr>
              <w:spacing w:line="360" w:lineRule="auto"/>
              <w:rPr>
                <w:rFonts w:ascii="宋体" w:cs="宋体"/>
                <w:sz w:val="24"/>
                <w:szCs w:val="24"/>
                <w:highlight w:val="none"/>
              </w:rPr>
            </w:pPr>
          </w:p>
        </w:tc>
      </w:tr>
      <w:tr w14:paraId="0815D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475FDA0B">
            <w:pPr>
              <w:spacing w:line="360" w:lineRule="auto"/>
              <w:rPr>
                <w:rFonts w:ascii="宋体" w:cs="宋体"/>
                <w:sz w:val="24"/>
                <w:szCs w:val="24"/>
                <w:highlight w:val="none"/>
              </w:rPr>
            </w:pPr>
            <w:r>
              <w:rPr>
                <w:rFonts w:ascii="宋体" w:hAnsi="宋体" w:cs="宋体"/>
                <w:sz w:val="24"/>
                <w:szCs w:val="24"/>
                <w:highlight w:val="none"/>
              </w:rPr>
              <w:t>3.</w:t>
            </w:r>
          </w:p>
        </w:tc>
        <w:tc>
          <w:tcPr>
            <w:tcW w:w="1533" w:type="dxa"/>
            <w:vAlign w:val="center"/>
          </w:tcPr>
          <w:p w14:paraId="2C8B4EC4">
            <w:pPr>
              <w:spacing w:line="360" w:lineRule="auto"/>
              <w:rPr>
                <w:rFonts w:ascii="宋体" w:cs="宋体"/>
                <w:sz w:val="24"/>
                <w:szCs w:val="24"/>
                <w:highlight w:val="none"/>
              </w:rPr>
            </w:pPr>
          </w:p>
        </w:tc>
        <w:tc>
          <w:tcPr>
            <w:tcW w:w="1872" w:type="dxa"/>
            <w:vAlign w:val="center"/>
          </w:tcPr>
          <w:p w14:paraId="73FEF320">
            <w:pPr>
              <w:spacing w:line="360" w:lineRule="auto"/>
              <w:rPr>
                <w:rFonts w:ascii="宋体" w:cs="宋体"/>
                <w:sz w:val="24"/>
                <w:szCs w:val="24"/>
                <w:highlight w:val="none"/>
              </w:rPr>
            </w:pPr>
          </w:p>
        </w:tc>
        <w:tc>
          <w:tcPr>
            <w:tcW w:w="1872" w:type="dxa"/>
            <w:vAlign w:val="center"/>
          </w:tcPr>
          <w:p w14:paraId="34ED8780">
            <w:pPr>
              <w:spacing w:line="360" w:lineRule="auto"/>
              <w:rPr>
                <w:rFonts w:ascii="宋体" w:cs="宋体"/>
                <w:sz w:val="24"/>
                <w:szCs w:val="24"/>
                <w:highlight w:val="none"/>
              </w:rPr>
            </w:pPr>
          </w:p>
        </w:tc>
        <w:tc>
          <w:tcPr>
            <w:tcW w:w="1872" w:type="dxa"/>
            <w:vAlign w:val="center"/>
          </w:tcPr>
          <w:p w14:paraId="47F1D345">
            <w:pPr>
              <w:spacing w:line="360" w:lineRule="auto"/>
              <w:rPr>
                <w:rFonts w:ascii="宋体" w:cs="宋体"/>
                <w:sz w:val="24"/>
                <w:szCs w:val="24"/>
                <w:highlight w:val="none"/>
              </w:rPr>
            </w:pPr>
          </w:p>
        </w:tc>
        <w:tc>
          <w:tcPr>
            <w:tcW w:w="1333" w:type="dxa"/>
            <w:vAlign w:val="center"/>
          </w:tcPr>
          <w:p w14:paraId="5B429F74">
            <w:pPr>
              <w:spacing w:line="360" w:lineRule="auto"/>
              <w:rPr>
                <w:rFonts w:ascii="宋体" w:cs="宋体"/>
                <w:sz w:val="24"/>
                <w:szCs w:val="24"/>
                <w:highlight w:val="none"/>
              </w:rPr>
            </w:pPr>
          </w:p>
        </w:tc>
      </w:tr>
      <w:tr w14:paraId="6F3A7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1E1F43DA">
            <w:pPr>
              <w:spacing w:line="360" w:lineRule="auto"/>
              <w:rPr>
                <w:rFonts w:ascii="宋体" w:cs="宋体"/>
                <w:sz w:val="24"/>
                <w:szCs w:val="24"/>
                <w:highlight w:val="none"/>
              </w:rPr>
            </w:pPr>
            <w:r>
              <w:rPr>
                <w:rFonts w:ascii="宋体" w:hAnsi="宋体" w:cs="宋体"/>
                <w:sz w:val="24"/>
                <w:szCs w:val="24"/>
                <w:highlight w:val="none"/>
              </w:rPr>
              <w:t>4.</w:t>
            </w:r>
          </w:p>
        </w:tc>
        <w:tc>
          <w:tcPr>
            <w:tcW w:w="1533" w:type="dxa"/>
            <w:vAlign w:val="center"/>
          </w:tcPr>
          <w:p w14:paraId="2CDD5F9D">
            <w:pPr>
              <w:spacing w:line="360" w:lineRule="auto"/>
              <w:rPr>
                <w:rFonts w:ascii="宋体" w:cs="宋体"/>
                <w:sz w:val="24"/>
                <w:szCs w:val="24"/>
                <w:highlight w:val="none"/>
              </w:rPr>
            </w:pPr>
          </w:p>
        </w:tc>
        <w:tc>
          <w:tcPr>
            <w:tcW w:w="1872" w:type="dxa"/>
            <w:vAlign w:val="center"/>
          </w:tcPr>
          <w:p w14:paraId="613548EA">
            <w:pPr>
              <w:spacing w:line="360" w:lineRule="auto"/>
              <w:rPr>
                <w:rFonts w:ascii="宋体" w:cs="宋体"/>
                <w:sz w:val="24"/>
                <w:szCs w:val="24"/>
                <w:highlight w:val="none"/>
              </w:rPr>
            </w:pPr>
          </w:p>
        </w:tc>
        <w:tc>
          <w:tcPr>
            <w:tcW w:w="1872" w:type="dxa"/>
            <w:vAlign w:val="center"/>
          </w:tcPr>
          <w:p w14:paraId="1021A488">
            <w:pPr>
              <w:spacing w:line="360" w:lineRule="auto"/>
              <w:rPr>
                <w:rFonts w:ascii="宋体" w:cs="宋体"/>
                <w:sz w:val="24"/>
                <w:szCs w:val="24"/>
                <w:highlight w:val="none"/>
              </w:rPr>
            </w:pPr>
          </w:p>
        </w:tc>
        <w:tc>
          <w:tcPr>
            <w:tcW w:w="1872" w:type="dxa"/>
            <w:vAlign w:val="center"/>
          </w:tcPr>
          <w:p w14:paraId="00CE8992">
            <w:pPr>
              <w:spacing w:line="360" w:lineRule="auto"/>
              <w:rPr>
                <w:rFonts w:ascii="宋体" w:cs="宋体"/>
                <w:sz w:val="24"/>
                <w:szCs w:val="24"/>
                <w:highlight w:val="none"/>
              </w:rPr>
            </w:pPr>
          </w:p>
        </w:tc>
        <w:tc>
          <w:tcPr>
            <w:tcW w:w="1333" w:type="dxa"/>
            <w:vAlign w:val="center"/>
          </w:tcPr>
          <w:p w14:paraId="43383378">
            <w:pPr>
              <w:spacing w:line="360" w:lineRule="auto"/>
              <w:rPr>
                <w:rFonts w:ascii="宋体" w:cs="宋体"/>
                <w:sz w:val="24"/>
                <w:szCs w:val="24"/>
                <w:highlight w:val="none"/>
              </w:rPr>
            </w:pPr>
          </w:p>
        </w:tc>
      </w:tr>
      <w:tr w14:paraId="75DF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79C3EF94">
            <w:pPr>
              <w:spacing w:line="360" w:lineRule="auto"/>
              <w:rPr>
                <w:rFonts w:ascii="宋体" w:cs="宋体"/>
                <w:sz w:val="24"/>
                <w:szCs w:val="24"/>
                <w:highlight w:val="none"/>
              </w:rPr>
            </w:pPr>
            <w:r>
              <w:rPr>
                <w:rFonts w:ascii="宋体" w:hAnsi="宋体" w:cs="宋体"/>
                <w:sz w:val="24"/>
                <w:szCs w:val="24"/>
                <w:highlight w:val="none"/>
              </w:rPr>
              <w:t>5.</w:t>
            </w:r>
          </w:p>
        </w:tc>
        <w:tc>
          <w:tcPr>
            <w:tcW w:w="1533" w:type="dxa"/>
            <w:vAlign w:val="center"/>
          </w:tcPr>
          <w:p w14:paraId="5E36261E">
            <w:pPr>
              <w:spacing w:line="360" w:lineRule="auto"/>
              <w:rPr>
                <w:rFonts w:ascii="宋体" w:cs="宋体"/>
                <w:sz w:val="24"/>
                <w:szCs w:val="24"/>
                <w:highlight w:val="none"/>
              </w:rPr>
            </w:pPr>
          </w:p>
        </w:tc>
        <w:tc>
          <w:tcPr>
            <w:tcW w:w="1872" w:type="dxa"/>
            <w:vAlign w:val="center"/>
          </w:tcPr>
          <w:p w14:paraId="0ED3A200">
            <w:pPr>
              <w:spacing w:line="360" w:lineRule="auto"/>
              <w:rPr>
                <w:rFonts w:ascii="宋体" w:cs="宋体"/>
                <w:sz w:val="24"/>
                <w:szCs w:val="24"/>
                <w:highlight w:val="none"/>
              </w:rPr>
            </w:pPr>
          </w:p>
        </w:tc>
        <w:tc>
          <w:tcPr>
            <w:tcW w:w="1872" w:type="dxa"/>
            <w:vAlign w:val="center"/>
          </w:tcPr>
          <w:p w14:paraId="04E12423">
            <w:pPr>
              <w:spacing w:line="360" w:lineRule="auto"/>
              <w:rPr>
                <w:rFonts w:ascii="宋体" w:cs="宋体"/>
                <w:sz w:val="24"/>
                <w:szCs w:val="24"/>
                <w:highlight w:val="none"/>
              </w:rPr>
            </w:pPr>
          </w:p>
        </w:tc>
        <w:tc>
          <w:tcPr>
            <w:tcW w:w="1872" w:type="dxa"/>
            <w:vAlign w:val="center"/>
          </w:tcPr>
          <w:p w14:paraId="7D1777AB">
            <w:pPr>
              <w:spacing w:line="360" w:lineRule="auto"/>
              <w:rPr>
                <w:rFonts w:ascii="宋体" w:cs="宋体"/>
                <w:sz w:val="24"/>
                <w:szCs w:val="24"/>
                <w:highlight w:val="none"/>
              </w:rPr>
            </w:pPr>
          </w:p>
        </w:tc>
        <w:tc>
          <w:tcPr>
            <w:tcW w:w="1333" w:type="dxa"/>
            <w:vAlign w:val="center"/>
          </w:tcPr>
          <w:p w14:paraId="7338A6D5">
            <w:pPr>
              <w:spacing w:line="360" w:lineRule="auto"/>
              <w:rPr>
                <w:rFonts w:ascii="宋体" w:cs="宋体"/>
                <w:sz w:val="24"/>
                <w:szCs w:val="24"/>
                <w:highlight w:val="none"/>
              </w:rPr>
            </w:pPr>
          </w:p>
        </w:tc>
      </w:tr>
      <w:tr w14:paraId="584A3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469C4480">
            <w:pPr>
              <w:spacing w:line="360" w:lineRule="auto"/>
              <w:rPr>
                <w:rFonts w:ascii="宋体" w:cs="宋体"/>
                <w:sz w:val="24"/>
                <w:szCs w:val="24"/>
                <w:highlight w:val="none"/>
              </w:rPr>
            </w:pPr>
            <w:r>
              <w:rPr>
                <w:rFonts w:ascii="宋体" w:hAnsi="宋体" w:cs="宋体"/>
                <w:sz w:val="24"/>
                <w:szCs w:val="24"/>
                <w:highlight w:val="none"/>
              </w:rPr>
              <w:t>6.</w:t>
            </w:r>
          </w:p>
        </w:tc>
        <w:tc>
          <w:tcPr>
            <w:tcW w:w="1533" w:type="dxa"/>
            <w:vAlign w:val="center"/>
          </w:tcPr>
          <w:p w14:paraId="5A89E7DA">
            <w:pPr>
              <w:spacing w:line="360" w:lineRule="auto"/>
              <w:rPr>
                <w:rFonts w:ascii="宋体" w:cs="宋体"/>
                <w:sz w:val="24"/>
                <w:szCs w:val="24"/>
                <w:highlight w:val="none"/>
              </w:rPr>
            </w:pPr>
          </w:p>
        </w:tc>
        <w:tc>
          <w:tcPr>
            <w:tcW w:w="1872" w:type="dxa"/>
            <w:vAlign w:val="center"/>
          </w:tcPr>
          <w:p w14:paraId="7E9BB54F">
            <w:pPr>
              <w:spacing w:line="360" w:lineRule="auto"/>
              <w:rPr>
                <w:rFonts w:ascii="宋体" w:cs="宋体"/>
                <w:sz w:val="24"/>
                <w:szCs w:val="24"/>
                <w:highlight w:val="none"/>
              </w:rPr>
            </w:pPr>
          </w:p>
        </w:tc>
        <w:tc>
          <w:tcPr>
            <w:tcW w:w="1872" w:type="dxa"/>
            <w:vAlign w:val="center"/>
          </w:tcPr>
          <w:p w14:paraId="6119F66C">
            <w:pPr>
              <w:spacing w:line="360" w:lineRule="auto"/>
              <w:rPr>
                <w:rFonts w:ascii="宋体" w:cs="宋体"/>
                <w:sz w:val="24"/>
                <w:szCs w:val="24"/>
                <w:highlight w:val="none"/>
              </w:rPr>
            </w:pPr>
          </w:p>
        </w:tc>
        <w:tc>
          <w:tcPr>
            <w:tcW w:w="1872" w:type="dxa"/>
            <w:vAlign w:val="center"/>
          </w:tcPr>
          <w:p w14:paraId="54D4E464">
            <w:pPr>
              <w:spacing w:line="360" w:lineRule="auto"/>
              <w:rPr>
                <w:rFonts w:ascii="宋体" w:cs="宋体"/>
                <w:sz w:val="24"/>
                <w:szCs w:val="24"/>
                <w:highlight w:val="none"/>
              </w:rPr>
            </w:pPr>
          </w:p>
        </w:tc>
        <w:tc>
          <w:tcPr>
            <w:tcW w:w="1333" w:type="dxa"/>
            <w:vAlign w:val="center"/>
          </w:tcPr>
          <w:p w14:paraId="358480D2">
            <w:pPr>
              <w:spacing w:line="360" w:lineRule="auto"/>
              <w:rPr>
                <w:rFonts w:ascii="宋体" w:cs="宋体"/>
                <w:sz w:val="24"/>
                <w:szCs w:val="24"/>
                <w:highlight w:val="none"/>
              </w:rPr>
            </w:pPr>
          </w:p>
        </w:tc>
      </w:tr>
      <w:tr w14:paraId="61401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1147" w:type="dxa"/>
            <w:vAlign w:val="center"/>
          </w:tcPr>
          <w:p w14:paraId="7B7E455E">
            <w:pPr>
              <w:spacing w:line="360" w:lineRule="auto"/>
              <w:rPr>
                <w:rFonts w:ascii="宋体" w:cs="宋体"/>
                <w:sz w:val="24"/>
                <w:szCs w:val="24"/>
                <w:highlight w:val="none"/>
              </w:rPr>
            </w:pPr>
            <w:r>
              <w:rPr>
                <w:rFonts w:ascii="宋体" w:hAnsi="宋体" w:cs="宋体"/>
                <w:sz w:val="24"/>
                <w:szCs w:val="24"/>
                <w:highlight w:val="none"/>
              </w:rPr>
              <w:t>7.</w:t>
            </w:r>
          </w:p>
        </w:tc>
        <w:tc>
          <w:tcPr>
            <w:tcW w:w="1533" w:type="dxa"/>
            <w:vAlign w:val="center"/>
          </w:tcPr>
          <w:p w14:paraId="1A524AEF">
            <w:pPr>
              <w:spacing w:line="360" w:lineRule="auto"/>
              <w:rPr>
                <w:rFonts w:ascii="宋体" w:cs="宋体"/>
                <w:sz w:val="24"/>
                <w:szCs w:val="24"/>
                <w:highlight w:val="none"/>
              </w:rPr>
            </w:pPr>
          </w:p>
        </w:tc>
        <w:tc>
          <w:tcPr>
            <w:tcW w:w="1872" w:type="dxa"/>
            <w:vAlign w:val="center"/>
          </w:tcPr>
          <w:p w14:paraId="505502BB">
            <w:pPr>
              <w:spacing w:line="360" w:lineRule="auto"/>
              <w:rPr>
                <w:rFonts w:ascii="宋体" w:cs="宋体"/>
                <w:sz w:val="24"/>
                <w:szCs w:val="24"/>
                <w:highlight w:val="none"/>
              </w:rPr>
            </w:pPr>
          </w:p>
        </w:tc>
        <w:tc>
          <w:tcPr>
            <w:tcW w:w="1872" w:type="dxa"/>
            <w:vAlign w:val="center"/>
          </w:tcPr>
          <w:p w14:paraId="58DCC993">
            <w:pPr>
              <w:spacing w:line="360" w:lineRule="auto"/>
              <w:rPr>
                <w:rFonts w:ascii="宋体" w:cs="宋体"/>
                <w:sz w:val="24"/>
                <w:szCs w:val="24"/>
                <w:highlight w:val="none"/>
              </w:rPr>
            </w:pPr>
          </w:p>
        </w:tc>
        <w:tc>
          <w:tcPr>
            <w:tcW w:w="1872" w:type="dxa"/>
            <w:vAlign w:val="center"/>
          </w:tcPr>
          <w:p w14:paraId="4EA3B7E1">
            <w:pPr>
              <w:spacing w:line="360" w:lineRule="auto"/>
              <w:rPr>
                <w:rFonts w:ascii="宋体" w:cs="宋体"/>
                <w:sz w:val="24"/>
                <w:szCs w:val="24"/>
                <w:highlight w:val="none"/>
              </w:rPr>
            </w:pPr>
          </w:p>
        </w:tc>
        <w:tc>
          <w:tcPr>
            <w:tcW w:w="1333" w:type="dxa"/>
            <w:vAlign w:val="center"/>
          </w:tcPr>
          <w:p w14:paraId="0BCCB9F2">
            <w:pPr>
              <w:spacing w:line="360" w:lineRule="auto"/>
              <w:rPr>
                <w:rFonts w:ascii="宋体" w:cs="宋体"/>
                <w:sz w:val="24"/>
                <w:szCs w:val="24"/>
                <w:highlight w:val="none"/>
              </w:rPr>
            </w:pPr>
          </w:p>
        </w:tc>
      </w:tr>
      <w:tr w14:paraId="2E03B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378C935B">
            <w:pPr>
              <w:spacing w:line="360" w:lineRule="auto"/>
              <w:rPr>
                <w:rFonts w:ascii="宋体" w:cs="宋体"/>
                <w:sz w:val="24"/>
                <w:szCs w:val="24"/>
                <w:highlight w:val="none"/>
              </w:rPr>
            </w:pPr>
            <w:r>
              <w:rPr>
                <w:rFonts w:ascii="宋体" w:hAnsi="宋体" w:cs="宋体"/>
                <w:sz w:val="24"/>
                <w:szCs w:val="24"/>
                <w:highlight w:val="none"/>
              </w:rPr>
              <w:t>8</w:t>
            </w:r>
          </w:p>
        </w:tc>
        <w:tc>
          <w:tcPr>
            <w:tcW w:w="1533" w:type="dxa"/>
            <w:vAlign w:val="center"/>
          </w:tcPr>
          <w:p w14:paraId="04163FDD">
            <w:pPr>
              <w:spacing w:line="360" w:lineRule="auto"/>
              <w:rPr>
                <w:rFonts w:ascii="宋体" w:cs="宋体"/>
                <w:sz w:val="24"/>
                <w:szCs w:val="24"/>
                <w:highlight w:val="none"/>
              </w:rPr>
            </w:pPr>
          </w:p>
        </w:tc>
        <w:tc>
          <w:tcPr>
            <w:tcW w:w="1872" w:type="dxa"/>
            <w:vAlign w:val="center"/>
          </w:tcPr>
          <w:p w14:paraId="3A75F02C">
            <w:pPr>
              <w:spacing w:line="360" w:lineRule="auto"/>
              <w:rPr>
                <w:rFonts w:ascii="宋体" w:cs="宋体"/>
                <w:sz w:val="24"/>
                <w:szCs w:val="24"/>
                <w:highlight w:val="none"/>
              </w:rPr>
            </w:pPr>
          </w:p>
        </w:tc>
        <w:tc>
          <w:tcPr>
            <w:tcW w:w="1872" w:type="dxa"/>
            <w:vAlign w:val="center"/>
          </w:tcPr>
          <w:p w14:paraId="02240E96">
            <w:pPr>
              <w:spacing w:line="360" w:lineRule="auto"/>
              <w:rPr>
                <w:rFonts w:ascii="宋体" w:cs="宋体"/>
                <w:sz w:val="24"/>
                <w:szCs w:val="24"/>
                <w:highlight w:val="none"/>
              </w:rPr>
            </w:pPr>
          </w:p>
        </w:tc>
        <w:tc>
          <w:tcPr>
            <w:tcW w:w="1872" w:type="dxa"/>
            <w:vAlign w:val="center"/>
          </w:tcPr>
          <w:p w14:paraId="525389E7">
            <w:pPr>
              <w:spacing w:line="360" w:lineRule="auto"/>
              <w:rPr>
                <w:rFonts w:ascii="宋体" w:cs="宋体"/>
                <w:sz w:val="24"/>
                <w:szCs w:val="24"/>
                <w:highlight w:val="none"/>
              </w:rPr>
            </w:pPr>
          </w:p>
        </w:tc>
        <w:tc>
          <w:tcPr>
            <w:tcW w:w="1333" w:type="dxa"/>
            <w:vAlign w:val="center"/>
          </w:tcPr>
          <w:p w14:paraId="5CB6D523">
            <w:pPr>
              <w:spacing w:line="360" w:lineRule="auto"/>
              <w:rPr>
                <w:rFonts w:ascii="宋体" w:cs="宋体"/>
                <w:sz w:val="24"/>
                <w:szCs w:val="24"/>
                <w:highlight w:val="none"/>
              </w:rPr>
            </w:pPr>
          </w:p>
        </w:tc>
      </w:tr>
      <w:tr w14:paraId="1BCE9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7C0F87FD">
            <w:pPr>
              <w:spacing w:line="360" w:lineRule="auto"/>
              <w:rPr>
                <w:rFonts w:ascii="宋体" w:cs="宋体"/>
                <w:sz w:val="24"/>
                <w:szCs w:val="24"/>
                <w:highlight w:val="none"/>
              </w:rPr>
            </w:pPr>
            <w:r>
              <w:rPr>
                <w:rFonts w:ascii="宋体" w:hAnsi="宋体" w:cs="宋体"/>
                <w:sz w:val="24"/>
                <w:szCs w:val="24"/>
                <w:highlight w:val="none"/>
              </w:rPr>
              <w:t>9</w:t>
            </w:r>
          </w:p>
        </w:tc>
        <w:tc>
          <w:tcPr>
            <w:tcW w:w="1533" w:type="dxa"/>
            <w:vAlign w:val="center"/>
          </w:tcPr>
          <w:p w14:paraId="612A1EA1">
            <w:pPr>
              <w:spacing w:line="360" w:lineRule="auto"/>
              <w:rPr>
                <w:rFonts w:ascii="宋体" w:cs="宋体"/>
                <w:sz w:val="24"/>
                <w:szCs w:val="24"/>
                <w:highlight w:val="none"/>
              </w:rPr>
            </w:pPr>
          </w:p>
        </w:tc>
        <w:tc>
          <w:tcPr>
            <w:tcW w:w="1872" w:type="dxa"/>
            <w:vAlign w:val="center"/>
          </w:tcPr>
          <w:p w14:paraId="17BE2818">
            <w:pPr>
              <w:spacing w:line="360" w:lineRule="auto"/>
              <w:rPr>
                <w:rFonts w:ascii="宋体" w:cs="宋体"/>
                <w:sz w:val="24"/>
                <w:szCs w:val="24"/>
                <w:highlight w:val="none"/>
              </w:rPr>
            </w:pPr>
          </w:p>
        </w:tc>
        <w:tc>
          <w:tcPr>
            <w:tcW w:w="1872" w:type="dxa"/>
            <w:vAlign w:val="center"/>
          </w:tcPr>
          <w:p w14:paraId="06C3323D">
            <w:pPr>
              <w:spacing w:line="360" w:lineRule="auto"/>
              <w:rPr>
                <w:rFonts w:ascii="宋体" w:cs="宋体"/>
                <w:sz w:val="24"/>
                <w:szCs w:val="24"/>
                <w:highlight w:val="none"/>
              </w:rPr>
            </w:pPr>
          </w:p>
        </w:tc>
        <w:tc>
          <w:tcPr>
            <w:tcW w:w="1872" w:type="dxa"/>
            <w:vAlign w:val="center"/>
          </w:tcPr>
          <w:p w14:paraId="657B7E1A">
            <w:pPr>
              <w:spacing w:line="360" w:lineRule="auto"/>
              <w:rPr>
                <w:rFonts w:ascii="宋体" w:cs="宋体"/>
                <w:sz w:val="24"/>
                <w:szCs w:val="24"/>
                <w:highlight w:val="none"/>
              </w:rPr>
            </w:pPr>
          </w:p>
        </w:tc>
        <w:tc>
          <w:tcPr>
            <w:tcW w:w="1333" w:type="dxa"/>
            <w:vAlign w:val="center"/>
          </w:tcPr>
          <w:p w14:paraId="5972828F">
            <w:pPr>
              <w:spacing w:line="360" w:lineRule="auto"/>
              <w:rPr>
                <w:rFonts w:ascii="宋体" w:cs="宋体"/>
                <w:sz w:val="24"/>
                <w:szCs w:val="24"/>
                <w:highlight w:val="none"/>
              </w:rPr>
            </w:pPr>
          </w:p>
        </w:tc>
      </w:tr>
      <w:tr w14:paraId="512DD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41AA4A8E">
            <w:pPr>
              <w:spacing w:line="360" w:lineRule="auto"/>
              <w:rPr>
                <w:rFonts w:ascii="宋体" w:cs="宋体"/>
                <w:sz w:val="24"/>
                <w:szCs w:val="24"/>
                <w:highlight w:val="none"/>
              </w:rPr>
            </w:pPr>
            <w:r>
              <w:rPr>
                <w:rFonts w:ascii="宋体" w:hAnsi="宋体" w:cs="宋体"/>
                <w:sz w:val="24"/>
                <w:szCs w:val="24"/>
                <w:highlight w:val="none"/>
              </w:rPr>
              <w:t>10</w:t>
            </w:r>
          </w:p>
        </w:tc>
        <w:tc>
          <w:tcPr>
            <w:tcW w:w="1533" w:type="dxa"/>
            <w:vAlign w:val="center"/>
          </w:tcPr>
          <w:p w14:paraId="7ECB8D42">
            <w:pPr>
              <w:spacing w:line="360" w:lineRule="auto"/>
              <w:rPr>
                <w:rFonts w:ascii="宋体" w:cs="宋体"/>
                <w:sz w:val="24"/>
                <w:szCs w:val="24"/>
                <w:highlight w:val="none"/>
              </w:rPr>
            </w:pPr>
          </w:p>
        </w:tc>
        <w:tc>
          <w:tcPr>
            <w:tcW w:w="1872" w:type="dxa"/>
            <w:vAlign w:val="center"/>
          </w:tcPr>
          <w:p w14:paraId="1E75933C">
            <w:pPr>
              <w:spacing w:line="360" w:lineRule="auto"/>
              <w:rPr>
                <w:rFonts w:ascii="宋体" w:cs="宋体"/>
                <w:sz w:val="24"/>
                <w:szCs w:val="24"/>
                <w:highlight w:val="none"/>
              </w:rPr>
            </w:pPr>
          </w:p>
        </w:tc>
        <w:tc>
          <w:tcPr>
            <w:tcW w:w="1872" w:type="dxa"/>
            <w:vAlign w:val="center"/>
          </w:tcPr>
          <w:p w14:paraId="7083EFF0">
            <w:pPr>
              <w:spacing w:line="360" w:lineRule="auto"/>
              <w:rPr>
                <w:rFonts w:ascii="宋体" w:cs="宋体"/>
                <w:sz w:val="24"/>
                <w:szCs w:val="24"/>
                <w:highlight w:val="none"/>
              </w:rPr>
            </w:pPr>
          </w:p>
        </w:tc>
        <w:tc>
          <w:tcPr>
            <w:tcW w:w="1872" w:type="dxa"/>
            <w:vAlign w:val="center"/>
          </w:tcPr>
          <w:p w14:paraId="18528B00">
            <w:pPr>
              <w:spacing w:line="360" w:lineRule="auto"/>
              <w:rPr>
                <w:rFonts w:ascii="宋体" w:cs="宋体"/>
                <w:sz w:val="24"/>
                <w:szCs w:val="24"/>
                <w:highlight w:val="none"/>
              </w:rPr>
            </w:pPr>
          </w:p>
        </w:tc>
        <w:tc>
          <w:tcPr>
            <w:tcW w:w="1333" w:type="dxa"/>
            <w:vAlign w:val="center"/>
          </w:tcPr>
          <w:p w14:paraId="7BB08A62">
            <w:pPr>
              <w:spacing w:line="360" w:lineRule="auto"/>
              <w:rPr>
                <w:rFonts w:ascii="宋体" w:cs="宋体"/>
                <w:sz w:val="24"/>
                <w:szCs w:val="24"/>
                <w:highlight w:val="none"/>
              </w:rPr>
            </w:pPr>
          </w:p>
        </w:tc>
      </w:tr>
    </w:tbl>
    <w:p w14:paraId="470F6ED3">
      <w:pPr>
        <w:spacing w:line="360" w:lineRule="auto"/>
        <w:rPr>
          <w:rFonts w:ascii="宋体" w:cs="宋体"/>
          <w:sz w:val="24"/>
          <w:szCs w:val="24"/>
          <w:highlight w:val="none"/>
        </w:rPr>
      </w:pPr>
      <w:r>
        <w:rPr>
          <w:rFonts w:hint="eastAsia" w:ascii="宋体" w:hAnsi="宋体" w:cs="宋体"/>
          <w:sz w:val="24"/>
          <w:szCs w:val="24"/>
          <w:highlight w:val="none"/>
        </w:rPr>
        <w:t>合计共</w:t>
      </w:r>
      <w:r>
        <w:rPr>
          <w:rFonts w:ascii="宋体" w:hAnsi="宋体" w:cs="宋体"/>
          <w:sz w:val="24"/>
          <w:szCs w:val="24"/>
          <w:highlight w:val="none"/>
          <w:u w:val="single"/>
        </w:rPr>
        <w:t xml:space="preserve">    </w:t>
      </w:r>
      <w:r>
        <w:rPr>
          <w:rFonts w:hint="eastAsia" w:ascii="宋体" w:hAnsi="宋体" w:cs="宋体"/>
          <w:sz w:val="24"/>
          <w:szCs w:val="24"/>
          <w:highlight w:val="none"/>
        </w:rPr>
        <w:t>人。</w:t>
      </w:r>
    </w:p>
    <w:p w14:paraId="073D52B5">
      <w:pPr>
        <w:spacing w:line="360" w:lineRule="auto"/>
        <w:rPr>
          <w:rFonts w:hint="eastAsia" w:ascii="宋体" w:hAnsi="宋体" w:cs="宋体"/>
          <w:b w:val="0"/>
          <w:sz w:val="24"/>
          <w:szCs w:val="24"/>
          <w:highlight w:val="none"/>
          <w:lang w:eastAsia="zh-CN"/>
        </w:rPr>
      </w:pPr>
      <w:r>
        <w:rPr>
          <w:rFonts w:hint="eastAsia" w:ascii="宋体" w:hAnsi="宋体" w:cs="宋体"/>
          <w:b w:val="0"/>
          <w:sz w:val="24"/>
          <w:szCs w:val="24"/>
          <w:highlight w:val="none"/>
          <w:lang w:eastAsia="zh-CN"/>
        </w:rPr>
        <w:t>注：此表不足可以按照格式扩展，后附人员</w:t>
      </w:r>
      <w:r>
        <w:rPr>
          <w:rFonts w:hint="eastAsia" w:ascii="宋体" w:hAnsi="宋体" w:cs="宋体"/>
          <w:b w:val="0"/>
          <w:sz w:val="24"/>
          <w:szCs w:val="24"/>
          <w:highlight w:val="none"/>
          <w:lang w:val="en-US" w:eastAsia="zh-CN"/>
        </w:rPr>
        <w:t>身份证</w:t>
      </w:r>
      <w:r>
        <w:rPr>
          <w:rFonts w:hint="eastAsia" w:ascii="宋体" w:hAnsi="宋体" w:cs="宋体"/>
          <w:b w:val="0"/>
          <w:sz w:val="24"/>
          <w:szCs w:val="24"/>
          <w:highlight w:val="none"/>
          <w:lang w:eastAsia="zh-CN"/>
        </w:rPr>
        <w:t>相关证书</w:t>
      </w:r>
      <w:r>
        <w:rPr>
          <w:rFonts w:hint="eastAsia" w:ascii="宋体" w:hAnsi="宋体" w:cs="宋体"/>
          <w:b w:val="0"/>
          <w:sz w:val="24"/>
          <w:szCs w:val="24"/>
          <w:highlight w:val="none"/>
          <w:lang w:val="en-US" w:eastAsia="zh-CN"/>
        </w:rPr>
        <w:t>和劳动合同或任意月社保缴纳证明材料</w:t>
      </w:r>
      <w:r>
        <w:rPr>
          <w:rFonts w:hint="eastAsia" w:ascii="宋体" w:hAnsi="宋体" w:cs="宋体"/>
          <w:b w:val="0"/>
          <w:sz w:val="24"/>
          <w:szCs w:val="24"/>
          <w:highlight w:val="none"/>
          <w:lang w:eastAsia="zh-CN"/>
        </w:rPr>
        <w:t>并加盖公章，复印件加盖单位公章。</w:t>
      </w:r>
    </w:p>
    <w:p w14:paraId="68C05D98">
      <w:pPr>
        <w:spacing w:line="360" w:lineRule="auto"/>
        <w:rPr>
          <w:rFonts w:ascii="宋体" w:cs="宋体"/>
          <w:highlight w:val="none"/>
        </w:rPr>
      </w:pPr>
    </w:p>
    <w:p w14:paraId="329FC67D">
      <w:pPr>
        <w:spacing w:line="360" w:lineRule="auto"/>
        <w:jc w:val="right"/>
        <w:rPr>
          <w:rFonts w:ascii="宋体" w:cs="宋体"/>
          <w:sz w:val="24"/>
          <w:szCs w:val="24"/>
          <w:highlight w:val="none"/>
        </w:rPr>
      </w:pPr>
      <w:r>
        <w:rPr>
          <w:rFonts w:hint="eastAsia" w:ascii="宋体" w:hAnsi="宋体" w:cs="宋体"/>
          <w:sz w:val="24"/>
          <w:szCs w:val="24"/>
          <w:highlight w:val="none"/>
        </w:rPr>
        <w:t>被授权人签字：</w:t>
      </w:r>
    </w:p>
    <w:p w14:paraId="2EC1B652">
      <w:pPr>
        <w:spacing w:line="360" w:lineRule="auto"/>
        <w:jc w:val="right"/>
        <w:rPr>
          <w:rFonts w:ascii="宋体" w:cs="宋体"/>
          <w:sz w:val="24"/>
          <w:szCs w:val="24"/>
          <w:highlight w:val="none"/>
          <w:u w:val="single"/>
        </w:rPr>
      </w:pPr>
    </w:p>
    <w:p w14:paraId="20448643">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0A2C674D">
      <w:pPr>
        <w:pStyle w:val="21"/>
        <w:jc w:val="right"/>
        <w:rPr>
          <w:highlight w:val="none"/>
        </w:rPr>
      </w:pPr>
    </w:p>
    <w:p w14:paraId="6C8B8079">
      <w:pPr>
        <w:pStyle w:val="21"/>
        <w:jc w:val="right"/>
        <w:rPr>
          <w:highlight w:val="none"/>
        </w:rPr>
      </w:pPr>
      <w:r>
        <w:rPr>
          <w:rFonts w:hint="eastAsia"/>
          <w:highlight w:val="none"/>
        </w:rPr>
        <w:t>日期：</w:t>
      </w:r>
    </w:p>
    <w:p w14:paraId="2C35A873">
      <w:pPr>
        <w:pStyle w:val="7"/>
        <w:rPr>
          <w:rFonts w:ascii="宋体" w:hAnsi="宋体" w:cs="宋体"/>
          <w:szCs w:val="24"/>
          <w:highlight w:val="none"/>
          <w:lang w:eastAsia="zh-CN"/>
        </w:rPr>
      </w:pPr>
      <w:r>
        <w:rPr>
          <w:rFonts w:ascii="宋体" w:cs="宋体"/>
          <w:highlight w:val="none"/>
          <w:lang w:eastAsia="zh-CN"/>
        </w:rPr>
        <w:br w:type="page"/>
      </w:r>
      <w:bookmarkStart w:id="263" w:name="_Toc29788"/>
      <w:bookmarkStart w:id="264" w:name="_Toc44704931"/>
      <w:bookmarkStart w:id="265" w:name="_Toc29579"/>
      <w:r>
        <w:rPr>
          <w:rFonts w:ascii="宋体" w:hAnsi="宋体" w:cs="宋体"/>
          <w:szCs w:val="24"/>
          <w:highlight w:val="none"/>
          <w:lang w:eastAsia="zh-CN"/>
        </w:rPr>
        <w:t>2.7.3</w:t>
      </w:r>
      <w:r>
        <w:rPr>
          <w:rFonts w:hint="eastAsia" w:ascii="宋体" w:hAnsi="宋体" w:cs="宋体"/>
          <w:szCs w:val="24"/>
          <w:highlight w:val="none"/>
          <w:lang w:eastAsia="zh-CN"/>
        </w:rPr>
        <w:t>技术方案</w:t>
      </w:r>
      <w:r>
        <w:rPr>
          <w:rFonts w:ascii="宋体" w:cs="宋体"/>
          <w:szCs w:val="24"/>
          <w:highlight w:val="none"/>
          <w:lang w:eastAsia="zh-CN"/>
        </w:rPr>
        <w:t>-</w:t>
      </w:r>
      <w:r>
        <w:rPr>
          <w:rFonts w:hint="eastAsia" w:ascii="宋体" w:hAnsi="宋体" w:cs="宋体"/>
          <w:szCs w:val="24"/>
          <w:highlight w:val="none"/>
          <w:lang w:eastAsia="zh-CN"/>
        </w:rPr>
        <w:t>格式自拟</w:t>
      </w:r>
      <w:bookmarkEnd w:id="263"/>
      <w:bookmarkEnd w:id="264"/>
      <w:bookmarkEnd w:id="265"/>
    </w:p>
    <w:p w14:paraId="557CF579">
      <w:pPr>
        <w:spacing w:line="360" w:lineRule="auto"/>
        <w:ind w:firstLine="480" w:firstLineChars="200"/>
        <w:rPr>
          <w:rFonts w:ascii="宋体" w:cs="宋体"/>
          <w:bCs/>
          <w:kern w:val="0"/>
          <w:sz w:val="24"/>
          <w:szCs w:val="24"/>
          <w:highlight w:val="none"/>
        </w:rPr>
      </w:pPr>
    </w:p>
    <w:p w14:paraId="15C8424E">
      <w:pPr>
        <w:spacing w:line="360" w:lineRule="auto"/>
        <w:ind w:firstLine="240" w:firstLineChars="100"/>
        <w:rPr>
          <w:rFonts w:hint="default" w:ascii="宋体" w:eastAsia="宋体"/>
          <w:sz w:val="24"/>
          <w:highlight w:val="none"/>
          <w:lang w:val="en-US" w:eastAsia="zh-CN"/>
        </w:rPr>
      </w:pPr>
      <w:r>
        <w:rPr>
          <w:rFonts w:hint="eastAsia" w:ascii="宋体"/>
          <w:sz w:val="24"/>
          <w:highlight w:val="none"/>
          <w:lang w:val="en-US" w:eastAsia="zh-CN"/>
        </w:rPr>
        <w:t>项目实施方案、售后服务承诺、</w:t>
      </w:r>
      <w:r>
        <w:rPr>
          <w:rFonts w:hint="eastAsia" w:ascii="宋体" w:hAnsi="宋体"/>
          <w:sz w:val="24"/>
          <w:szCs w:val="24"/>
        </w:rPr>
        <w:t>培训方案</w:t>
      </w:r>
      <w:r>
        <w:rPr>
          <w:rFonts w:hint="eastAsia" w:ascii="宋体" w:hAnsi="宋体"/>
          <w:sz w:val="24"/>
          <w:szCs w:val="24"/>
          <w:lang w:eastAsia="zh-CN"/>
        </w:rPr>
        <w:t>、</w:t>
      </w:r>
      <w:r>
        <w:rPr>
          <w:rFonts w:hint="eastAsia" w:ascii="宋体" w:hAnsi="宋体"/>
          <w:sz w:val="24"/>
          <w:szCs w:val="24"/>
          <w:lang w:val="en-US" w:eastAsia="zh-CN"/>
        </w:rPr>
        <w:t>保密方案</w:t>
      </w:r>
      <w:r>
        <w:rPr>
          <w:rFonts w:hint="eastAsia" w:ascii="宋体" w:hAnsi="宋体" w:cs="宋体"/>
          <w:sz w:val="24"/>
          <w:szCs w:val="22"/>
          <w:highlight w:val="none"/>
        </w:rPr>
        <w:t>等</w:t>
      </w:r>
      <w:r>
        <w:rPr>
          <w:rFonts w:hint="eastAsia" w:ascii="宋体" w:hAnsi="宋体" w:cs="宋体"/>
          <w:sz w:val="24"/>
          <w:szCs w:val="22"/>
          <w:highlight w:val="none"/>
          <w:lang w:val="en-US" w:eastAsia="zh-CN"/>
        </w:rPr>
        <w:t>服务方案</w:t>
      </w:r>
    </w:p>
    <w:p w14:paraId="00E192F9">
      <w:pPr>
        <w:spacing w:line="360" w:lineRule="auto"/>
        <w:ind w:firstLine="240" w:firstLineChars="100"/>
        <w:rPr>
          <w:rFonts w:ascii="宋体"/>
          <w:sz w:val="24"/>
          <w:highlight w:val="none"/>
        </w:rPr>
      </w:pPr>
      <w:r>
        <w:rPr>
          <w:rFonts w:hint="eastAsia" w:ascii="宋体"/>
          <w:sz w:val="24"/>
          <w:highlight w:val="none"/>
        </w:rPr>
        <w:t>所提供产品的详细说明</w:t>
      </w:r>
      <w:r>
        <w:rPr>
          <w:rFonts w:hint="eastAsia" w:ascii="宋体" w:hAnsi="宋体"/>
          <w:sz w:val="24"/>
          <w:highlight w:val="none"/>
        </w:rPr>
        <w:t>（在招标文件中详细说明所提供技术规格、性能及辅助材料的品牌、型号规格、加工工艺等）及备品、备件、耗材表</w:t>
      </w:r>
      <w:r>
        <w:rPr>
          <w:rFonts w:hint="eastAsia" w:ascii="宋体"/>
          <w:sz w:val="24"/>
          <w:highlight w:val="none"/>
        </w:rPr>
        <w:t>；</w:t>
      </w:r>
    </w:p>
    <w:p w14:paraId="3196D9EA">
      <w:pPr>
        <w:spacing w:line="360" w:lineRule="auto"/>
        <w:ind w:firstLine="240" w:firstLineChars="100"/>
        <w:rPr>
          <w:rFonts w:ascii="宋体"/>
          <w:sz w:val="24"/>
          <w:highlight w:val="none"/>
        </w:rPr>
      </w:pPr>
      <w:r>
        <w:rPr>
          <w:rFonts w:hint="eastAsia" w:ascii="宋体"/>
          <w:sz w:val="24"/>
          <w:highlight w:val="none"/>
        </w:rPr>
        <w:t>所提供产品相关技术人员的配备情况；项目实施方案；产品质量检测报告；产品彩页、备品备件表；</w:t>
      </w:r>
    </w:p>
    <w:p w14:paraId="00299B3C">
      <w:pPr>
        <w:spacing w:line="360" w:lineRule="auto"/>
        <w:rPr>
          <w:rFonts w:ascii="宋体" w:cs="宋体"/>
          <w:highlight w:val="none"/>
        </w:rPr>
      </w:pPr>
    </w:p>
    <w:p w14:paraId="516459A3">
      <w:pPr>
        <w:spacing w:line="360" w:lineRule="auto"/>
        <w:rPr>
          <w:rFonts w:ascii="宋体" w:cs="宋体"/>
          <w:highlight w:val="none"/>
        </w:rPr>
      </w:pPr>
    </w:p>
    <w:p w14:paraId="1785F3DD">
      <w:pPr>
        <w:spacing w:line="360" w:lineRule="auto"/>
        <w:rPr>
          <w:rFonts w:ascii="宋体" w:cs="宋体"/>
          <w:highlight w:val="none"/>
        </w:rPr>
      </w:pPr>
    </w:p>
    <w:p w14:paraId="53C52991">
      <w:pPr>
        <w:spacing w:line="360" w:lineRule="auto"/>
        <w:rPr>
          <w:rFonts w:ascii="宋体" w:cs="宋体"/>
          <w:highlight w:val="none"/>
        </w:rPr>
      </w:pPr>
    </w:p>
    <w:p w14:paraId="40E4062A">
      <w:pPr>
        <w:spacing w:line="360" w:lineRule="auto"/>
        <w:rPr>
          <w:rFonts w:ascii="宋体" w:cs="宋体"/>
          <w:highlight w:val="none"/>
        </w:rPr>
      </w:pPr>
    </w:p>
    <w:p w14:paraId="7CBEB4EB">
      <w:pPr>
        <w:spacing w:line="360" w:lineRule="auto"/>
        <w:rPr>
          <w:rFonts w:ascii="宋体" w:cs="宋体"/>
          <w:highlight w:val="none"/>
        </w:rPr>
      </w:pPr>
    </w:p>
    <w:p w14:paraId="3D3DF082">
      <w:pPr>
        <w:spacing w:line="360" w:lineRule="auto"/>
        <w:rPr>
          <w:rFonts w:ascii="宋体" w:cs="宋体"/>
          <w:highlight w:val="none"/>
        </w:rPr>
      </w:pPr>
    </w:p>
    <w:p w14:paraId="01F8EE79">
      <w:pPr>
        <w:spacing w:line="360" w:lineRule="auto"/>
        <w:rPr>
          <w:rFonts w:ascii="宋体" w:cs="宋体"/>
          <w:highlight w:val="none"/>
        </w:rPr>
      </w:pPr>
    </w:p>
    <w:p w14:paraId="31CE4F9D">
      <w:pPr>
        <w:spacing w:line="360" w:lineRule="auto"/>
        <w:rPr>
          <w:rFonts w:ascii="宋体" w:cs="宋体"/>
          <w:highlight w:val="none"/>
        </w:rPr>
      </w:pPr>
    </w:p>
    <w:p w14:paraId="6F37D9FB">
      <w:pPr>
        <w:spacing w:line="360" w:lineRule="auto"/>
        <w:rPr>
          <w:rFonts w:ascii="宋体" w:cs="宋体"/>
          <w:highlight w:val="none"/>
        </w:rPr>
      </w:pPr>
    </w:p>
    <w:p w14:paraId="081FBCFF">
      <w:pPr>
        <w:spacing w:line="360" w:lineRule="auto"/>
        <w:rPr>
          <w:rFonts w:ascii="宋体" w:cs="宋体"/>
          <w:highlight w:val="none"/>
        </w:rPr>
      </w:pPr>
    </w:p>
    <w:p w14:paraId="72B43DB3">
      <w:pPr>
        <w:spacing w:line="360" w:lineRule="auto"/>
        <w:rPr>
          <w:rFonts w:ascii="宋体" w:cs="宋体"/>
          <w:highlight w:val="none"/>
        </w:rPr>
      </w:pPr>
    </w:p>
    <w:p w14:paraId="6723D963">
      <w:pPr>
        <w:spacing w:line="360" w:lineRule="auto"/>
        <w:rPr>
          <w:rFonts w:ascii="宋体" w:cs="宋体"/>
          <w:highlight w:val="none"/>
        </w:rPr>
      </w:pPr>
    </w:p>
    <w:p w14:paraId="50CC961F">
      <w:pPr>
        <w:spacing w:line="360" w:lineRule="auto"/>
        <w:rPr>
          <w:rFonts w:ascii="宋体" w:cs="宋体"/>
          <w:highlight w:val="none"/>
        </w:rPr>
      </w:pPr>
    </w:p>
    <w:p w14:paraId="103F8FAF">
      <w:pPr>
        <w:spacing w:line="360" w:lineRule="auto"/>
        <w:jc w:val="right"/>
        <w:rPr>
          <w:rFonts w:ascii="宋体" w:cs="宋体"/>
          <w:highlight w:val="none"/>
        </w:rPr>
      </w:pPr>
    </w:p>
    <w:p w14:paraId="0F671830">
      <w:pPr>
        <w:spacing w:line="360" w:lineRule="auto"/>
        <w:jc w:val="right"/>
        <w:rPr>
          <w:rFonts w:ascii="宋体" w:cs="宋体"/>
          <w:sz w:val="24"/>
          <w:szCs w:val="24"/>
          <w:highlight w:val="none"/>
        </w:rPr>
      </w:pPr>
      <w:r>
        <w:rPr>
          <w:rFonts w:hint="eastAsia" w:ascii="宋体" w:hAnsi="宋体" w:cs="宋体"/>
          <w:sz w:val="24"/>
          <w:szCs w:val="24"/>
          <w:highlight w:val="none"/>
        </w:rPr>
        <w:t>投标人法定代表人或授权代表（签字</w:t>
      </w:r>
      <w:r>
        <w:rPr>
          <w:rFonts w:hint="eastAsia" w:ascii="宋体" w:hAnsi="宋体"/>
          <w:sz w:val="24"/>
          <w:highlight w:val="none"/>
        </w:rPr>
        <w:t>或盖章</w:t>
      </w:r>
      <w:r>
        <w:rPr>
          <w:rFonts w:hint="eastAsia" w:ascii="宋体" w:hAnsi="宋体" w:cs="宋体"/>
          <w:sz w:val="24"/>
          <w:szCs w:val="24"/>
          <w:highlight w:val="none"/>
        </w:rPr>
        <w:t>）：</w:t>
      </w:r>
    </w:p>
    <w:p w14:paraId="4C907587">
      <w:pPr>
        <w:pStyle w:val="21"/>
        <w:rPr>
          <w:highlight w:val="none"/>
        </w:rPr>
      </w:pPr>
    </w:p>
    <w:p w14:paraId="7FAC9D36">
      <w:pPr>
        <w:spacing w:line="360" w:lineRule="auto"/>
        <w:jc w:val="right"/>
        <w:rPr>
          <w:rFonts w:ascii="宋体" w:cs="宋体"/>
          <w:sz w:val="24"/>
          <w:szCs w:val="24"/>
          <w:highlight w:val="none"/>
        </w:rPr>
      </w:pPr>
      <w:r>
        <w:rPr>
          <w:rFonts w:hint="eastAsia" w:ascii="宋体" w:hAnsi="宋体" w:cs="宋体"/>
          <w:sz w:val="24"/>
          <w:szCs w:val="24"/>
          <w:highlight w:val="none"/>
        </w:rPr>
        <w:t>投标人名称（加盖单位公章</w:t>
      </w:r>
      <w:r>
        <w:rPr>
          <w:rFonts w:hint="eastAsia" w:ascii="宋体" w:hAnsi="宋体" w:cs="宋体"/>
          <w:sz w:val="24"/>
          <w:szCs w:val="24"/>
          <w:highlight w:val="none"/>
          <w:lang w:val="en-US" w:eastAsia="zh-CN"/>
        </w:rPr>
        <w:t>或电子章</w:t>
      </w:r>
      <w:r>
        <w:rPr>
          <w:rFonts w:hint="eastAsia" w:ascii="宋体" w:hAnsi="宋体" w:cs="宋体"/>
          <w:sz w:val="24"/>
          <w:szCs w:val="24"/>
          <w:highlight w:val="none"/>
        </w:rPr>
        <w:t>）：</w:t>
      </w:r>
    </w:p>
    <w:p w14:paraId="5B930FBF">
      <w:pPr>
        <w:pStyle w:val="21"/>
        <w:rPr>
          <w:highlight w:val="none"/>
        </w:rPr>
      </w:pPr>
    </w:p>
    <w:p w14:paraId="60AC1A38">
      <w:pPr>
        <w:spacing w:line="360" w:lineRule="auto"/>
        <w:jc w:val="right"/>
        <w:rPr>
          <w:rFonts w:ascii="宋体" w:cs="宋体"/>
          <w:sz w:val="24"/>
          <w:szCs w:val="24"/>
          <w:highlight w:val="none"/>
        </w:rPr>
      </w:pPr>
      <w:r>
        <w:rPr>
          <w:rFonts w:hint="eastAsia" w:ascii="宋体" w:hAnsi="宋体" w:cs="宋体"/>
          <w:sz w:val="24"/>
          <w:szCs w:val="24"/>
          <w:highlight w:val="none"/>
        </w:rPr>
        <w:t>日期：</w:t>
      </w:r>
    </w:p>
    <w:p w14:paraId="21844B37">
      <w:pPr>
        <w:pStyle w:val="5"/>
        <w:spacing w:line="360" w:lineRule="auto"/>
        <w:ind w:firstLine="422" w:firstLineChars="200"/>
        <w:rPr>
          <w:rFonts w:hint="eastAsia" w:ascii="宋体" w:hAnsi="宋体" w:eastAsia="宋体" w:cs="宋体"/>
          <w:b w:val="0"/>
          <w:color w:val="000000"/>
          <w:sz w:val="24"/>
          <w:highlight w:val="none"/>
        </w:rPr>
      </w:pPr>
      <w:r>
        <w:rPr>
          <w:rFonts w:ascii="宋体" w:cs="宋体"/>
          <w:highlight w:val="none"/>
          <w:lang w:eastAsia="zh-CN"/>
        </w:rPr>
        <w:br w:type="page"/>
      </w:r>
      <w:bookmarkStart w:id="266" w:name="_Toc44704933"/>
      <w:bookmarkStart w:id="267" w:name="_Toc32309"/>
      <w:bookmarkStart w:id="268" w:name="_Toc3769"/>
      <w:r>
        <w:rPr>
          <w:rStyle w:val="64"/>
          <w:rFonts w:hint="eastAsia" w:ascii="宋体" w:hAnsi="宋体" w:eastAsia="宋体" w:cs="宋体"/>
          <w:b/>
        </w:rPr>
        <w:t>2.7.</w:t>
      </w:r>
      <w:r>
        <w:rPr>
          <w:rStyle w:val="64"/>
          <w:rFonts w:hint="eastAsia" w:ascii="宋体" w:hAnsi="宋体" w:eastAsia="宋体" w:cs="宋体"/>
          <w:b/>
          <w:lang w:val="en-US" w:eastAsia="zh-CN"/>
        </w:rPr>
        <w:t>4</w:t>
      </w:r>
      <w:r>
        <w:rPr>
          <w:rStyle w:val="64"/>
          <w:rFonts w:hint="eastAsia" w:ascii="宋体" w:hAnsi="宋体" w:eastAsia="宋体" w:cs="宋体"/>
          <w:b/>
        </w:rPr>
        <w:t>残疾人福利性单位声明函（格式，不符合条件无须提交）</w:t>
      </w:r>
      <w:bookmarkEnd w:id="266"/>
      <w:bookmarkEnd w:id="267"/>
      <w:bookmarkEnd w:id="268"/>
    </w:p>
    <w:p w14:paraId="0C0C6EEC">
      <w:pPr>
        <w:pStyle w:val="43"/>
        <w:spacing w:line="360" w:lineRule="auto"/>
        <w:rPr>
          <w:rFonts w:cs="宋体"/>
          <w:highlight w:val="none"/>
        </w:rPr>
      </w:pPr>
      <w:r>
        <w:rPr>
          <w:rFonts w:hint="eastAsia" w:cs="宋体"/>
          <w:highlight w:val="none"/>
        </w:rPr>
        <w:t>注：</w:t>
      </w:r>
      <w:r>
        <w:rPr>
          <w:rFonts w:cs="宋体"/>
          <w:highlight w:val="none"/>
        </w:rPr>
        <w:t>1</w:t>
      </w:r>
      <w:r>
        <w:rPr>
          <w:rFonts w:hint="eastAsia" w:cs="宋体"/>
          <w:highlight w:val="none"/>
        </w:rPr>
        <w:t>、</w:t>
      </w:r>
      <w:r>
        <w:rPr>
          <w:rFonts w:hint="eastAsia" w:cs="宋体"/>
          <w:spacing w:val="6"/>
          <w:highlight w:val="none"/>
        </w:rPr>
        <w:t>根据《财政部</w:t>
      </w:r>
      <w:r>
        <w:rPr>
          <w:rFonts w:cs="宋体"/>
          <w:spacing w:val="6"/>
          <w:highlight w:val="none"/>
        </w:rPr>
        <w:t xml:space="preserve"> </w:t>
      </w:r>
      <w:r>
        <w:rPr>
          <w:rFonts w:hint="eastAsia" w:cs="宋体"/>
          <w:spacing w:val="6"/>
          <w:highlight w:val="none"/>
        </w:rPr>
        <w:t>民政部</w:t>
      </w:r>
      <w:r>
        <w:rPr>
          <w:rFonts w:cs="宋体"/>
          <w:spacing w:val="6"/>
          <w:highlight w:val="none"/>
        </w:rPr>
        <w:t xml:space="preserve"> </w:t>
      </w:r>
      <w:r>
        <w:rPr>
          <w:rFonts w:hint="eastAsia" w:cs="宋体"/>
          <w:spacing w:val="6"/>
          <w:highlight w:val="none"/>
        </w:rPr>
        <w:t>中国残疾人联合会关于促进残疾人就业政府采购政策的通知》（财库</w:t>
      </w:r>
      <w:r>
        <w:rPr>
          <w:rFonts w:hint="eastAsia" w:cs="宋体"/>
          <w:highlight w:val="none"/>
        </w:rPr>
        <w:t>〔</w:t>
      </w:r>
      <w:r>
        <w:rPr>
          <w:rFonts w:cs="宋体"/>
          <w:highlight w:val="none"/>
        </w:rPr>
        <w:t>2017</w:t>
      </w:r>
      <w:r>
        <w:rPr>
          <w:rFonts w:hint="eastAsia" w:cs="宋体"/>
          <w:highlight w:val="none"/>
        </w:rPr>
        <w:t>〕</w:t>
      </w:r>
      <w:r>
        <w:rPr>
          <w:rFonts w:cs="宋体"/>
          <w:highlight w:val="none"/>
        </w:rPr>
        <w:t xml:space="preserve"> 141</w:t>
      </w:r>
      <w:r>
        <w:rPr>
          <w:rFonts w:hint="eastAsia" w:cs="宋体"/>
          <w:spacing w:val="6"/>
          <w:highlight w:val="none"/>
        </w:rPr>
        <w:t>号）的规定，</w:t>
      </w:r>
      <w:r>
        <w:rPr>
          <w:rFonts w:hint="eastAsia" w:cs="宋体"/>
          <w:highlight w:val="none"/>
        </w:rPr>
        <w:t>符合条件的残疾人福利性单位在参加政府采购活动时，应当提供通知规定的《残疾人福利性单位声明函》，并对声明的真实性负责。</w:t>
      </w:r>
    </w:p>
    <w:p w14:paraId="68EC5A86">
      <w:pPr>
        <w:pStyle w:val="43"/>
        <w:spacing w:line="360" w:lineRule="auto"/>
        <w:rPr>
          <w:rFonts w:cs="宋体"/>
          <w:highlight w:val="none"/>
        </w:rPr>
      </w:pPr>
      <w:r>
        <w:rPr>
          <w:rFonts w:hint="eastAsia" w:cs="宋体"/>
          <w:highlight w:val="none"/>
        </w:rPr>
        <w:t>　　</w:t>
      </w:r>
      <w:r>
        <w:rPr>
          <w:rFonts w:cs="宋体"/>
          <w:highlight w:val="none"/>
        </w:rPr>
        <w:t>2</w:t>
      </w:r>
      <w:r>
        <w:rPr>
          <w:rFonts w:hint="eastAsia" w:cs="宋体"/>
          <w:highlight w:val="none"/>
        </w:rPr>
        <w:t>、中标投标人为残疾人福利性单位的，其《残疾人福利性单位声明函》将随中标结果同时公告，接受社会监督。</w:t>
      </w:r>
    </w:p>
    <w:p w14:paraId="23828384">
      <w:pPr>
        <w:spacing w:before="240" w:beforeLines="100" w:line="360" w:lineRule="auto"/>
        <w:ind w:left="1359" w:leftChars="257" w:hanging="819" w:hangingChars="325"/>
        <w:jc w:val="center"/>
        <w:rPr>
          <w:rFonts w:ascii="宋体" w:cs="宋体"/>
          <w:color w:val="000000"/>
          <w:spacing w:val="6"/>
          <w:sz w:val="24"/>
          <w:szCs w:val="24"/>
          <w:highlight w:val="none"/>
        </w:rPr>
      </w:pPr>
    </w:p>
    <w:p w14:paraId="480F1E8B">
      <w:pPr>
        <w:spacing w:before="240" w:beforeLines="100" w:line="360" w:lineRule="auto"/>
        <w:ind w:left="1323" w:leftChars="257" w:hanging="783" w:hangingChars="325"/>
        <w:jc w:val="center"/>
        <w:rPr>
          <w:rFonts w:ascii="宋体" w:cs="宋体"/>
          <w:b/>
          <w:spacing w:val="6"/>
          <w:sz w:val="28"/>
          <w:szCs w:val="32"/>
          <w:highlight w:val="none"/>
        </w:rPr>
      </w:pPr>
      <w:r>
        <w:rPr>
          <w:rFonts w:hint="eastAsia" w:ascii="宋体" w:hAnsi="宋体" w:cs="宋体"/>
          <w:b/>
          <w:kern w:val="0"/>
          <w:sz w:val="24"/>
          <w:highlight w:val="none"/>
        </w:rPr>
        <w:t>残疾人福利性单位声明函</w:t>
      </w:r>
    </w:p>
    <w:p w14:paraId="422C5247">
      <w:pPr>
        <w:spacing w:line="360" w:lineRule="auto"/>
        <w:rPr>
          <w:rFonts w:ascii="宋体" w:cs="宋体"/>
          <w:b/>
          <w:spacing w:val="6"/>
          <w:sz w:val="30"/>
          <w:szCs w:val="30"/>
          <w:highlight w:val="none"/>
        </w:rPr>
      </w:pPr>
    </w:p>
    <w:p w14:paraId="20D21C70">
      <w:pPr>
        <w:spacing w:line="360" w:lineRule="auto"/>
        <w:ind w:firstLine="504" w:firstLineChars="200"/>
        <w:rPr>
          <w:rFonts w:ascii="宋体" w:cs="宋体"/>
          <w:spacing w:val="6"/>
          <w:sz w:val="24"/>
          <w:szCs w:val="24"/>
          <w:highlight w:val="none"/>
        </w:rPr>
      </w:pPr>
      <w:r>
        <w:rPr>
          <w:rFonts w:hint="eastAsia" w:ascii="宋体" w:hAnsi="宋体" w:cs="宋体"/>
          <w:spacing w:val="6"/>
          <w:sz w:val="24"/>
          <w:szCs w:val="24"/>
          <w:highlight w:val="none"/>
        </w:rPr>
        <w:t>本单位郑重声明，根据《财政部</w:t>
      </w:r>
      <w:r>
        <w:rPr>
          <w:rFonts w:ascii="宋体" w:hAnsi="宋体" w:cs="宋体"/>
          <w:spacing w:val="6"/>
          <w:sz w:val="24"/>
          <w:szCs w:val="24"/>
          <w:highlight w:val="none"/>
        </w:rPr>
        <w:t xml:space="preserve"> </w:t>
      </w:r>
      <w:r>
        <w:rPr>
          <w:rFonts w:hint="eastAsia" w:ascii="宋体" w:hAnsi="宋体" w:cs="宋体"/>
          <w:spacing w:val="6"/>
          <w:sz w:val="24"/>
          <w:szCs w:val="24"/>
          <w:highlight w:val="none"/>
        </w:rPr>
        <w:t>民政部</w:t>
      </w:r>
      <w:r>
        <w:rPr>
          <w:rFonts w:ascii="宋体" w:hAnsi="宋体" w:cs="宋体"/>
          <w:spacing w:val="6"/>
          <w:sz w:val="24"/>
          <w:szCs w:val="24"/>
          <w:highlight w:val="none"/>
        </w:rPr>
        <w:t xml:space="preserve"> </w:t>
      </w:r>
      <w:r>
        <w:rPr>
          <w:rFonts w:hint="eastAsia" w:ascii="宋体" w:hAnsi="宋体" w:cs="宋体"/>
          <w:spacing w:val="6"/>
          <w:sz w:val="24"/>
          <w:szCs w:val="24"/>
          <w:highlight w:val="none"/>
        </w:rPr>
        <w:t>中国残疾人联合会关于促进残疾人就业政府采购政策的通知》（财库</w:t>
      </w:r>
      <w:r>
        <w:rPr>
          <w:rFonts w:hint="eastAsia" w:ascii="宋体" w:hAnsi="宋体" w:cs="宋体"/>
          <w:sz w:val="24"/>
          <w:szCs w:val="24"/>
          <w:highlight w:val="none"/>
        </w:rPr>
        <w:t>〔</w:t>
      </w:r>
      <w:r>
        <w:rPr>
          <w:rFonts w:ascii="宋体" w:hAnsi="宋体" w:cs="宋体"/>
          <w:sz w:val="24"/>
          <w:szCs w:val="24"/>
          <w:highlight w:val="none"/>
        </w:rPr>
        <w:t>2017</w:t>
      </w:r>
      <w:r>
        <w:rPr>
          <w:rFonts w:hint="eastAsia" w:ascii="宋体" w:hAnsi="宋体" w:cs="宋体"/>
          <w:sz w:val="24"/>
          <w:szCs w:val="24"/>
          <w:highlight w:val="none"/>
        </w:rPr>
        <w:t>〕</w:t>
      </w:r>
      <w:r>
        <w:rPr>
          <w:rFonts w:ascii="宋体" w:hAnsi="宋体" w:cs="宋体"/>
          <w:sz w:val="24"/>
          <w:szCs w:val="24"/>
          <w:highlight w:val="none"/>
        </w:rPr>
        <w:t xml:space="preserve"> 141</w:t>
      </w:r>
      <w:r>
        <w:rPr>
          <w:rFonts w:hint="eastAsia" w:ascii="宋体" w:hAnsi="宋体" w:cs="宋体"/>
          <w:spacing w:val="6"/>
          <w:sz w:val="24"/>
          <w:szCs w:val="24"/>
          <w:highlight w:val="none"/>
        </w:rPr>
        <w:t>号）的规定，本单位为符合条件的残疾人福利性单位，且本单位参加</w:t>
      </w:r>
      <w:r>
        <w:rPr>
          <w:rFonts w:ascii="宋体" w:hAnsi="宋体" w:cs="宋体"/>
          <w:spacing w:val="6"/>
          <w:sz w:val="24"/>
          <w:szCs w:val="24"/>
          <w:highlight w:val="none"/>
        </w:rPr>
        <w:t>______</w:t>
      </w:r>
      <w:r>
        <w:rPr>
          <w:rFonts w:hint="eastAsia" w:ascii="宋体" w:hAnsi="宋体" w:cs="宋体"/>
          <w:spacing w:val="6"/>
          <w:sz w:val="24"/>
          <w:szCs w:val="24"/>
          <w:highlight w:val="none"/>
        </w:rPr>
        <w:t>单位的</w:t>
      </w:r>
      <w:r>
        <w:rPr>
          <w:rFonts w:ascii="宋体" w:hAnsi="宋体" w:cs="宋体"/>
          <w:spacing w:val="6"/>
          <w:sz w:val="24"/>
          <w:szCs w:val="24"/>
          <w:highlight w:val="none"/>
        </w:rPr>
        <w:t>______</w:t>
      </w:r>
      <w:r>
        <w:rPr>
          <w:rFonts w:hint="eastAsia" w:ascii="宋体" w:hAnsi="宋体" w:cs="宋体"/>
          <w:spacing w:val="6"/>
          <w:sz w:val="24"/>
          <w:szCs w:val="24"/>
          <w:highlight w:val="none"/>
        </w:rPr>
        <w:t>项目采购活动提供本单位制造的货物（由本单位承担工程</w:t>
      </w:r>
      <w:r>
        <w:rPr>
          <w:rFonts w:ascii="宋体" w:hAnsi="宋体" w:cs="宋体"/>
          <w:spacing w:val="6"/>
          <w:sz w:val="24"/>
          <w:szCs w:val="24"/>
          <w:highlight w:val="none"/>
        </w:rPr>
        <w:t>/</w:t>
      </w:r>
      <w:r>
        <w:rPr>
          <w:rFonts w:hint="eastAsia" w:ascii="宋体" w:hAnsi="宋体" w:cs="宋体"/>
          <w:spacing w:val="6"/>
          <w:sz w:val="24"/>
          <w:szCs w:val="24"/>
          <w:highlight w:val="none"/>
        </w:rPr>
        <w:t>提供服务），或者提供其他残疾人福利性单位制造的货物（不包括使用非残疾人福利性单位注册商标的货物）。</w:t>
      </w:r>
    </w:p>
    <w:p w14:paraId="752C5D93">
      <w:pPr>
        <w:widowControl/>
        <w:spacing w:before="240" w:beforeLines="100" w:after="100" w:afterAutospacing="1" w:line="360" w:lineRule="auto"/>
        <w:ind w:firstLine="720" w:firstLineChars="300"/>
        <w:jc w:val="left"/>
        <w:rPr>
          <w:rFonts w:ascii="宋体" w:cs="宋体"/>
          <w:sz w:val="24"/>
          <w:highlight w:val="none"/>
        </w:rPr>
      </w:pPr>
      <w:r>
        <w:rPr>
          <w:rFonts w:hint="eastAsia" w:ascii="宋体" w:hAnsi="宋体" w:cs="宋体"/>
          <w:sz w:val="24"/>
          <w:highlight w:val="none"/>
        </w:rPr>
        <w:t>本单位对上述声明的真实性负责。如有虚假，将依法承担相应责任。</w:t>
      </w:r>
    </w:p>
    <w:p w14:paraId="2BFB4085">
      <w:pPr>
        <w:spacing w:line="360" w:lineRule="auto"/>
        <w:ind w:firstLine="624" w:firstLineChars="200"/>
        <w:rPr>
          <w:rFonts w:ascii="宋体" w:cs="宋体"/>
          <w:spacing w:val="6"/>
          <w:sz w:val="30"/>
          <w:szCs w:val="30"/>
          <w:highlight w:val="none"/>
        </w:rPr>
      </w:pPr>
    </w:p>
    <w:p w14:paraId="79A8CDC3">
      <w:pPr>
        <w:spacing w:line="360" w:lineRule="auto"/>
        <w:ind w:firstLine="624" w:firstLineChars="200"/>
        <w:rPr>
          <w:rFonts w:ascii="宋体" w:cs="宋体"/>
          <w:spacing w:val="6"/>
          <w:sz w:val="30"/>
          <w:szCs w:val="30"/>
          <w:highlight w:val="none"/>
        </w:rPr>
      </w:pPr>
    </w:p>
    <w:p w14:paraId="58D83DB7">
      <w:pPr>
        <w:widowControl/>
        <w:spacing w:before="100" w:beforeAutospacing="1" w:after="100" w:afterAutospacing="1" w:line="360" w:lineRule="auto"/>
        <w:ind w:firstLine="5160" w:firstLineChars="2150"/>
        <w:jc w:val="left"/>
        <w:rPr>
          <w:rFonts w:ascii="宋体" w:cs="宋体"/>
          <w:sz w:val="24"/>
          <w:highlight w:val="none"/>
        </w:rPr>
      </w:pPr>
      <w:r>
        <w:rPr>
          <w:rFonts w:hint="eastAsia" w:ascii="宋体" w:hAnsi="宋体" w:cs="宋体"/>
          <w:sz w:val="24"/>
          <w:highlight w:val="none"/>
        </w:rPr>
        <w:t>单位名称（盖章）：</w:t>
      </w:r>
    </w:p>
    <w:p w14:paraId="5D34D6D3">
      <w:pPr>
        <w:widowControl/>
        <w:spacing w:before="100" w:beforeAutospacing="1" w:after="100" w:afterAutospacing="1" w:line="360" w:lineRule="auto"/>
        <w:ind w:firstLine="5160" w:firstLineChars="2150"/>
        <w:jc w:val="left"/>
        <w:rPr>
          <w:rFonts w:ascii="宋体" w:cs="宋体"/>
          <w:sz w:val="24"/>
          <w:highlight w:val="none"/>
        </w:rPr>
      </w:pPr>
      <w:r>
        <w:rPr>
          <w:rFonts w:hint="eastAsia" w:ascii="宋体" w:hAnsi="宋体" w:cs="宋体"/>
          <w:sz w:val="24"/>
          <w:highlight w:val="none"/>
        </w:rPr>
        <w:t>日期：</w:t>
      </w:r>
    </w:p>
    <w:p w14:paraId="763DB982">
      <w:pPr>
        <w:pStyle w:val="7"/>
        <w:rPr>
          <w:rFonts w:ascii="宋体" w:cs="宋体"/>
          <w:b w:val="0"/>
          <w:color w:val="000000"/>
          <w:highlight w:val="none"/>
          <w:lang w:eastAsia="zh-CN"/>
        </w:rPr>
      </w:pPr>
      <w:r>
        <w:rPr>
          <w:rFonts w:ascii="宋体" w:cs="宋体"/>
          <w:color w:val="000000"/>
          <w:highlight w:val="none"/>
          <w:lang w:eastAsia="zh-CN"/>
        </w:rPr>
        <w:br w:type="page"/>
      </w:r>
      <w:bookmarkStart w:id="269" w:name="_Toc13546"/>
      <w:bookmarkStart w:id="270" w:name="_Toc44704934"/>
      <w:bookmarkStart w:id="271" w:name="_Toc432"/>
      <w:bookmarkStart w:id="272" w:name="_Toc493422676"/>
      <w:r>
        <w:rPr>
          <w:rFonts w:ascii="宋体" w:hAnsi="宋体" w:cs="宋体"/>
          <w:szCs w:val="24"/>
          <w:highlight w:val="none"/>
          <w:lang w:eastAsia="zh-CN"/>
        </w:rPr>
        <w:t>2.7.</w:t>
      </w:r>
      <w:r>
        <w:rPr>
          <w:rFonts w:hint="eastAsia" w:ascii="宋体" w:hAnsi="宋体" w:cs="宋体"/>
          <w:szCs w:val="24"/>
          <w:highlight w:val="none"/>
          <w:lang w:val="en-US" w:eastAsia="zh-CN"/>
        </w:rPr>
        <w:t>5</w:t>
      </w:r>
      <w:r>
        <w:rPr>
          <w:rFonts w:hint="eastAsia" w:ascii="宋体" w:hAnsi="宋体" w:cs="宋体"/>
          <w:szCs w:val="24"/>
          <w:highlight w:val="none"/>
          <w:lang w:eastAsia="zh-CN"/>
        </w:rPr>
        <w:t>节能产品、环境标志产品证明材料</w:t>
      </w:r>
      <w:r>
        <w:rPr>
          <w:rFonts w:hint="eastAsia" w:ascii="宋体" w:hAnsi="宋体" w:cs="宋体"/>
          <w:b w:val="0"/>
          <w:sz w:val="24"/>
          <w:szCs w:val="24"/>
          <w:highlight w:val="none"/>
          <w:lang w:eastAsia="zh-CN"/>
        </w:rPr>
        <w:t>（如适用）</w:t>
      </w:r>
      <w:bookmarkEnd w:id="269"/>
      <w:bookmarkEnd w:id="270"/>
      <w:bookmarkEnd w:id="271"/>
      <w:bookmarkEnd w:id="272"/>
    </w:p>
    <w:p w14:paraId="485B9880">
      <w:pPr>
        <w:spacing w:line="360" w:lineRule="auto"/>
        <w:rPr>
          <w:rFonts w:ascii="宋体" w:cs="宋体"/>
          <w:color w:val="000000"/>
          <w:szCs w:val="21"/>
          <w:highlight w:val="none"/>
        </w:rPr>
      </w:pPr>
      <w:r>
        <w:rPr>
          <w:rFonts w:ascii="宋体" w:cs="宋体"/>
          <w:color w:val="000000"/>
          <w:szCs w:val="21"/>
          <w:highlight w:val="none"/>
        </w:rPr>
        <w:t> </w:t>
      </w:r>
    </w:p>
    <w:p w14:paraId="4C8D992B">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节能产品、环境标志产品</w:t>
      </w:r>
    </w:p>
    <w:p w14:paraId="54392407">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注：台式计算机，便携式计算机，平板式微型计算机，激光打印机，针式打印机，显示设备，制冷压缩机，空调机组，专用制冷、空调设备，镇流器，空调机，电热水器，普通照明用双端荧光灯，电视设备，视频设备，便器，水嘴等品目为政府强制采购节能产品。</w:t>
      </w:r>
    </w:p>
    <w:p w14:paraId="074E9FBD">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台式计算机产品性能参数须与节能产品政府采购清单台式计算机性能参数的附件一致，凡与附件所列性能参数不一致的产品，不得参加政府采购活动。</w:t>
      </w:r>
    </w:p>
    <w:p w14:paraId="74B3694A">
      <w:pPr>
        <w:spacing w:line="360" w:lineRule="auto"/>
        <w:rPr>
          <w:rFonts w:ascii="宋体" w:cs="宋体"/>
          <w:color w:val="000000"/>
          <w:sz w:val="24"/>
          <w:szCs w:val="24"/>
          <w:highlight w:val="none"/>
        </w:rPr>
      </w:pPr>
      <w:r>
        <w:rPr>
          <w:rFonts w:ascii="宋体" w:cs="宋体"/>
          <w:color w:val="000000"/>
          <w:sz w:val="24"/>
          <w:szCs w:val="24"/>
          <w:highlight w:val="none"/>
        </w:rPr>
        <w:t> </w:t>
      </w:r>
    </w:p>
    <w:p w14:paraId="2A0BD494">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在上述范围内的投标货物须提供国家确定的认证机构出具的、处于有效期之内的节能产品、环境标志产品认证证书，未提供的属于未实质响应招标文件要求。</w:t>
      </w:r>
    </w:p>
    <w:p w14:paraId="07E76E19">
      <w:pPr>
        <w:spacing w:line="360" w:lineRule="auto"/>
        <w:rPr>
          <w:rFonts w:ascii="宋体" w:cs="宋体"/>
          <w:color w:val="000000"/>
          <w:sz w:val="24"/>
          <w:szCs w:val="24"/>
          <w:highlight w:val="none"/>
        </w:rPr>
      </w:pPr>
      <w:r>
        <w:rPr>
          <w:rFonts w:ascii="宋体" w:cs="宋体"/>
          <w:color w:val="000000"/>
          <w:sz w:val="24"/>
          <w:szCs w:val="24"/>
          <w:highlight w:val="none"/>
        </w:rPr>
        <w:t> </w:t>
      </w:r>
    </w:p>
    <w:p w14:paraId="26240469">
      <w:pPr>
        <w:spacing w:line="360" w:lineRule="auto"/>
        <w:rPr>
          <w:rFonts w:ascii="宋体" w:cs="宋体"/>
          <w:color w:val="000000"/>
          <w:sz w:val="24"/>
          <w:szCs w:val="24"/>
          <w:highlight w:val="none"/>
        </w:rPr>
      </w:pPr>
      <w:r>
        <w:rPr>
          <w:rFonts w:ascii="宋体" w:hAnsi="宋体" w:cs="宋体"/>
          <w:color w:val="000000"/>
          <w:sz w:val="24"/>
          <w:szCs w:val="24"/>
          <w:highlight w:val="none"/>
        </w:rPr>
        <w:t>a.</w:t>
      </w:r>
      <w:r>
        <w:rPr>
          <w:rFonts w:hint="eastAsia" w:ascii="宋体" w:hAnsi="宋体" w:cs="宋体"/>
          <w:color w:val="000000"/>
          <w:sz w:val="24"/>
          <w:szCs w:val="24"/>
          <w:highlight w:val="none"/>
        </w:rPr>
        <w:t>节能产品（非强制、如有）：须提供国家确定的认证机构出具的、处于有效期之内的节能产品认证证书。</w:t>
      </w:r>
    </w:p>
    <w:p w14:paraId="0BBD314F">
      <w:pPr>
        <w:spacing w:line="360" w:lineRule="auto"/>
        <w:rPr>
          <w:rFonts w:ascii="宋体" w:cs="宋体"/>
          <w:color w:val="000000"/>
          <w:sz w:val="24"/>
          <w:szCs w:val="24"/>
          <w:highlight w:val="none"/>
        </w:rPr>
      </w:pPr>
      <w:r>
        <w:rPr>
          <w:rFonts w:ascii="宋体" w:cs="宋体"/>
          <w:color w:val="000000"/>
          <w:sz w:val="24"/>
          <w:szCs w:val="24"/>
          <w:highlight w:val="none"/>
        </w:rPr>
        <w:t> </w:t>
      </w:r>
      <w:r>
        <w:rPr>
          <w:rFonts w:ascii="宋体" w:hAnsi="宋体" w:cs="宋体"/>
          <w:color w:val="000000"/>
          <w:sz w:val="24"/>
          <w:szCs w:val="24"/>
          <w:highlight w:val="none"/>
        </w:rPr>
        <w:t xml:space="preserve"> </w:t>
      </w:r>
    </w:p>
    <w:p w14:paraId="73310AA6">
      <w:pPr>
        <w:spacing w:line="360" w:lineRule="auto"/>
        <w:rPr>
          <w:rFonts w:ascii="宋体" w:cs="宋体"/>
          <w:color w:val="000000"/>
          <w:sz w:val="24"/>
          <w:szCs w:val="24"/>
          <w:highlight w:val="none"/>
        </w:rPr>
      </w:pPr>
      <w:r>
        <w:rPr>
          <w:rFonts w:ascii="宋体" w:hAnsi="宋体" w:cs="宋体"/>
          <w:color w:val="000000"/>
          <w:sz w:val="24"/>
          <w:szCs w:val="24"/>
          <w:highlight w:val="none"/>
        </w:rPr>
        <w:t>b.</w:t>
      </w:r>
      <w:r>
        <w:rPr>
          <w:rFonts w:hint="eastAsia" w:ascii="宋体" w:hAnsi="宋体" w:cs="宋体"/>
          <w:color w:val="000000"/>
          <w:sz w:val="24"/>
          <w:szCs w:val="24"/>
          <w:highlight w:val="none"/>
        </w:rPr>
        <w:t>环境标志产品（如有）：须提供国家确定的认证机构出具的、处于有效期之内的节能产品认证证书。</w:t>
      </w:r>
    </w:p>
    <w:p w14:paraId="467B7F23">
      <w:pPr>
        <w:spacing w:line="360" w:lineRule="auto"/>
        <w:rPr>
          <w:rFonts w:ascii="宋体" w:cs="宋体"/>
          <w:color w:val="000000"/>
          <w:sz w:val="24"/>
          <w:szCs w:val="24"/>
          <w:highlight w:val="none"/>
        </w:rPr>
      </w:pPr>
      <w:r>
        <w:rPr>
          <w:rFonts w:ascii="宋体" w:cs="宋体"/>
          <w:color w:val="000000"/>
          <w:sz w:val="24"/>
          <w:szCs w:val="24"/>
          <w:highlight w:val="none"/>
        </w:rPr>
        <w:t> </w:t>
      </w:r>
    </w:p>
    <w:p w14:paraId="769B6B9A">
      <w:pPr>
        <w:spacing w:line="360" w:lineRule="auto"/>
        <w:rPr>
          <w:rFonts w:ascii="宋体" w:cs="宋体"/>
          <w:color w:val="000000"/>
          <w:sz w:val="24"/>
          <w:szCs w:val="24"/>
          <w:highlight w:val="none"/>
        </w:rPr>
      </w:pPr>
      <w:r>
        <w:rPr>
          <w:rFonts w:ascii="宋体" w:cs="宋体"/>
          <w:color w:val="000000"/>
          <w:sz w:val="24"/>
          <w:szCs w:val="24"/>
          <w:highlight w:val="none"/>
        </w:rPr>
        <w:t> </w:t>
      </w:r>
    </w:p>
    <w:p w14:paraId="669EB5BC">
      <w:pPr>
        <w:spacing w:line="360" w:lineRule="auto"/>
        <w:rPr>
          <w:rFonts w:ascii="宋体" w:cs="宋体"/>
          <w:color w:val="000000"/>
          <w:sz w:val="24"/>
          <w:szCs w:val="24"/>
          <w:highlight w:val="none"/>
        </w:rPr>
      </w:pPr>
      <w:r>
        <w:rPr>
          <w:rFonts w:hint="eastAsia" w:ascii="宋体" w:hAnsi="宋体" w:cs="宋体"/>
          <w:color w:val="000000"/>
          <w:sz w:val="24"/>
          <w:szCs w:val="24"/>
          <w:highlight w:val="none"/>
        </w:rPr>
        <w:t>注：</w:t>
      </w:r>
      <w:r>
        <w:rPr>
          <w:rFonts w:ascii="宋体" w:hAnsi="宋体" w:cs="宋体"/>
          <w:color w:val="000000"/>
          <w:sz w:val="24"/>
          <w:szCs w:val="24"/>
          <w:highlight w:val="none"/>
        </w:rPr>
        <w:t>1.</w:t>
      </w:r>
      <w:r>
        <w:rPr>
          <w:rFonts w:hint="eastAsia" w:ascii="宋体" w:hAnsi="宋体" w:cs="宋体"/>
          <w:color w:val="000000"/>
          <w:sz w:val="24"/>
          <w:szCs w:val="24"/>
          <w:highlight w:val="none"/>
        </w:rPr>
        <w:t>在本处提供的证明材料如与投标人所投产品内容（品牌、型号、规格等）不符，视为无效。</w:t>
      </w:r>
    </w:p>
    <w:p w14:paraId="54E86CB1">
      <w:pPr>
        <w:spacing w:line="360" w:lineRule="auto"/>
        <w:rPr>
          <w:rFonts w:ascii="宋体" w:cs="宋体"/>
          <w:color w:val="000000"/>
          <w:sz w:val="24"/>
          <w:szCs w:val="24"/>
          <w:highlight w:val="none"/>
        </w:rPr>
      </w:pPr>
      <w:r>
        <w:rPr>
          <w:rFonts w:ascii="宋体" w:hAnsi="宋体" w:cs="宋体"/>
          <w:color w:val="000000"/>
          <w:sz w:val="24"/>
          <w:szCs w:val="24"/>
          <w:highlight w:val="none"/>
        </w:rPr>
        <w:t>2.</w:t>
      </w:r>
      <w:r>
        <w:rPr>
          <w:rFonts w:hint="eastAsia" w:ascii="宋体" w:hAnsi="宋体" w:cs="宋体"/>
          <w:color w:val="000000"/>
          <w:sz w:val="24"/>
          <w:szCs w:val="24"/>
          <w:highlight w:val="none"/>
        </w:rPr>
        <w:t>如提供虚假材料，投标人须承担相应法律责任。</w:t>
      </w:r>
      <w:bookmarkStart w:id="273" w:name="_Toc493422677"/>
    </w:p>
    <w:p w14:paraId="3F297988">
      <w:pPr>
        <w:rPr>
          <w:rFonts w:hint="eastAsia" w:ascii="宋体" w:hAnsi="宋体" w:eastAsia="宋体" w:cs="宋体"/>
          <w:b/>
          <w:bCs/>
          <w:kern w:val="2"/>
          <w:sz w:val="32"/>
          <w:szCs w:val="24"/>
          <w:highlight w:val="none"/>
          <w:lang w:val="en-US" w:eastAsia="zh-CN" w:bidi="ar-SA"/>
        </w:rPr>
      </w:pPr>
      <w:r>
        <w:rPr>
          <w:rFonts w:ascii="宋体" w:cs="宋体"/>
          <w:color w:val="000000"/>
          <w:sz w:val="24"/>
          <w:szCs w:val="24"/>
          <w:highlight w:val="none"/>
          <w:lang w:eastAsia="zh-CN"/>
        </w:rPr>
        <w:br w:type="page"/>
      </w:r>
      <w:bookmarkStart w:id="274" w:name="_Toc29884"/>
      <w:bookmarkStart w:id="275" w:name="_Toc6649"/>
      <w:bookmarkStart w:id="276" w:name="_Toc44704935"/>
      <w:r>
        <w:rPr>
          <w:rFonts w:hint="eastAsia" w:ascii="宋体" w:hAnsi="宋体" w:eastAsia="宋体" w:cs="宋体"/>
          <w:b/>
          <w:bCs/>
          <w:kern w:val="0"/>
          <w:sz w:val="28"/>
          <w:szCs w:val="24"/>
          <w:highlight w:val="none"/>
          <w:lang w:val="en-US" w:eastAsia="zh-CN" w:bidi="ar-SA"/>
        </w:rPr>
        <w:t>2.7.7保密承诺函</w:t>
      </w:r>
    </w:p>
    <w:p w14:paraId="76946619">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招标人：乌鲁木齐高新区（新市区）某单位</w:t>
      </w:r>
    </w:p>
    <w:p w14:paraId="5D2D302E">
      <w:pPr>
        <w:spacing w:line="360" w:lineRule="auto"/>
        <w:ind w:firstLine="480" w:firstLineChars="200"/>
        <w:rPr>
          <w:rFonts w:hint="eastAsia" w:ascii="宋体" w:cs="宋体"/>
          <w:bCs/>
          <w:kern w:val="0"/>
          <w:sz w:val="24"/>
          <w:szCs w:val="24"/>
          <w:highlight w:val="none"/>
          <w:lang w:eastAsia="zh-CN"/>
        </w:rPr>
      </w:pPr>
      <w:r>
        <w:rPr>
          <w:rFonts w:hint="eastAsia" w:ascii="宋体" w:cs="宋体"/>
          <w:bCs/>
          <w:kern w:val="0"/>
          <w:sz w:val="24"/>
          <w:szCs w:val="24"/>
          <w:highlight w:val="none"/>
        </w:rPr>
        <w:t>招标代理机构：</w:t>
      </w:r>
      <w:r>
        <w:rPr>
          <w:rFonts w:hint="eastAsia" w:ascii="宋体" w:cs="宋体"/>
          <w:bCs/>
          <w:kern w:val="0"/>
          <w:sz w:val="24"/>
          <w:szCs w:val="24"/>
          <w:highlight w:val="none"/>
          <w:lang w:eastAsia="zh-CN"/>
        </w:rPr>
        <w:t>乌鲁木齐高新建设工程项目管理咨询有限公司</w:t>
      </w:r>
    </w:p>
    <w:p w14:paraId="28835747">
      <w:pPr>
        <w:spacing w:line="360" w:lineRule="auto"/>
        <w:ind w:firstLine="480" w:firstLineChars="200"/>
        <w:rPr>
          <w:rFonts w:hint="eastAsia" w:ascii="宋体" w:cs="宋体"/>
          <w:bCs/>
          <w:kern w:val="0"/>
          <w:sz w:val="24"/>
          <w:szCs w:val="24"/>
          <w:highlight w:val="none"/>
          <w:lang w:eastAsia="zh-CN"/>
        </w:rPr>
      </w:pPr>
      <w:r>
        <w:rPr>
          <w:rFonts w:hint="eastAsia" w:ascii="宋体" w:cs="宋体"/>
          <w:bCs/>
          <w:kern w:val="0"/>
          <w:sz w:val="24"/>
          <w:szCs w:val="24"/>
          <w:highlight w:val="none"/>
          <w:lang w:eastAsia="zh-CN"/>
        </w:rPr>
        <w:t>标项名称：</w:t>
      </w:r>
    </w:p>
    <w:p w14:paraId="0F9DF78A">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因</w:t>
      </w:r>
      <w:r>
        <w:rPr>
          <w:rFonts w:hint="eastAsia" w:ascii="宋体" w:cs="宋体"/>
          <w:bCs/>
          <w:kern w:val="0"/>
          <w:sz w:val="24"/>
          <w:szCs w:val="24"/>
          <w:highlight w:val="none"/>
          <w:lang w:eastAsia="zh-CN"/>
        </w:rPr>
        <w:t>我方</w:t>
      </w:r>
      <w:r>
        <w:rPr>
          <w:rFonts w:hint="eastAsia" w:ascii="宋体" w:cs="宋体"/>
          <w:bCs/>
          <w:kern w:val="0"/>
          <w:sz w:val="24"/>
          <w:szCs w:val="24"/>
          <w:highlight w:val="none"/>
        </w:rPr>
        <w:t>将要为</w:t>
      </w:r>
      <w:r>
        <w:rPr>
          <w:rFonts w:hint="eastAsia" w:ascii="宋体" w:cs="宋体"/>
          <w:bCs/>
          <w:kern w:val="0"/>
          <w:sz w:val="24"/>
          <w:szCs w:val="24"/>
          <w:highlight w:val="none"/>
          <w:lang w:eastAsia="zh-CN"/>
        </w:rPr>
        <w:t>（</w:t>
      </w:r>
      <w:r>
        <w:rPr>
          <w:rFonts w:hint="eastAsia" w:ascii="宋体" w:cs="宋体"/>
          <w:bCs/>
          <w:kern w:val="0"/>
          <w:sz w:val="24"/>
          <w:szCs w:val="24"/>
          <w:highlight w:val="none"/>
          <w:lang w:val="en-US" w:eastAsia="zh-CN"/>
        </w:rPr>
        <w:t>或可能要为</w:t>
      </w:r>
      <w:r>
        <w:rPr>
          <w:rFonts w:hint="eastAsia" w:ascii="宋体" w:cs="宋体"/>
          <w:bCs/>
          <w:kern w:val="0"/>
          <w:sz w:val="24"/>
          <w:szCs w:val="24"/>
          <w:highlight w:val="none"/>
          <w:lang w:eastAsia="zh-CN"/>
        </w:rPr>
        <w:t>）招标人</w:t>
      </w:r>
      <w:r>
        <w:rPr>
          <w:rFonts w:hint="eastAsia" w:ascii="宋体" w:cs="宋体"/>
          <w:bCs/>
          <w:kern w:val="0"/>
          <w:sz w:val="24"/>
          <w:szCs w:val="24"/>
          <w:highlight w:val="none"/>
        </w:rPr>
        <w:t>提供服务和履行职务，已经（或将要）知悉招标人的国家机密。为了明确</w:t>
      </w:r>
      <w:r>
        <w:rPr>
          <w:rFonts w:hint="eastAsia" w:ascii="宋体" w:cs="宋体"/>
          <w:bCs/>
          <w:kern w:val="0"/>
          <w:sz w:val="24"/>
          <w:szCs w:val="24"/>
          <w:highlight w:val="none"/>
          <w:lang w:eastAsia="zh-CN"/>
        </w:rPr>
        <w:t>我方</w:t>
      </w:r>
      <w:r>
        <w:rPr>
          <w:rFonts w:hint="eastAsia" w:ascii="宋体" w:cs="宋体"/>
          <w:bCs/>
          <w:kern w:val="0"/>
          <w:sz w:val="24"/>
          <w:szCs w:val="24"/>
          <w:highlight w:val="none"/>
        </w:rPr>
        <w:t>的保密义务，有效保护招标人的国家机密，防止该国家机密被公开披露或以任何形式泄漏，根据国家、地方政府有关规定，我方承诺：</w:t>
      </w:r>
    </w:p>
    <w:p w14:paraId="3C2C8055">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一、本项目保密信息包括：技术信息、专有技术、经营信息和招标人列为绝密、机密级的各项文件。</w:t>
      </w:r>
      <w:r>
        <w:rPr>
          <w:rFonts w:hint="eastAsia" w:ascii="宋体" w:cs="宋体"/>
          <w:bCs/>
          <w:kern w:val="0"/>
          <w:sz w:val="24"/>
          <w:szCs w:val="24"/>
          <w:highlight w:val="none"/>
          <w:lang w:eastAsia="zh-CN"/>
        </w:rPr>
        <w:t>我方</w:t>
      </w:r>
      <w:r>
        <w:rPr>
          <w:rFonts w:hint="eastAsia" w:ascii="宋体" w:cs="宋体"/>
          <w:bCs/>
          <w:kern w:val="0"/>
          <w:sz w:val="24"/>
          <w:szCs w:val="24"/>
          <w:highlight w:val="none"/>
        </w:rPr>
        <w:t>对此保密信息承担保密义务。上述保密信息可以以数据、文字、图片及记载上述内容的资料、光盘、软件、图书等有型媒介体现，也可通过口头等视听形式传递。</w:t>
      </w:r>
    </w:p>
    <w:p w14:paraId="5F1694B0">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二、权利与义务：</w:t>
      </w:r>
    </w:p>
    <w:p w14:paraId="66B7F064">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（1）我方对其因身份、职务、职业或技术关系而知悉的招标人国家机密应严格保守，保证不被披露或使用，包括意外或过失。即使这些信息甚至可能是全部地由我方因工作而构思或取得的。</w:t>
      </w:r>
    </w:p>
    <w:p w14:paraId="7C03893B">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2）在服务关系存续期间，我方未经授权，不得以竞争为目的、或出于私利、或为第三人谋利、或为故意加害于甲方，擅自披露、使用国家机密、制造再现国家机密的器材、取走与国家机密有关的物件；不得直接或间接地向任何第三人泄露；不得向不承担保密义务的任何第三人披露招标人的国家机密；不得允许或协助不承担保密义务的任何第三人使用招标人的国家机密；不得复制或公开包含招标人国家机密的文件或文件副本；对因工作所保管、接触的有关的文件应妥善对待，未经许可不得超出工作范围使用。</w:t>
      </w:r>
    </w:p>
    <w:p w14:paraId="01B08C51">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三、违约责任：</w:t>
      </w:r>
    </w:p>
    <w:p w14:paraId="3F6D8BB9">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（1）我方违反保密义务，追究我方刑事责任。</w:t>
      </w:r>
    </w:p>
    <w:p w14:paraId="5AB4095A">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（2）我方如将国家机密泄露给第三人或使用国家机密使招标人遭受损失的，我方将对招标人进行赔偿，其赔偿数额不少于由于其违反义务所给甲方带来的损失，并追究其刑事责任。</w:t>
      </w:r>
    </w:p>
    <w:p w14:paraId="20B0092C">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（3）因我方恶意泄露国家机密给招标人造成严重后果的，招标人将通过</w:t>
      </w:r>
      <w:r>
        <w:rPr>
          <w:rFonts w:hint="eastAsia" w:ascii="宋体" w:cs="宋体"/>
          <w:bCs/>
          <w:kern w:val="0"/>
          <w:sz w:val="24"/>
          <w:szCs w:val="24"/>
          <w:highlight w:val="none"/>
        </w:rPr>
        <w:fldChar w:fldCharType="begin"/>
      </w:r>
      <w:r>
        <w:rPr>
          <w:rFonts w:hint="eastAsia" w:ascii="宋体" w:cs="宋体"/>
          <w:bCs/>
          <w:kern w:val="0"/>
          <w:sz w:val="24"/>
          <w:szCs w:val="24"/>
          <w:highlight w:val="none"/>
        </w:rPr>
        <w:instrText xml:space="preserve"> HYPERLINK "http://www.chinalawedu.com/" \t "_blank" \o "法律" </w:instrText>
      </w:r>
      <w:r>
        <w:rPr>
          <w:rFonts w:hint="eastAsia" w:ascii="宋体" w:cs="宋体"/>
          <w:bCs/>
          <w:kern w:val="0"/>
          <w:sz w:val="24"/>
          <w:szCs w:val="24"/>
          <w:highlight w:val="none"/>
        </w:rPr>
        <w:fldChar w:fldCharType="separate"/>
      </w:r>
      <w:r>
        <w:rPr>
          <w:rFonts w:hint="eastAsia" w:ascii="宋体" w:cs="宋体"/>
          <w:bCs/>
          <w:kern w:val="0"/>
          <w:sz w:val="24"/>
          <w:szCs w:val="24"/>
          <w:highlight w:val="none"/>
        </w:rPr>
        <w:t>法律</w:t>
      </w:r>
      <w:r>
        <w:rPr>
          <w:rFonts w:hint="eastAsia" w:ascii="宋体" w:cs="宋体"/>
          <w:bCs/>
          <w:kern w:val="0"/>
          <w:sz w:val="24"/>
          <w:szCs w:val="24"/>
          <w:highlight w:val="none"/>
        </w:rPr>
        <w:fldChar w:fldCharType="end"/>
      </w:r>
      <w:r>
        <w:rPr>
          <w:rFonts w:hint="eastAsia" w:ascii="宋体" w:cs="宋体"/>
          <w:bCs/>
          <w:kern w:val="0"/>
          <w:sz w:val="24"/>
          <w:szCs w:val="24"/>
          <w:highlight w:val="none"/>
        </w:rPr>
        <w:t>手段追究其侵权责任及刑事责任。</w:t>
      </w:r>
    </w:p>
    <w:p w14:paraId="1B7F7AA9">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四、若双方发生争议，交由人</w:t>
      </w:r>
      <w:r>
        <w:rPr>
          <w:rFonts w:hint="eastAsia" w:ascii="宋体" w:cs="宋体"/>
          <w:bCs/>
          <w:kern w:val="0"/>
          <w:sz w:val="24"/>
          <w:szCs w:val="24"/>
          <w:highlight w:val="none"/>
        </w:rPr>
        <w:fldChar w:fldCharType="begin"/>
      </w:r>
      <w:r>
        <w:rPr>
          <w:rFonts w:hint="eastAsia" w:ascii="宋体" w:cs="宋体"/>
          <w:bCs/>
          <w:kern w:val="0"/>
          <w:sz w:val="24"/>
          <w:szCs w:val="24"/>
          <w:highlight w:val="none"/>
        </w:rPr>
        <w:instrText xml:space="preserve"> HYPERLINK "http://www.chinalawedu.com/sifakaoshi/ziliao/minfa/" \t "_blank" \o "民法" </w:instrText>
      </w:r>
      <w:r>
        <w:rPr>
          <w:rFonts w:hint="eastAsia" w:ascii="宋体" w:cs="宋体"/>
          <w:bCs/>
          <w:kern w:val="0"/>
          <w:sz w:val="24"/>
          <w:szCs w:val="24"/>
          <w:highlight w:val="none"/>
        </w:rPr>
        <w:fldChar w:fldCharType="separate"/>
      </w:r>
      <w:r>
        <w:rPr>
          <w:rFonts w:hint="eastAsia" w:ascii="宋体" w:cs="宋体"/>
          <w:bCs/>
          <w:kern w:val="0"/>
          <w:sz w:val="24"/>
          <w:szCs w:val="24"/>
          <w:highlight w:val="none"/>
        </w:rPr>
        <w:t>民法</w:t>
      </w:r>
      <w:r>
        <w:rPr>
          <w:rFonts w:hint="eastAsia" w:ascii="宋体" w:cs="宋体"/>
          <w:bCs/>
          <w:kern w:val="0"/>
          <w:sz w:val="24"/>
          <w:szCs w:val="24"/>
          <w:highlight w:val="none"/>
        </w:rPr>
        <w:fldChar w:fldCharType="end"/>
      </w:r>
      <w:r>
        <w:rPr>
          <w:rFonts w:hint="eastAsia" w:ascii="宋体" w:cs="宋体"/>
          <w:bCs/>
          <w:kern w:val="0"/>
          <w:sz w:val="24"/>
          <w:szCs w:val="24"/>
          <w:highlight w:val="none"/>
        </w:rPr>
        <w:t>院诉讼解决。</w:t>
      </w:r>
    </w:p>
    <w:p w14:paraId="262D0885">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　　特此承诺</w:t>
      </w:r>
    </w:p>
    <w:p w14:paraId="5C6C40B3">
      <w:pPr>
        <w:spacing w:line="360" w:lineRule="auto"/>
        <w:ind w:firstLine="480" w:firstLineChars="200"/>
        <w:rPr>
          <w:rFonts w:hint="eastAsia" w:ascii="宋体" w:cs="宋体"/>
          <w:bCs/>
          <w:kern w:val="0"/>
          <w:sz w:val="24"/>
          <w:szCs w:val="24"/>
          <w:highlight w:val="none"/>
        </w:rPr>
      </w:pPr>
    </w:p>
    <w:p w14:paraId="66554567">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投标人名称（加盖单位公章）：</w:t>
      </w:r>
    </w:p>
    <w:p w14:paraId="14FC841A">
      <w:pPr>
        <w:spacing w:line="360" w:lineRule="auto"/>
        <w:ind w:firstLine="480" w:firstLineChars="200"/>
        <w:rPr>
          <w:rFonts w:hint="eastAsia" w:ascii="宋体" w:cs="宋体"/>
          <w:bCs/>
          <w:kern w:val="0"/>
          <w:sz w:val="24"/>
          <w:szCs w:val="24"/>
          <w:highlight w:val="none"/>
        </w:rPr>
      </w:pPr>
    </w:p>
    <w:p w14:paraId="3E88AD2C">
      <w:pPr>
        <w:spacing w:line="360" w:lineRule="auto"/>
        <w:ind w:firstLine="480" w:firstLineChars="200"/>
        <w:rPr>
          <w:rFonts w:hint="eastAsia" w:ascii="宋体" w:cs="宋体"/>
          <w:bCs/>
          <w:kern w:val="0"/>
          <w:sz w:val="24"/>
          <w:szCs w:val="24"/>
          <w:highlight w:val="none"/>
        </w:rPr>
      </w:pPr>
      <w:r>
        <w:rPr>
          <w:rFonts w:hint="eastAsia" w:ascii="宋体" w:cs="宋体"/>
          <w:bCs/>
          <w:kern w:val="0"/>
          <w:sz w:val="24"/>
          <w:szCs w:val="24"/>
          <w:highlight w:val="none"/>
        </w:rPr>
        <w:t>投标人法定代表人或授权代表（签字或盖章）：</w:t>
      </w:r>
    </w:p>
    <w:p w14:paraId="49CFD17D">
      <w:pPr>
        <w:jc w:val="both"/>
        <w:rPr>
          <w:rFonts w:hint="eastAsia" w:ascii="宋体" w:hAnsi="宋体"/>
          <w:sz w:val="28"/>
          <w:szCs w:val="28"/>
          <w:highlight w:val="none"/>
        </w:rPr>
      </w:pPr>
    </w:p>
    <w:p w14:paraId="3F989750">
      <w:pPr>
        <w:ind w:firstLine="2520" w:firstLineChars="900"/>
        <w:jc w:val="both"/>
        <w:rPr>
          <w:rFonts w:ascii="宋体" w:hAnsi="宋体"/>
          <w:sz w:val="28"/>
          <w:szCs w:val="28"/>
          <w:highlight w:val="none"/>
        </w:rPr>
      </w:pPr>
      <w:r>
        <w:rPr>
          <w:rFonts w:hint="eastAsia" w:ascii="宋体" w:hAnsi="宋体"/>
          <w:sz w:val="28"/>
          <w:szCs w:val="28"/>
          <w:highlight w:val="none"/>
        </w:rPr>
        <w:t>日</w:t>
      </w:r>
      <w:r>
        <w:rPr>
          <w:rFonts w:hint="eastAsia" w:ascii="宋体" w:hAnsi="宋体"/>
          <w:sz w:val="28"/>
          <w:szCs w:val="28"/>
          <w:highlight w:val="none"/>
          <w:lang w:val="en-US" w:eastAsia="zh-CN"/>
        </w:rPr>
        <w:t xml:space="preserve"> </w:t>
      </w:r>
      <w:r>
        <w:rPr>
          <w:rFonts w:hint="eastAsia" w:ascii="宋体" w:hAnsi="宋体"/>
          <w:sz w:val="28"/>
          <w:szCs w:val="28"/>
          <w:highlight w:val="none"/>
        </w:rPr>
        <w:t>期</w:t>
      </w:r>
      <w:r>
        <w:rPr>
          <w:rFonts w:hint="eastAsia" w:ascii="宋体" w:hAnsi="宋体"/>
          <w:sz w:val="28"/>
          <w:szCs w:val="28"/>
          <w:highlight w:val="none"/>
          <w:lang w:val="en-US" w:eastAsia="zh-CN"/>
        </w:rPr>
        <w:t xml:space="preserve"> </w:t>
      </w:r>
      <w:r>
        <w:rPr>
          <w:rFonts w:hint="eastAsia" w:ascii="宋体" w:hAnsi="宋体"/>
          <w:sz w:val="28"/>
          <w:szCs w:val="28"/>
          <w:highlight w:val="none"/>
        </w:rPr>
        <w:t>：</w:t>
      </w:r>
    </w:p>
    <w:p w14:paraId="25F5D5F8">
      <w:pPr>
        <w:rPr>
          <w:rFonts w:ascii="宋体" w:cs="宋体"/>
          <w:color w:val="000000"/>
          <w:sz w:val="24"/>
          <w:szCs w:val="24"/>
          <w:highlight w:val="none"/>
          <w:lang w:eastAsia="zh-CN"/>
        </w:rPr>
      </w:pPr>
    </w:p>
    <w:p w14:paraId="174D1DB9">
      <w:pPr>
        <w:rPr>
          <w:rFonts w:ascii="宋体" w:hAnsi="宋体" w:cs="宋体"/>
          <w:szCs w:val="24"/>
          <w:highlight w:val="none"/>
          <w:lang w:eastAsia="zh-CN"/>
        </w:rPr>
      </w:pPr>
      <w:r>
        <w:rPr>
          <w:rFonts w:ascii="宋体" w:hAnsi="宋体" w:cs="宋体"/>
          <w:szCs w:val="24"/>
          <w:highlight w:val="none"/>
          <w:lang w:eastAsia="zh-CN"/>
        </w:rPr>
        <w:br w:type="page"/>
      </w:r>
    </w:p>
    <w:p w14:paraId="1718B586">
      <w:pPr>
        <w:pStyle w:val="7"/>
        <w:rPr>
          <w:rFonts w:ascii="宋体" w:cs="宋体"/>
          <w:color w:val="000000"/>
          <w:sz w:val="24"/>
          <w:szCs w:val="24"/>
          <w:highlight w:val="none"/>
          <w:lang w:eastAsia="zh-CN"/>
        </w:rPr>
      </w:pPr>
      <w:r>
        <w:rPr>
          <w:rFonts w:ascii="宋体" w:hAnsi="宋体" w:cs="宋体"/>
          <w:szCs w:val="24"/>
          <w:highlight w:val="none"/>
          <w:lang w:eastAsia="zh-CN"/>
        </w:rPr>
        <w:t>2.7.</w:t>
      </w:r>
      <w:r>
        <w:rPr>
          <w:rFonts w:hint="eastAsia" w:ascii="宋体" w:hAnsi="宋体" w:cs="宋体"/>
          <w:szCs w:val="24"/>
          <w:highlight w:val="none"/>
          <w:lang w:val="en-US" w:eastAsia="zh-CN"/>
        </w:rPr>
        <w:t>7</w:t>
      </w:r>
      <w:r>
        <w:rPr>
          <w:rFonts w:hint="eastAsia" w:ascii="宋体" w:hAnsi="宋体" w:cs="宋体"/>
          <w:szCs w:val="24"/>
          <w:highlight w:val="none"/>
          <w:lang w:eastAsia="zh-CN"/>
        </w:rPr>
        <w:t>招标文件要求的其它文件及投标人认为有必要提供的其它文件</w:t>
      </w:r>
      <w:bookmarkEnd w:id="273"/>
      <w:bookmarkEnd w:id="274"/>
      <w:bookmarkEnd w:id="275"/>
      <w:bookmarkEnd w:id="276"/>
    </w:p>
    <w:p w14:paraId="0755F0B6">
      <w:pPr>
        <w:spacing w:line="360" w:lineRule="auto"/>
        <w:jc w:val="left"/>
        <w:rPr>
          <w:rFonts w:ascii="宋体" w:cs="宋体"/>
          <w:color w:val="000000"/>
          <w:sz w:val="24"/>
          <w:szCs w:val="24"/>
          <w:highlight w:val="none"/>
        </w:rPr>
      </w:pPr>
    </w:p>
    <w:p w14:paraId="153C8414">
      <w:pPr>
        <w:spacing w:line="360" w:lineRule="auto"/>
        <w:jc w:val="left"/>
        <w:rPr>
          <w:rFonts w:ascii="宋体" w:cs="宋体"/>
          <w:color w:val="000000"/>
          <w:sz w:val="24"/>
          <w:szCs w:val="24"/>
          <w:highlight w:val="none"/>
        </w:rPr>
      </w:pPr>
    </w:p>
    <w:p w14:paraId="4C6C631D">
      <w:pPr>
        <w:spacing w:line="360" w:lineRule="auto"/>
        <w:jc w:val="left"/>
        <w:rPr>
          <w:rFonts w:ascii="宋体" w:cs="宋体"/>
          <w:sz w:val="24"/>
          <w:szCs w:val="24"/>
          <w:highlight w:val="none"/>
        </w:rPr>
      </w:pPr>
      <w:r>
        <w:rPr>
          <w:rFonts w:hint="eastAsia" w:ascii="宋体" w:hAnsi="宋体" w:cs="宋体"/>
          <w:color w:val="000000"/>
          <w:sz w:val="24"/>
          <w:szCs w:val="24"/>
          <w:highlight w:val="none"/>
        </w:rPr>
        <w:t>投标人应仔细阅读招标文件，包括评标标准等，提供招标文件要求的相关方案、措施等，</w:t>
      </w:r>
      <w:r>
        <w:rPr>
          <w:rFonts w:hint="eastAsia" w:ascii="宋体" w:hAnsi="宋体" w:cs="宋体"/>
          <w:b/>
          <w:bCs/>
          <w:color w:val="000000"/>
          <w:sz w:val="24"/>
          <w:szCs w:val="24"/>
          <w:highlight w:val="none"/>
        </w:rPr>
        <w:t>格式自拟提供</w:t>
      </w:r>
      <w:r>
        <w:rPr>
          <w:rFonts w:hint="eastAsia" w:ascii="宋体" w:hAnsi="宋体" w:cs="宋体"/>
          <w:color w:val="000000"/>
          <w:sz w:val="24"/>
          <w:szCs w:val="24"/>
          <w:highlight w:val="none"/>
        </w:rPr>
        <w:t>。</w:t>
      </w:r>
      <w:bookmarkStart w:id="277" w:name="_Toc153353723"/>
      <w:bookmarkStart w:id="278" w:name="_Toc153356464"/>
      <w:bookmarkStart w:id="279" w:name="_Toc155772936"/>
      <w:bookmarkStart w:id="280" w:name="_Toc155772037"/>
      <w:bookmarkStart w:id="281" w:name="_Toc146011787"/>
      <w:bookmarkStart w:id="282" w:name="_Toc195427236"/>
      <w:bookmarkStart w:id="283" w:name="_Toc193858800"/>
      <w:bookmarkStart w:id="284" w:name="_Toc47418939"/>
      <w:bookmarkStart w:id="285" w:name="_Toc48791236"/>
      <w:bookmarkStart w:id="286" w:name="_Toc47418256"/>
      <w:bookmarkStart w:id="287" w:name="_Toc48995852"/>
      <w:bookmarkStart w:id="288" w:name="_Toc153353722"/>
      <w:bookmarkStart w:id="289" w:name="_Toc47418732"/>
      <w:bookmarkStart w:id="290" w:name="_Toc47261886"/>
      <w:bookmarkStart w:id="291" w:name="_Toc146011786"/>
      <w:bookmarkStart w:id="292" w:name="_Toc49019237"/>
      <w:bookmarkStart w:id="293" w:name="_Toc47262070"/>
      <w:bookmarkStart w:id="294" w:name="_Toc155772930"/>
      <w:bookmarkStart w:id="295" w:name="_Toc47261691"/>
    </w:p>
    <w:p w14:paraId="13CD0309">
      <w:pPr>
        <w:spacing w:line="360" w:lineRule="auto"/>
        <w:jc w:val="center"/>
        <w:rPr>
          <w:rFonts w:ascii="宋体" w:cs="宋体"/>
          <w:b/>
          <w:color w:val="000000"/>
          <w:sz w:val="24"/>
          <w:szCs w:val="24"/>
          <w:highlight w:val="none"/>
        </w:rPr>
      </w:pPr>
      <w:r>
        <w:rPr>
          <w:rFonts w:ascii="宋体" w:cs="宋体"/>
          <w:highlight w:val="none"/>
        </w:rPr>
        <w:br w:type="page"/>
      </w:r>
      <w:bookmarkEnd w:id="277"/>
      <w:bookmarkEnd w:id="278"/>
      <w:bookmarkEnd w:id="279"/>
      <w:bookmarkEnd w:id="280"/>
      <w:bookmarkEnd w:id="281"/>
      <w:bookmarkEnd w:id="282"/>
      <w:bookmarkEnd w:id="283"/>
      <w:r>
        <w:rPr>
          <w:rFonts w:hint="eastAsia" w:ascii="宋体" w:hAnsi="宋体" w:cs="宋体"/>
          <w:b/>
          <w:color w:val="000000"/>
          <w:sz w:val="24"/>
          <w:szCs w:val="24"/>
          <w:highlight w:val="none"/>
        </w:rPr>
        <w:t>关于中小企业的相关规定</w:t>
      </w:r>
    </w:p>
    <w:p w14:paraId="45F42485">
      <w:pPr>
        <w:spacing w:line="360" w:lineRule="auto"/>
        <w:jc w:val="center"/>
        <w:rPr>
          <w:rFonts w:ascii="宋体" w:hAnsi="宋体" w:cs="宋体"/>
          <w:b/>
          <w:color w:val="000000"/>
          <w:sz w:val="32"/>
          <w:szCs w:val="24"/>
          <w:highlight w:val="none"/>
        </w:rPr>
      </w:pPr>
      <w:r>
        <w:rPr>
          <w:rFonts w:hint="eastAsia" w:ascii="宋体" w:hAnsi="宋体" w:cs="宋体"/>
          <w:b/>
          <w:color w:val="000000"/>
          <w:sz w:val="32"/>
          <w:szCs w:val="24"/>
          <w:highlight w:val="none"/>
        </w:rPr>
        <w:t>政府采购促进中小企业发展管理办法</w:t>
      </w:r>
    </w:p>
    <w:p w14:paraId="75F386AB">
      <w:pPr>
        <w:spacing w:line="360" w:lineRule="auto"/>
        <w:ind w:firstLine="482" w:firstLineChars="200"/>
        <w:rPr>
          <w:rFonts w:ascii="宋体" w:hAnsi="宋体" w:cs="宋体"/>
          <w:b/>
          <w:color w:val="000000"/>
          <w:sz w:val="24"/>
          <w:szCs w:val="24"/>
          <w:highlight w:val="none"/>
        </w:rPr>
      </w:pPr>
    </w:p>
    <w:p w14:paraId="54F4C624">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第一条</w:t>
      </w:r>
      <w:r>
        <w:rPr>
          <w:rFonts w:hint="eastAsia" w:ascii="宋体" w:hAnsi="宋体" w:cs="宋体"/>
          <w:color w:val="000000"/>
          <w:sz w:val="24"/>
          <w:szCs w:val="24"/>
          <w:highlight w:val="none"/>
        </w:rPr>
        <w:t>为了发挥政府采购的政策功能，促进中小企业健康发展，根据《中华人民共和国政府采购法》、《中华人民共和国中小企业促进法》等有关法律法规，制定本办法。</w:t>
      </w:r>
    </w:p>
    <w:p w14:paraId="0D9DE1EA">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第二条</w:t>
      </w:r>
      <w:r>
        <w:rPr>
          <w:rFonts w:hint="eastAsia" w:ascii="宋体" w:hAnsi="宋体" w:cs="宋体"/>
          <w:color w:val="000000"/>
          <w:sz w:val="24"/>
          <w:szCs w:val="24"/>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414E9E5">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第三条</w:t>
      </w:r>
      <w:r>
        <w:rPr>
          <w:rFonts w:hint="eastAsia" w:ascii="宋体" w:hAnsi="宋体" w:cs="宋体"/>
          <w:color w:val="000000"/>
          <w:sz w:val="24"/>
          <w:szCs w:val="24"/>
          <w:highlight w:val="none"/>
        </w:rPr>
        <w:t>采购人在政府采购活动中应当通过加强采购需求管理，落实预留采购份额、价格评审优惠、优先采购等措施，提高中小企业在政府采购中的份额，支持中小企业发展。</w:t>
      </w:r>
    </w:p>
    <w:p w14:paraId="3B6E16CD">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第四条</w:t>
      </w:r>
      <w:r>
        <w:rPr>
          <w:rFonts w:hint="eastAsia" w:ascii="宋体" w:hAnsi="宋体" w:cs="宋体"/>
          <w:color w:val="000000"/>
          <w:sz w:val="24"/>
          <w:szCs w:val="24"/>
          <w:highlight w:val="none"/>
        </w:rPr>
        <w:t>在政府采购活动中，投标人提供的货物、工程或者服务符合下列情形的，享受本办法规定的中小企业扶持政策：</w:t>
      </w:r>
    </w:p>
    <w:p w14:paraId="36A19F71">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（一）在货物采购项目中，货物由中小企业制造，即货</w:t>
      </w:r>
    </w:p>
    <w:p w14:paraId="51D7D31B">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物由中小企业生产且使用该中小企业商号或者注册商标；</w:t>
      </w:r>
    </w:p>
    <w:p w14:paraId="51E92E56">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（二）在工程采购项目中，工程由中小企业承建，即工</w:t>
      </w:r>
    </w:p>
    <w:p w14:paraId="2C0FEED1">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程施工单位为中小企业；</w:t>
      </w:r>
    </w:p>
    <w:p w14:paraId="355E945A">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（三）在服务采购项目中，服务由中小企业承接，即提供服务的人员为中小企业依照《中华人民共和国劳动合同法》订立劳动合同的从业人员。</w:t>
      </w:r>
    </w:p>
    <w:p w14:paraId="1639A1BF">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在货物采购项目中，投标人提供的货物既有中小企业制造货物，也有大型企业制造货物的，不享受本办法规定的中小企业扶持政策。</w:t>
      </w:r>
    </w:p>
    <w:p w14:paraId="402BA3A8">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以联合体形式参加政府采购活动，联合体各方均为中小企业的，联合体视同中小企业。其中，联合体各方均为小微企业的，联合体视同小微企业。</w:t>
      </w:r>
    </w:p>
    <w:p w14:paraId="512C15E2">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第五条</w:t>
      </w:r>
      <w:r>
        <w:rPr>
          <w:rFonts w:hint="eastAsia" w:ascii="宋体" w:hAnsi="宋体" w:cs="宋体"/>
          <w:color w:val="000000"/>
          <w:sz w:val="24"/>
          <w:szCs w:val="24"/>
          <w:highlight w:val="none"/>
        </w:rPr>
        <w:t>采购人在政府采购活动中应当合理确定采购项目的采购需求，不得以企业注册资本、资产总额、营业收入、从业人员、利润、纳税额等规模条件和财务指标作为投标人的资格要求或者评审因素，不得在企业股权结构、经营年限等方面对中小企业实行差别待遇或者歧视待遇。</w:t>
      </w:r>
    </w:p>
    <w:p w14:paraId="7DD2546E">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第六条</w:t>
      </w:r>
      <w:r>
        <w:rPr>
          <w:rFonts w:hint="eastAsia" w:ascii="宋体" w:hAnsi="宋体" w:cs="宋体"/>
          <w:color w:val="000000"/>
          <w:sz w:val="24"/>
          <w:szCs w:val="24"/>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A7D8CF8">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符合下列情形之一的，可不专门面向中小企业预留采购份额：</w:t>
      </w:r>
    </w:p>
    <w:p w14:paraId="28F52D27">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（一）法律法规和国家有关政策明确规定优先或者应当面向事业单位、社会组织等非企业主体采购的；</w:t>
      </w:r>
    </w:p>
    <w:p w14:paraId="54A38261">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（二）因确需使用不可替代的专利、专有技术，基础设施限制，或者提供特定公共服务等原因，只能从中小企业之外的投标人处采购的；</w:t>
      </w:r>
    </w:p>
    <w:p w14:paraId="0691C87E">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（三）按照本办法规定预留采购份额无法确保充分供应、充分竞争，或者存在可能影响政府采购目标实现的情形；</w:t>
      </w:r>
    </w:p>
    <w:p w14:paraId="1519F13A">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（四）框架协议采购项目；</w:t>
      </w:r>
    </w:p>
    <w:p w14:paraId="3E8525EA">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（五）省级以上人民政府财政部门规定的其他情形。除上述情形外，其他均为适宜由中小企业提供的情形。</w:t>
      </w:r>
    </w:p>
    <w:p w14:paraId="1A9A7D89">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第七条</w:t>
      </w:r>
      <w:r>
        <w:rPr>
          <w:rFonts w:hint="eastAsia" w:ascii="宋体" w:hAnsi="宋体" w:cs="宋体"/>
          <w:color w:val="000000"/>
          <w:sz w:val="24"/>
          <w:szCs w:val="24"/>
          <w:highlight w:val="none"/>
        </w:rPr>
        <w:t>采购限额标准以上，</w:t>
      </w:r>
      <w:r>
        <w:rPr>
          <w:rFonts w:ascii="宋体" w:hAnsi="宋体" w:cs="宋体"/>
          <w:color w:val="000000"/>
          <w:sz w:val="24"/>
          <w:szCs w:val="24"/>
          <w:highlight w:val="none"/>
        </w:rPr>
        <w:t xml:space="preserve">200 </w:t>
      </w:r>
      <w:r>
        <w:rPr>
          <w:rFonts w:hint="eastAsia" w:ascii="宋体" w:hAnsi="宋体" w:cs="宋体"/>
          <w:color w:val="000000"/>
          <w:sz w:val="24"/>
          <w:szCs w:val="24"/>
          <w:highlight w:val="none"/>
        </w:rPr>
        <w:t>万元以下的货物和服务采购项目、</w:t>
      </w:r>
      <w:r>
        <w:rPr>
          <w:rFonts w:ascii="宋体" w:hAnsi="宋体" w:cs="宋体"/>
          <w:color w:val="000000"/>
          <w:sz w:val="24"/>
          <w:szCs w:val="24"/>
          <w:highlight w:val="none"/>
        </w:rPr>
        <w:t xml:space="preserve">400 </w:t>
      </w:r>
      <w:r>
        <w:rPr>
          <w:rFonts w:hint="eastAsia" w:ascii="宋体" w:hAnsi="宋体" w:cs="宋体"/>
          <w:color w:val="000000"/>
          <w:sz w:val="24"/>
          <w:szCs w:val="24"/>
          <w:highlight w:val="none"/>
        </w:rPr>
        <w:t>万元以下的工程采购项目，适宜由中小企业提供的，采购人应当专门面向中小企业采购。</w:t>
      </w:r>
    </w:p>
    <w:p w14:paraId="2B69B02C">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第八条</w:t>
      </w:r>
      <w:r>
        <w:rPr>
          <w:rFonts w:hint="eastAsia" w:ascii="宋体" w:hAnsi="宋体" w:cs="宋体"/>
          <w:color w:val="000000"/>
          <w:sz w:val="24"/>
          <w:szCs w:val="24"/>
          <w:highlight w:val="none"/>
        </w:rPr>
        <w:t>超过</w:t>
      </w:r>
      <w:r>
        <w:rPr>
          <w:rFonts w:ascii="宋体" w:hAnsi="宋体" w:cs="宋体"/>
          <w:color w:val="000000"/>
          <w:sz w:val="24"/>
          <w:szCs w:val="24"/>
          <w:highlight w:val="none"/>
        </w:rPr>
        <w:t xml:space="preserve">200 </w:t>
      </w:r>
      <w:r>
        <w:rPr>
          <w:rFonts w:hint="eastAsia" w:ascii="宋体" w:hAnsi="宋体" w:cs="宋体"/>
          <w:color w:val="000000"/>
          <w:sz w:val="24"/>
          <w:szCs w:val="24"/>
          <w:highlight w:val="none"/>
        </w:rPr>
        <w:t>万元的货物和服务采购项目、超过</w:t>
      </w:r>
      <w:r>
        <w:rPr>
          <w:rFonts w:ascii="宋体" w:hAnsi="宋体" w:cs="宋体"/>
          <w:color w:val="000000"/>
          <w:sz w:val="24"/>
          <w:szCs w:val="24"/>
          <w:highlight w:val="none"/>
        </w:rPr>
        <w:t xml:space="preserve">400 </w:t>
      </w:r>
      <w:r>
        <w:rPr>
          <w:rFonts w:hint="eastAsia" w:ascii="宋体" w:hAnsi="宋体" w:cs="宋体"/>
          <w:color w:val="000000"/>
          <w:sz w:val="24"/>
          <w:szCs w:val="24"/>
          <w:highlight w:val="none"/>
        </w:rPr>
        <w:t>万元的工程采购项目中适宜由中小企业提供的，预留该部分采购项目预算总额的</w:t>
      </w:r>
      <w:r>
        <w:rPr>
          <w:rFonts w:ascii="宋体" w:hAnsi="宋体" w:cs="宋体"/>
          <w:color w:val="000000"/>
          <w:sz w:val="24"/>
          <w:szCs w:val="24"/>
          <w:highlight w:val="none"/>
        </w:rPr>
        <w:t>30%</w:t>
      </w:r>
      <w:r>
        <w:rPr>
          <w:rFonts w:hint="eastAsia" w:ascii="宋体" w:hAnsi="宋体" w:cs="宋体"/>
          <w:color w:val="000000"/>
          <w:sz w:val="24"/>
          <w:szCs w:val="24"/>
          <w:highlight w:val="none"/>
        </w:rPr>
        <w:t>以上专门面向中小企业采购，其中预留给小微企业的比例不低于</w:t>
      </w:r>
      <w:r>
        <w:rPr>
          <w:rFonts w:ascii="宋体" w:hAnsi="宋体" w:cs="宋体"/>
          <w:color w:val="000000"/>
          <w:sz w:val="24"/>
          <w:szCs w:val="24"/>
          <w:highlight w:val="none"/>
        </w:rPr>
        <w:t>60%</w:t>
      </w:r>
      <w:r>
        <w:rPr>
          <w:rFonts w:hint="eastAsia" w:ascii="宋体" w:hAnsi="宋体" w:cs="宋体"/>
          <w:color w:val="000000"/>
          <w:sz w:val="24"/>
          <w:szCs w:val="24"/>
          <w:highlight w:val="none"/>
        </w:rPr>
        <w:t>。预留份额通过下列措施进行：</w:t>
      </w:r>
    </w:p>
    <w:p w14:paraId="6B74042F">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（一）将采购项目整体或者设置采购包专门面向中小企</w:t>
      </w:r>
    </w:p>
    <w:p w14:paraId="0E7EEA04">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业采购；</w:t>
      </w:r>
    </w:p>
    <w:p w14:paraId="276B3341">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（二）要求投标人以联合体形式参加采购活动，且联合</w:t>
      </w:r>
    </w:p>
    <w:p w14:paraId="67D50549">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体中中小企业承担的部分达到一定比例；</w:t>
      </w:r>
    </w:p>
    <w:p w14:paraId="109033DF">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（三）要求获得采购合同的投标人将采购项目中的一定比例分包给一家或者多家中小企业。组成联合体或者接受分包合同的中小企业与联合体内其他企业、分包企业之间不得存在直接控股、管理关系。</w:t>
      </w:r>
    </w:p>
    <w:p w14:paraId="0F777FAF">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第九条</w:t>
      </w:r>
      <w:r>
        <w:rPr>
          <w:rFonts w:hint="eastAsia" w:ascii="宋体" w:hAnsi="宋体" w:cs="宋体"/>
          <w:color w:val="000000"/>
          <w:sz w:val="24"/>
          <w:szCs w:val="24"/>
          <w:highlight w:val="none"/>
        </w:rPr>
        <w:t>对于经主管预算单位统筹后未预留份额专门面向中小企业采购的采购项目，以及预留份额项目中的非预留部分采购包，采购人、采购代理机构应当对符合本办法规定的小微企业报价给予</w:t>
      </w:r>
      <w:r>
        <w:rPr>
          <w:rFonts w:ascii="宋体" w:hAnsi="宋体" w:cs="宋体"/>
          <w:color w:val="000000"/>
          <w:sz w:val="24"/>
          <w:szCs w:val="24"/>
          <w:highlight w:val="none"/>
        </w:rPr>
        <w:t>6%</w:t>
      </w:r>
      <w:r>
        <w:rPr>
          <w:rFonts w:hint="eastAsia" w:ascii="宋体" w:hAnsi="宋体" w:cs="宋体"/>
          <w:color w:val="000000"/>
          <w:sz w:val="24"/>
          <w:szCs w:val="24"/>
          <w:highlight w:val="none"/>
        </w:rPr>
        <w:t>—</w:t>
      </w:r>
      <w:r>
        <w:rPr>
          <w:rFonts w:ascii="宋体" w:hAnsi="宋体" w:cs="宋体"/>
          <w:color w:val="000000"/>
          <w:sz w:val="24"/>
          <w:szCs w:val="24"/>
          <w:highlight w:val="none"/>
        </w:rPr>
        <w:t>10%</w:t>
      </w:r>
      <w:r>
        <w:rPr>
          <w:rFonts w:hint="eastAsia" w:ascii="宋体" w:hAnsi="宋体" w:cs="宋体"/>
          <w:color w:val="000000"/>
          <w:sz w:val="24"/>
          <w:szCs w:val="24"/>
          <w:highlight w:val="none"/>
        </w:rPr>
        <w:t>（工程项目为</w:t>
      </w:r>
      <w:r>
        <w:rPr>
          <w:rFonts w:ascii="宋体" w:hAnsi="宋体" w:cs="宋体"/>
          <w:color w:val="000000"/>
          <w:sz w:val="24"/>
          <w:szCs w:val="24"/>
          <w:highlight w:val="none"/>
        </w:rPr>
        <w:t>3%</w:t>
      </w:r>
      <w:r>
        <w:rPr>
          <w:rFonts w:hint="eastAsia" w:ascii="宋体" w:hAnsi="宋体" w:cs="宋体"/>
          <w:color w:val="000000"/>
          <w:sz w:val="24"/>
          <w:szCs w:val="24"/>
          <w:highlight w:val="none"/>
        </w:rPr>
        <w:t>—</w:t>
      </w:r>
      <w:r>
        <w:rPr>
          <w:rFonts w:ascii="宋体" w:hAnsi="宋体" w:cs="宋体"/>
          <w:color w:val="000000"/>
          <w:sz w:val="24"/>
          <w:szCs w:val="24"/>
          <w:highlight w:val="none"/>
        </w:rPr>
        <w:t>5%</w:t>
      </w:r>
      <w:r>
        <w:rPr>
          <w:rFonts w:hint="eastAsia" w:ascii="宋体" w:hAnsi="宋体" w:cs="宋体"/>
          <w:color w:val="000000"/>
          <w:sz w:val="24"/>
          <w:szCs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ascii="宋体" w:hAnsi="宋体" w:cs="宋体"/>
          <w:color w:val="000000"/>
          <w:sz w:val="24"/>
          <w:szCs w:val="24"/>
          <w:highlight w:val="none"/>
        </w:rPr>
        <w:t>3%</w:t>
      </w:r>
      <w:r>
        <w:rPr>
          <w:rFonts w:hint="eastAsia" w:ascii="宋体" w:hAnsi="宋体" w:cs="宋体"/>
          <w:color w:val="000000"/>
          <w:sz w:val="24"/>
          <w:szCs w:val="24"/>
          <w:highlight w:val="none"/>
        </w:rPr>
        <w:t>—</w:t>
      </w:r>
      <w:r>
        <w:rPr>
          <w:rFonts w:ascii="宋体" w:hAnsi="宋体" w:cs="宋体"/>
          <w:color w:val="000000"/>
          <w:sz w:val="24"/>
          <w:szCs w:val="24"/>
          <w:highlight w:val="none"/>
        </w:rPr>
        <w:t>5%</w:t>
      </w:r>
      <w:r>
        <w:rPr>
          <w:rFonts w:hint="eastAsia" w:ascii="宋体" w:hAnsi="宋体" w:cs="宋体"/>
          <w:color w:val="000000"/>
          <w:sz w:val="24"/>
          <w:szCs w:val="24"/>
          <w:highlight w:val="none"/>
        </w:rPr>
        <w:t>作为其价格分。</w:t>
      </w:r>
    </w:p>
    <w:p w14:paraId="1D346D67">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接受大中型企业与小微企业组成联合体或者允许大中型企业向一家或者多家小微企业分包的采购项目，对于联合协议或者分包意向协议约定小微企业的合同份额占到合同总金额</w:t>
      </w:r>
      <w:r>
        <w:rPr>
          <w:rFonts w:ascii="宋体" w:hAnsi="宋体" w:cs="宋体"/>
          <w:color w:val="000000"/>
          <w:sz w:val="24"/>
          <w:szCs w:val="24"/>
          <w:highlight w:val="none"/>
        </w:rPr>
        <w:t>30%</w:t>
      </w:r>
      <w:r>
        <w:rPr>
          <w:rFonts w:hint="eastAsia" w:ascii="宋体" w:hAnsi="宋体" w:cs="宋体"/>
          <w:color w:val="000000"/>
          <w:sz w:val="24"/>
          <w:szCs w:val="24"/>
          <w:highlight w:val="none"/>
        </w:rPr>
        <w:t>以上的，采购人、采购代理机构应当对联合体或者大中型企业的报价给予</w:t>
      </w:r>
      <w:r>
        <w:rPr>
          <w:rFonts w:ascii="宋体" w:hAnsi="宋体" w:cs="宋体"/>
          <w:color w:val="000000"/>
          <w:sz w:val="24"/>
          <w:szCs w:val="24"/>
          <w:highlight w:val="none"/>
        </w:rPr>
        <w:t>2%-3%</w:t>
      </w:r>
      <w:r>
        <w:rPr>
          <w:rFonts w:hint="eastAsia" w:ascii="宋体" w:hAnsi="宋体" w:cs="宋体"/>
          <w:color w:val="000000"/>
          <w:sz w:val="24"/>
          <w:szCs w:val="24"/>
          <w:highlight w:val="none"/>
        </w:rPr>
        <w:t>（工程项目为</w:t>
      </w:r>
      <w:r>
        <w:rPr>
          <w:rFonts w:ascii="宋体" w:hAnsi="宋体" w:cs="宋体"/>
          <w:color w:val="000000"/>
          <w:sz w:val="24"/>
          <w:szCs w:val="24"/>
          <w:highlight w:val="none"/>
        </w:rPr>
        <w:t>1%</w:t>
      </w:r>
      <w:r>
        <w:rPr>
          <w:rFonts w:hint="eastAsia" w:ascii="宋体" w:hAnsi="宋体" w:cs="宋体"/>
          <w:color w:val="000000"/>
          <w:sz w:val="24"/>
          <w:szCs w:val="24"/>
          <w:highlight w:val="none"/>
        </w:rPr>
        <w:t>—</w:t>
      </w:r>
      <w:r>
        <w:rPr>
          <w:rFonts w:ascii="宋体" w:hAnsi="宋体" w:cs="宋体"/>
          <w:color w:val="000000"/>
          <w:sz w:val="24"/>
          <w:szCs w:val="24"/>
          <w:highlight w:val="none"/>
        </w:rPr>
        <w:t>2%</w:t>
      </w:r>
      <w:r>
        <w:rPr>
          <w:rFonts w:hint="eastAsia" w:ascii="宋体" w:hAnsi="宋体" w:cs="宋体"/>
          <w:color w:val="000000"/>
          <w:sz w:val="24"/>
          <w:szCs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ascii="宋体" w:hAnsi="宋体" w:cs="宋体"/>
          <w:color w:val="000000"/>
          <w:sz w:val="24"/>
          <w:szCs w:val="24"/>
          <w:highlight w:val="none"/>
        </w:rPr>
        <w:t>1%</w:t>
      </w:r>
      <w:r>
        <w:rPr>
          <w:rFonts w:hint="eastAsia" w:ascii="宋体" w:hAnsi="宋体" w:cs="宋体"/>
          <w:color w:val="000000"/>
          <w:sz w:val="24"/>
          <w:szCs w:val="24"/>
          <w:highlight w:val="none"/>
        </w:rPr>
        <w:t>—</w:t>
      </w:r>
      <w:r>
        <w:rPr>
          <w:rFonts w:ascii="宋体" w:hAnsi="宋体" w:cs="宋体"/>
          <w:color w:val="000000"/>
          <w:sz w:val="24"/>
          <w:szCs w:val="24"/>
          <w:highlight w:val="none"/>
        </w:rPr>
        <w:t>2%</w:t>
      </w:r>
      <w:r>
        <w:rPr>
          <w:rFonts w:hint="eastAsia" w:ascii="宋体" w:hAnsi="宋体" w:cs="宋体"/>
          <w:color w:val="000000"/>
          <w:sz w:val="24"/>
          <w:szCs w:val="24"/>
          <w:highlight w:val="none"/>
        </w:rPr>
        <w:t>作为其价格分。组成联合体或者接受分包的小微企业与联合体内其他企业、分包企业之间存在直接控</w:t>
      </w:r>
    </w:p>
    <w:p w14:paraId="4B43A180">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股、管理关系的，不享受价格扣除优惠政策。</w:t>
      </w:r>
    </w:p>
    <w:p w14:paraId="5AD62455">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AC07B91">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第十条</w:t>
      </w:r>
      <w:r>
        <w:rPr>
          <w:rFonts w:hint="eastAsia" w:ascii="宋体" w:hAnsi="宋体" w:cs="宋体"/>
          <w:color w:val="000000"/>
          <w:sz w:val="24"/>
          <w:szCs w:val="24"/>
          <w:highlight w:val="none"/>
        </w:rPr>
        <w:t>采购人应当严格按照本办法规定和主管预算单位制定的预留采购份额具体方案开展采购活动。预留份额的采购项目或者采购包，通过发布公告方式邀请投标人后，符合资格条件的中小企业数量不足</w:t>
      </w:r>
      <w:r>
        <w:rPr>
          <w:rFonts w:ascii="宋体" w:hAnsi="宋体" w:cs="宋体"/>
          <w:color w:val="000000"/>
          <w:sz w:val="24"/>
          <w:szCs w:val="24"/>
          <w:highlight w:val="none"/>
        </w:rPr>
        <w:t xml:space="preserve">3 </w:t>
      </w:r>
      <w:r>
        <w:rPr>
          <w:rFonts w:hint="eastAsia" w:ascii="宋体" w:hAnsi="宋体" w:cs="宋体"/>
          <w:color w:val="000000"/>
          <w:sz w:val="24"/>
          <w:szCs w:val="24"/>
          <w:highlight w:val="none"/>
        </w:rPr>
        <w:t>家的，应当中止采购活动，视同未预留份额的采购项目或者采购包，按照本办法第九条有关规定重新组织采购活动。</w:t>
      </w:r>
    </w:p>
    <w:p w14:paraId="0747E45D">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第十一条</w:t>
      </w:r>
      <w:r>
        <w:rPr>
          <w:rFonts w:hint="eastAsia" w:ascii="宋体" w:hAnsi="宋体" w:cs="宋体"/>
          <w:color w:val="000000"/>
          <w:sz w:val="24"/>
          <w:szCs w:val="24"/>
          <w:highlight w:val="none"/>
        </w:rPr>
        <w:t>中小企业参加政府采购活动，应当出具本办法规定的《中小企业声明函》，否则不得享受相关中小企业扶持政策。任何单位和个人不得要求投标人提供《中小企业声明函》之外的中小企业身份证明文件。</w:t>
      </w:r>
    </w:p>
    <w:p w14:paraId="26FD5EDA">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第十二条</w:t>
      </w:r>
      <w:r>
        <w:rPr>
          <w:rFonts w:hint="eastAsia" w:ascii="宋体" w:hAnsi="宋体" w:cs="宋体"/>
          <w:color w:val="000000"/>
          <w:sz w:val="24"/>
          <w:szCs w:val="24"/>
          <w:highlight w:val="none"/>
        </w:rPr>
        <w:t>采购项目涉及中小企业采购的，采购文件应当明确以下内容：</w:t>
      </w:r>
    </w:p>
    <w:p w14:paraId="7293981A">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（一）预留份额的采购项目或者采购包，明确该项目或相关采购包专门面向中小企业采购，以及相关标的及预算金额；</w:t>
      </w:r>
    </w:p>
    <w:p w14:paraId="4C2BEB73">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（二）要求以联合体形式参加或者合同分包的，明确联合协议或者分包意向协议中中小企业合同金额应当达到的比例，并作为投标人资格条件；</w:t>
      </w:r>
    </w:p>
    <w:p w14:paraId="7359ACF6">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（三）非预留份额的采购项目或者采购包，明确有关价格扣除比例或者价格分加分比例；</w:t>
      </w:r>
    </w:p>
    <w:p w14:paraId="6D67E800">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（四）规定依据本办法规定享受扶持政策获得政府采购合同的，小微企业不得将合同分包给大中型企业，中型企业不得将合同分包给大型企业；</w:t>
      </w:r>
    </w:p>
    <w:p w14:paraId="5B84D524">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（五）采购人认为具备相关条件的，明确对中小企业在资金支付期限、预付款比例等方面的优惠措施；</w:t>
      </w:r>
    </w:p>
    <w:p w14:paraId="665E9CDF">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（六）明确采购标的对应的中小企业划分标准所属行业；</w:t>
      </w:r>
    </w:p>
    <w:p w14:paraId="1B581D51">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（七）法律法规和省级以上人民政府财政部门规定的其他事项。</w:t>
      </w:r>
    </w:p>
    <w:p w14:paraId="7D9E56CB">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第十三条</w:t>
      </w:r>
      <w:r>
        <w:rPr>
          <w:rFonts w:hint="eastAsia" w:ascii="宋体" w:hAnsi="宋体" w:cs="宋体"/>
          <w:color w:val="000000"/>
          <w:sz w:val="24"/>
          <w:szCs w:val="24"/>
          <w:highlight w:val="none"/>
        </w:rPr>
        <w:t>中标、成交投标人享受本办法规定的中小企业扶持政策的，采购人、采购代理机构应当随中标、成交结果公开中标、成交投标人的《中小企业声明函》。</w:t>
      </w:r>
    </w:p>
    <w:p w14:paraId="78668795">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适用招标投标法的政府采购工程建设项目，应当在公示中标候选人时公开中标候选人的《中小企业声明函》。</w:t>
      </w:r>
    </w:p>
    <w:p w14:paraId="5F41B5C4">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第十四条</w:t>
      </w:r>
      <w:r>
        <w:rPr>
          <w:rFonts w:hint="eastAsia" w:ascii="宋体" w:hAnsi="宋体" w:cs="宋体"/>
          <w:color w:val="000000"/>
          <w:sz w:val="24"/>
          <w:szCs w:val="24"/>
          <w:highlight w:val="none"/>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9F72EEB">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第十五条</w:t>
      </w:r>
      <w:r>
        <w:rPr>
          <w:rFonts w:hint="eastAsia" w:ascii="宋体" w:hAnsi="宋体" w:cs="宋体"/>
          <w:color w:val="000000"/>
          <w:sz w:val="24"/>
          <w:szCs w:val="24"/>
          <w:highlight w:val="none"/>
        </w:rPr>
        <w:t>鼓励各地区、各部门在采购活动中允许中小企业引入信用担保手段，为中小企业在投标（响应）保证、履约保证等方面提供专业化服务。鼓励中小企业依法合规通过政府采购合同融资。</w:t>
      </w:r>
    </w:p>
    <w:p w14:paraId="1205B339">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第十六条</w:t>
      </w:r>
      <w:r>
        <w:rPr>
          <w:rFonts w:hint="eastAsia" w:ascii="宋体" w:hAnsi="宋体" w:cs="宋体"/>
          <w:color w:val="000000"/>
          <w:sz w:val="24"/>
          <w:szCs w:val="24"/>
          <w:highlight w:val="none"/>
        </w:rPr>
        <w:t>政府采购监督检查、投诉处理及政府采购行政处罚中对中小企业的认定，由货物制造商或者工程、服务投标人注册登记所在地的县级以上人民政府中小企业主管部门负责。</w:t>
      </w:r>
    </w:p>
    <w:p w14:paraId="3CD770B4">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中小企业主管部门应当在收到财政部门或者有关招标投标行政监督部门关于协助开展中小企业认定函后</w:t>
      </w:r>
      <w:r>
        <w:rPr>
          <w:rFonts w:ascii="宋体" w:hAnsi="宋体" w:cs="宋体"/>
          <w:color w:val="000000"/>
          <w:sz w:val="24"/>
          <w:szCs w:val="24"/>
          <w:highlight w:val="none"/>
        </w:rPr>
        <w:t xml:space="preserve">10 </w:t>
      </w:r>
      <w:r>
        <w:rPr>
          <w:rFonts w:hint="eastAsia" w:ascii="宋体" w:hAnsi="宋体" w:cs="宋体"/>
          <w:color w:val="000000"/>
          <w:sz w:val="24"/>
          <w:szCs w:val="24"/>
          <w:highlight w:val="none"/>
        </w:rPr>
        <w:t>个工作日内做出书面答复。</w:t>
      </w:r>
    </w:p>
    <w:p w14:paraId="1FB42BED">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第十七条</w:t>
      </w:r>
      <w:r>
        <w:rPr>
          <w:rFonts w:hint="eastAsia" w:ascii="宋体" w:hAnsi="宋体" w:cs="宋体"/>
          <w:color w:val="000000"/>
          <w:sz w:val="24"/>
          <w:szCs w:val="24"/>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6BDC0A52">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第十八条</w:t>
      </w:r>
      <w:r>
        <w:rPr>
          <w:rFonts w:hint="eastAsia" w:ascii="宋体" w:hAnsi="宋体" w:cs="宋体"/>
          <w:color w:val="000000"/>
          <w:sz w:val="24"/>
          <w:szCs w:val="24"/>
          <w:highlight w:val="none"/>
        </w:rPr>
        <w:t>主管预算单位应当自</w:t>
      </w:r>
      <w:r>
        <w:rPr>
          <w:rFonts w:ascii="宋体" w:hAnsi="宋体" w:cs="宋体"/>
          <w:color w:val="000000"/>
          <w:sz w:val="24"/>
          <w:szCs w:val="24"/>
          <w:highlight w:val="none"/>
        </w:rPr>
        <w:t xml:space="preserve">2022 </w:t>
      </w:r>
      <w:r>
        <w:rPr>
          <w:rFonts w:hint="eastAsia" w:ascii="宋体" w:hAnsi="宋体" w:cs="宋体"/>
          <w:color w:val="000000"/>
          <w:sz w:val="24"/>
          <w:szCs w:val="24"/>
          <w:highlight w:val="none"/>
        </w:rPr>
        <w:t>年起向同级财政部门报告本部门上一年度面向中小企业预留份额和采购的具体情况，并在中国政府采购网公开预留项目执行情况。未达到本办法规定的预留份额比例的，应当作出说明。</w:t>
      </w:r>
    </w:p>
    <w:p w14:paraId="57A9034B">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第十九条</w:t>
      </w:r>
      <w:r>
        <w:rPr>
          <w:rFonts w:hint="eastAsia" w:ascii="宋体" w:hAnsi="宋体" w:cs="宋体"/>
          <w:color w:val="000000"/>
          <w:sz w:val="24"/>
          <w:szCs w:val="24"/>
          <w:highlight w:val="none"/>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5993130">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第二十条</w:t>
      </w:r>
      <w:r>
        <w:rPr>
          <w:rFonts w:hint="eastAsia" w:ascii="宋体" w:hAnsi="宋体" w:cs="宋体"/>
          <w:color w:val="000000"/>
          <w:sz w:val="24"/>
          <w:szCs w:val="24"/>
          <w:highlight w:val="none"/>
        </w:rPr>
        <w:t>投标人按照本办法规定提供声明函内容不实的，属于提供虚假材料谋取中标、成交，依照《中华人民共和国政府采购法》等国家有关规定追究相应责任。</w:t>
      </w:r>
    </w:p>
    <w:p w14:paraId="08E73340">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适用招标投标法的政府采购工程建设项目，投标人按照本办法规定提供声明函内容不实的，属于弄虚作假骗取中标，</w:t>
      </w:r>
    </w:p>
    <w:p w14:paraId="084989DE">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rPr>
        <w:t>依照《中华人民共和国招标投标法》等国家有关规定追究相应责任。</w:t>
      </w:r>
    </w:p>
    <w:p w14:paraId="48DAE55C">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第二十一条</w:t>
      </w:r>
      <w:r>
        <w:rPr>
          <w:rFonts w:hint="eastAsia" w:ascii="宋体" w:hAnsi="宋体" w:cs="宋体"/>
          <w:color w:val="000000"/>
          <w:sz w:val="24"/>
          <w:szCs w:val="24"/>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389957C5">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第二十二条</w:t>
      </w:r>
      <w:r>
        <w:rPr>
          <w:rFonts w:hint="eastAsia" w:ascii="宋体" w:hAnsi="宋体" w:cs="宋体"/>
          <w:color w:val="000000"/>
          <w:sz w:val="24"/>
          <w:szCs w:val="24"/>
          <w:highlight w:val="none"/>
        </w:rPr>
        <w:t>对外援助项目、国家相关资格或者资质管理制度另有规定的项目，不适用本办法。</w:t>
      </w:r>
    </w:p>
    <w:p w14:paraId="36648338">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第二十三条</w:t>
      </w:r>
      <w:r>
        <w:rPr>
          <w:rFonts w:hint="eastAsia" w:ascii="宋体" w:hAnsi="宋体" w:cs="宋体"/>
          <w:color w:val="000000"/>
          <w:sz w:val="24"/>
          <w:szCs w:val="24"/>
          <w:highlight w:val="none"/>
        </w:rPr>
        <w:t>关于视同中小企业的其他主体的政府采购扶持政策，由财政部会同有关部门另行规定。</w:t>
      </w:r>
    </w:p>
    <w:p w14:paraId="55961E7B">
      <w:pPr>
        <w:spacing w:line="360" w:lineRule="auto"/>
        <w:ind w:firstLine="482" w:firstLineChars="200"/>
        <w:rPr>
          <w:rFonts w:ascii="宋体" w:hAnsi="宋体" w:cs="宋体"/>
          <w:color w:val="000000"/>
          <w:sz w:val="24"/>
          <w:szCs w:val="24"/>
          <w:highlight w:val="none"/>
        </w:rPr>
      </w:pPr>
      <w:r>
        <w:rPr>
          <w:rFonts w:hint="eastAsia" w:ascii="宋体" w:hAnsi="宋体" w:cs="宋体"/>
          <w:b/>
          <w:color w:val="000000"/>
          <w:sz w:val="24"/>
          <w:szCs w:val="24"/>
          <w:highlight w:val="none"/>
        </w:rPr>
        <w:t>第二十四条</w:t>
      </w:r>
      <w:r>
        <w:rPr>
          <w:rFonts w:hint="eastAsia" w:ascii="宋体" w:hAnsi="宋体" w:cs="宋体"/>
          <w:color w:val="000000"/>
          <w:sz w:val="24"/>
          <w:szCs w:val="24"/>
          <w:highlight w:val="none"/>
        </w:rPr>
        <w:t>省级财政部门可以会同中小企业主管部门根据本办法的规定制定具体实施办法。</w:t>
      </w:r>
    </w:p>
    <w:p w14:paraId="043027B2">
      <w:pPr>
        <w:spacing w:line="360" w:lineRule="auto"/>
        <w:ind w:firstLine="482" w:firstLineChars="200"/>
        <w:rPr>
          <w:rFonts w:ascii="宋体" w:hAnsi="宋体" w:cs="宋体"/>
          <w:b/>
          <w:color w:val="000000"/>
          <w:sz w:val="24"/>
          <w:szCs w:val="24"/>
          <w:highlight w:val="none"/>
        </w:rPr>
      </w:pPr>
      <w:r>
        <w:rPr>
          <w:rFonts w:hint="eastAsia" w:ascii="宋体" w:hAnsi="宋体" w:cs="宋体"/>
          <w:b/>
          <w:color w:val="000000"/>
          <w:sz w:val="24"/>
          <w:szCs w:val="24"/>
          <w:highlight w:val="none"/>
        </w:rPr>
        <w:t>第二十五条</w:t>
      </w:r>
      <w:r>
        <w:rPr>
          <w:rFonts w:hint="eastAsia" w:ascii="宋体" w:hAnsi="宋体" w:cs="宋体"/>
          <w:color w:val="000000"/>
          <w:sz w:val="24"/>
          <w:szCs w:val="24"/>
          <w:highlight w:val="none"/>
        </w:rPr>
        <w:t>本办法自</w:t>
      </w:r>
      <w:r>
        <w:rPr>
          <w:rFonts w:ascii="宋体" w:hAnsi="宋体" w:cs="宋体"/>
          <w:color w:val="000000"/>
          <w:sz w:val="24"/>
          <w:szCs w:val="24"/>
          <w:highlight w:val="none"/>
        </w:rPr>
        <w:t xml:space="preserve">2021 </w:t>
      </w:r>
      <w:r>
        <w:rPr>
          <w:rFonts w:hint="eastAsia" w:ascii="宋体" w:hAnsi="宋体" w:cs="宋体"/>
          <w:color w:val="000000"/>
          <w:sz w:val="24"/>
          <w:szCs w:val="24"/>
          <w:highlight w:val="none"/>
        </w:rPr>
        <w:t>年</w:t>
      </w:r>
      <w:r>
        <w:rPr>
          <w:rFonts w:ascii="宋体" w:hAnsi="宋体" w:cs="宋体"/>
          <w:color w:val="000000"/>
          <w:sz w:val="24"/>
          <w:szCs w:val="24"/>
          <w:highlight w:val="none"/>
        </w:rPr>
        <w:t xml:space="preserve">1 </w:t>
      </w:r>
      <w:r>
        <w:rPr>
          <w:rFonts w:hint="eastAsia" w:ascii="宋体" w:hAnsi="宋体" w:cs="宋体"/>
          <w:color w:val="000000"/>
          <w:sz w:val="24"/>
          <w:szCs w:val="24"/>
          <w:highlight w:val="none"/>
        </w:rPr>
        <w:t>月</w:t>
      </w:r>
      <w:r>
        <w:rPr>
          <w:rFonts w:ascii="宋体" w:hAnsi="宋体" w:cs="宋体"/>
          <w:color w:val="000000"/>
          <w:sz w:val="24"/>
          <w:szCs w:val="24"/>
          <w:highlight w:val="none"/>
        </w:rPr>
        <w:t xml:space="preserve">1 </w:t>
      </w:r>
      <w:r>
        <w:rPr>
          <w:rFonts w:hint="eastAsia" w:ascii="宋体" w:hAnsi="宋体" w:cs="宋体"/>
          <w:color w:val="000000"/>
          <w:sz w:val="24"/>
          <w:szCs w:val="24"/>
          <w:highlight w:val="none"/>
        </w:rPr>
        <w:t>日起施行。《财政部工业和信息化部关于印发〈政府采购促进中小企业发展行办法〉的通知》（财库﹝</w:t>
      </w:r>
      <w:r>
        <w:rPr>
          <w:rFonts w:ascii="宋体" w:hAnsi="宋体" w:cs="宋体"/>
          <w:color w:val="000000"/>
          <w:sz w:val="24"/>
          <w:szCs w:val="24"/>
          <w:highlight w:val="none"/>
        </w:rPr>
        <w:t>2011</w:t>
      </w:r>
      <w:r>
        <w:rPr>
          <w:rFonts w:hint="eastAsia" w:ascii="宋体" w:hAnsi="宋体" w:cs="宋体"/>
          <w:color w:val="000000"/>
          <w:sz w:val="24"/>
          <w:szCs w:val="24"/>
          <w:highlight w:val="none"/>
        </w:rPr>
        <w:t>﹞</w:t>
      </w:r>
      <w:r>
        <w:rPr>
          <w:rFonts w:ascii="宋体" w:hAnsi="宋体" w:cs="宋体"/>
          <w:color w:val="000000"/>
          <w:sz w:val="24"/>
          <w:szCs w:val="24"/>
          <w:highlight w:val="none"/>
        </w:rPr>
        <w:t xml:space="preserve">181 </w:t>
      </w:r>
      <w:r>
        <w:rPr>
          <w:rFonts w:hint="eastAsia" w:ascii="宋体" w:hAnsi="宋体" w:cs="宋体"/>
          <w:color w:val="000000"/>
          <w:sz w:val="24"/>
          <w:szCs w:val="24"/>
          <w:highlight w:val="none"/>
        </w:rPr>
        <w:t>号）同时废止。</w:t>
      </w:r>
    </w:p>
    <w:p w14:paraId="53EE547B">
      <w:pPr>
        <w:spacing w:line="360" w:lineRule="auto"/>
        <w:ind w:firstLine="482" w:firstLineChars="200"/>
        <w:rPr>
          <w:rFonts w:ascii="宋体" w:hAnsi="宋体" w:cs="宋体"/>
          <w:b/>
          <w:color w:val="000000"/>
          <w:sz w:val="24"/>
          <w:szCs w:val="24"/>
          <w:highlight w:val="none"/>
        </w:rPr>
      </w:pPr>
    </w:p>
    <w:p w14:paraId="647972CC">
      <w:pPr>
        <w:pStyle w:val="43"/>
        <w:spacing w:before="0" w:beforeAutospacing="0" w:after="0" w:afterAutospacing="0" w:line="360" w:lineRule="auto"/>
        <w:rPr>
          <w:rFonts w:cs="宋体"/>
          <w:color w:val="000000"/>
          <w:highlight w:val="none"/>
        </w:rPr>
      </w:pPr>
      <w:r>
        <w:rPr>
          <w:rFonts w:cs="宋体"/>
          <w:b/>
          <w:color w:val="000000"/>
          <w:highlight w:val="none"/>
        </w:rPr>
        <w:br w:type="page"/>
      </w:r>
      <w:r>
        <w:rPr>
          <w:rStyle w:val="51"/>
          <w:rFonts w:hint="eastAsia" w:cs="宋体"/>
          <w:color w:val="000000"/>
          <w:highlight w:val="none"/>
        </w:rPr>
        <w:t>中小企业划型标准规定</w:t>
      </w:r>
    </w:p>
    <w:p w14:paraId="151619F5">
      <w:pPr>
        <w:pStyle w:val="43"/>
        <w:spacing w:before="0" w:beforeAutospacing="0" w:after="0" w:afterAutospacing="0" w:line="360" w:lineRule="auto"/>
        <w:rPr>
          <w:rFonts w:cs="宋体"/>
          <w:color w:val="000000"/>
          <w:highlight w:val="none"/>
        </w:rPr>
      </w:pPr>
      <w:r>
        <w:rPr>
          <w:rFonts w:cs="宋体"/>
          <w:color w:val="000000"/>
          <w:highlight w:val="none"/>
        </w:rPr>
        <w:t> </w:t>
      </w:r>
      <w:r>
        <w:rPr>
          <w:rFonts w:hint="eastAsia" w:cs="宋体"/>
          <w:color w:val="000000"/>
          <w:highlight w:val="none"/>
        </w:rPr>
        <w:t>　一、根据《中华人民共和国中小企业促进法》和《国务院关于进一步促进中小企业发展的若干意见》</w:t>
      </w:r>
      <w:r>
        <w:rPr>
          <w:rFonts w:cs="宋体"/>
          <w:color w:val="000000"/>
          <w:highlight w:val="none"/>
        </w:rPr>
        <w:t>(</w:t>
      </w:r>
      <w:r>
        <w:rPr>
          <w:rFonts w:hint="eastAsia" w:cs="宋体"/>
          <w:color w:val="000000"/>
          <w:highlight w:val="none"/>
        </w:rPr>
        <w:t>国发〔</w:t>
      </w:r>
      <w:r>
        <w:rPr>
          <w:rFonts w:cs="宋体"/>
          <w:color w:val="000000"/>
          <w:highlight w:val="none"/>
        </w:rPr>
        <w:t>2009</w:t>
      </w:r>
      <w:r>
        <w:rPr>
          <w:rFonts w:hint="eastAsia" w:cs="宋体"/>
          <w:color w:val="000000"/>
          <w:highlight w:val="none"/>
        </w:rPr>
        <w:t>〕</w:t>
      </w:r>
      <w:r>
        <w:rPr>
          <w:rFonts w:cs="宋体"/>
          <w:color w:val="000000"/>
          <w:highlight w:val="none"/>
        </w:rPr>
        <w:t>36</w:t>
      </w:r>
      <w:r>
        <w:rPr>
          <w:rFonts w:hint="eastAsia" w:cs="宋体"/>
          <w:color w:val="000000"/>
          <w:highlight w:val="none"/>
        </w:rPr>
        <w:t>号</w:t>
      </w:r>
      <w:r>
        <w:rPr>
          <w:rFonts w:cs="宋体"/>
          <w:color w:val="000000"/>
          <w:highlight w:val="none"/>
        </w:rPr>
        <w:t>)</w:t>
      </w:r>
      <w:r>
        <w:rPr>
          <w:rFonts w:hint="eastAsia" w:cs="宋体"/>
          <w:color w:val="000000"/>
          <w:highlight w:val="none"/>
        </w:rPr>
        <w:t>，制定本规定。</w:t>
      </w:r>
      <w:r>
        <w:rPr>
          <w:rFonts w:cs="宋体"/>
          <w:color w:val="000000"/>
          <w:highlight w:val="none"/>
        </w:rPr>
        <w:br w:type="textWrapping"/>
      </w:r>
      <w:r>
        <w:rPr>
          <w:rFonts w:hint="eastAsia" w:cs="宋体"/>
          <w:color w:val="000000"/>
          <w:highlight w:val="none"/>
        </w:rPr>
        <w:t>　　二、中小企业划分为中型、小型、微型三种类型，具体标准根据企业从业人员、营业收入、资产总额等指标，结合行业特点制定。</w:t>
      </w:r>
      <w:r>
        <w:rPr>
          <w:rFonts w:cs="宋体"/>
          <w:color w:val="000000"/>
          <w:highlight w:val="none"/>
        </w:rPr>
        <w:br w:type="textWrapping"/>
      </w:r>
      <w:r>
        <w:rPr>
          <w:rFonts w:hint="eastAsia" w:cs="宋体"/>
          <w:color w:val="000000"/>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cs="宋体"/>
          <w:color w:val="000000"/>
          <w:highlight w:val="none"/>
        </w:rPr>
        <w:br w:type="textWrapping"/>
      </w:r>
      <w:r>
        <w:rPr>
          <w:rFonts w:hint="eastAsia" w:cs="宋体"/>
          <w:color w:val="000000"/>
          <w:highlight w:val="none"/>
        </w:rPr>
        <w:t>　　四、各行业划型标准为：</w:t>
      </w:r>
      <w:r>
        <w:rPr>
          <w:rFonts w:cs="宋体"/>
          <w:color w:val="000000"/>
          <w:highlight w:val="none"/>
        </w:rPr>
        <w:br w:type="textWrapping"/>
      </w:r>
      <w:r>
        <w:rPr>
          <w:rFonts w:hint="eastAsia" w:cs="宋体"/>
          <w:color w:val="000000"/>
          <w:highlight w:val="none"/>
        </w:rPr>
        <w:t>　　（一）农、林、牧、渔业。营业收入</w:t>
      </w:r>
      <w:r>
        <w:rPr>
          <w:rFonts w:cs="宋体"/>
          <w:color w:val="000000"/>
          <w:highlight w:val="none"/>
        </w:rPr>
        <w:t>20000</w:t>
      </w:r>
      <w:r>
        <w:rPr>
          <w:rFonts w:hint="eastAsia" w:cs="宋体"/>
          <w:color w:val="000000"/>
          <w:highlight w:val="none"/>
        </w:rPr>
        <w:t>万元以下的为中小微型企业。其中，营业收入</w:t>
      </w:r>
      <w:r>
        <w:rPr>
          <w:rFonts w:cs="宋体"/>
          <w:color w:val="000000"/>
          <w:highlight w:val="none"/>
        </w:rPr>
        <w:t>500</w:t>
      </w:r>
      <w:r>
        <w:rPr>
          <w:rFonts w:hint="eastAsia" w:cs="宋体"/>
          <w:color w:val="000000"/>
          <w:highlight w:val="none"/>
        </w:rPr>
        <w:t>万元及以上的为中型企业，营业收入</w:t>
      </w:r>
      <w:r>
        <w:rPr>
          <w:rFonts w:cs="宋体"/>
          <w:color w:val="000000"/>
          <w:highlight w:val="none"/>
        </w:rPr>
        <w:t>50</w:t>
      </w:r>
      <w:r>
        <w:rPr>
          <w:rFonts w:hint="eastAsia" w:cs="宋体"/>
          <w:color w:val="000000"/>
          <w:highlight w:val="none"/>
        </w:rPr>
        <w:t>万元及以上的为小型企业，营业收入</w:t>
      </w:r>
      <w:r>
        <w:rPr>
          <w:rFonts w:cs="宋体"/>
          <w:color w:val="000000"/>
          <w:highlight w:val="none"/>
        </w:rPr>
        <w:t>50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（二）工业。从业人员</w:t>
      </w:r>
      <w:r>
        <w:rPr>
          <w:rFonts w:cs="宋体"/>
          <w:color w:val="000000"/>
          <w:highlight w:val="none"/>
        </w:rPr>
        <w:t>1000</w:t>
      </w:r>
      <w:r>
        <w:rPr>
          <w:rFonts w:hint="eastAsia" w:cs="宋体"/>
          <w:color w:val="000000"/>
          <w:highlight w:val="none"/>
        </w:rPr>
        <w:t>人以下或营业收入</w:t>
      </w:r>
      <w:r>
        <w:rPr>
          <w:rFonts w:cs="宋体"/>
          <w:color w:val="000000"/>
          <w:highlight w:val="none"/>
        </w:rPr>
        <w:t>40000</w:t>
      </w:r>
      <w:r>
        <w:rPr>
          <w:rFonts w:hint="eastAsia" w:cs="宋体"/>
          <w:color w:val="000000"/>
          <w:highlight w:val="none"/>
        </w:rPr>
        <w:t>万元以下的为中小微型企业。其中，从业人员</w:t>
      </w:r>
      <w:r>
        <w:rPr>
          <w:rFonts w:cs="宋体"/>
          <w:color w:val="000000"/>
          <w:highlight w:val="none"/>
        </w:rPr>
        <w:t>300</w:t>
      </w:r>
      <w:r>
        <w:rPr>
          <w:rFonts w:hint="eastAsia" w:cs="宋体"/>
          <w:color w:val="000000"/>
          <w:highlight w:val="none"/>
        </w:rPr>
        <w:t>人及以上，且营业收入</w:t>
      </w:r>
      <w:r>
        <w:rPr>
          <w:rFonts w:cs="宋体"/>
          <w:color w:val="000000"/>
          <w:highlight w:val="none"/>
        </w:rPr>
        <w:t>2000</w:t>
      </w:r>
      <w:r>
        <w:rPr>
          <w:rFonts w:hint="eastAsia" w:cs="宋体"/>
          <w:color w:val="000000"/>
          <w:highlight w:val="none"/>
        </w:rPr>
        <w:t>万元及以上的为中型企业；从业人员</w:t>
      </w:r>
      <w:r>
        <w:rPr>
          <w:rFonts w:cs="宋体"/>
          <w:color w:val="000000"/>
          <w:highlight w:val="none"/>
        </w:rPr>
        <w:t>20</w:t>
      </w:r>
      <w:r>
        <w:rPr>
          <w:rFonts w:hint="eastAsia" w:cs="宋体"/>
          <w:color w:val="000000"/>
          <w:highlight w:val="none"/>
        </w:rPr>
        <w:t>人及以上，且营业收入</w:t>
      </w:r>
      <w:r>
        <w:rPr>
          <w:rFonts w:cs="宋体"/>
          <w:color w:val="000000"/>
          <w:highlight w:val="none"/>
        </w:rPr>
        <w:t>300</w:t>
      </w:r>
      <w:r>
        <w:rPr>
          <w:rFonts w:hint="eastAsia" w:cs="宋体"/>
          <w:color w:val="000000"/>
          <w:highlight w:val="none"/>
        </w:rPr>
        <w:t>万元及以上的为小型企业；从业人员</w:t>
      </w:r>
      <w:r>
        <w:rPr>
          <w:rFonts w:cs="宋体"/>
          <w:color w:val="000000"/>
          <w:highlight w:val="none"/>
        </w:rPr>
        <w:t>20</w:t>
      </w:r>
      <w:r>
        <w:rPr>
          <w:rFonts w:hint="eastAsia" w:cs="宋体"/>
          <w:color w:val="000000"/>
          <w:highlight w:val="none"/>
        </w:rPr>
        <w:t>人以下或营业收入</w:t>
      </w:r>
      <w:r>
        <w:rPr>
          <w:rFonts w:cs="宋体"/>
          <w:color w:val="000000"/>
          <w:highlight w:val="none"/>
        </w:rPr>
        <w:t>300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（三）建筑业。营业收入</w:t>
      </w:r>
      <w:r>
        <w:rPr>
          <w:rFonts w:cs="宋体"/>
          <w:color w:val="000000"/>
          <w:highlight w:val="none"/>
        </w:rPr>
        <w:t>80000</w:t>
      </w:r>
      <w:r>
        <w:rPr>
          <w:rFonts w:hint="eastAsia" w:cs="宋体"/>
          <w:color w:val="000000"/>
          <w:highlight w:val="none"/>
        </w:rPr>
        <w:t>万元以下或资产总额</w:t>
      </w:r>
      <w:r>
        <w:rPr>
          <w:rFonts w:cs="宋体"/>
          <w:color w:val="000000"/>
          <w:highlight w:val="none"/>
        </w:rPr>
        <w:t>80000</w:t>
      </w:r>
      <w:r>
        <w:rPr>
          <w:rFonts w:hint="eastAsia" w:cs="宋体"/>
          <w:color w:val="000000"/>
          <w:highlight w:val="none"/>
        </w:rPr>
        <w:t>万元以下的为中小微型企业。其中，营业收入</w:t>
      </w:r>
      <w:r>
        <w:rPr>
          <w:rFonts w:cs="宋体"/>
          <w:color w:val="000000"/>
          <w:highlight w:val="none"/>
        </w:rPr>
        <w:t>6000</w:t>
      </w:r>
      <w:r>
        <w:rPr>
          <w:rFonts w:hint="eastAsia" w:cs="宋体"/>
          <w:color w:val="000000"/>
          <w:highlight w:val="none"/>
        </w:rPr>
        <w:t>万元及以上，且资产总额</w:t>
      </w:r>
      <w:r>
        <w:rPr>
          <w:rFonts w:cs="宋体"/>
          <w:color w:val="000000"/>
          <w:highlight w:val="none"/>
        </w:rPr>
        <w:t>5000</w:t>
      </w:r>
      <w:r>
        <w:rPr>
          <w:rFonts w:hint="eastAsia" w:cs="宋体"/>
          <w:color w:val="000000"/>
          <w:highlight w:val="none"/>
        </w:rPr>
        <w:t>万元及以上的为中型企业；营业收入</w:t>
      </w:r>
      <w:r>
        <w:rPr>
          <w:rFonts w:cs="宋体"/>
          <w:color w:val="000000"/>
          <w:highlight w:val="none"/>
        </w:rPr>
        <w:t>300</w:t>
      </w:r>
      <w:r>
        <w:rPr>
          <w:rFonts w:hint="eastAsia" w:cs="宋体"/>
          <w:color w:val="000000"/>
          <w:highlight w:val="none"/>
        </w:rPr>
        <w:t>万元及以上，且资产总额</w:t>
      </w:r>
      <w:r>
        <w:rPr>
          <w:rFonts w:cs="宋体"/>
          <w:color w:val="000000"/>
          <w:highlight w:val="none"/>
        </w:rPr>
        <w:t>300</w:t>
      </w:r>
      <w:r>
        <w:rPr>
          <w:rFonts w:hint="eastAsia" w:cs="宋体"/>
          <w:color w:val="000000"/>
          <w:highlight w:val="none"/>
        </w:rPr>
        <w:t>万元及以上的为小型企业；营业收入</w:t>
      </w:r>
      <w:r>
        <w:rPr>
          <w:rFonts w:cs="宋体"/>
          <w:color w:val="000000"/>
          <w:highlight w:val="none"/>
        </w:rPr>
        <w:t>300</w:t>
      </w:r>
      <w:r>
        <w:rPr>
          <w:rFonts w:hint="eastAsia" w:cs="宋体"/>
          <w:color w:val="000000"/>
          <w:highlight w:val="none"/>
        </w:rPr>
        <w:t>万元以下或资产总额</w:t>
      </w:r>
      <w:r>
        <w:rPr>
          <w:rFonts w:cs="宋体"/>
          <w:color w:val="000000"/>
          <w:highlight w:val="none"/>
        </w:rPr>
        <w:t>300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（四）批发业。从业人员</w:t>
      </w:r>
      <w:r>
        <w:rPr>
          <w:rFonts w:cs="宋体"/>
          <w:color w:val="000000"/>
          <w:highlight w:val="none"/>
        </w:rPr>
        <w:t>200</w:t>
      </w:r>
      <w:r>
        <w:rPr>
          <w:rFonts w:hint="eastAsia" w:cs="宋体"/>
          <w:color w:val="000000"/>
          <w:highlight w:val="none"/>
        </w:rPr>
        <w:t>人以下或营业收入</w:t>
      </w:r>
      <w:r>
        <w:rPr>
          <w:rFonts w:cs="宋体"/>
          <w:color w:val="000000"/>
          <w:highlight w:val="none"/>
        </w:rPr>
        <w:t>40000</w:t>
      </w:r>
      <w:r>
        <w:rPr>
          <w:rFonts w:hint="eastAsia" w:cs="宋体"/>
          <w:color w:val="000000"/>
          <w:highlight w:val="none"/>
        </w:rPr>
        <w:t>万元以下的为中小微型企业。其中，从业人员</w:t>
      </w:r>
      <w:r>
        <w:rPr>
          <w:rFonts w:cs="宋体"/>
          <w:color w:val="000000"/>
          <w:highlight w:val="none"/>
        </w:rPr>
        <w:t>20</w:t>
      </w:r>
      <w:r>
        <w:rPr>
          <w:rFonts w:hint="eastAsia" w:cs="宋体"/>
          <w:color w:val="000000"/>
          <w:highlight w:val="none"/>
        </w:rPr>
        <w:t>人及以上，且营业收入</w:t>
      </w:r>
      <w:r>
        <w:rPr>
          <w:rFonts w:cs="宋体"/>
          <w:color w:val="000000"/>
          <w:highlight w:val="none"/>
        </w:rPr>
        <w:t>5000</w:t>
      </w:r>
      <w:r>
        <w:rPr>
          <w:rFonts w:hint="eastAsia" w:cs="宋体"/>
          <w:color w:val="000000"/>
          <w:highlight w:val="none"/>
        </w:rPr>
        <w:t>万元及以上的为中型企业；从业人员</w:t>
      </w:r>
      <w:r>
        <w:rPr>
          <w:rFonts w:cs="宋体"/>
          <w:color w:val="000000"/>
          <w:highlight w:val="none"/>
        </w:rPr>
        <w:t>5</w:t>
      </w:r>
      <w:r>
        <w:rPr>
          <w:rFonts w:hint="eastAsia" w:cs="宋体"/>
          <w:color w:val="000000"/>
          <w:highlight w:val="none"/>
        </w:rPr>
        <w:t>人及以上，且营业收入</w:t>
      </w:r>
      <w:r>
        <w:rPr>
          <w:rFonts w:cs="宋体"/>
          <w:color w:val="000000"/>
          <w:highlight w:val="none"/>
        </w:rPr>
        <w:t>1000</w:t>
      </w:r>
      <w:r>
        <w:rPr>
          <w:rFonts w:hint="eastAsia" w:cs="宋体"/>
          <w:color w:val="000000"/>
          <w:highlight w:val="none"/>
        </w:rPr>
        <w:t>万元及以上的为小型企业；从业人员</w:t>
      </w:r>
      <w:r>
        <w:rPr>
          <w:rFonts w:cs="宋体"/>
          <w:color w:val="000000"/>
          <w:highlight w:val="none"/>
        </w:rPr>
        <w:t>5</w:t>
      </w:r>
      <w:r>
        <w:rPr>
          <w:rFonts w:hint="eastAsia" w:cs="宋体"/>
          <w:color w:val="000000"/>
          <w:highlight w:val="none"/>
        </w:rPr>
        <w:t>人以下或营业收入</w:t>
      </w:r>
      <w:r>
        <w:rPr>
          <w:rFonts w:cs="宋体"/>
          <w:color w:val="000000"/>
          <w:highlight w:val="none"/>
        </w:rPr>
        <w:t>1000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（五）零售业。从业人员</w:t>
      </w:r>
      <w:r>
        <w:rPr>
          <w:rFonts w:cs="宋体"/>
          <w:color w:val="000000"/>
          <w:highlight w:val="none"/>
        </w:rPr>
        <w:t>300</w:t>
      </w:r>
      <w:r>
        <w:rPr>
          <w:rFonts w:hint="eastAsia" w:cs="宋体"/>
          <w:color w:val="000000"/>
          <w:highlight w:val="none"/>
        </w:rPr>
        <w:t>人以下或营业收入</w:t>
      </w:r>
      <w:r>
        <w:rPr>
          <w:rFonts w:cs="宋体"/>
          <w:color w:val="000000"/>
          <w:highlight w:val="none"/>
        </w:rPr>
        <w:t>20000</w:t>
      </w:r>
      <w:r>
        <w:rPr>
          <w:rFonts w:hint="eastAsia" w:cs="宋体"/>
          <w:color w:val="000000"/>
          <w:highlight w:val="none"/>
        </w:rPr>
        <w:t>万元以下的为中小微型企业。其中，从业人员</w:t>
      </w:r>
      <w:r>
        <w:rPr>
          <w:rFonts w:cs="宋体"/>
          <w:color w:val="000000"/>
          <w:highlight w:val="none"/>
        </w:rPr>
        <w:t>50</w:t>
      </w:r>
      <w:r>
        <w:rPr>
          <w:rFonts w:hint="eastAsia" w:cs="宋体"/>
          <w:color w:val="000000"/>
          <w:highlight w:val="none"/>
        </w:rPr>
        <w:t>人及以上，且营业收入</w:t>
      </w:r>
      <w:r>
        <w:rPr>
          <w:rFonts w:cs="宋体"/>
          <w:color w:val="000000"/>
          <w:highlight w:val="none"/>
        </w:rPr>
        <w:t>500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（六）交通运输业。从业人员</w:t>
      </w:r>
      <w:r>
        <w:rPr>
          <w:rFonts w:cs="宋体"/>
          <w:color w:val="000000"/>
          <w:highlight w:val="none"/>
        </w:rPr>
        <w:t>1000</w:t>
      </w:r>
      <w:r>
        <w:rPr>
          <w:rFonts w:hint="eastAsia" w:cs="宋体"/>
          <w:color w:val="000000"/>
          <w:highlight w:val="none"/>
        </w:rPr>
        <w:t>人以下或营业收入</w:t>
      </w:r>
      <w:r>
        <w:rPr>
          <w:rFonts w:cs="宋体"/>
          <w:color w:val="000000"/>
          <w:highlight w:val="none"/>
        </w:rPr>
        <w:t>30000</w:t>
      </w:r>
      <w:r>
        <w:rPr>
          <w:rFonts w:hint="eastAsia" w:cs="宋体"/>
          <w:color w:val="000000"/>
          <w:highlight w:val="none"/>
        </w:rPr>
        <w:t>万元以下的为中小微型企业。其中，从业人员</w:t>
      </w:r>
      <w:r>
        <w:rPr>
          <w:rFonts w:cs="宋体"/>
          <w:color w:val="000000"/>
          <w:highlight w:val="none"/>
        </w:rPr>
        <w:t>300</w:t>
      </w:r>
      <w:r>
        <w:rPr>
          <w:rFonts w:hint="eastAsia" w:cs="宋体"/>
          <w:color w:val="000000"/>
          <w:highlight w:val="none"/>
        </w:rPr>
        <w:t>人及以上，且营业收入</w:t>
      </w:r>
      <w:r>
        <w:rPr>
          <w:rFonts w:cs="宋体"/>
          <w:color w:val="000000"/>
          <w:highlight w:val="none"/>
        </w:rPr>
        <w:t>3000</w:t>
      </w:r>
      <w:r>
        <w:rPr>
          <w:rFonts w:hint="eastAsia" w:cs="宋体"/>
          <w:color w:val="000000"/>
          <w:highlight w:val="none"/>
        </w:rPr>
        <w:t>万元及以上的为中型企业；从业人员</w:t>
      </w:r>
      <w:r>
        <w:rPr>
          <w:rFonts w:cs="宋体"/>
          <w:color w:val="000000"/>
          <w:highlight w:val="none"/>
        </w:rPr>
        <w:t>20</w:t>
      </w:r>
      <w:r>
        <w:rPr>
          <w:rFonts w:hint="eastAsia" w:cs="宋体"/>
          <w:color w:val="000000"/>
          <w:highlight w:val="none"/>
        </w:rPr>
        <w:t>人及以上，且营业收入</w:t>
      </w:r>
      <w:r>
        <w:rPr>
          <w:rFonts w:cs="宋体"/>
          <w:color w:val="000000"/>
          <w:highlight w:val="none"/>
        </w:rPr>
        <w:t>200</w:t>
      </w:r>
      <w:r>
        <w:rPr>
          <w:rFonts w:hint="eastAsia" w:cs="宋体"/>
          <w:color w:val="000000"/>
          <w:highlight w:val="none"/>
        </w:rPr>
        <w:t>万元及以上的为小型企业；从业人员</w:t>
      </w:r>
      <w:r>
        <w:rPr>
          <w:rFonts w:cs="宋体"/>
          <w:color w:val="000000"/>
          <w:highlight w:val="none"/>
        </w:rPr>
        <w:t>20</w:t>
      </w:r>
      <w:r>
        <w:rPr>
          <w:rFonts w:hint="eastAsia" w:cs="宋体"/>
          <w:color w:val="000000"/>
          <w:highlight w:val="none"/>
        </w:rPr>
        <w:t>人以下或营业收入</w:t>
      </w:r>
      <w:r>
        <w:rPr>
          <w:rFonts w:cs="宋体"/>
          <w:color w:val="000000"/>
          <w:highlight w:val="none"/>
        </w:rPr>
        <w:t>200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（七）仓储业。从业人员</w:t>
      </w:r>
      <w:r>
        <w:rPr>
          <w:rFonts w:cs="宋体"/>
          <w:color w:val="000000"/>
          <w:highlight w:val="none"/>
        </w:rPr>
        <w:t>200</w:t>
      </w:r>
      <w:r>
        <w:rPr>
          <w:rFonts w:hint="eastAsia" w:cs="宋体"/>
          <w:color w:val="000000"/>
          <w:highlight w:val="none"/>
        </w:rPr>
        <w:t>人以下或营业收入</w:t>
      </w:r>
      <w:r>
        <w:rPr>
          <w:rFonts w:cs="宋体"/>
          <w:color w:val="000000"/>
          <w:highlight w:val="none"/>
        </w:rPr>
        <w:t>30000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1000</w:t>
      </w:r>
      <w:r>
        <w:rPr>
          <w:rFonts w:hint="eastAsia" w:cs="宋体"/>
          <w:color w:val="000000"/>
          <w:highlight w:val="none"/>
        </w:rPr>
        <w:t>万元及以上的为中型企业；从业人员</w:t>
      </w:r>
      <w:r>
        <w:rPr>
          <w:rFonts w:cs="宋体"/>
          <w:color w:val="000000"/>
          <w:highlight w:val="none"/>
        </w:rPr>
        <w:t>20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20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（八）邮政业。从业人员</w:t>
      </w:r>
      <w:r>
        <w:rPr>
          <w:rFonts w:cs="宋体"/>
          <w:color w:val="000000"/>
          <w:highlight w:val="none"/>
        </w:rPr>
        <w:t>1000</w:t>
      </w:r>
      <w:r>
        <w:rPr>
          <w:rFonts w:hint="eastAsia" w:cs="宋体"/>
          <w:color w:val="000000"/>
          <w:highlight w:val="none"/>
        </w:rPr>
        <w:t>人以下或营业收入</w:t>
      </w:r>
      <w:r>
        <w:rPr>
          <w:rFonts w:cs="宋体"/>
          <w:color w:val="000000"/>
          <w:highlight w:val="none"/>
        </w:rPr>
        <w:t>30000</w:t>
      </w:r>
      <w:r>
        <w:rPr>
          <w:rFonts w:hint="eastAsia" w:cs="宋体"/>
          <w:color w:val="000000"/>
          <w:highlight w:val="none"/>
        </w:rPr>
        <w:t>万元以下的为中小微型企业。其中，从业人员</w:t>
      </w:r>
      <w:r>
        <w:rPr>
          <w:rFonts w:cs="宋体"/>
          <w:color w:val="000000"/>
          <w:highlight w:val="none"/>
        </w:rPr>
        <w:t>300</w:t>
      </w:r>
      <w:r>
        <w:rPr>
          <w:rFonts w:hint="eastAsia" w:cs="宋体"/>
          <w:color w:val="000000"/>
          <w:highlight w:val="none"/>
        </w:rPr>
        <w:t>人及以上，且营业收入</w:t>
      </w:r>
      <w:r>
        <w:rPr>
          <w:rFonts w:cs="宋体"/>
          <w:color w:val="000000"/>
          <w:highlight w:val="none"/>
        </w:rPr>
        <w:t>2000</w:t>
      </w:r>
      <w:r>
        <w:rPr>
          <w:rFonts w:hint="eastAsia" w:cs="宋体"/>
          <w:color w:val="000000"/>
          <w:highlight w:val="none"/>
        </w:rPr>
        <w:t>万元及以上的为中型企业；从业人员</w:t>
      </w:r>
      <w:r>
        <w:rPr>
          <w:rFonts w:cs="宋体"/>
          <w:color w:val="000000"/>
          <w:highlight w:val="none"/>
        </w:rPr>
        <w:t>20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20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（九）住宿业。从业人员</w:t>
      </w:r>
      <w:r>
        <w:rPr>
          <w:rFonts w:cs="宋体"/>
          <w:color w:val="000000"/>
          <w:highlight w:val="none"/>
        </w:rPr>
        <w:t>300</w:t>
      </w:r>
      <w:r>
        <w:rPr>
          <w:rFonts w:hint="eastAsia" w:cs="宋体"/>
          <w:color w:val="000000"/>
          <w:highlight w:val="none"/>
        </w:rPr>
        <w:t>人以下或营业收入</w:t>
      </w:r>
      <w:r>
        <w:rPr>
          <w:rFonts w:cs="宋体"/>
          <w:color w:val="000000"/>
          <w:highlight w:val="none"/>
        </w:rPr>
        <w:t>10000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2000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（十）餐饮业。从业人员</w:t>
      </w:r>
      <w:r>
        <w:rPr>
          <w:rFonts w:cs="宋体"/>
          <w:color w:val="000000"/>
          <w:highlight w:val="none"/>
        </w:rPr>
        <w:t>300</w:t>
      </w:r>
      <w:r>
        <w:rPr>
          <w:rFonts w:hint="eastAsia" w:cs="宋体"/>
          <w:color w:val="000000"/>
          <w:highlight w:val="none"/>
        </w:rPr>
        <w:t>人以下或营业收入</w:t>
      </w:r>
      <w:r>
        <w:rPr>
          <w:rFonts w:cs="宋体"/>
          <w:color w:val="000000"/>
          <w:highlight w:val="none"/>
        </w:rPr>
        <w:t>10000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2000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（十一）信息传输业。从业人员</w:t>
      </w:r>
      <w:r>
        <w:rPr>
          <w:rFonts w:cs="宋体"/>
          <w:color w:val="000000"/>
          <w:highlight w:val="none"/>
        </w:rPr>
        <w:t>2000</w:t>
      </w:r>
      <w:r>
        <w:rPr>
          <w:rFonts w:hint="eastAsia" w:cs="宋体"/>
          <w:color w:val="000000"/>
          <w:highlight w:val="none"/>
        </w:rPr>
        <w:t>人以下或营业收入</w:t>
      </w:r>
      <w:r>
        <w:rPr>
          <w:rFonts w:cs="宋体"/>
          <w:color w:val="000000"/>
          <w:highlight w:val="none"/>
        </w:rPr>
        <w:t>100000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1000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人及以上，且营业收入</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人以下或营业收入</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（十二）软件和信息技术服务业。从业人员</w:t>
      </w:r>
      <w:r>
        <w:rPr>
          <w:rFonts w:cs="宋体"/>
          <w:color w:val="000000"/>
          <w:highlight w:val="none"/>
        </w:rPr>
        <w:t>300</w:t>
      </w:r>
      <w:r>
        <w:rPr>
          <w:rFonts w:hint="eastAsia" w:cs="宋体"/>
          <w:color w:val="000000"/>
          <w:highlight w:val="none"/>
        </w:rPr>
        <w:t>人以下或营业收入</w:t>
      </w:r>
      <w:r>
        <w:rPr>
          <w:rFonts w:cs="宋体"/>
          <w:color w:val="000000"/>
          <w:highlight w:val="none"/>
        </w:rPr>
        <w:t>10000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1000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人及以上，且营业收入</w:t>
      </w:r>
      <w:r>
        <w:rPr>
          <w:rFonts w:cs="宋体"/>
          <w:color w:val="000000"/>
          <w:highlight w:val="none"/>
        </w:rPr>
        <w:t>50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人以下或营业收入</w:t>
      </w:r>
      <w:r>
        <w:rPr>
          <w:rFonts w:cs="宋体"/>
          <w:color w:val="000000"/>
          <w:highlight w:val="none"/>
        </w:rPr>
        <w:t>50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（十三）房地产开发经营。营业收入</w:t>
      </w:r>
      <w:r>
        <w:rPr>
          <w:rFonts w:cs="宋体"/>
          <w:color w:val="000000"/>
          <w:highlight w:val="none"/>
        </w:rPr>
        <w:t>200000</w:t>
      </w:r>
      <w:r>
        <w:rPr>
          <w:rFonts w:hint="eastAsia" w:cs="宋体"/>
          <w:color w:val="000000"/>
          <w:highlight w:val="none"/>
        </w:rPr>
        <w:t>万元以下或资产总额</w:t>
      </w:r>
      <w:r>
        <w:rPr>
          <w:rFonts w:cs="宋体"/>
          <w:color w:val="000000"/>
          <w:highlight w:val="none"/>
        </w:rPr>
        <w:t>10000</w:t>
      </w:r>
      <w:r>
        <w:rPr>
          <w:rFonts w:hint="eastAsia" w:cs="宋体"/>
          <w:color w:val="000000"/>
          <w:highlight w:val="none"/>
        </w:rPr>
        <w:t>万元以下的为中小微型企业。其中，营业收入</w:t>
      </w:r>
      <w:r>
        <w:rPr>
          <w:rFonts w:cs="宋体"/>
          <w:color w:val="000000"/>
          <w:highlight w:val="none"/>
        </w:rPr>
        <w:t>1000</w:t>
      </w:r>
      <w:r>
        <w:rPr>
          <w:rFonts w:hint="eastAsia" w:cs="宋体"/>
          <w:color w:val="000000"/>
          <w:highlight w:val="none"/>
        </w:rPr>
        <w:t>万元及以上，且资产总额</w:t>
      </w:r>
      <w:r>
        <w:rPr>
          <w:rFonts w:cs="宋体"/>
          <w:color w:val="000000"/>
          <w:highlight w:val="none"/>
        </w:rPr>
        <w:t>5000</w:t>
      </w:r>
      <w:r>
        <w:rPr>
          <w:rFonts w:hint="eastAsia" w:cs="宋体"/>
          <w:color w:val="000000"/>
          <w:highlight w:val="none"/>
        </w:rPr>
        <w:t>万元及以上的为中型企业；营业收入</w:t>
      </w:r>
      <w:r>
        <w:rPr>
          <w:rFonts w:cs="宋体"/>
          <w:color w:val="000000"/>
          <w:highlight w:val="none"/>
        </w:rPr>
        <w:t>100</w:t>
      </w:r>
      <w:r>
        <w:rPr>
          <w:rFonts w:hint="eastAsia" w:cs="宋体"/>
          <w:color w:val="000000"/>
          <w:highlight w:val="none"/>
        </w:rPr>
        <w:t>万元及以上，且资产总额</w:t>
      </w:r>
      <w:r>
        <w:rPr>
          <w:rFonts w:cs="宋体"/>
          <w:color w:val="000000"/>
          <w:highlight w:val="none"/>
        </w:rPr>
        <w:t>2000</w:t>
      </w:r>
      <w:r>
        <w:rPr>
          <w:rFonts w:hint="eastAsia" w:cs="宋体"/>
          <w:color w:val="000000"/>
          <w:highlight w:val="none"/>
        </w:rPr>
        <w:t>万元及以上的为小型企业；营业收入</w:t>
      </w:r>
      <w:r>
        <w:rPr>
          <w:rFonts w:cs="宋体"/>
          <w:color w:val="000000"/>
          <w:highlight w:val="none"/>
        </w:rPr>
        <w:t>100</w:t>
      </w:r>
      <w:r>
        <w:rPr>
          <w:rFonts w:hint="eastAsia" w:cs="宋体"/>
          <w:color w:val="000000"/>
          <w:highlight w:val="none"/>
        </w:rPr>
        <w:t>万元以下或资产总额</w:t>
      </w:r>
      <w:r>
        <w:rPr>
          <w:rFonts w:cs="宋体"/>
          <w:color w:val="000000"/>
          <w:highlight w:val="none"/>
        </w:rPr>
        <w:t>2000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（十四）物业管理。从业人员</w:t>
      </w:r>
      <w:r>
        <w:rPr>
          <w:rFonts w:cs="宋体"/>
          <w:color w:val="000000"/>
          <w:highlight w:val="none"/>
        </w:rPr>
        <w:t>1000</w:t>
      </w:r>
      <w:r>
        <w:rPr>
          <w:rFonts w:hint="eastAsia" w:cs="宋体"/>
          <w:color w:val="000000"/>
          <w:highlight w:val="none"/>
        </w:rPr>
        <w:t>人以下或营业收入</w:t>
      </w:r>
      <w:r>
        <w:rPr>
          <w:rFonts w:cs="宋体"/>
          <w:color w:val="000000"/>
          <w:highlight w:val="none"/>
        </w:rPr>
        <w:t>5000</w:t>
      </w:r>
      <w:r>
        <w:rPr>
          <w:rFonts w:hint="eastAsia" w:cs="宋体"/>
          <w:color w:val="000000"/>
          <w:highlight w:val="none"/>
        </w:rPr>
        <w:t>万元以下的为中小微型企业。其中，从业人员</w:t>
      </w:r>
      <w:r>
        <w:rPr>
          <w:rFonts w:cs="宋体"/>
          <w:color w:val="000000"/>
          <w:highlight w:val="none"/>
        </w:rPr>
        <w:t>300</w:t>
      </w:r>
      <w:r>
        <w:rPr>
          <w:rFonts w:hint="eastAsia" w:cs="宋体"/>
          <w:color w:val="000000"/>
          <w:highlight w:val="none"/>
        </w:rPr>
        <w:t>人及以上，且营业收入</w:t>
      </w:r>
      <w:r>
        <w:rPr>
          <w:rFonts w:cs="宋体"/>
          <w:color w:val="000000"/>
          <w:highlight w:val="none"/>
        </w:rPr>
        <w:t>1000</w:t>
      </w:r>
      <w:r>
        <w:rPr>
          <w:rFonts w:hint="eastAsia" w:cs="宋体"/>
          <w:color w:val="000000"/>
          <w:highlight w:val="none"/>
        </w:rPr>
        <w:t>万元及以上的为中型企业；从业人员</w:t>
      </w:r>
      <w:r>
        <w:rPr>
          <w:rFonts w:cs="宋体"/>
          <w:color w:val="000000"/>
          <w:highlight w:val="none"/>
        </w:rPr>
        <w:t>100</w:t>
      </w:r>
      <w:r>
        <w:rPr>
          <w:rFonts w:hint="eastAsia" w:cs="宋体"/>
          <w:color w:val="000000"/>
          <w:highlight w:val="none"/>
        </w:rPr>
        <w:t>人及以上，且营业收入</w:t>
      </w:r>
      <w:r>
        <w:rPr>
          <w:rFonts w:cs="宋体"/>
          <w:color w:val="000000"/>
          <w:highlight w:val="none"/>
        </w:rPr>
        <w:t>500</w:t>
      </w:r>
      <w:r>
        <w:rPr>
          <w:rFonts w:hint="eastAsia" w:cs="宋体"/>
          <w:color w:val="000000"/>
          <w:highlight w:val="none"/>
        </w:rPr>
        <w:t>万元及以上的为小型企业；从业人员</w:t>
      </w:r>
      <w:r>
        <w:rPr>
          <w:rFonts w:cs="宋体"/>
          <w:color w:val="000000"/>
          <w:highlight w:val="none"/>
        </w:rPr>
        <w:t>100</w:t>
      </w:r>
      <w:r>
        <w:rPr>
          <w:rFonts w:hint="eastAsia" w:cs="宋体"/>
          <w:color w:val="000000"/>
          <w:highlight w:val="none"/>
        </w:rPr>
        <w:t>人以下或营业收入</w:t>
      </w:r>
      <w:r>
        <w:rPr>
          <w:rFonts w:cs="宋体"/>
          <w:color w:val="000000"/>
          <w:highlight w:val="none"/>
        </w:rPr>
        <w:t>500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（十五）租赁和商务服务业。从业人员</w:t>
      </w:r>
      <w:r>
        <w:rPr>
          <w:rFonts w:cs="宋体"/>
          <w:color w:val="000000"/>
          <w:highlight w:val="none"/>
        </w:rPr>
        <w:t>300</w:t>
      </w:r>
      <w:r>
        <w:rPr>
          <w:rFonts w:hint="eastAsia" w:cs="宋体"/>
          <w:color w:val="000000"/>
          <w:highlight w:val="none"/>
        </w:rPr>
        <w:t>人以下或资产总额</w:t>
      </w:r>
      <w:r>
        <w:rPr>
          <w:rFonts w:cs="宋体"/>
          <w:color w:val="000000"/>
          <w:highlight w:val="none"/>
        </w:rPr>
        <w:t>120000</w:t>
      </w:r>
      <w:r>
        <w:rPr>
          <w:rFonts w:hint="eastAsia" w:cs="宋体"/>
          <w:color w:val="000000"/>
          <w:highlight w:val="none"/>
        </w:rPr>
        <w:t>万元以下的为中小微型企业。其中，从业人员</w:t>
      </w:r>
      <w:r>
        <w:rPr>
          <w:rFonts w:cs="宋体"/>
          <w:color w:val="000000"/>
          <w:highlight w:val="none"/>
        </w:rPr>
        <w:t>100</w:t>
      </w:r>
      <w:r>
        <w:rPr>
          <w:rFonts w:hint="eastAsia" w:cs="宋体"/>
          <w:color w:val="000000"/>
          <w:highlight w:val="none"/>
        </w:rPr>
        <w:t>人及以上，且资产总额</w:t>
      </w:r>
      <w:r>
        <w:rPr>
          <w:rFonts w:cs="宋体"/>
          <w:color w:val="000000"/>
          <w:highlight w:val="none"/>
        </w:rPr>
        <w:t>8000</w:t>
      </w:r>
      <w:r>
        <w:rPr>
          <w:rFonts w:hint="eastAsia" w:cs="宋体"/>
          <w:color w:val="000000"/>
          <w:highlight w:val="none"/>
        </w:rPr>
        <w:t>万元及以上的为中型企业；从业人员</w:t>
      </w:r>
      <w:r>
        <w:rPr>
          <w:rFonts w:cs="宋体"/>
          <w:color w:val="000000"/>
          <w:highlight w:val="none"/>
        </w:rPr>
        <w:t>10</w:t>
      </w:r>
      <w:r>
        <w:rPr>
          <w:rFonts w:hint="eastAsia" w:cs="宋体"/>
          <w:color w:val="000000"/>
          <w:highlight w:val="none"/>
        </w:rPr>
        <w:t>人及以上，且资产总额</w:t>
      </w:r>
      <w:r>
        <w:rPr>
          <w:rFonts w:cs="宋体"/>
          <w:color w:val="000000"/>
          <w:highlight w:val="none"/>
        </w:rPr>
        <w:t>100</w:t>
      </w:r>
      <w:r>
        <w:rPr>
          <w:rFonts w:hint="eastAsia" w:cs="宋体"/>
          <w:color w:val="000000"/>
          <w:highlight w:val="none"/>
        </w:rPr>
        <w:t>万元及以上的为小型企业；从业人员</w:t>
      </w:r>
      <w:r>
        <w:rPr>
          <w:rFonts w:cs="宋体"/>
          <w:color w:val="000000"/>
          <w:highlight w:val="none"/>
        </w:rPr>
        <w:t>10</w:t>
      </w:r>
      <w:r>
        <w:rPr>
          <w:rFonts w:hint="eastAsia" w:cs="宋体"/>
          <w:color w:val="000000"/>
          <w:highlight w:val="none"/>
        </w:rPr>
        <w:t>人以下或资产总额</w:t>
      </w:r>
      <w:r>
        <w:rPr>
          <w:rFonts w:cs="宋体"/>
          <w:color w:val="000000"/>
          <w:highlight w:val="none"/>
        </w:rPr>
        <w:t>100</w:t>
      </w:r>
      <w:r>
        <w:rPr>
          <w:rFonts w:hint="eastAsia" w:cs="宋体"/>
          <w:color w:val="000000"/>
          <w:highlight w:val="none"/>
        </w:rPr>
        <w:t>万元以下的为微型企业。</w:t>
      </w:r>
      <w:r>
        <w:rPr>
          <w:rFonts w:cs="宋体"/>
          <w:color w:val="000000"/>
          <w:highlight w:val="none"/>
        </w:rPr>
        <w:br w:type="textWrapping"/>
      </w:r>
      <w:r>
        <w:rPr>
          <w:rFonts w:hint="eastAsia" w:cs="宋体"/>
          <w:color w:val="000000"/>
          <w:highlight w:val="none"/>
        </w:rPr>
        <w:t>　　（十六）其他未列明行业。从业人员</w:t>
      </w:r>
      <w:r>
        <w:rPr>
          <w:rFonts w:cs="宋体"/>
          <w:color w:val="000000"/>
          <w:highlight w:val="none"/>
        </w:rPr>
        <w:t>300</w:t>
      </w:r>
      <w:r>
        <w:rPr>
          <w:rFonts w:hint="eastAsia" w:cs="宋体"/>
          <w:color w:val="000000"/>
          <w:highlight w:val="none"/>
        </w:rPr>
        <w:t>人以下的为中小微型企业。其中，从业人员</w:t>
      </w:r>
      <w:r>
        <w:rPr>
          <w:rFonts w:cs="宋体"/>
          <w:color w:val="000000"/>
          <w:highlight w:val="none"/>
        </w:rPr>
        <w:t>100</w:t>
      </w:r>
      <w:r>
        <w:rPr>
          <w:rFonts w:hint="eastAsia" w:cs="宋体"/>
          <w:color w:val="000000"/>
          <w:highlight w:val="none"/>
        </w:rPr>
        <w:t>人及以上的为中型企业；从业人员</w:t>
      </w:r>
      <w:r>
        <w:rPr>
          <w:rFonts w:cs="宋体"/>
          <w:color w:val="000000"/>
          <w:highlight w:val="none"/>
        </w:rPr>
        <w:t>10</w:t>
      </w:r>
      <w:r>
        <w:rPr>
          <w:rFonts w:hint="eastAsia" w:cs="宋体"/>
          <w:color w:val="000000"/>
          <w:highlight w:val="none"/>
        </w:rPr>
        <w:t>人及以上的为小型企业；从业人员</w:t>
      </w:r>
      <w:r>
        <w:rPr>
          <w:rFonts w:cs="宋体"/>
          <w:color w:val="000000"/>
          <w:highlight w:val="none"/>
        </w:rPr>
        <w:t>10</w:t>
      </w:r>
      <w:r>
        <w:rPr>
          <w:rFonts w:hint="eastAsia" w:cs="宋体"/>
          <w:color w:val="000000"/>
          <w:highlight w:val="none"/>
        </w:rPr>
        <w:t>人以下的为微型企业。</w:t>
      </w:r>
      <w:r>
        <w:rPr>
          <w:rFonts w:cs="宋体"/>
          <w:color w:val="000000"/>
          <w:highlight w:val="none"/>
        </w:rPr>
        <w:br w:type="textWrapping"/>
      </w:r>
      <w:r>
        <w:rPr>
          <w:rFonts w:hint="eastAsia" w:cs="宋体"/>
          <w:color w:val="000000"/>
          <w:highlight w:val="none"/>
        </w:rPr>
        <w:t>　　五、企业类型的划分以统计部门的统计数据为依据。</w:t>
      </w:r>
      <w:r>
        <w:rPr>
          <w:rFonts w:cs="宋体"/>
          <w:color w:val="000000"/>
          <w:highlight w:val="none"/>
        </w:rPr>
        <w:br w:type="textWrapping"/>
      </w:r>
      <w:r>
        <w:rPr>
          <w:rFonts w:hint="eastAsia" w:cs="宋体"/>
          <w:color w:val="000000"/>
          <w:highlight w:val="none"/>
        </w:rPr>
        <w:t>　　六、本规定适用于在中华人民共和国境内依法设立的各类所有制和各种组织形式的企业。个体工商户和本规定以外的行业，参照本规定进行划型。</w:t>
      </w:r>
      <w:r>
        <w:rPr>
          <w:rFonts w:cs="宋体"/>
          <w:color w:val="000000"/>
          <w:highlight w:val="none"/>
        </w:rPr>
        <w:br w:type="textWrapping"/>
      </w:r>
      <w:r>
        <w:rPr>
          <w:rFonts w:hint="eastAsia" w:cs="宋体"/>
          <w:color w:val="000000"/>
          <w:highlight w:val="none"/>
        </w:rPr>
        <w:t>　　七、本规定的中型企业标准上限即为大型企业标准的下限，国家统计部门据此制定大中小微型企业的统计分类。国务院有关部门据此进行相关数据分析，不得制定与本规定不一致的企业划型标准。</w:t>
      </w:r>
      <w:r>
        <w:rPr>
          <w:rFonts w:cs="宋体"/>
          <w:color w:val="000000"/>
          <w:highlight w:val="none"/>
        </w:rPr>
        <w:br w:type="textWrapping"/>
      </w:r>
      <w:r>
        <w:rPr>
          <w:rFonts w:hint="eastAsia" w:cs="宋体"/>
          <w:color w:val="000000"/>
          <w:highlight w:val="none"/>
        </w:rPr>
        <w:t>　　八、本规定由工业和信息化部、国家统计局会同有关部门根据《国民经济行业分类》修订情况和企业发展变化情况适时修订。</w:t>
      </w:r>
      <w:r>
        <w:rPr>
          <w:rFonts w:cs="宋体"/>
          <w:color w:val="000000"/>
          <w:highlight w:val="none"/>
        </w:rPr>
        <w:br w:type="textWrapping"/>
      </w:r>
      <w:r>
        <w:rPr>
          <w:rFonts w:hint="eastAsia" w:cs="宋体"/>
          <w:color w:val="000000"/>
          <w:highlight w:val="none"/>
        </w:rPr>
        <w:t>　　九、本规定由工业和信息化部、国家统计局会同有关部门负责解释。</w:t>
      </w:r>
      <w:r>
        <w:rPr>
          <w:rFonts w:cs="宋体"/>
          <w:color w:val="000000"/>
          <w:highlight w:val="none"/>
        </w:rPr>
        <w:br w:type="textWrapping"/>
      </w:r>
      <w:r>
        <w:rPr>
          <w:rFonts w:hint="eastAsia" w:cs="宋体"/>
          <w:color w:val="000000"/>
          <w:highlight w:val="none"/>
        </w:rPr>
        <w:t>　　十、本规定自发布之日起执行，原国家经贸委、原国家计委、财政部和国家统计局</w:t>
      </w:r>
      <w:r>
        <w:rPr>
          <w:rFonts w:cs="宋体"/>
          <w:color w:val="000000"/>
          <w:highlight w:val="none"/>
        </w:rPr>
        <w:t>2003</w:t>
      </w:r>
      <w:r>
        <w:rPr>
          <w:rFonts w:hint="eastAsia" w:cs="宋体"/>
          <w:color w:val="000000"/>
          <w:highlight w:val="none"/>
        </w:rPr>
        <w:t>年颁布的《中小企业标准暂行规定》同时废止。</w:t>
      </w:r>
    </w:p>
    <w:p w14:paraId="7A8A3870">
      <w:pPr>
        <w:spacing w:line="360" w:lineRule="auto"/>
        <w:rPr>
          <w:rFonts w:ascii="宋体" w:cs="宋体"/>
          <w:color w:val="000000"/>
          <w:sz w:val="24"/>
          <w:szCs w:val="24"/>
          <w:highlight w:val="none"/>
        </w:rPr>
      </w:pPr>
    </w:p>
    <w:p w14:paraId="1742C5FF">
      <w:pPr>
        <w:spacing w:line="360" w:lineRule="auto"/>
        <w:jc w:val="right"/>
        <w:rPr>
          <w:rFonts w:ascii="宋体" w:cs="宋体"/>
          <w:color w:val="000000"/>
          <w:sz w:val="24"/>
          <w:szCs w:val="24"/>
          <w:highlight w:val="none"/>
        </w:rPr>
      </w:pPr>
      <w:r>
        <w:rPr>
          <w:rFonts w:hint="eastAsia" w:ascii="宋体" w:hAnsi="宋体" w:cs="宋体"/>
          <w:color w:val="000000"/>
          <w:sz w:val="24"/>
          <w:szCs w:val="24"/>
          <w:highlight w:val="none"/>
        </w:rPr>
        <w:t>工业和信息化部</w:t>
      </w:r>
      <w:r>
        <w:rPr>
          <w:rFonts w:ascii="宋体" w:hAnsi="宋体" w:cs="宋体"/>
          <w:color w:val="000000"/>
          <w:sz w:val="24"/>
          <w:szCs w:val="24"/>
          <w:highlight w:val="none"/>
        </w:rPr>
        <w:t xml:space="preserve">   </w:t>
      </w:r>
      <w:r>
        <w:rPr>
          <w:rFonts w:hint="eastAsia" w:ascii="宋体" w:hAnsi="宋体" w:cs="宋体"/>
          <w:color w:val="000000"/>
          <w:sz w:val="24"/>
          <w:szCs w:val="24"/>
          <w:highlight w:val="none"/>
        </w:rPr>
        <w:t>国家统计局</w:t>
      </w:r>
    </w:p>
    <w:p w14:paraId="09184C6A">
      <w:pPr>
        <w:spacing w:line="360" w:lineRule="auto"/>
        <w:jc w:val="right"/>
        <w:rPr>
          <w:rFonts w:ascii="宋体" w:cs="宋体"/>
          <w:color w:val="000000"/>
          <w:sz w:val="24"/>
          <w:szCs w:val="24"/>
          <w:highlight w:val="none"/>
        </w:rPr>
      </w:pPr>
      <w:r>
        <w:rPr>
          <w:rFonts w:hint="eastAsia" w:ascii="宋体" w:hAnsi="宋体" w:cs="宋体"/>
          <w:color w:val="000000"/>
          <w:sz w:val="24"/>
          <w:szCs w:val="24"/>
          <w:highlight w:val="none"/>
        </w:rPr>
        <w:t>国家发展和改革委员会</w:t>
      </w:r>
      <w:r>
        <w:rPr>
          <w:rFonts w:ascii="宋体" w:hAnsi="宋体" w:cs="宋体"/>
          <w:color w:val="000000"/>
          <w:sz w:val="24"/>
          <w:szCs w:val="24"/>
          <w:highlight w:val="none"/>
        </w:rPr>
        <w:t xml:space="preserve">  </w:t>
      </w:r>
      <w:r>
        <w:rPr>
          <w:rFonts w:hint="eastAsia" w:ascii="宋体" w:hAnsi="宋体" w:cs="宋体"/>
          <w:color w:val="000000"/>
          <w:sz w:val="24"/>
          <w:szCs w:val="24"/>
          <w:highlight w:val="none"/>
        </w:rPr>
        <w:t>财政部</w:t>
      </w:r>
    </w:p>
    <w:p w14:paraId="2BE2647F">
      <w:pPr>
        <w:spacing w:line="360" w:lineRule="auto"/>
        <w:ind w:right="240"/>
        <w:jc w:val="right"/>
        <w:rPr>
          <w:rFonts w:ascii="宋体" w:cs="宋体"/>
          <w:color w:val="000000"/>
          <w:sz w:val="24"/>
          <w:szCs w:val="24"/>
          <w:highlight w:val="none"/>
        </w:rPr>
      </w:pPr>
      <w:r>
        <w:rPr>
          <w:rFonts w:hint="eastAsia" w:ascii="宋体" w:hAnsi="宋体" w:cs="宋体"/>
          <w:color w:val="000000"/>
          <w:sz w:val="24"/>
          <w:szCs w:val="24"/>
          <w:highlight w:val="none"/>
        </w:rPr>
        <w:t>二〇一一年六月十八日</w:t>
      </w:r>
      <w:bookmarkEnd w:id="284"/>
      <w:bookmarkEnd w:id="285"/>
      <w:bookmarkEnd w:id="286"/>
      <w:bookmarkEnd w:id="287"/>
      <w:bookmarkEnd w:id="288"/>
      <w:bookmarkEnd w:id="289"/>
      <w:bookmarkEnd w:id="290"/>
      <w:bookmarkEnd w:id="291"/>
      <w:bookmarkEnd w:id="292"/>
      <w:bookmarkEnd w:id="293"/>
      <w:bookmarkEnd w:id="294"/>
      <w:bookmarkEnd w:id="295"/>
    </w:p>
    <w:sectPr>
      <w:footerReference r:id="rId9" w:type="default"/>
      <w:pgSz w:w="11907" w:h="16840"/>
      <w:pgMar w:top="1440" w:right="1469" w:bottom="1440" w:left="1622" w:header="454"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幼圆">
    <w:panose1 w:val="0201050906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roman"/>
    <w:pitch w:val="default"/>
    <w:sig w:usb0="00000000" w:usb1="00000000" w:usb2="0000003F" w:usb3="00000000" w:csb0="603F01FF" w:csb1="FFFF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575C2">
    <w:pPr>
      <w:pStyle w:val="23"/>
      <w:jc w:val="center"/>
    </w:pPr>
    <w:r>
      <w:rPr>
        <w:rStyle w:val="52"/>
      </w:rPr>
      <w:fldChar w:fldCharType="begin"/>
    </w:r>
    <w:r>
      <w:rPr>
        <w:rStyle w:val="52"/>
      </w:rPr>
      <w:instrText xml:space="preserve"> PAGE </w:instrText>
    </w:r>
    <w:r>
      <w:rPr>
        <w:rStyle w:val="52"/>
      </w:rPr>
      <w:fldChar w:fldCharType="separate"/>
    </w:r>
    <w:r>
      <w:rPr>
        <w:rStyle w:val="52"/>
      </w:rPr>
      <w:t>6</w:t>
    </w:r>
    <w:r>
      <w:rPr>
        <w:rStyle w:val="5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22627">
    <w:pPr>
      <w:pStyle w:val="23"/>
      <w:framePr w:wrap="around" w:vAnchor="text" w:hAnchor="margin" w:xAlign="center" w:y="1"/>
      <w:rPr>
        <w:rStyle w:val="52"/>
      </w:rPr>
    </w:pPr>
    <w:r>
      <w:rPr>
        <w:rStyle w:val="52"/>
      </w:rPr>
      <w:fldChar w:fldCharType="begin"/>
    </w:r>
    <w:r>
      <w:rPr>
        <w:rStyle w:val="52"/>
      </w:rPr>
      <w:instrText xml:space="preserve">PAGE  </w:instrText>
    </w:r>
    <w:r>
      <w:rPr>
        <w:rStyle w:val="52"/>
      </w:rPr>
      <w:fldChar w:fldCharType="separate"/>
    </w:r>
    <w:r>
      <w:rPr>
        <w:rStyle w:val="52"/>
      </w:rPr>
      <w:t>23</w:t>
    </w:r>
    <w:r>
      <w:rPr>
        <w:rStyle w:val="52"/>
      </w:rPr>
      <w:fldChar w:fldCharType="end"/>
    </w:r>
  </w:p>
  <w:p w14:paraId="07557DB2">
    <w:pPr>
      <w:pStyle w:val="2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90B37">
    <w:pPr>
      <w:pStyle w:val="23"/>
      <w:jc w:val="center"/>
    </w:pPr>
    <w:r>
      <w:fldChar w:fldCharType="begin"/>
    </w:r>
    <w:r>
      <w:instrText xml:space="preserve"> PAGE   \* MERGEFORMAT </w:instrText>
    </w:r>
    <w:r>
      <w:fldChar w:fldCharType="separate"/>
    </w:r>
    <w:r>
      <w:rPr>
        <w:lang w:val="zh-CN"/>
      </w:rPr>
      <w:t>59</w:t>
    </w:r>
    <w:r>
      <w:rPr>
        <w:lang w:val="zh-CN"/>
      </w:rPr>
      <w:fldChar w:fldCharType="end"/>
    </w:r>
  </w:p>
  <w:p w14:paraId="4187876A">
    <w:pPr>
      <w:pStyle w:val="2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91F61">
    <w:pPr>
      <w:pStyle w:val="23"/>
      <w:jc w:val="center"/>
      <w:rPr>
        <w:szCs w:val="18"/>
      </w:rPr>
    </w:pPr>
    <w:r>
      <w:rPr>
        <w:rStyle w:val="52"/>
        <w:szCs w:val="18"/>
      </w:rPr>
      <w:fldChar w:fldCharType="begin"/>
    </w:r>
    <w:r>
      <w:rPr>
        <w:rStyle w:val="52"/>
        <w:szCs w:val="18"/>
      </w:rPr>
      <w:instrText xml:space="preserve"> PAGE </w:instrText>
    </w:r>
    <w:r>
      <w:rPr>
        <w:rStyle w:val="52"/>
        <w:szCs w:val="18"/>
      </w:rPr>
      <w:fldChar w:fldCharType="separate"/>
    </w:r>
    <w:r>
      <w:rPr>
        <w:rStyle w:val="52"/>
        <w:szCs w:val="18"/>
      </w:rPr>
      <w:t>93</w:t>
    </w:r>
    <w:r>
      <w:rPr>
        <w:rStyle w:val="52"/>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42B54">
    <w:pPr>
      <w:pStyle w:val="32"/>
      <w:jc w:val="center"/>
    </w:pPr>
    <w:r>
      <w:rPr>
        <w:rFonts w:hint="eastAsia" w:ascii="宋体" w:hAnsi="宋体" w:eastAsia="宋体" w:cs="宋体"/>
        <w:bCs/>
        <w:sz w:val="44"/>
        <w:highlight w:val="none"/>
        <w:lang w:eastAsia="zh-CN"/>
      </w:rPr>
      <w:drawing>
        <wp:anchor distT="0" distB="0" distL="114300" distR="114300" simplePos="0" relativeHeight="251660288" behindDoc="1" locked="0" layoutInCell="1" allowOverlap="1">
          <wp:simplePos x="0" y="0"/>
          <wp:positionH relativeFrom="column">
            <wp:posOffset>-774700</wp:posOffset>
          </wp:positionH>
          <wp:positionV relativeFrom="paragraph">
            <wp:posOffset>-158750</wp:posOffset>
          </wp:positionV>
          <wp:extent cx="706120" cy="600710"/>
          <wp:effectExtent l="0" t="0" r="17780" b="8890"/>
          <wp:wrapNone/>
          <wp:docPr id="4"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p w14:paraId="3A0D6DB0">
    <w:pPr>
      <w:pStyle w:val="32"/>
      <w:pBdr>
        <w:bottom w:val="none" w:color="auto" w:sz="0" w:space="0"/>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4AAC9">
    <w:pPr>
      <w:pStyle w:val="32"/>
      <w:jc w:val="center"/>
    </w:pPr>
    <w:r>
      <w:rPr>
        <w:rFonts w:hint="eastAsia" w:ascii="宋体" w:hAnsi="宋体" w:eastAsia="宋体" w:cs="宋体"/>
        <w:bCs/>
        <w:sz w:val="44"/>
        <w:highlight w:val="none"/>
        <w:lang w:eastAsia="zh-CN"/>
      </w:rPr>
      <w:drawing>
        <wp:anchor distT="0" distB="0" distL="114300" distR="114300" simplePos="0" relativeHeight="251659264" behindDoc="1" locked="0" layoutInCell="1" allowOverlap="1">
          <wp:simplePos x="0" y="0"/>
          <wp:positionH relativeFrom="column">
            <wp:posOffset>-774700</wp:posOffset>
          </wp:positionH>
          <wp:positionV relativeFrom="paragraph">
            <wp:posOffset>-158750</wp:posOffset>
          </wp:positionV>
          <wp:extent cx="706120" cy="600710"/>
          <wp:effectExtent l="0" t="0" r="17780" b="8890"/>
          <wp:wrapNone/>
          <wp:docPr id="2"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79C68">
    <w:pPr>
      <w:pStyle w:val="32"/>
      <w:jc w:val="center"/>
    </w:pPr>
    <w:r>
      <w:rPr>
        <w:rFonts w:hint="eastAsia" w:ascii="宋体" w:hAnsi="宋体" w:eastAsia="宋体" w:cs="宋体"/>
        <w:bCs/>
        <w:sz w:val="44"/>
        <w:highlight w:val="none"/>
        <w:lang w:eastAsia="zh-CN"/>
      </w:rPr>
      <w:drawing>
        <wp:anchor distT="0" distB="0" distL="114300" distR="114300" simplePos="0" relativeHeight="251661312" behindDoc="1" locked="0" layoutInCell="1" allowOverlap="1">
          <wp:simplePos x="0" y="0"/>
          <wp:positionH relativeFrom="column">
            <wp:posOffset>-720090</wp:posOffset>
          </wp:positionH>
          <wp:positionV relativeFrom="paragraph">
            <wp:posOffset>-158750</wp:posOffset>
          </wp:positionV>
          <wp:extent cx="706120" cy="600710"/>
          <wp:effectExtent l="0" t="0" r="17780" b="8890"/>
          <wp:wrapNone/>
          <wp:docPr id="5" name="图片 2"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p w14:paraId="6AEC7FC3">
    <w:pPr>
      <w:pStyle w:val="32"/>
      <w:pBdr>
        <w:bottom w:val="none" w:color="auto" w:sz="0" w:space="0"/>
      </w:pBdr>
      <w:jc w:val="right"/>
      <w:rPr>
        <w:rFonts w:eastAsia="隶书"/>
        <w:color w:val="FF0000"/>
        <w:spacing w:val="40"/>
        <w:sz w:val="21"/>
        <w:szCs w:val="21"/>
        <w:u w:val="single"/>
      </w:rPr>
    </w:pPr>
  </w:p>
  <w:p w14:paraId="49163017">
    <w:pPr>
      <w:pStyle w:val="32"/>
      <w:pBdr>
        <w:bottom w:val="none" w:color="auto" w:sz="0" w:space="0"/>
      </w:pBdr>
      <w:jc w:val="both"/>
      <w:rPr>
        <w:rFonts w:eastAsia="隶书"/>
        <w:color w:val="FF0000"/>
        <w:spacing w:val="40"/>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132A0B"/>
    <w:multiLevelType w:val="singleLevel"/>
    <w:tmpl w:val="EF132A0B"/>
    <w:lvl w:ilvl="0" w:tentative="0">
      <w:start w:val="1"/>
      <w:numFmt w:val="decimal"/>
      <w:suff w:val="space"/>
      <w:lvlText w:val="（%1）"/>
      <w:lvlJc w:val="left"/>
    </w:lvl>
  </w:abstractNum>
  <w:abstractNum w:abstractNumId="1">
    <w:nsid w:val="F5FC5B6C"/>
    <w:multiLevelType w:val="singleLevel"/>
    <w:tmpl w:val="F5FC5B6C"/>
    <w:lvl w:ilvl="0" w:tentative="0">
      <w:start w:val="2"/>
      <w:numFmt w:val="chineseCounting"/>
      <w:suff w:val="nothing"/>
      <w:lvlText w:val="（%1）"/>
      <w:lvlJc w:val="left"/>
      <w:rPr>
        <w:rFonts w:hint="eastAsia"/>
      </w:rPr>
    </w:lvl>
  </w:abstractNum>
  <w:abstractNum w:abstractNumId="2">
    <w:nsid w:val="00000022"/>
    <w:multiLevelType w:val="multilevel"/>
    <w:tmpl w:val="00000022"/>
    <w:lvl w:ilvl="0" w:tentative="0">
      <w:start w:val="1"/>
      <w:numFmt w:val="decimal"/>
      <w:lvlText w:val="%1)"/>
      <w:lvlJc w:val="left"/>
      <w:pPr>
        <w:tabs>
          <w:tab w:val="left" w:pos="1680"/>
        </w:tabs>
        <w:ind w:left="1680" w:hanging="420"/>
      </w:pPr>
      <w:rPr>
        <w:rFonts w:hint="eastAsia" w:cs="Times New Roman"/>
      </w:rPr>
    </w:lvl>
    <w:lvl w:ilvl="1" w:tentative="0">
      <w:start w:val="1"/>
      <w:numFmt w:val="decimal"/>
      <w:lvlText w:val="%2、"/>
      <w:lvlJc w:val="left"/>
      <w:pPr>
        <w:tabs>
          <w:tab w:val="left" w:pos="780"/>
        </w:tabs>
        <w:ind w:left="780" w:hanging="360"/>
      </w:pPr>
      <w:rPr>
        <w:rFonts w:hint="default" w:cs="Times New Roman"/>
        <w:b w:val="0"/>
      </w:rPr>
    </w:lvl>
    <w:lvl w:ilvl="2" w:tentative="0">
      <w:start w:val="1"/>
      <w:numFmt w:val="decimal"/>
      <w:lvlText w:val="%3."/>
      <w:lvlJc w:val="left"/>
      <w:pPr>
        <w:tabs>
          <w:tab w:val="left" w:pos="1560"/>
        </w:tabs>
        <w:ind w:left="1560" w:hanging="720"/>
      </w:pPr>
      <w:rPr>
        <w:rFonts w:hint="default" w:cs="Times New Roman"/>
      </w:rPr>
    </w:lvl>
    <w:lvl w:ilvl="3" w:tentative="0">
      <w:start w:val="5"/>
      <w:numFmt w:val="bullet"/>
      <w:lvlText w:val="●"/>
      <w:lvlJc w:val="left"/>
      <w:pPr>
        <w:tabs>
          <w:tab w:val="left" w:pos="1620"/>
        </w:tabs>
        <w:ind w:left="1620" w:hanging="360"/>
      </w:pPr>
      <w:rPr>
        <w:rFonts w:hint="eastAsia" w:ascii="宋体" w:hAnsi="宋体" w:eastAsia="宋体"/>
      </w:rPr>
    </w:lvl>
    <w:lvl w:ilvl="4" w:tentative="0">
      <w:start w:val="1"/>
      <w:numFmt w:val="japaneseCounting"/>
      <w:lvlText w:val="%5、"/>
      <w:lvlJc w:val="left"/>
      <w:pPr>
        <w:tabs>
          <w:tab w:val="left" w:pos="2400"/>
        </w:tabs>
        <w:ind w:left="2400" w:hanging="720"/>
      </w:pPr>
      <w:rPr>
        <w:rFonts w:hint="default" w:cs="Times New Roman"/>
      </w:rPr>
    </w:lvl>
    <w:lvl w:ilvl="5" w:tentative="0">
      <w:start w:val="0"/>
      <w:numFmt w:val="bullet"/>
      <w:lvlText w:val=""/>
      <w:lvlJc w:val="left"/>
      <w:pPr>
        <w:tabs>
          <w:tab w:val="left" w:pos="2460"/>
        </w:tabs>
        <w:ind w:left="2460" w:hanging="360"/>
      </w:pPr>
      <w:rPr>
        <w:rFonts w:hint="default" w:ascii="Wingdings" w:hAnsi="Wingdings" w:eastAsia="宋体"/>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5C505B4"/>
    <w:multiLevelType w:val="multilevel"/>
    <w:tmpl w:val="05C505B4"/>
    <w:lvl w:ilvl="0" w:tentative="0">
      <w:start w:val="1"/>
      <w:numFmt w:val="decimal"/>
      <w:lvlText w:val="%1)"/>
      <w:lvlJc w:val="left"/>
      <w:pPr>
        <w:tabs>
          <w:tab w:val="left" w:pos="1680"/>
        </w:tabs>
        <w:ind w:left="1680" w:hanging="42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0C1657F2"/>
    <w:multiLevelType w:val="multilevel"/>
    <w:tmpl w:val="0C1657F2"/>
    <w:lvl w:ilvl="0" w:tentative="0">
      <w:start w:val="1"/>
      <w:numFmt w:val="decimal"/>
      <w:lvlText w:val="%1)"/>
      <w:lvlJc w:val="left"/>
      <w:pPr>
        <w:ind w:left="900" w:hanging="420"/>
      </w:pPr>
      <w:rPr>
        <w:rFonts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5">
    <w:nsid w:val="118CD015"/>
    <w:multiLevelType w:val="singleLevel"/>
    <w:tmpl w:val="118CD015"/>
    <w:lvl w:ilvl="0" w:tentative="0">
      <w:start w:val="2"/>
      <w:numFmt w:val="decimal"/>
      <w:suff w:val="nothing"/>
      <w:lvlText w:val="%1、"/>
      <w:lvlJc w:val="left"/>
    </w:lvl>
  </w:abstractNum>
  <w:abstractNum w:abstractNumId="6">
    <w:nsid w:val="23757D77"/>
    <w:multiLevelType w:val="multilevel"/>
    <w:tmpl w:val="23757D77"/>
    <w:lvl w:ilvl="0" w:tentative="0">
      <w:start w:val="1"/>
      <w:numFmt w:val="japaneseCounting"/>
      <w:lvlText w:val="%1、"/>
      <w:lvlJc w:val="left"/>
      <w:pPr>
        <w:tabs>
          <w:tab w:val="left" w:pos="420"/>
        </w:tabs>
        <w:ind w:left="420" w:hanging="420"/>
      </w:pPr>
      <w:rPr>
        <w:rFonts w:hint="default" w:cs="Times New Roman"/>
      </w:rPr>
    </w:lvl>
    <w:lvl w:ilvl="1" w:tentative="0">
      <w:start w:val="1"/>
      <w:numFmt w:val="japaneseCounting"/>
      <w:lvlText w:val="第%2章"/>
      <w:lvlJc w:val="left"/>
      <w:pPr>
        <w:tabs>
          <w:tab w:val="left" w:pos="1408"/>
        </w:tabs>
        <w:ind w:left="1408" w:hanging="840"/>
      </w:pPr>
      <w:rPr>
        <w:rFonts w:hint="default" w:cs="Times New Roman"/>
      </w:rPr>
    </w:lvl>
    <w:lvl w:ilvl="2" w:tentative="0">
      <w:start w:val="1"/>
      <w:numFmt w:val="decimal"/>
      <w:lvlText w:val="%3."/>
      <w:lvlJc w:val="left"/>
      <w:pPr>
        <w:tabs>
          <w:tab w:val="left" w:pos="1200"/>
        </w:tabs>
        <w:ind w:left="1200" w:hanging="360"/>
      </w:pPr>
      <w:rPr>
        <w:rFonts w:hint="default" w:cs="Times New Roman"/>
      </w:rPr>
    </w:lvl>
    <w:lvl w:ilvl="3" w:tentative="0">
      <w:start w:val="1"/>
      <w:numFmt w:val="decimal"/>
      <w:lvlText w:val="%4）"/>
      <w:lvlJc w:val="left"/>
      <w:pPr>
        <w:tabs>
          <w:tab w:val="left" w:pos="1620"/>
        </w:tabs>
        <w:ind w:left="1620" w:hanging="36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7">
    <w:nsid w:val="23A77F1A"/>
    <w:multiLevelType w:val="multilevel"/>
    <w:tmpl w:val="23A77F1A"/>
    <w:lvl w:ilvl="0" w:tentative="0">
      <w:start w:val="1"/>
      <w:numFmt w:val="decimal"/>
      <w:lvlText w:val="%1)"/>
      <w:lvlJc w:val="left"/>
      <w:pPr>
        <w:tabs>
          <w:tab w:val="left" w:pos="846"/>
        </w:tabs>
        <w:ind w:left="846" w:hanging="420"/>
      </w:pPr>
      <w:rPr>
        <w:rFonts w:hint="eastAsia" w:cs="Times New Roman"/>
        <w:b/>
      </w:rPr>
    </w:lvl>
    <w:lvl w:ilvl="1" w:tentative="0">
      <w:start w:val="1"/>
      <w:numFmt w:val="lowerLetter"/>
      <w:lvlText w:val="%2)"/>
      <w:lvlJc w:val="left"/>
      <w:pPr>
        <w:tabs>
          <w:tab w:val="left" w:pos="1200"/>
        </w:tabs>
        <w:ind w:left="1200" w:hanging="420"/>
      </w:pPr>
      <w:rPr>
        <w:rFonts w:cs="Times New Roman"/>
      </w:rPr>
    </w:lvl>
    <w:lvl w:ilvl="2" w:tentative="0">
      <w:start w:val="1"/>
      <w:numFmt w:val="lowerRoman"/>
      <w:lvlText w:val="%3."/>
      <w:lvlJc w:val="right"/>
      <w:pPr>
        <w:tabs>
          <w:tab w:val="left" w:pos="1620"/>
        </w:tabs>
        <w:ind w:left="1620" w:hanging="420"/>
      </w:pPr>
      <w:rPr>
        <w:rFonts w:cs="Times New Roman"/>
      </w:rPr>
    </w:lvl>
    <w:lvl w:ilvl="3" w:tentative="0">
      <w:start w:val="1"/>
      <w:numFmt w:val="decimal"/>
      <w:lvlText w:val="%4."/>
      <w:lvlJc w:val="left"/>
      <w:pPr>
        <w:tabs>
          <w:tab w:val="left" w:pos="2040"/>
        </w:tabs>
        <w:ind w:left="2040" w:hanging="420"/>
      </w:pPr>
      <w:rPr>
        <w:rFonts w:cs="Times New Roman"/>
      </w:rPr>
    </w:lvl>
    <w:lvl w:ilvl="4" w:tentative="0">
      <w:start w:val="1"/>
      <w:numFmt w:val="lowerLetter"/>
      <w:lvlText w:val="%5)"/>
      <w:lvlJc w:val="left"/>
      <w:pPr>
        <w:tabs>
          <w:tab w:val="left" w:pos="2460"/>
        </w:tabs>
        <w:ind w:left="2460" w:hanging="420"/>
      </w:pPr>
      <w:rPr>
        <w:rFonts w:cs="Times New Roman"/>
      </w:rPr>
    </w:lvl>
    <w:lvl w:ilvl="5" w:tentative="0">
      <w:start w:val="1"/>
      <w:numFmt w:val="lowerRoman"/>
      <w:lvlText w:val="%6."/>
      <w:lvlJc w:val="right"/>
      <w:pPr>
        <w:tabs>
          <w:tab w:val="left" w:pos="2880"/>
        </w:tabs>
        <w:ind w:left="2880" w:hanging="420"/>
      </w:pPr>
      <w:rPr>
        <w:rFonts w:cs="Times New Roman"/>
      </w:rPr>
    </w:lvl>
    <w:lvl w:ilvl="6" w:tentative="0">
      <w:start w:val="1"/>
      <w:numFmt w:val="decimal"/>
      <w:lvlText w:val="%7."/>
      <w:lvlJc w:val="left"/>
      <w:pPr>
        <w:tabs>
          <w:tab w:val="left" w:pos="3300"/>
        </w:tabs>
        <w:ind w:left="3300" w:hanging="420"/>
      </w:pPr>
      <w:rPr>
        <w:rFonts w:cs="Times New Roman"/>
      </w:rPr>
    </w:lvl>
    <w:lvl w:ilvl="7" w:tentative="0">
      <w:start w:val="1"/>
      <w:numFmt w:val="lowerLetter"/>
      <w:lvlText w:val="%8)"/>
      <w:lvlJc w:val="left"/>
      <w:pPr>
        <w:tabs>
          <w:tab w:val="left" w:pos="3720"/>
        </w:tabs>
        <w:ind w:left="3720" w:hanging="420"/>
      </w:pPr>
      <w:rPr>
        <w:rFonts w:cs="Times New Roman"/>
      </w:rPr>
    </w:lvl>
    <w:lvl w:ilvl="8" w:tentative="0">
      <w:start w:val="1"/>
      <w:numFmt w:val="lowerRoman"/>
      <w:lvlText w:val="%9."/>
      <w:lvlJc w:val="right"/>
      <w:pPr>
        <w:tabs>
          <w:tab w:val="left" w:pos="4140"/>
        </w:tabs>
        <w:ind w:left="4140" w:hanging="420"/>
      </w:pPr>
      <w:rPr>
        <w:rFonts w:cs="Times New Roman"/>
      </w:rPr>
    </w:lvl>
  </w:abstractNum>
  <w:abstractNum w:abstractNumId="8">
    <w:nsid w:val="3FA85A6C"/>
    <w:multiLevelType w:val="multilevel"/>
    <w:tmpl w:val="3FA85A6C"/>
    <w:lvl w:ilvl="0" w:tentative="0">
      <w:start w:val="1"/>
      <w:numFmt w:val="decimal"/>
      <w:pStyle w:val="231"/>
      <w:lvlText w:val="（%1）"/>
      <w:lvlJc w:val="left"/>
      <w:pPr>
        <w:ind w:left="1200" w:hanging="720"/>
      </w:pPr>
      <w:rPr>
        <w:rFonts w:hint="default" w:ascii="Calibri" w:hAnsi="Calibri" w:cs="宋体"/>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9">
    <w:nsid w:val="3FBB35D9"/>
    <w:multiLevelType w:val="multilevel"/>
    <w:tmpl w:val="3FBB35D9"/>
    <w:lvl w:ilvl="0" w:tentative="0">
      <w:start w:val="1"/>
      <w:numFmt w:val="decimal"/>
      <w:pStyle w:val="235"/>
      <w:lvlText w:val="（%1）"/>
      <w:lvlJc w:val="left"/>
      <w:pPr>
        <w:ind w:left="1200" w:hanging="720"/>
      </w:pPr>
      <w:rPr>
        <w:rFonts w:hint="default" w:ascii="Calibri" w:hAnsi="Calibri" w:cs="宋体"/>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10">
    <w:nsid w:val="423C354E"/>
    <w:multiLevelType w:val="multilevel"/>
    <w:tmpl w:val="423C354E"/>
    <w:lvl w:ilvl="0" w:tentative="0">
      <w:start w:val="1"/>
      <w:numFmt w:val="decimal"/>
      <w:pStyle w:val="14"/>
      <w:lvlText w:val="%1."/>
      <w:lvlJc w:val="left"/>
      <w:pPr>
        <w:tabs>
          <w:tab w:val="left" w:pos="420"/>
        </w:tabs>
        <w:ind w:left="420" w:hanging="420"/>
      </w:pPr>
      <w:rPr>
        <w:rFonts w:cs="Times New Roman"/>
      </w:rPr>
    </w:lvl>
    <w:lvl w:ilvl="1" w:tentative="0">
      <w:start w:val="1"/>
      <w:numFmt w:val="bullet"/>
      <w:pStyle w:val="16"/>
      <w:lvlText w:val=""/>
      <w:lvlJc w:val="left"/>
      <w:pPr>
        <w:tabs>
          <w:tab w:val="left" w:pos="840"/>
        </w:tabs>
        <w:ind w:left="840" w:hanging="420"/>
      </w:pPr>
      <w:rPr>
        <w:rFonts w:hint="default" w:ascii="Wingdings" w:hAnsi="Wingdings"/>
      </w:rPr>
    </w:lvl>
    <w:lvl w:ilvl="2" w:tentative="0">
      <w:start w:val="1"/>
      <w:numFmt w:val="decimal"/>
      <w:lvlText w:val="%3."/>
      <w:lvlJc w:val="lef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1">
    <w:nsid w:val="4A1D0B86"/>
    <w:multiLevelType w:val="multilevel"/>
    <w:tmpl w:val="4A1D0B86"/>
    <w:lvl w:ilvl="0" w:tentative="0">
      <w:start w:val="1"/>
      <w:numFmt w:val="decimal"/>
      <w:lvlText w:val="%1."/>
      <w:lvlJc w:val="left"/>
      <w:pPr>
        <w:tabs>
          <w:tab w:val="left" w:pos="560"/>
        </w:tabs>
        <w:ind w:left="900" w:hanging="340"/>
      </w:pPr>
      <w:rPr>
        <w:rFonts w:hint="eastAsia" w:cs="Times New Roman"/>
      </w:rPr>
    </w:lvl>
    <w:lvl w:ilvl="1" w:tentative="0">
      <w:start w:val="1"/>
      <w:numFmt w:val="decimal"/>
      <w:lvlText w:val="%2."/>
      <w:lvlJc w:val="left"/>
      <w:pPr>
        <w:tabs>
          <w:tab w:val="left" w:pos="420"/>
        </w:tabs>
        <w:ind w:left="760" w:hanging="34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2">
    <w:nsid w:val="4AF31D51"/>
    <w:multiLevelType w:val="multilevel"/>
    <w:tmpl w:val="4AF31D51"/>
    <w:lvl w:ilvl="0" w:tentative="0">
      <w:start w:val="1"/>
      <w:numFmt w:val="bullet"/>
      <w:pStyle w:val="151"/>
      <w:lvlText w:val=""/>
      <w:lvlJc w:val="left"/>
      <w:pPr>
        <w:tabs>
          <w:tab w:val="left" w:pos="1500"/>
        </w:tabs>
        <w:ind w:left="1500" w:hanging="420"/>
      </w:pPr>
      <w:rPr>
        <w:rFonts w:hint="default" w:ascii="Wingdings" w:hAnsi="Wingdings"/>
      </w:rPr>
    </w:lvl>
    <w:lvl w:ilvl="1" w:tentative="0">
      <w:start w:val="1"/>
      <w:numFmt w:val="decimal"/>
      <w:lvlText w:val="%2."/>
      <w:lvlJc w:val="left"/>
      <w:pPr>
        <w:tabs>
          <w:tab w:val="left" w:pos="1407"/>
        </w:tabs>
        <w:ind w:left="1407" w:hanging="420"/>
      </w:pPr>
      <w:rPr>
        <w:rFonts w:hint="default" w:cs="Times New Roman"/>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13">
    <w:nsid w:val="4C5F2D84"/>
    <w:multiLevelType w:val="multilevel"/>
    <w:tmpl w:val="4C5F2D84"/>
    <w:lvl w:ilvl="0" w:tentative="0">
      <w:start w:val="1"/>
      <w:numFmt w:val="decimal"/>
      <w:lvlText w:val="%1."/>
      <w:lvlJc w:val="left"/>
      <w:pPr>
        <w:tabs>
          <w:tab w:val="left" w:pos="840"/>
        </w:tabs>
        <w:ind w:left="1180" w:hanging="340"/>
      </w:pPr>
      <w:rPr>
        <w:rFonts w:hint="eastAsia" w:cs="Times New Roman"/>
      </w:rPr>
    </w:lvl>
    <w:lvl w:ilvl="1" w:tentative="0">
      <w:start w:val="1"/>
      <w:numFmt w:val="decimal"/>
      <w:lvlText w:val="%2)"/>
      <w:lvlJc w:val="left"/>
      <w:pPr>
        <w:tabs>
          <w:tab w:val="left" w:pos="1680"/>
        </w:tabs>
        <w:ind w:left="1680" w:hanging="420"/>
      </w:pPr>
      <w:rPr>
        <w:rFonts w:hint="eastAsia" w:cs="Times New Roman"/>
      </w:rPr>
    </w:lvl>
    <w:lvl w:ilvl="2" w:tentative="0">
      <w:start w:val="1"/>
      <w:numFmt w:val="decimal"/>
      <w:lvlText w:val="%3）"/>
      <w:lvlJc w:val="left"/>
      <w:pPr>
        <w:tabs>
          <w:tab w:val="left" w:pos="2520"/>
        </w:tabs>
        <w:ind w:left="2520" w:hanging="840"/>
      </w:pPr>
      <w:rPr>
        <w:rFonts w:hint="default" w:cs="Times New Roman"/>
      </w:rPr>
    </w:lvl>
    <w:lvl w:ilvl="3" w:tentative="0">
      <w:start w:val="1"/>
      <w:numFmt w:val="decimal"/>
      <w:lvlText w:val="%4."/>
      <w:lvlJc w:val="left"/>
      <w:pPr>
        <w:tabs>
          <w:tab w:val="left" w:pos="2520"/>
        </w:tabs>
        <w:ind w:left="2520" w:hanging="420"/>
      </w:pPr>
      <w:rPr>
        <w:rFonts w:cs="Times New Roman"/>
      </w:rPr>
    </w:lvl>
    <w:lvl w:ilvl="4" w:tentative="0">
      <w:start w:val="1"/>
      <w:numFmt w:val="lowerLetter"/>
      <w:lvlText w:val="%5)"/>
      <w:lvlJc w:val="left"/>
      <w:pPr>
        <w:tabs>
          <w:tab w:val="left" w:pos="2940"/>
        </w:tabs>
        <w:ind w:left="2940" w:hanging="420"/>
      </w:pPr>
      <w:rPr>
        <w:rFonts w:cs="Times New Roman"/>
      </w:rPr>
    </w:lvl>
    <w:lvl w:ilvl="5" w:tentative="0">
      <w:start w:val="1"/>
      <w:numFmt w:val="lowerRoman"/>
      <w:lvlText w:val="%6."/>
      <w:lvlJc w:val="right"/>
      <w:pPr>
        <w:tabs>
          <w:tab w:val="left" w:pos="3360"/>
        </w:tabs>
        <w:ind w:left="3360" w:hanging="420"/>
      </w:pPr>
      <w:rPr>
        <w:rFonts w:cs="Times New Roman"/>
      </w:rPr>
    </w:lvl>
    <w:lvl w:ilvl="6" w:tentative="0">
      <w:start w:val="1"/>
      <w:numFmt w:val="decimal"/>
      <w:lvlText w:val="%7."/>
      <w:lvlJc w:val="left"/>
      <w:pPr>
        <w:tabs>
          <w:tab w:val="left" w:pos="3780"/>
        </w:tabs>
        <w:ind w:left="3780" w:hanging="420"/>
      </w:pPr>
      <w:rPr>
        <w:rFonts w:cs="Times New Roman"/>
      </w:rPr>
    </w:lvl>
    <w:lvl w:ilvl="7" w:tentative="0">
      <w:start w:val="1"/>
      <w:numFmt w:val="lowerLetter"/>
      <w:lvlText w:val="%8)"/>
      <w:lvlJc w:val="left"/>
      <w:pPr>
        <w:tabs>
          <w:tab w:val="left" w:pos="4200"/>
        </w:tabs>
        <w:ind w:left="4200" w:hanging="420"/>
      </w:pPr>
      <w:rPr>
        <w:rFonts w:cs="Times New Roman"/>
      </w:rPr>
    </w:lvl>
    <w:lvl w:ilvl="8" w:tentative="0">
      <w:start w:val="1"/>
      <w:numFmt w:val="lowerRoman"/>
      <w:lvlText w:val="%9."/>
      <w:lvlJc w:val="right"/>
      <w:pPr>
        <w:tabs>
          <w:tab w:val="left" w:pos="4620"/>
        </w:tabs>
        <w:ind w:left="4620" w:hanging="420"/>
      </w:pPr>
      <w:rPr>
        <w:rFonts w:cs="Times New Roman"/>
      </w:rPr>
    </w:lvl>
  </w:abstractNum>
  <w:abstractNum w:abstractNumId="14">
    <w:nsid w:val="52E96BBF"/>
    <w:multiLevelType w:val="singleLevel"/>
    <w:tmpl w:val="52E96BBF"/>
    <w:lvl w:ilvl="0" w:tentative="0">
      <w:start w:val="1"/>
      <w:numFmt w:val="chineseCounting"/>
      <w:suff w:val="nothing"/>
      <w:lvlText w:val="%1、"/>
      <w:lvlJc w:val="left"/>
      <w:rPr>
        <w:rFonts w:hint="eastAsia"/>
      </w:rPr>
    </w:lvl>
  </w:abstractNum>
  <w:abstractNum w:abstractNumId="15">
    <w:nsid w:val="58CC5251"/>
    <w:multiLevelType w:val="multilevel"/>
    <w:tmpl w:val="58CC5251"/>
    <w:lvl w:ilvl="0" w:tentative="0">
      <w:start w:val="13"/>
      <w:numFmt w:val="decimal"/>
      <w:lvlText w:val="%1"/>
      <w:lvlJc w:val="left"/>
      <w:pPr>
        <w:ind w:left="480" w:hanging="480"/>
      </w:pPr>
      <w:rPr>
        <w:rFonts w:hint="default" w:cs="Times New Roman"/>
      </w:rPr>
    </w:lvl>
    <w:lvl w:ilvl="1" w:tentative="0">
      <w:start w:val="2"/>
      <w:numFmt w:val="decimal"/>
      <w:lvlText w:val="%1.%2"/>
      <w:lvlJc w:val="left"/>
      <w:pPr>
        <w:ind w:left="960" w:hanging="480"/>
      </w:pPr>
      <w:rPr>
        <w:rFonts w:hint="default" w:cs="Times New Roman"/>
      </w:rPr>
    </w:lvl>
    <w:lvl w:ilvl="2" w:tentative="0">
      <w:start w:val="1"/>
      <w:numFmt w:val="decimal"/>
      <w:lvlText w:val="%1.%2.%3"/>
      <w:lvlJc w:val="left"/>
      <w:pPr>
        <w:ind w:left="1680" w:hanging="720"/>
      </w:pPr>
      <w:rPr>
        <w:rFonts w:hint="default" w:cs="Times New Roman"/>
      </w:rPr>
    </w:lvl>
    <w:lvl w:ilvl="3" w:tentative="0">
      <w:start w:val="1"/>
      <w:numFmt w:val="decimal"/>
      <w:lvlText w:val="%1.%2.%3.%4"/>
      <w:lvlJc w:val="left"/>
      <w:pPr>
        <w:ind w:left="2520" w:hanging="1080"/>
      </w:pPr>
      <w:rPr>
        <w:rFonts w:hint="default" w:cs="Times New Roman"/>
      </w:rPr>
    </w:lvl>
    <w:lvl w:ilvl="4" w:tentative="0">
      <w:start w:val="1"/>
      <w:numFmt w:val="decimal"/>
      <w:lvlText w:val="%1.%2.%3.%4.%5"/>
      <w:lvlJc w:val="left"/>
      <w:pPr>
        <w:ind w:left="3000" w:hanging="1080"/>
      </w:pPr>
      <w:rPr>
        <w:rFonts w:hint="default" w:cs="Times New Roman"/>
      </w:rPr>
    </w:lvl>
    <w:lvl w:ilvl="5" w:tentative="0">
      <w:start w:val="1"/>
      <w:numFmt w:val="decimal"/>
      <w:lvlText w:val="%1.%2.%3.%4.%5.%6"/>
      <w:lvlJc w:val="left"/>
      <w:pPr>
        <w:ind w:left="3840" w:hanging="1440"/>
      </w:pPr>
      <w:rPr>
        <w:rFonts w:hint="default" w:cs="Times New Roman"/>
      </w:rPr>
    </w:lvl>
    <w:lvl w:ilvl="6" w:tentative="0">
      <w:start w:val="1"/>
      <w:numFmt w:val="decimal"/>
      <w:lvlText w:val="%1.%2.%3.%4.%5.%6.%7"/>
      <w:lvlJc w:val="left"/>
      <w:pPr>
        <w:ind w:left="4680" w:hanging="1800"/>
      </w:pPr>
      <w:rPr>
        <w:rFonts w:hint="default" w:cs="Times New Roman"/>
      </w:rPr>
    </w:lvl>
    <w:lvl w:ilvl="7" w:tentative="0">
      <w:start w:val="1"/>
      <w:numFmt w:val="decimal"/>
      <w:lvlText w:val="%1.%2.%3.%4.%5.%6.%7.%8"/>
      <w:lvlJc w:val="left"/>
      <w:pPr>
        <w:ind w:left="5160" w:hanging="1800"/>
      </w:pPr>
      <w:rPr>
        <w:rFonts w:hint="default" w:cs="Times New Roman"/>
      </w:rPr>
    </w:lvl>
    <w:lvl w:ilvl="8" w:tentative="0">
      <w:start w:val="1"/>
      <w:numFmt w:val="decimal"/>
      <w:lvlText w:val="%1.%2.%3.%4.%5.%6.%7.%8.%9"/>
      <w:lvlJc w:val="left"/>
      <w:pPr>
        <w:ind w:left="6000" w:hanging="2160"/>
      </w:pPr>
      <w:rPr>
        <w:rFonts w:hint="default" w:cs="Times New Roman"/>
      </w:rPr>
    </w:lvl>
  </w:abstractNum>
  <w:abstractNum w:abstractNumId="16">
    <w:nsid w:val="5DB53A89"/>
    <w:multiLevelType w:val="multilevel"/>
    <w:tmpl w:val="5DB53A89"/>
    <w:lvl w:ilvl="0" w:tentative="0">
      <w:start w:val="2"/>
      <w:numFmt w:val="decimal"/>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7">
    <w:nsid w:val="663B4382"/>
    <w:multiLevelType w:val="multilevel"/>
    <w:tmpl w:val="663B4382"/>
    <w:lvl w:ilvl="0" w:tentative="0">
      <w:start w:val="1"/>
      <w:numFmt w:val="decimal"/>
      <w:lvlText w:val="%1."/>
      <w:lvlJc w:val="left"/>
      <w:pPr>
        <w:tabs>
          <w:tab w:val="left" w:pos="360"/>
        </w:tabs>
        <w:ind w:left="360" w:hanging="360"/>
      </w:pPr>
      <w:rPr>
        <w:rFonts w:hint="default" w:cs="Times New Roman"/>
      </w:rPr>
    </w:lvl>
    <w:lvl w:ilvl="1" w:tentative="0">
      <w:start w:val="1"/>
      <w:numFmt w:val="decimal"/>
      <w:lvlText w:val="%2)"/>
      <w:lvlJc w:val="left"/>
      <w:pPr>
        <w:tabs>
          <w:tab w:val="left" w:pos="840"/>
        </w:tabs>
        <w:ind w:left="840" w:hanging="420"/>
      </w:pPr>
      <w:rPr>
        <w:rFonts w:hint="default" w:cs="Times New Roman"/>
      </w:rPr>
    </w:lvl>
    <w:lvl w:ilvl="2" w:tentative="0">
      <w:start w:val="1"/>
      <w:numFmt w:val="decimal"/>
      <w:lvlText w:val="3.%3"/>
      <w:lvlJc w:val="left"/>
      <w:pPr>
        <w:tabs>
          <w:tab w:val="left" w:pos="0"/>
        </w:tabs>
        <w:ind w:left="454" w:hanging="454"/>
      </w:pPr>
      <w:rPr>
        <w:rFonts w:hint="eastAsia" w:cs="Times New Roman"/>
      </w:rPr>
    </w:lvl>
    <w:lvl w:ilvl="3" w:tentative="0">
      <w:start w:val="1"/>
      <w:numFmt w:val="decimal"/>
      <w:pStyle w:val="237"/>
      <w:lvlText w:val="%4)"/>
      <w:lvlJc w:val="left"/>
      <w:pPr>
        <w:tabs>
          <w:tab w:val="left" w:pos="1680"/>
        </w:tabs>
        <w:ind w:left="1680" w:hanging="420"/>
      </w:pPr>
      <w:rPr>
        <w:rFonts w:hint="eastAsia" w:cs="Times New Roman"/>
      </w:rPr>
    </w:lvl>
    <w:lvl w:ilvl="4" w:tentative="0">
      <w:start w:val="1"/>
      <w:numFmt w:val="decimal"/>
      <w:lvlText w:val="%5）"/>
      <w:lvlJc w:val="left"/>
      <w:pPr>
        <w:tabs>
          <w:tab w:val="left" w:pos="2400"/>
        </w:tabs>
        <w:ind w:left="2400" w:hanging="720"/>
      </w:pPr>
      <w:rPr>
        <w:rFonts w:hint="default"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8">
    <w:nsid w:val="6F54455B"/>
    <w:multiLevelType w:val="multilevel"/>
    <w:tmpl w:val="6F54455B"/>
    <w:lvl w:ilvl="0" w:tentative="0">
      <w:start w:val="17"/>
      <w:numFmt w:val="decimal"/>
      <w:lvlText w:val="%1"/>
      <w:lvlJc w:val="left"/>
      <w:pPr>
        <w:ind w:left="480" w:hanging="480"/>
      </w:pPr>
      <w:rPr>
        <w:rFonts w:hint="default" w:cs="Times New Roman"/>
      </w:rPr>
    </w:lvl>
    <w:lvl w:ilvl="1" w:tentative="0">
      <w:start w:val="6"/>
      <w:numFmt w:val="decimal"/>
      <w:lvlText w:val="%1.%2"/>
      <w:lvlJc w:val="left"/>
      <w:pPr>
        <w:ind w:left="960" w:hanging="480"/>
      </w:pPr>
      <w:rPr>
        <w:rFonts w:hint="default" w:cs="Times New Roman"/>
      </w:rPr>
    </w:lvl>
    <w:lvl w:ilvl="2" w:tentative="0">
      <w:start w:val="1"/>
      <w:numFmt w:val="decimal"/>
      <w:lvlText w:val="%1.%2.%3"/>
      <w:lvlJc w:val="left"/>
      <w:pPr>
        <w:ind w:left="1680" w:hanging="720"/>
      </w:pPr>
      <w:rPr>
        <w:rFonts w:hint="default" w:cs="Times New Roman"/>
      </w:rPr>
    </w:lvl>
    <w:lvl w:ilvl="3" w:tentative="0">
      <w:start w:val="1"/>
      <w:numFmt w:val="decimal"/>
      <w:lvlText w:val="%1.%2.%3.%4"/>
      <w:lvlJc w:val="left"/>
      <w:pPr>
        <w:ind w:left="2520" w:hanging="1080"/>
      </w:pPr>
      <w:rPr>
        <w:rFonts w:hint="default" w:cs="Times New Roman"/>
      </w:rPr>
    </w:lvl>
    <w:lvl w:ilvl="4" w:tentative="0">
      <w:start w:val="1"/>
      <w:numFmt w:val="decimal"/>
      <w:lvlText w:val="%1.%2.%3.%4.%5"/>
      <w:lvlJc w:val="left"/>
      <w:pPr>
        <w:ind w:left="3000" w:hanging="1080"/>
      </w:pPr>
      <w:rPr>
        <w:rFonts w:hint="default" w:cs="Times New Roman"/>
      </w:rPr>
    </w:lvl>
    <w:lvl w:ilvl="5" w:tentative="0">
      <w:start w:val="1"/>
      <w:numFmt w:val="decimal"/>
      <w:lvlText w:val="%1.%2.%3.%4.%5.%6"/>
      <w:lvlJc w:val="left"/>
      <w:pPr>
        <w:ind w:left="3840" w:hanging="1440"/>
      </w:pPr>
      <w:rPr>
        <w:rFonts w:hint="default" w:cs="Times New Roman"/>
      </w:rPr>
    </w:lvl>
    <w:lvl w:ilvl="6" w:tentative="0">
      <w:start w:val="1"/>
      <w:numFmt w:val="decimal"/>
      <w:lvlText w:val="%1.%2.%3.%4.%5.%6.%7"/>
      <w:lvlJc w:val="left"/>
      <w:pPr>
        <w:ind w:left="4680" w:hanging="1800"/>
      </w:pPr>
      <w:rPr>
        <w:rFonts w:hint="default" w:cs="Times New Roman"/>
      </w:rPr>
    </w:lvl>
    <w:lvl w:ilvl="7" w:tentative="0">
      <w:start w:val="1"/>
      <w:numFmt w:val="decimal"/>
      <w:lvlText w:val="%1.%2.%3.%4.%5.%6.%7.%8"/>
      <w:lvlJc w:val="left"/>
      <w:pPr>
        <w:ind w:left="5160" w:hanging="1800"/>
      </w:pPr>
      <w:rPr>
        <w:rFonts w:hint="default" w:cs="Times New Roman"/>
      </w:rPr>
    </w:lvl>
    <w:lvl w:ilvl="8" w:tentative="0">
      <w:start w:val="1"/>
      <w:numFmt w:val="decimal"/>
      <w:lvlText w:val="%1.%2.%3.%4.%5.%6.%7.%8.%9"/>
      <w:lvlJc w:val="left"/>
      <w:pPr>
        <w:ind w:left="6000" w:hanging="2160"/>
      </w:pPr>
      <w:rPr>
        <w:rFonts w:hint="default" w:cs="Times New Roman"/>
      </w:rPr>
    </w:lvl>
  </w:abstractNum>
  <w:abstractNum w:abstractNumId="19">
    <w:nsid w:val="7A31A384"/>
    <w:multiLevelType w:val="singleLevel"/>
    <w:tmpl w:val="7A31A384"/>
    <w:lvl w:ilvl="0" w:tentative="0">
      <w:start w:val="6"/>
      <w:numFmt w:val="chineseCounting"/>
      <w:suff w:val="nothing"/>
      <w:lvlText w:val="%1、"/>
      <w:lvlJc w:val="left"/>
      <w:rPr>
        <w:rFonts w:hint="eastAsia"/>
      </w:rPr>
    </w:lvl>
  </w:abstractNum>
  <w:num w:numId="1">
    <w:abstractNumId w:val="10"/>
  </w:num>
  <w:num w:numId="2">
    <w:abstractNumId w:val="12"/>
  </w:num>
  <w:num w:numId="3">
    <w:abstractNumId w:val="8"/>
  </w:num>
  <w:num w:numId="4">
    <w:abstractNumId w:val="9"/>
  </w:num>
  <w:num w:numId="5">
    <w:abstractNumId w:val="17"/>
  </w:num>
  <w:num w:numId="6">
    <w:abstractNumId w:val="19"/>
  </w:num>
  <w:num w:numId="7">
    <w:abstractNumId w:val="4"/>
  </w:num>
  <w:num w:numId="8">
    <w:abstractNumId w:val="6"/>
  </w:num>
  <w:num w:numId="9">
    <w:abstractNumId w:val="15"/>
  </w:num>
  <w:num w:numId="10">
    <w:abstractNumId w:val="3"/>
  </w:num>
  <w:num w:numId="11">
    <w:abstractNumId w:val="18"/>
  </w:num>
  <w:num w:numId="12">
    <w:abstractNumId w:val="7"/>
  </w:num>
  <w:num w:numId="13">
    <w:abstractNumId w:val="14"/>
  </w:num>
  <w:num w:numId="14">
    <w:abstractNumId w:val="0"/>
  </w:num>
  <w:num w:numId="15">
    <w:abstractNumId w:val="5"/>
  </w:num>
  <w:num w:numId="16">
    <w:abstractNumId w:val="1"/>
  </w:num>
  <w:num w:numId="17">
    <w:abstractNumId w:val="2"/>
  </w:num>
  <w:num w:numId="18">
    <w:abstractNumId w:val="13"/>
  </w:num>
  <w:num w:numId="19">
    <w:abstractNumId w:val="11"/>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5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1ZGQ3MjIwZGRjM2ExNTRlODk0MTM0MDc2MzgzOTYifQ=="/>
  </w:docVars>
  <w:rsids>
    <w:rsidRoot w:val="00064755"/>
    <w:rsid w:val="0000036B"/>
    <w:rsid w:val="00000F9D"/>
    <w:rsid w:val="00001749"/>
    <w:rsid w:val="0000229A"/>
    <w:rsid w:val="000025A7"/>
    <w:rsid w:val="00002916"/>
    <w:rsid w:val="00002B02"/>
    <w:rsid w:val="00002CE3"/>
    <w:rsid w:val="00003093"/>
    <w:rsid w:val="0000388F"/>
    <w:rsid w:val="00004038"/>
    <w:rsid w:val="0000462E"/>
    <w:rsid w:val="00004984"/>
    <w:rsid w:val="0000630B"/>
    <w:rsid w:val="00007F5F"/>
    <w:rsid w:val="00007FA8"/>
    <w:rsid w:val="00010580"/>
    <w:rsid w:val="00010F0A"/>
    <w:rsid w:val="00011A63"/>
    <w:rsid w:val="00011D72"/>
    <w:rsid w:val="00012625"/>
    <w:rsid w:val="00012640"/>
    <w:rsid w:val="000127B7"/>
    <w:rsid w:val="00014B79"/>
    <w:rsid w:val="00014EE7"/>
    <w:rsid w:val="000153AC"/>
    <w:rsid w:val="0001555F"/>
    <w:rsid w:val="000157A5"/>
    <w:rsid w:val="00015D99"/>
    <w:rsid w:val="0001785D"/>
    <w:rsid w:val="00017B44"/>
    <w:rsid w:val="00020477"/>
    <w:rsid w:val="000221EF"/>
    <w:rsid w:val="00022767"/>
    <w:rsid w:val="00023661"/>
    <w:rsid w:val="00023BF4"/>
    <w:rsid w:val="000246D1"/>
    <w:rsid w:val="0002628D"/>
    <w:rsid w:val="000267F3"/>
    <w:rsid w:val="00026990"/>
    <w:rsid w:val="0003098C"/>
    <w:rsid w:val="00030A21"/>
    <w:rsid w:val="00030D6D"/>
    <w:rsid w:val="00031366"/>
    <w:rsid w:val="00033DA2"/>
    <w:rsid w:val="000340F0"/>
    <w:rsid w:val="00035062"/>
    <w:rsid w:val="00036452"/>
    <w:rsid w:val="000400FD"/>
    <w:rsid w:val="00040B5C"/>
    <w:rsid w:val="00040BF6"/>
    <w:rsid w:val="00041460"/>
    <w:rsid w:val="000420A8"/>
    <w:rsid w:val="00042779"/>
    <w:rsid w:val="000430AC"/>
    <w:rsid w:val="00043411"/>
    <w:rsid w:val="00043643"/>
    <w:rsid w:val="00045904"/>
    <w:rsid w:val="00046008"/>
    <w:rsid w:val="0004718D"/>
    <w:rsid w:val="00047CCA"/>
    <w:rsid w:val="0005001E"/>
    <w:rsid w:val="00050D49"/>
    <w:rsid w:val="0005143E"/>
    <w:rsid w:val="000517A4"/>
    <w:rsid w:val="000517AC"/>
    <w:rsid w:val="000518A9"/>
    <w:rsid w:val="00051C7D"/>
    <w:rsid w:val="00051D70"/>
    <w:rsid w:val="00052536"/>
    <w:rsid w:val="00053ECD"/>
    <w:rsid w:val="00054067"/>
    <w:rsid w:val="000557FD"/>
    <w:rsid w:val="0005580C"/>
    <w:rsid w:val="0005623A"/>
    <w:rsid w:val="000567F1"/>
    <w:rsid w:val="0005742C"/>
    <w:rsid w:val="00060438"/>
    <w:rsid w:val="000604E0"/>
    <w:rsid w:val="0006142E"/>
    <w:rsid w:val="0006175B"/>
    <w:rsid w:val="000631D1"/>
    <w:rsid w:val="00063E84"/>
    <w:rsid w:val="00064755"/>
    <w:rsid w:val="0006591A"/>
    <w:rsid w:val="00066D3B"/>
    <w:rsid w:val="00067049"/>
    <w:rsid w:val="00067615"/>
    <w:rsid w:val="00067950"/>
    <w:rsid w:val="000707C6"/>
    <w:rsid w:val="00071096"/>
    <w:rsid w:val="00071F8E"/>
    <w:rsid w:val="000736E3"/>
    <w:rsid w:val="0007403F"/>
    <w:rsid w:val="00074DC5"/>
    <w:rsid w:val="00075C58"/>
    <w:rsid w:val="000760AD"/>
    <w:rsid w:val="00076648"/>
    <w:rsid w:val="000775E1"/>
    <w:rsid w:val="0008159A"/>
    <w:rsid w:val="00081EFB"/>
    <w:rsid w:val="000835AA"/>
    <w:rsid w:val="00084193"/>
    <w:rsid w:val="00084872"/>
    <w:rsid w:val="00085E2A"/>
    <w:rsid w:val="00086A75"/>
    <w:rsid w:val="0008799A"/>
    <w:rsid w:val="00087B35"/>
    <w:rsid w:val="00087CC2"/>
    <w:rsid w:val="0009165E"/>
    <w:rsid w:val="0009173F"/>
    <w:rsid w:val="000924AA"/>
    <w:rsid w:val="00092B21"/>
    <w:rsid w:val="0009314A"/>
    <w:rsid w:val="00093716"/>
    <w:rsid w:val="000952B8"/>
    <w:rsid w:val="00095CC4"/>
    <w:rsid w:val="000965CF"/>
    <w:rsid w:val="00096766"/>
    <w:rsid w:val="0009703C"/>
    <w:rsid w:val="000A0B91"/>
    <w:rsid w:val="000A1D75"/>
    <w:rsid w:val="000A22F0"/>
    <w:rsid w:val="000A2ACA"/>
    <w:rsid w:val="000A34BD"/>
    <w:rsid w:val="000A410E"/>
    <w:rsid w:val="000A49F8"/>
    <w:rsid w:val="000A4DB7"/>
    <w:rsid w:val="000A4E2D"/>
    <w:rsid w:val="000A5C49"/>
    <w:rsid w:val="000A66C9"/>
    <w:rsid w:val="000A67CD"/>
    <w:rsid w:val="000A6870"/>
    <w:rsid w:val="000B0DDA"/>
    <w:rsid w:val="000B116D"/>
    <w:rsid w:val="000B20B7"/>
    <w:rsid w:val="000B20EB"/>
    <w:rsid w:val="000B2FE5"/>
    <w:rsid w:val="000B4E08"/>
    <w:rsid w:val="000B5CA7"/>
    <w:rsid w:val="000B72F1"/>
    <w:rsid w:val="000B77AE"/>
    <w:rsid w:val="000B7EAE"/>
    <w:rsid w:val="000C0E75"/>
    <w:rsid w:val="000C2A5B"/>
    <w:rsid w:val="000C3052"/>
    <w:rsid w:val="000C3EE7"/>
    <w:rsid w:val="000C42F6"/>
    <w:rsid w:val="000C7035"/>
    <w:rsid w:val="000C74C4"/>
    <w:rsid w:val="000C7787"/>
    <w:rsid w:val="000C7795"/>
    <w:rsid w:val="000C7AAF"/>
    <w:rsid w:val="000C7AEA"/>
    <w:rsid w:val="000C7BC7"/>
    <w:rsid w:val="000C7C91"/>
    <w:rsid w:val="000C7E20"/>
    <w:rsid w:val="000D051A"/>
    <w:rsid w:val="000D060E"/>
    <w:rsid w:val="000D147E"/>
    <w:rsid w:val="000D1CB9"/>
    <w:rsid w:val="000D2582"/>
    <w:rsid w:val="000D2762"/>
    <w:rsid w:val="000D27D6"/>
    <w:rsid w:val="000D2A0A"/>
    <w:rsid w:val="000D31D7"/>
    <w:rsid w:val="000D32E3"/>
    <w:rsid w:val="000D3676"/>
    <w:rsid w:val="000D39FC"/>
    <w:rsid w:val="000D5410"/>
    <w:rsid w:val="000D6212"/>
    <w:rsid w:val="000D658E"/>
    <w:rsid w:val="000D65B1"/>
    <w:rsid w:val="000E0198"/>
    <w:rsid w:val="000E2123"/>
    <w:rsid w:val="000E2C34"/>
    <w:rsid w:val="000E3037"/>
    <w:rsid w:val="000E3790"/>
    <w:rsid w:val="000E392D"/>
    <w:rsid w:val="000E3975"/>
    <w:rsid w:val="000E492B"/>
    <w:rsid w:val="000E5615"/>
    <w:rsid w:val="000E77B1"/>
    <w:rsid w:val="000F099A"/>
    <w:rsid w:val="000F0C1A"/>
    <w:rsid w:val="000F1B6B"/>
    <w:rsid w:val="000F1CD4"/>
    <w:rsid w:val="000F2B09"/>
    <w:rsid w:val="000F2D05"/>
    <w:rsid w:val="000F3FD2"/>
    <w:rsid w:val="000F4088"/>
    <w:rsid w:val="000F4324"/>
    <w:rsid w:val="000F45DB"/>
    <w:rsid w:val="000F5BF6"/>
    <w:rsid w:val="000F5D6E"/>
    <w:rsid w:val="000F6252"/>
    <w:rsid w:val="000F7155"/>
    <w:rsid w:val="000F717F"/>
    <w:rsid w:val="000F71C6"/>
    <w:rsid w:val="000F77FB"/>
    <w:rsid w:val="000F7D53"/>
    <w:rsid w:val="00100B45"/>
    <w:rsid w:val="00100CB8"/>
    <w:rsid w:val="001018DC"/>
    <w:rsid w:val="00101BD1"/>
    <w:rsid w:val="00102B61"/>
    <w:rsid w:val="00104913"/>
    <w:rsid w:val="00104B69"/>
    <w:rsid w:val="00105123"/>
    <w:rsid w:val="001053B3"/>
    <w:rsid w:val="00106FEC"/>
    <w:rsid w:val="00107903"/>
    <w:rsid w:val="001136B8"/>
    <w:rsid w:val="001138F8"/>
    <w:rsid w:val="00116339"/>
    <w:rsid w:val="0011678D"/>
    <w:rsid w:val="001178B3"/>
    <w:rsid w:val="00117E2F"/>
    <w:rsid w:val="00117EA4"/>
    <w:rsid w:val="001217F8"/>
    <w:rsid w:val="001228E5"/>
    <w:rsid w:val="00122C22"/>
    <w:rsid w:val="0012373B"/>
    <w:rsid w:val="001242AD"/>
    <w:rsid w:val="00124AD4"/>
    <w:rsid w:val="00126B84"/>
    <w:rsid w:val="00126DF8"/>
    <w:rsid w:val="001272B3"/>
    <w:rsid w:val="001276AE"/>
    <w:rsid w:val="00127E99"/>
    <w:rsid w:val="001307DD"/>
    <w:rsid w:val="001308FA"/>
    <w:rsid w:val="0013168C"/>
    <w:rsid w:val="00132DA6"/>
    <w:rsid w:val="001346C8"/>
    <w:rsid w:val="00134B91"/>
    <w:rsid w:val="00134EF1"/>
    <w:rsid w:val="0013500F"/>
    <w:rsid w:val="0013561F"/>
    <w:rsid w:val="00135A97"/>
    <w:rsid w:val="00135D56"/>
    <w:rsid w:val="00136109"/>
    <w:rsid w:val="00136441"/>
    <w:rsid w:val="00136489"/>
    <w:rsid w:val="0013699F"/>
    <w:rsid w:val="00136F75"/>
    <w:rsid w:val="00140482"/>
    <w:rsid w:val="00140D99"/>
    <w:rsid w:val="00143B70"/>
    <w:rsid w:val="00146705"/>
    <w:rsid w:val="0014704D"/>
    <w:rsid w:val="0014771D"/>
    <w:rsid w:val="00150F07"/>
    <w:rsid w:val="00155142"/>
    <w:rsid w:val="0015531B"/>
    <w:rsid w:val="001553D2"/>
    <w:rsid w:val="00155B14"/>
    <w:rsid w:val="00156047"/>
    <w:rsid w:val="00156128"/>
    <w:rsid w:val="00156484"/>
    <w:rsid w:val="00156C04"/>
    <w:rsid w:val="00156F5E"/>
    <w:rsid w:val="001570AA"/>
    <w:rsid w:val="00160452"/>
    <w:rsid w:val="001604C9"/>
    <w:rsid w:val="00160BA0"/>
    <w:rsid w:val="00160DBB"/>
    <w:rsid w:val="00161728"/>
    <w:rsid w:val="00161804"/>
    <w:rsid w:val="00162851"/>
    <w:rsid w:val="00162A64"/>
    <w:rsid w:val="00163155"/>
    <w:rsid w:val="001631F4"/>
    <w:rsid w:val="001632DC"/>
    <w:rsid w:val="00163749"/>
    <w:rsid w:val="00163EAE"/>
    <w:rsid w:val="00164D06"/>
    <w:rsid w:val="00164F6C"/>
    <w:rsid w:val="00165357"/>
    <w:rsid w:val="001659C6"/>
    <w:rsid w:val="00167483"/>
    <w:rsid w:val="00167CA3"/>
    <w:rsid w:val="00170701"/>
    <w:rsid w:val="00170D94"/>
    <w:rsid w:val="00171077"/>
    <w:rsid w:val="001714FE"/>
    <w:rsid w:val="00172593"/>
    <w:rsid w:val="00172D14"/>
    <w:rsid w:val="00173093"/>
    <w:rsid w:val="001732B7"/>
    <w:rsid w:val="0017425F"/>
    <w:rsid w:val="00174CF8"/>
    <w:rsid w:val="0017577C"/>
    <w:rsid w:val="00175D86"/>
    <w:rsid w:val="0017684C"/>
    <w:rsid w:val="00180E4D"/>
    <w:rsid w:val="00181082"/>
    <w:rsid w:val="00182526"/>
    <w:rsid w:val="001830E1"/>
    <w:rsid w:val="001834B3"/>
    <w:rsid w:val="0018365B"/>
    <w:rsid w:val="00183684"/>
    <w:rsid w:val="00183BB3"/>
    <w:rsid w:val="00184170"/>
    <w:rsid w:val="001848F1"/>
    <w:rsid w:val="001859C3"/>
    <w:rsid w:val="00185B35"/>
    <w:rsid w:val="00185B8E"/>
    <w:rsid w:val="00186A27"/>
    <w:rsid w:val="001874B5"/>
    <w:rsid w:val="001918F5"/>
    <w:rsid w:val="00191B6E"/>
    <w:rsid w:val="00192BF1"/>
    <w:rsid w:val="001932CF"/>
    <w:rsid w:val="00193AA2"/>
    <w:rsid w:val="00194B7E"/>
    <w:rsid w:val="00194C89"/>
    <w:rsid w:val="00195E49"/>
    <w:rsid w:val="00196240"/>
    <w:rsid w:val="0019651F"/>
    <w:rsid w:val="00196E27"/>
    <w:rsid w:val="001976FE"/>
    <w:rsid w:val="001A15A5"/>
    <w:rsid w:val="001A208D"/>
    <w:rsid w:val="001A2248"/>
    <w:rsid w:val="001A330E"/>
    <w:rsid w:val="001A33E0"/>
    <w:rsid w:val="001A48D6"/>
    <w:rsid w:val="001A4C39"/>
    <w:rsid w:val="001A4D0B"/>
    <w:rsid w:val="001A5098"/>
    <w:rsid w:val="001A5502"/>
    <w:rsid w:val="001A5B1E"/>
    <w:rsid w:val="001A7233"/>
    <w:rsid w:val="001A7C62"/>
    <w:rsid w:val="001B0142"/>
    <w:rsid w:val="001B0CA3"/>
    <w:rsid w:val="001B0E45"/>
    <w:rsid w:val="001B0F9A"/>
    <w:rsid w:val="001B3AC6"/>
    <w:rsid w:val="001B3EF4"/>
    <w:rsid w:val="001B41E5"/>
    <w:rsid w:val="001B42A7"/>
    <w:rsid w:val="001B4747"/>
    <w:rsid w:val="001B4F02"/>
    <w:rsid w:val="001B5839"/>
    <w:rsid w:val="001B69BD"/>
    <w:rsid w:val="001B6E8D"/>
    <w:rsid w:val="001B7BD2"/>
    <w:rsid w:val="001C1CAB"/>
    <w:rsid w:val="001C2175"/>
    <w:rsid w:val="001C2650"/>
    <w:rsid w:val="001C272E"/>
    <w:rsid w:val="001C4412"/>
    <w:rsid w:val="001C466A"/>
    <w:rsid w:val="001C526E"/>
    <w:rsid w:val="001C5412"/>
    <w:rsid w:val="001D03E5"/>
    <w:rsid w:val="001D060A"/>
    <w:rsid w:val="001D1952"/>
    <w:rsid w:val="001D2536"/>
    <w:rsid w:val="001D3E02"/>
    <w:rsid w:val="001D418F"/>
    <w:rsid w:val="001D5374"/>
    <w:rsid w:val="001D5997"/>
    <w:rsid w:val="001D5ACC"/>
    <w:rsid w:val="001D6194"/>
    <w:rsid w:val="001E0C56"/>
    <w:rsid w:val="001E1A8C"/>
    <w:rsid w:val="001E236E"/>
    <w:rsid w:val="001E2C78"/>
    <w:rsid w:val="001E2F31"/>
    <w:rsid w:val="001E3519"/>
    <w:rsid w:val="001E3727"/>
    <w:rsid w:val="001E39B4"/>
    <w:rsid w:val="001E3EF1"/>
    <w:rsid w:val="001E5961"/>
    <w:rsid w:val="001E62E4"/>
    <w:rsid w:val="001E67F5"/>
    <w:rsid w:val="001E694C"/>
    <w:rsid w:val="001E6A17"/>
    <w:rsid w:val="001E6D93"/>
    <w:rsid w:val="001E7F55"/>
    <w:rsid w:val="001F0025"/>
    <w:rsid w:val="001F127D"/>
    <w:rsid w:val="001F24DC"/>
    <w:rsid w:val="001F2CD4"/>
    <w:rsid w:val="001F3DCF"/>
    <w:rsid w:val="001F409B"/>
    <w:rsid w:val="001F48E0"/>
    <w:rsid w:val="001F4FC3"/>
    <w:rsid w:val="001F55ED"/>
    <w:rsid w:val="001F5F8D"/>
    <w:rsid w:val="001F6224"/>
    <w:rsid w:val="001F7393"/>
    <w:rsid w:val="001F78F5"/>
    <w:rsid w:val="00201181"/>
    <w:rsid w:val="00201397"/>
    <w:rsid w:val="0020159F"/>
    <w:rsid w:val="00203763"/>
    <w:rsid w:val="00203B6C"/>
    <w:rsid w:val="0020509B"/>
    <w:rsid w:val="002052B1"/>
    <w:rsid w:val="0020559D"/>
    <w:rsid w:val="00205DDE"/>
    <w:rsid w:val="002065AB"/>
    <w:rsid w:val="00206F7D"/>
    <w:rsid w:val="00207AEE"/>
    <w:rsid w:val="00207D34"/>
    <w:rsid w:val="00207EE2"/>
    <w:rsid w:val="00211239"/>
    <w:rsid w:val="00211B48"/>
    <w:rsid w:val="00212E88"/>
    <w:rsid w:val="00213548"/>
    <w:rsid w:val="00214155"/>
    <w:rsid w:val="00216B1F"/>
    <w:rsid w:val="00216F2E"/>
    <w:rsid w:val="00217EDF"/>
    <w:rsid w:val="0022008D"/>
    <w:rsid w:val="00220109"/>
    <w:rsid w:val="00220370"/>
    <w:rsid w:val="00220498"/>
    <w:rsid w:val="00220CCE"/>
    <w:rsid w:val="002214F0"/>
    <w:rsid w:val="00222570"/>
    <w:rsid w:val="00223C71"/>
    <w:rsid w:val="002241AC"/>
    <w:rsid w:val="0022443F"/>
    <w:rsid w:val="002246FD"/>
    <w:rsid w:val="00224E79"/>
    <w:rsid w:val="00225407"/>
    <w:rsid w:val="00225E8D"/>
    <w:rsid w:val="00226FAB"/>
    <w:rsid w:val="00227EC0"/>
    <w:rsid w:val="00230346"/>
    <w:rsid w:val="002303A7"/>
    <w:rsid w:val="00230721"/>
    <w:rsid w:val="002308A0"/>
    <w:rsid w:val="00231029"/>
    <w:rsid w:val="00231E61"/>
    <w:rsid w:val="0023227F"/>
    <w:rsid w:val="00232696"/>
    <w:rsid w:val="002327AC"/>
    <w:rsid w:val="00232CE0"/>
    <w:rsid w:val="00233039"/>
    <w:rsid w:val="00233203"/>
    <w:rsid w:val="00234770"/>
    <w:rsid w:val="00234884"/>
    <w:rsid w:val="00234C10"/>
    <w:rsid w:val="00234CCF"/>
    <w:rsid w:val="002364E9"/>
    <w:rsid w:val="00236786"/>
    <w:rsid w:val="00237308"/>
    <w:rsid w:val="002407DC"/>
    <w:rsid w:val="002408CB"/>
    <w:rsid w:val="00240A5B"/>
    <w:rsid w:val="00240AC7"/>
    <w:rsid w:val="002417E7"/>
    <w:rsid w:val="00241807"/>
    <w:rsid w:val="00241D71"/>
    <w:rsid w:val="00242A9D"/>
    <w:rsid w:val="00243C35"/>
    <w:rsid w:val="00243C39"/>
    <w:rsid w:val="00244679"/>
    <w:rsid w:val="00244B81"/>
    <w:rsid w:val="00246A7F"/>
    <w:rsid w:val="00247D17"/>
    <w:rsid w:val="002510AE"/>
    <w:rsid w:val="00252996"/>
    <w:rsid w:val="00252A9F"/>
    <w:rsid w:val="00252BFE"/>
    <w:rsid w:val="0025377F"/>
    <w:rsid w:val="00254C30"/>
    <w:rsid w:val="00254CC3"/>
    <w:rsid w:val="0025537B"/>
    <w:rsid w:val="00255E20"/>
    <w:rsid w:val="0025619B"/>
    <w:rsid w:val="002563B1"/>
    <w:rsid w:val="002564AD"/>
    <w:rsid w:val="002570AF"/>
    <w:rsid w:val="00257678"/>
    <w:rsid w:val="00257AE6"/>
    <w:rsid w:val="00257DAC"/>
    <w:rsid w:val="002603BA"/>
    <w:rsid w:val="00260C01"/>
    <w:rsid w:val="002615AC"/>
    <w:rsid w:val="00262C2F"/>
    <w:rsid w:val="0026330C"/>
    <w:rsid w:val="00263417"/>
    <w:rsid w:val="00264F98"/>
    <w:rsid w:val="00265788"/>
    <w:rsid w:val="00265A87"/>
    <w:rsid w:val="0026630F"/>
    <w:rsid w:val="00266D94"/>
    <w:rsid w:val="00267C1B"/>
    <w:rsid w:val="00270F32"/>
    <w:rsid w:val="00271BC8"/>
    <w:rsid w:val="00271FFE"/>
    <w:rsid w:val="002724DC"/>
    <w:rsid w:val="0027440A"/>
    <w:rsid w:val="00274603"/>
    <w:rsid w:val="0027617F"/>
    <w:rsid w:val="0027634D"/>
    <w:rsid w:val="002779E9"/>
    <w:rsid w:val="0028060E"/>
    <w:rsid w:val="00281402"/>
    <w:rsid w:val="00281C3C"/>
    <w:rsid w:val="00282E93"/>
    <w:rsid w:val="00282ECB"/>
    <w:rsid w:val="00284299"/>
    <w:rsid w:val="00284589"/>
    <w:rsid w:val="00284CB4"/>
    <w:rsid w:val="002866EE"/>
    <w:rsid w:val="00292465"/>
    <w:rsid w:val="00292B27"/>
    <w:rsid w:val="002942EE"/>
    <w:rsid w:val="002953B1"/>
    <w:rsid w:val="002A0ABB"/>
    <w:rsid w:val="002A0D4A"/>
    <w:rsid w:val="002A0EE7"/>
    <w:rsid w:val="002A100B"/>
    <w:rsid w:val="002A171D"/>
    <w:rsid w:val="002A2A14"/>
    <w:rsid w:val="002A43C1"/>
    <w:rsid w:val="002A610A"/>
    <w:rsid w:val="002A61EC"/>
    <w:rsid w:val="002A6D50"/>
    <w:rsid w:val="002A74C7"/>
    <w:rsid w:val="002A7513"/>
    <w:rsid w:val="002A76A5"/>
    <w:rsid w:val="002A773B"/>
    <w:rsid w:val="002B12F4"/>
    <w:rsid w:val="002B1844"/>
    <w:rsid w:val="002B1EDC"/>
    <w:rsid w:val="002B20A3"/>
    <w:rsid w:val="002B20A5"/>
    <w:rsid w:val="002B31A8"/>
    <w:rsid w:val="002B36F6"/>
    <w:rsid w:val="002B38BE"/>
    <w:rsid w:val="002B5077"/>
    <w:rsid w:val="002B50A6"/>
    <w:rsid w:val="002B6945"/>
    <w:rsid w:val="002B7235"/>
    <w:rsid w:val="002B750F"/>
    <w:rsid w:val="002C0B8B"/>
    <w:rsid w:val="002C1CA4"/>
    <w:rsid w:val="002C2D7B"/>
    <w:rsid w:val="002C2F96"/>
    <w:rsid w:val="002C3849"/>
    <w:rsid w:val="002C3B7E"/>
    <w:rsid w:val="002C4AAE"/>
    <w:rsid w:val="002C51CE"/>
    <w:rsid w:val="002C72C7"/>
    <w:rsid w:val="002C7DD0"/>
    <w:rsid w:val="002D0860"/>
    <w:rsid w:val="002D18CA"/>
    <w:rsid w:val="002D2DEE"/>
    <w:rsid w:val="002D34F1"/>
    <w:rsid w:val="002D3CA4"/>
    <w:rsid w:val="002D4394"/>
    <w:rsid w:val="002D4669"/>
    <w:rsid w:val="002D55DB"/>
    <w:rsid w:val="002D5C30"/>
    <w:rsid w:val="002D5FCC"/>
    <w:rsid w:val="002D6365"/>
    <w:rsid w:val="002D69FF"/>
    <w:rsid w:val="002E017F"/>
    <w:rsid w:val="002E0570"/>
    <w:rsid w:val="002E1491"/>
    <w:rsid w:val="002E14D8"/>
    <w:rsid w:val="002E1825"/>
    <w:rsid w:val="002E22FC"/>
    <w:rsid w:val="002E3211"/>
    <w:rsid w:val="002E3E93"/>
    <w:rsid w:val="002E4049"/>
    <w:rsid w:val="002E4E33"/>
    <w:rsid w:val="002E5056"/>
    <w:rsid w:val="002E50BC"/>
    <w:rsid w:val="002E62A5"/>
    <w:rsid w:val="002E6313"/>
    <w:rsid w:val="002E6B6B"/>
    <w:rsid w:val="002E6D60"/>
    <w:rsid w:val="002F034A"/>
    <w:rsid w:val="002F07AA"/>
    <w:rsid w:val="002F08F0"/>
    <w:rsid w:val="002F0ADC"/>
    <w:rsid w:val="002F0D45"/>
    <w:rsid w:val="002F192E"/>
    <w:rsid w:val="002F2F06"/>
    <w:rsid w:val="002F3585"/>
    <w:rsid w:val="002F3C8B"/>
    <w:rsid w:val="002F3F0F"/>
    <w:rsid w:val="002F46C2"/>
    <w:rsid w:val="002F6296"/>
    <w:rsid w:val="002F652F"/>
    <w:rsid w:val="002F6F81"/>
    <w:rsid w:val="00300561"/>
    <w:rsid w:val="003009F0"/>
    <w:rsid w:val="00301393"/>
    <w:rsid w:val="00301F93"/>
    <w:rsid w:val="003020D1"/>
    <w:rsid w:val="003031A7"/>
    <w:rsid w:val="00303211"/>
    <w:rsid w:val="00303444"/>
    <w:rsid w:val="003051E6"/>
    <w:rsid w:val="00305FCF"/>
    <w:rsid w:val="003070DE"/>
    <w:rsid w:val="00307A01"/>
    <w:rsid w:val="003100B2"/>
    <w:rsid w:val="00311071"/>
    <w:rsid w:val="00311551"/>
    <w:rsid w:val="003116ED"/>
    <w:rsid w:val="0031185D"/>
    <w:rsid w:val="00311B59"/>
    <w:rsid w:val="00312399"/>
    <w:rsid w:val="003128BD"/>
    <w:rsid w:val="003145B2"/>
    <w:rsid w:val="00315457"/>
    <w:rsid w:val="003156F6"/>
    <w:rsid w:val="00317018"/>
    <w:rsid w:val="00320076"/>
    <w:rsid w:val="00320E5E"/>
    <w:rsid w:val="00320F3C"/>
    <w:rsid w:val="0032115A"/>
    <w:rsid w:val="003216D5"/>
    <w:rsid w:val="00321FD3"/>
    <w:rsid w:val="00322A96"/>
    <w:rsid w:val="003242E4"/>
    <w:rsid w:val="003243D5"/>
    <w:rsid w:val="003249A7"/>
    <w:rsid w:val="00324A8F"/>
    <w:rsid w:val="00324DCE"/>
    <w:rsid w:val="00324FA2"/>
    <w:rsid w:val="003253BF"/>
    <w:rsid w:val="00325BC7"/>
    <w:rsid w:val="003260AC"/>
    <w:rsid w:val="003264ED"/>
    <w:rsid w:val="0033013B"/>
    <w:rsid w:val="00331486"/>
    <w:rsid w:val="00331738"/>
    <w:rsid w:val="00334370"/>
    <w:rsid w:val="00334A6D"/>
    <w:rsid w:val="00334CD9"/>
    <w:rsid w:val="00334CFA"/>
    <w:rsid w:val="00335469"/>
    <w:rsid w:val="003377AE"/>
    <w:rsid w:val="00337B0C"/>
    <w:rsid w:val="00340531"/>
    <w:rsid w:val="00341AC1"/>
    <w:rsid w:val="003422C3"/>
    <w:rsid w:val="003424D6"/>
    <w:rsid w:val="003427FC"/>
    <w:rsid w:val="00344B4A"/>
    <w:rsid w:val="0034506A"/>
    <w:rsid w:val="00345E5B"/>
    <w:rsid w:val="00346597"/>
    <w:rsid w:val="0035275E"/>
    <w:rsid w:val="0035287E"/>
    <w:rsid w:val="00354E59"/>
    <w:rsid w:val="00354EB0"/>
    <w:rsid w:val="00355C4B"/>
    <w:rsid w:val="00356B84"/>
    <w:rsid w:val="00362399"/>
    <w:rsid w:val="00362645"/>
    <w:rsid w:val="00363BD9"/>
    <w:rsid w:val="00363E63"/>
    <w:rsid w:val="00363F9B"/>
    <w:rsid w:val="00365AD4"/>
    <w:rsid w:val="00365CC1"/>
    <w:rsid w:val="00365D78"/>
    <w:rsid w:val="00366666"/>
    <w:rsid w:val="00366EA6"/>
    <w:rsid w:val="00367F31"/>
    <w:rsid w:val="0037061E"/>
    <w:rsid w:val="00370918"/>
    <w:rsid w:val="00371B14"/>
    <w:rsid w:val="00371C6C"/>
    <w:rsid w:val="00372A36"/>
    <w:rsid w:val="00373176"/>
    <w:rsid w:val="00374233"/>
    <w:rsid w:val="0037522B"/>
    <w:rsid w:val="003752A2"/>
    <w:rsid w:val="00375682"/>
    <w:rsid w:val="00375980"/>
    <w:rsid w:val="003816F3"/>
    <w:rsid w:val="00381733"/>
    <w:rsid w:val="00381CD1"/>
    <w:rsid w:val="00381E7B"/>
    <w:rsid w:val="003823ED"/>
    <w:rsid w:val="00382548"/>
    <w:rsid w:val="00382C2D"/>
    <w:rsid w:val="003832DD"/>
    <w:rsid w:val="00383CCE"/>
    <w:rsid w:val="0038405D"/>
    <w:rsid w:val="003841ED"/>
    <w:rsid w:val="00384D26"/>
    <w:rsid w:val="0038531F"/>
    <w:rsid w:val="00386655"/>
    <w:rsid w:val="00387308"/>
    <w:rsid w:val="00390CC4"/>
    <w:rsid w:val="003926EF"/>
    <w:rsid w:val="003928F3"/>
    <w:rsid w:val="00393E1B"/>
    <w:rsid w:val="00393FDC"/>
    <w:rsid w:val="0039404A"/>
    <w:rsid w:val="003940A7"/>
    <w:rsid w:val="00394FCA"/>
    <w:rsid w:val="0039597A"/>
    <w:rsid w:val="00395E15"/>
    <w:rsid w:val="003962DB"/>
    <w:rsid w:val="00396ED3"/>
    <w:rsid w:val="00397858"/>
    <w:rsid w:val="0039792F"/>
    <w:rsid w:val="00397BE8"/>
    <w:rsid w:val="003A000E"/>
    <w:rsid w:val="003A0204"/>
    <w:rsid w:val="003A0B3D"/>
    <w:rsid w:val="003A13AC"/>
    <w:rsid w:val="003A30FE"/>
    <w:rsid w:val="003A3CD8"/>
    <w:rsid w:val="003A47C8"/>
    <w:rsid w:val="003A4A3E"/>
    <w:rsid w:val="003A4E52"/>
    <w:rsid w:val="003A62FD"/>
    <w:rsid w:val="003A7002"/>
    <w:rsid w:val="003A7D18"/>
    <w:rsid w:val="003A7EA9"/>
    <w:rsid w:val="003B088F"/>
    <w:rsid w:val="003B0DF7"/>
    <w:rsid w:val="003B1D4E"/>
    <w:rsid w:val="003B21FF"/>
    <w:rsid w:val="003B30CA"/>
    <w:rsid w:val="003B582F"/>
    <w:rsid w:val="003B5AB3"/>
    <w:rsid w:val="003B633A"/>
    <w:rsid w:val="003B79FB"/>
    <w:rsid w:val="003C05AA"/>
    <w:rsid w:val="003C0ADC"/>
    <w:rsid w:val="003C2EEC"/>
    <w:rsid w:val="003C34A6"/>
    <w:rsid w:val="003C426F"/>
    <w:rsid w:val="003C4322"/>
    <w:rsid w:val="003C46E7"/>
    <w:rsid w:val="003C50E4"/>
    <w:rsid w:val="003C5E69"/>
    <w:rsid w:val="003C613E"/>
    <w:rsid w:val="003C68C1"/>
    <w:rsid w:val="003C68CD"/>
    <w:rsid w:val="003C78EF"/>
    <w:rsid w:val="003C7D23"/>
    <w:rsid w:val="003D04A1"/>
    <w:rsid w:val="003D0CB6"/>
    <w:rsid w:val="003D10EF"/>
    <w:rsid w:val="003D140C"/>
    <w:rsid w:val="003D1C13"/>
    <w:rsid w:val="003D23B5"/>
    <w:rsid w:val="003D3448"/>
    <w:rsid w:val="003D3467"/>
    <w:rsid w:val="003D39A3"/>
    <w:rsid w:val="003D4D5F"/>
    <w:rsid w:val="003D542C"/>
    <w:rsid w:val="003D649A"/>
    <w:rsid w:val="003D7E36"/>
    <w:rsid w:val="003E182C"/>
    <w:rsid w:val="003E1A8A"/>
    <w:rsid w:val="003E1F59"/>
    <w:rsid w:val="003E2E1A"/>
    <w:rsid w:val="003E33FC"/>
    <w:rsid w:val="003E3A12"/>
    <w:rsid w:val="003E59C4"/>
    <w:rsid w:val="003E5F72"/>
    <w:rsid w:val="003E6A10"/>
    <w:rsid w:val="003F02BA"/>
    <w:rsid w:val="003F04CD"/>
    <w:rsid w:val="003F192C"/>
    <w:rsid w:val="003F2A79"/>
    <w:rsid w:val="003F3FC0"/>
    <w:rsid w:val="003F4275"/>
    <w:rsid w:val="003F482C"/>
    <w:rsid w:val="003F58BE"/>
    <w:rsid w:val="003F5C37"/>
    <w:rsid w:val="003F73CD"/>
    <w:rsid w:val="003F7923"/>
    <w:rsid w:val="00400C60"/>
    <w:rsid w:val="0040118D"/>
    <w:rsid w:val="004012D4"/>
    <w:rsid w:val="00402283"/>
    <w:rsid w:val="00402952"/>
    <w:rsid w:val="00402A9F"/>
    <w:rsid w:val="00403F65"/>
    <w:rsid w:val="00407B1C"/>
    <w:rsid w:val="00407D2E"/>
    <w:rsid w:val="00410744"/>
    <w:rsid w:val="00411150"/>
    <w:rsid w:val="0041167A"/>
    <w:rsid w:val="004129AA"/>
    <w:rsid w:val="00412EEF"/>
    <w:rsid w:val="00414D90"/>
    <w:rsid w:val="00415B79"/>
    <w:rsid w:val="00415C86"/>
    <w:rsid w:val="004201FA"/>
    <w:rsid w:val="004211ED"/>
    <w:rsid w:val="00422207"/>
    <w:rsid w:val="004227AB"/>
    <w:rsid w:val="00423E9B"/>
    <w:rsid w:val="004248EA"/>
    <w:rsid w:val="00424E5D"/>
    <w:rsid w:val="004254BA"/>
    <w:rsid w:val="0042604E"/>
    <w:rsid w:val="00426B5C"/>
    <w:rsid w:val="00427063"/>
    <w:rsid w:val="00427791"/>
    <w:rsid w:val="00427BE0"/>
    <w:rsid w:val="004302DD"/>
    <w:rsid w:val="004307FA"/>
    <w:rsid w:val="00431E5B"/>
    <w:rsid w:val="004328EC"/>
    <w:rsid w:val="00432CFF"/>
    <w:rsid w:val="0043312E"/>
    <w:rsid w:val="004331C6"/>
    <w:rsid w:val="0043323F"/>
    <w:rsid w:val="004335FF"/>
    <w:rsid w:val="00433CBF"/>
    <w:rsid w:val="00434344"/>
    <w:rsid w:val="00434524"/>
    <w:rsid w:val="00434F5C"/>
    <w:rsid w:val="0043575D"/>
    <w:rsid w:val="004359F8"/>
    <w:rsid w:val="00435D11"/>
    <w:rsid w:val="0043705A"/>
    <w:rsid w:val="00437A5A"/>
    <w:rsid w:val="00437E23"/>
    <w:rsid w:val="00442116"/>
    <w:rsid w:val="004426CF"/>
    <w:rsid w:val="0044383D"/>
    <w:rsid w:val="00444D88"/>
    <w:rsid w:val="00445106"/>
    <w:rsid w:val="0044557F"/>
    <w:rsid w:val="00445BB3"/>
    <w:rsid w:val="00447B59"/>
    <w:rsid w:val="00450172"/>
    <w:rsid w:val="0045080C"/>
    <w:rsid w:val="004523A1"/>
    <w:rsid w:val="00452734"/>
    <w:rsid w:val="00452FA3"/>
    <w:rsid w:val="00453148"/>
    <w:rsid w:val="004545C2"/>
    <w:rsid w:val="0045486C"/>
    <w:rsid w:val="00455813"/>
    <w:rsid w:val="00455B98"/>
    <w:rsid w:val="004569AE"/>
    <w:rsid w:val="00456BC6"/>
    <w:rsid w:val="0045719B"/>
    <w:rsid w:val="0045762D"/>
    <w:rsid w:val="00460BD4"/>
    <w:rsid w:val="00460E14"/>
    <w:rsid w:val="00461200"/>
    <w:rsid w:val="00461242"/>
    <w:rsid w:val="004612C8"/>
    <w:rsid w:val="00461DD2"/>
    <w:rsid w:val="00463247"/>
    <w:rsid w:val="00466BFC"/>
    <w:rsid w:val="00467009"/>
    <w:rsid w:val="00467FD9"/>
    <w:rsid w:val="0047057C"/>
    <w:rsid w:val="004714FE"/>
    <w:rsid w:val="0047276A"/>
    <w:rsid w:val="00472FDA"/>
    <w:rsid w:val="004736C9"/>
    <w:rsid w:val="00473B7F"/>
    <w:rsid w:val="004748C8"/>
    <w:rsid w:val="004757B6"/>
    <w:rsid w:val="00475DB3"/>
    <w:rsid w:val="004760BC"/>
    <w:rsid w:val="0047707A"/>
    <w:rsid w:val="0047769A"/>
    <w:rsid w:val="00480B88"/>
    <w:rsid w:val="00481889"/>
    <w:rsid w:val="004827EF"/>
    <w:rsid w:val="00482A3A"/>
    <w:rsid w:val="00482F7D"/>
    <w:rsid w:val="004844EC"/>
    <w:rsid w:val="00485B39"/>
    <w:rsid w:val="0048657C"/>
    <w:rsid w:val="00486F37"/>
    <w:rsid w:val="0048717E"/>
    <w:rsid w:val="004900DC"/>
    <w:rsid w:val="004901EE"/>
    <w:rsid w:val="004902A0"/>
    <w:rsid w:val="00490444"/>
    <w:rsid w:val="00490F30"/>
    <w:rsid w:val="00491842"/>
    <w:rsid w:val="004919F3"/>
    <w:rsid w:val="00491B20"/>
    <w:rsid w:val="00492258"/>
    <w:rsid w:val="004928A0"/>
    <w:rsid w:val="00493AAE"/>
    <w:rsid w:val="00494169"/>
    <w:rsid w:val="00494620"/>
    <w:rsid w:val="00496480"/>
    <w:rsid w:val="0049654F"/>
    <w:rsid w:val="00496DC6"/>
    <w:rsid w:val="004A013B"/>
    <w:rsid w:val="004A0A05"/>
    <w:rsid w:val="004A13B5"/>
    <w:rsid w:val="004A2D26"/>
    <w:rsid w:val="004A3440"/>
    <w:rsid w:val="004A3D8E"/>
    <w:rsid w:val="004A5EBF"/>
    <w:rsid w:val="004A5ED9"/>
    <w:rsid w:val="004A64F6"/>
    <w:rsid w:val="004A69F4"/>
    <w:rsid w:val="004B0707"/>
    <w:rsid w:val="004B11C2"/>
    <w:rsid w:val="004B1D9B"/>
    <w:rsid w:val="004B2042"/>
    <w:rsid w:val="004B29B2"/>
    <w:rsid w:val="004B4945"/>
    <w:rsid w:val="004B4DDD"/>
    <w:rsid w:val="004B4E62"/>
    <w:rsid w:val="004B589F"/>
    <w:rsid w:val="004B6062"/>
    <w:rsid w:val="004B606F"/>
    <w:rsid w:val="004B6785"/>
    <w:rsid w:val="004B720D"/>
    <w:rsid w:val="004C0855"/>
    <w:rsid w:val="004C135A"/>
    <w:rsid w:val="004C1C81"/>
    <w:rsid w:val="004C225C"/>
    <w:rsid w:val="004C2E40"/>
    <w:rsid w:val="004C385D"/>
    <w:rsid w:val="004C4577"/>
    <w:rsid w:val="004C45CC"/>
    <w:rsid w:val="004C5420"/>
    <w:rsid w:val="004C62B4"/>
    <w:rsid w:val="004C6326"/>
    <w:rsid w:val="004C6728"/>
    <w:rsid w:val="004C6CF7"/>
    <w:rsid w:val="004D02B5"/>
    <w:rsid w:val="004D0BD7"/>
    <w:rsid w:val="004D0E1C"/>
    <w:rsid w:val="004D1B67"/>
    <w:rsid w:val="004D1C19"/>
    <w:rsid w:val="004D228E"/>
    <w:rsid w:val="004D319E"/>
    <w:rsid w:val="004D3336"/>
    <w:rsid w:val="004D360C"/>
    <w:rsid w:val="004D395F"/>
    <w:rsid w:val="004D4BAD"/>
    <w:rsid w:val="004D5A69"/>
    <w:rsid w:val="004D5D79"/>
    <w:rsid w:val="004D5E94"/>
    <w:rsid w:val="004D6127"/>
    <w:rsid w:val="004D6A50"/>
    <w:rsid w:val="004D7C00"/>
    <w:rsid w:val="004E018B"/>
    <w:rsid w:val="004E0FF3"/>
    <w:rsid w:val="004E27F5"/>
    <w:rsid w:val="004E2E93"/>
    <w:rsid w:val="004E38C4"/>
    <w:rsid w:val="004E3934"/>
    <w:rsid w:val="004E3FE0"/>
    <w:rsid w:val="004E4EA5"/>
    <w:rsid w:val="004E5251"/>
    <w:rsid w:val="004E6175"/>
    <w:rsid w:val="004E61FB"/>
    <w:rsid w:val="004E67C2"/>
    <w:rsid w:val="004E7417"/>
    <w:rsid w:val="004E76F4"/>
    <w:rsid w:val="004F0C27"/>
    <w:rsid w:val="004F14E0"/>
    <w:rsid w:val="004F1CEE"/>
    <w:rsid w:val="004F2963"/>
    <w:rsid w:val="004F3228"/>
    <w:rsid w:val="004F482C"/>
    <w:rsid w:val="004F4D04"/>
    <w:rsid w:val="004F5FBA"/>
    <w:rsid w:val="004F6B3E"/>
    <w:rsid w:val="004F7178"/>
    <w:rsid w:val="004F77C8"/>
    <w:rsid w:val="004F7E96"/>
    <w:rsid w:val="0050003C"/>
    <w:rsid w:val="00500E2D"/>
    <w:rsid w:val="00501B29"/>
    <w:rsid w:val="0050333C"/>
    <w:rsid w:val="0050456C"/>
    <w:rsid w:val="005045C6"/>
    <w:rsid w:val="00504F2E"/>
    <w:rsid w:val="00505C78"/>
    <w:rsid w:val="005061AF"/>
    <w:rsid w:val="00506E16"/>
    <w:rsid w:val="005072F9"/>
    <w:rsid w:val="00511D90"/>
    <w:rsid w:val="00512382"/>
    <w:rsid w:val="00512E54"/>
    <w:rsid w:val="00513729"/>
    <w:rsid w:val="00515074"/>
    <w:rsid w:val="0051511F"/>
    <w:rsid w:val="00515C18"/>
    <w:rsid w:val="00516230"/>
    <w:rsid w:val="00516C1C"/>
    <w:rsid w:val="00517683"/>
    <w:rsid w:val="00517B8E"/>
    <w:rsid w:val="005200F8"/>
    <w:rsid w:val="0052050E"/>
    <w:rsid w:val="00520FCE"/>
    <w:rsid w:val="0052147B"/>
    <w:rsid w:val="00521531"/>
    <w:rsid w:val="00521C05"/>
    <w:rsid w:val="00521F8E"/>
    <w:rsid w:val="005239B6"/>
    <w:rsid w:val="005240E6"/>
    <w:rsid w:val="0052454B"/>
    <w:rsid w:val="00525AAC"/>
    <w:rsid w:val="00525F6A"/>
    <w:rsid w:val="005266F3"/>
    <w:rsid w:val="00526E95"/>
    <w:rsid w:val="00527332"/>
    <w:rsid w:val="0053057F"/>
    <w:rsid w:val="00530A11"/>
    <w:rsid w:val="00530F7C"/>
    <w:rsid w:val="0053122E"/>
    <w:rsid w:val="00531F9E"/>
    <w:rsid w:val="005324C6"/>
    <w:rsid w:val="0053263D"/>
    <w:rsid w:val="00533683"/>
    <w:rsid w:val="00533CC8"/>
    <w:rsid w:val="005340F1"/>
    <w:rsid w:val="0053481F"/>
    <w:rsid w:val="005371E1"/>
    <w:rsid w:val="00541044"/>
    <w:rsid w:val="0054172F"/>
    <w:rsid w:val="00541C0F"/>
    <w:rsid w:val="00541D48"/>
    <w:rsid w:val="00542058"/>
    <w:rsid w:val="00542154"/>
    <w:rsid w:val="00542FB0"/>
    <w:rsid w:val="005430A7"/>
    <w:rsid w:val="0054320C"/>
    <w:rsid w:val="0054345B"/>
    <w:rsid w:val="00543AE8"/>
    <w:rsid w:val="00543EB5"/>
    <w:rsid w:val="005441A0"/>
    <w:rsid w:val="005441FA"/>
    <w:rsid w:val="005449FA"/>
    <w:rsid w:val="00544D0C"/>
    <w:rsid w:val="00545379"/>
    <w:rsid w:val="005457B2"/>
    <w:rsid w:val="0054653C"/>
    <w:rsid w:val="005475F3"/>
    <w:rsid w:val="00547BD3"/>
    <w:rsid w:val="00551057"/>
    <w:rsid w:val="005511B9"/>
    <w:rsid w:val="00551213"/>
    <w:rsid w:val="005515E1"/>
    <w:rsid w:val="00551C68"/>
    <w:rsid w:val="005522A7"/>
    <w:rsid w:val="005522EA"/>
    <w:rsid w:val="005523B6"/>
    <w:rsid w:val="00552552"/>
    <w:rsid w:val="005546DE"/>
    <w:rsid w:val="00554F63"/>
    <w:rsid w:val="0055523B"/>
    <w:rsid w:val="005566F7"/>
    <w:rsid w:val="005600B5"/>
    <w:rsid w:val="005600B8"/>
    <w:rsid w:val="00560BFE"/>
    <w:rsid w:val="005610CE"/>
    <w:rsid w:val="00561650"/>
    <w:rsid w:val="0056175D"/>
    <w:rsid w:val="00562852"/>
    <w:rsid w:val="00562B50"/>
    <w:rsid w:val="005630A3"/>
    <w:rsid w:val="00563191"/>
    <w:rsid w:val="005638D7"/>
    <w:rsid w:val="00563B7D"/>
    <w:rsid w:val="005641FC"/>
    <w:rsid w:val="00564822"/>
    <w:rsid w:val="00564AF0"/>
    <w:rsid w:val="00564FB1"/>
    <w:rsid w:val="00564FE9"/>
    <w:rsid w:val="00565251"/>
    <w:rsid w:val="00565FCB"/>
    <w:rsid w:val="00566BDE"/>
    <w:rsid w:val="00570DAB"/>
    <w:rsid w:val="00570E9B"/>
    <w:rsid w:val="00570F6D"/>
    <w:rsid w:val="00571C8E"/>
    <w:rsid w:val="00571D5E"/>
    <w:rsid w:val="00571E46"/>
    <w:rsid w:val="00571ECA"/>
    <w:rsid w:val="0057216D"/>
    <w:rsid w:val="0057263B"/>
    <w:rsid w:val="0057281E"/>
    <w:rsid w:val="00572EC9"/>
    <w:rsid w:val="00573050"/>
    <w:rsid w:val="00573689"/>
    <w:rsid w:val="005737AD"/>
    <w:rsid w:val="00573F8B"/>
    <w:rsid w:val="00574576"/>
    <w:rsid w:val="00574E8C"/>
    <w:rsid w:val="0057510E"/>
    <w:rsid w:val="00575697"/>
    <w:rsid w:val="00576551"/>
    <w:rsid w:val="0057729B"/>
    <w:rsid w:val="00577A36"/>
    <w:rsid w:val="00577CA1"/>
    <w:rsid w:val="00580BC4"/>
    <w:rsid w:val="00583F9E"/>
    <w:rsid w:val="00584077"/>
    <w:rsid w:val="00584E84"/>
    <w:rsid w:val="0058640B"/>
    <w:rsid w:val="0058678C"/>
    <w:rsid w:val="005876AA"/>
    <w:rsid w:val="005876FE"/>
    <w:rsid w:val="005877C9"/>
    <w:rsid w:val="005878ED"/>
    <w:rsid w:val="00590191"/>
    <w:rsid w:val="005905C9"/>
    <w:rsid w:val="00590809"/>
    <w:rsid w:val="00591639"/>
    <w:rsid w:val="00591B79"/>
    <w:rsid w:val="00591E2F"/>
    <w:rsid w:val="0059610F"/>
    <w:rsid w:val="00596686"/>
    <w:rsid w:val="00596AE0"/>
    <w:rsid w:val="00597572"/>
    <w:rsid w:val="00597641"/>
    <w:rsid w:val="005A08C1"/>
    <w:rsid w:val="005A2A9A"/>
    <w:rsid w:val="005A3FDF"/>
    <w:rsid w:val="005A4EEF"/>
    <w:rsid w:val="005A568A"/>
    <w:rsid w:val="005A58FB"/>
    <w:rsid w:val="005A5B71"/>
    <w:rsid w:val="005A6621"/>
    <w:rsid w:val="005A69BD"/>
    <w:rsid w:val="005A776F"/>
    <w:rsid w:val="005B1285"/>
    <w:rsid w:val="005B1465"/>
    <w:rsid w:val="005B1D4C"/>
    <w:rsid w:val="005B1FEB"/>
    <w:rsid w:val="005B20E7"/>
    <w:rsid w:val="005B26D6"/>
    <w:rsid w:val="005B2A2E"/>
    <w:rsid w:val="005B37AB"/>
    <w:rsid w:val="005B3D4B"/>
    <w:rsid w:val="005B3E97"/>
    <w:rsid w:val="005B4D20"/>
    <w:rsid w:val="005B6310"/>
    <w:rsid w:val="005B6886"/>
    <w:rsid w:val="005C00E4"/>
    <w:rsid w:val="005C024B"/>
    <w:rsid w:val="005C092D"/>
    <w:rsid w:val="005C1F71"/>
    <w:rsid w:val="005C1F75"/>
    <w:rsid w:val="005C2022"/>
    <w:rsid w:val="005C3B27"/>
    <w:rsid w:val="005C6B97"/>
    <w:rsid w:val="005C6DB9"/>
    <w:rsid w:val="005C72FC"/>
    <w:rsid w:val="005C7320"/>
    <w:rsid w:val="005C77CE"/>
    <w:rsid w:val="005D06F1"/>
    <w:rsid w:val="005D0FBB"/>
    <w:rsid w:val="005D2390"/>
    <w:rsid w:val="005D369C"/>
    <w:rsid w:val="005D51E8"/>
    <w:rsid w:val="005D55B2"/>
    <w:rsid w:val="005D5AC1"/>
    <w:rsid w:val="005D748E"/>
    <w:rsid w:val="005E0441"/>
    <w:rsid w:val="005E0481"/>
    <w:rsid w:val="005E12DB"/>
    <w:rsid w:val="005E1F81"/>
    <w:rsid w:val="005E2162"/>
    <w:rsid w:val="005E28C2"/>
    <w:rsid w:val="005E2EFA"/>
    <w:rsid w:val="005E5B01"/>
    <w:rsid w:val="005E6166"/>
    <w:rsid w:val="005E76C1"/>
    <w:rsid w:val="005F097E"/>
    <w:rsid w:val="005F0E7F"/>
    <w:rsid w:val="005F1126"/>
    <w:rsid w:val="005F133F"/>
    <w:rsid w:val="005F144B"/>
    <w:rsid w:val="005F1EFB"/>
    <w:rsid w:val="005F281E"/>
    <w:rsid w:val="005F2AA0"/>
    <w:rsid w:val="005F2E09"/>
    <w:rsid w:val="005F335F"/>
    <w:rsid w:val="005F3A4A"/>
    <w:rsid w:val="005F3BE2"/>
    <w:rsid w:val="005F3C79"/>
    <w:rsid w:val="005F5021"/>
    <w:rsid w:val="005F5612"/>
    <w:rsid w:val="005F58AD"/>
    <w:rsid w:val="005F6422"/>
    <w:rsid w:val="005F7310"/>
    <w:rsid w:val="005F78E1"/>
    <w:rsid w:val="005F7B0A"/>
    <w:rsid w:val="00602201"/>
    <w:rsid w:val="00602B9B"/>
    <w:rsid w:val="00602F8D"/>
    <w:rsid w:val="006030A2"/>
    <w:rsid w:val="00603544"/>
    <w:rsid w:val="00603C3A"/>
    <w:rsid w:val="00603F92"/>
    <w:rsid w:val="006050AE"/>
    <w:rsid w:val="0060523D"/>
    <w:rsid w:val="00605AEF"/>
    <w:rsid w:val="00605EFC"/>
    <w:rsid w:val="006076E0"/>
    <w:rsid w:val="0060782F"/>
    <w:rsid w:val="00607BE8"/>
    <w:rsid w:val="00607FDE"/>
    <w:rsid w:val="00611202"/>
    <w:rsid w:val="00611DD0"/>
    <w:rsid w:val="0061436F"/>
    <w:rsid w:val="00616305"/>
    <w:rsid w:val="00617CCE"/>
    <w:rsid w:val="006206C9"/>
    <w:rsid w:val="00620CD1"/>
    <w:rsid w:val="0062179F"/>
    <w:rsid w:val="00621863"/>
    <w:rsid w:val="00621887"/>
    <w:rsid w:val="00622BA8"/>
    <w:rsid w:val="00623699"/>
    <w:rsid w:val="006249A7"/>
    <w:rsid w:val="00625C97"/>
    <w:rsid w:val="00627283"/>
    <w:rsid w:val="006300AC"/>
    <w:rsid w:val="00630E6D"/>
    <w:rsid w:val="006311DD"/>
    <w:rsid w:val="0063267F"/>
    <w:rsid w:val="00633B95"/>
    <w:rsid w:val="00633C5E"/>
    <w:rsid w:val="00633EEA"/>
    <w:rsid w:val="00635BFA"/>
    <w:rsid w:val="0063769A"/>
    <w:rsid w:val="00637FF2"/>
    <w:rsid w:val="00640130"/>
    <w:rsid w:val="00640F96"/>
    <w:rsid w:val="00641CF3"/>
    <w:rsid w:val="006426AC"/>
    <w:rsid w:val="00642D83"/>
    <w:rsid w:val="00643047"/>
    <w:rsid w:val="006430D1"/>
    <w:rsid w:val="006434B9"/>
    <w:rsid w:val="00643637"/>
    <w:rsid w:val="00643F64"/>
    <w:rsid w:val="006443E1"/>
    <w:rsid w:val="00644496"/>
    <w:rsid w:val="0064469F"/>
    <w:rsid w:val="0064485A"/>
    <w:rsid w:val="006455B3"/>
    <w:rsid w:val="00651209"/>
    <w:rsid w:val="006537F0"/>
    <w:rsid w:val="00653BCD"/>
    <w:rsid w:val="006546CA"/>
    <w:rsid w:val="006558B4"/>
    <w:rsid w:val="00655AE1"/>
    <w:rsid w:val="006561D1"/>
    <w:rsid w:val="006569FC"/>
    <w:rsid w:val="00656C0A"/>
    <w:rsid w:val="00656EAD"/>
    <w:rsid w:val="006574B3"/>
    <w:rsid w:val="006608CE"/>
    <w:rsid w:val="00660B2F"/>
    <w:rsid w:val="00660D4C"/>
    <w:rsid w:val="00661CF4"/>
    <w:rsid w:val="00661D4E"/>
    <w:rsid w:val="00661E2D"/>
    <w:rsid w:val="006621D2"/>
    <w:rsid w:val="00662336"/>
    <w:rsid w:val="00662881"/>
    <w:rsid w:val="00662C76"/>
    <w:rsid w:val="00662DFB"/>
    <w:rsid w:val="00663092"/>
    <w:rsid w:val="00664EB2"/>
    <w:rsid w:val="0066679D"/>
    <w:rsid w:val="006667CB"/>
    <w:rsid w:val="00667578"/>
    <w:rsid w:val="00670124"/>
    <w:rsid w:val="00671894"/>
    <w:rsid w:val="00671935"/>
    <w:rsid w:val="00672197"/>
    <w:rsid w:val="00672295"/>
    <w:rsid w:val="0067314D"/>
    <w:rsid w:val="00674425"/>
    <w:rsid w:val="0067472E"/>
    <w:rsid w:val="00674ECF"/>
    <w:rsid w:val="00675397"/>
    <w:rsid w:val="00676C10"/>
    <w:rsid w:val="006776F5"/>
    <w:rsid w:val="00677E45"/>
    <w:rsid w:val="0068150B"/>
    <w:rsid w:val="006815BA"/>
    <w:rsid w:val="006821D9"/>
    <w:rsid w:val="006825DC"/>
    <w:rsid w:val="0068393C"/>
    <w:rsid w:val="0068394F"/>
    <w:rsid w:val="0068488E"/>
    <w:rsid w:val="00684DF9"/>
    <w:rsid w:val="00684EC1"/>
    <w:rsid w:val="0068569D"/>
    <w:rsid w:val="00685F0F"/>
    <w:rsid w:val="00687CCC"/>
    <w:rsid w:val="00690296"/>
    <w:rsid w:val="00691BB8"/>
    <w:rsid w:val="006920A0"/>
    <w:rsid w:val="0069215E"/>
    <w:rsid w:val="00692AB9"/>
    <w:rsid w:val="00693896"/>
    <w:rsid w:val="00693DF3"/>
    <w:rsid w:val="00696331"/>
    <w:rsid w:val="006966E7"/>
    <w:rsid w:val="00696B97"/>
    <w:rsid w:val="00696EAE"/>
    <w:rsid w:val="006970C0"/>
    <w:rsid w:val="00697307"/>
    <w:rsid w:val="00697E16"/>
    <w:rsid w:val="006A0424"/>
    <w:rsid w:val="006A1346"/>
    <w:rsid w:val="006A1A01"/>
    <w:rsid w:val="006A33FF"/>
    <w:rsid w:val="006A34CA"/>
    <w:rsid w:val="006A39A9"/>
    <w:rsid w:val="006A3D31"/>
    <w:rsid w:val="006A3D77"/>
    <w:rsid w:val="006A5205"/>
    <w:rsid w:val="006A6159"/>
    <w:rsid w:val="006A6288"/>
    <w:rsid w:val="006A6713"/>
    <w:rsid w:val="006A774D"/>
    <w:rsid w:val="006A78E8"/>
    <w:rsid w:val="006B0261"/>
    <w:rsid w:val="006B0FBC"/>
    <w:rsid w:val="006B32DA"/>
    <w:rsid w:val="006B3833"/>
    <w:rsid w:val="006B3FE3"/>
    <w:rsid w:val="006B4513"/>
    <w:rsid w:val="006B4F98"/>
    <w:rsid w:val="006B52BD"/>
    <w:rsid w:val="006B5494"/>
    <w:rsid w:val="006B6368"/>
    <w:rsid w:val="006B7892"/>
    <w:rsid w:val="006B7A5C"/>
    <w:rsid w:val="006C10DC"/>
    <w:rsid w:val="006C1D5D"/>
    <w:rsid w:val="006C45AD"/>
    <w:rsid w:val="006C487D"/>
    <w:rsid w:val="006C4F11"/>
    <w:rsid w:val="006C5F5A"/>
    <w:rsid w:val="006C602E"/>
    <w:rsid w:val="006C689C"/>
    <w:rsid w:val="006C7448"/>
    <w:rsid w:val="006C77B5"/>
    <w:rsid w:val="006C77C7"/>
    <w:rsid w:val="006C7902"/>
    <w:rsid w:val="006C7BF5"/>
    <w:rsid w:val="006D043B"/>
    <w:rsid w:val="006D0CE0"/>
    <w:rsid w:val="006D16E6"/>
    <w:rsid w:val="006D1DF2"/>
    <w:rsid w:val="006D266F"/>
    <w:rsid w:val="006D2AFA"/>
    <w:rsid w:val="006D36DC"/>
    <w:rsid w:val="006D3832"/>
    <w:rsid w:val="006D3C51"/>
    <w:rsid w:val="006D4028"/>
    <w:rsid w:val="006D47AB"/>
    <w:rsid w:val="006D4B46"/>
    <w:rsid w:val="006D5837"/>
    <w:rsid w:val="006D5B22"/>
    <w:rsid w:val="006E09C0"/>
    <w:rsid w:val="006E193A"/>
    <w:rsid w:val="006E2092"/>
    <w:rsid w:val="006E2458"/>
    <w:rsid w:val="006E2A8B"/>
    <w:rsid w:val="006E33BB"/>
    <w:rsid w:val="006E3557"/>
    <w:rsid w:val="006E3BBE"/>
    <w:rsid w:val="006E3E18"/>
    <w:rsid w:val="006E4292"/>
    <w:rsid w:val="006E4684"/>
    <w:rsid w:val="006E4916"/>
    <w:rsid w:val="006E4C82"/>
    <w:rsid w:val="006E60F9"/>
    <w:rsid w:val="006E67B6"/>
    <w:rsid w:val="006E71F7"/>
    <w:rsid w:val="006E7363"/>
    <w:rsid w:val="006E75E6"/>
    <w:rsid w:val="006E7868"/>
    <w:rsid w:val="006F1EA0"/>
    <w:rsid w:val="006F2428"/>
    <w:rsid w:val="006F3446"/>
    <w:rsid w:val="006F4224"/>
    <w:rsid w:val="006F422C"/>
    <w:rsid w:val="006F53A9"/>
    <w:rsid w:val="006F69F7"/>
    <w:rsid w:val="006F73BE"/>
    <w:rsid w:val="006F7DB0"/>
    <w:rsid w:val="007000D2"/>
    <w:rsid w:val="0070113C"/>
    <w:rsid w:val="007020E4"/>
    <w:rsid w:val="00702637"/>
    <w:rsid w:val="00702C80"/>
    <w:rsid w:val="00703317"/>
    <w:rsid w:val="00703C91"/>
    <w:rsid w:val="007049F1"/>
    <w:rsid w:val="00705329"/>
    <w:rsid w:val="00705DB2"/>
    <w:rsid w:val="007061A2"/>
    <w:rsid w:val="0070700E"/>
    <w:rsid w:val="007070DA"/>
    <w:rsid w:val="00710803"/>
    <w:rsid w:val="00710CE0"/>
    <w:rsid w:val="007112C7"/>
    <w:rsid w:val="00711C90"/>
    <w:rsid w:val="00712039"/>
    <w:rsid w:val="0071205D"/>
    <w:rsid w:val="00712504"/>
    <w:rsid w:val="007126FF"/>
    <w:rsid w:val="0071371F"/>
    <w:rsid w:val="007138E0"/>
    <w:rsid w:val="00714397"/>
    <w:rsid w:val="00714EA1"/>
    <w:rsid w:val="00715FE5"/>
    <w:rsid w:val="00716BC6"/>
    <w:rsid w:val="00717777"/>
    <w:rsid w:val="00720399"/>
    <w:rsid w:val="00720C52"/>
    <w:rsid w:val="00722506"/>
    <w:rsid w:val="007241B2"/>
    <w:rsid w:val="00724834"/>
    <w:rsid w:val="00725350"/>
    <w:rsid w:val="007260F1"/>
    <w:rsid w:val="00726E81"/>
    <w:rsid w:val="0073038B"/>
    <w:rsid w:val="007317C0"/>
    <w:rsid w:val="0073292D"/>
    <w:rsid w:val="00732E59"/>
    <w:rsid w:val="00733093"/>
    <w:rsid w:val="007334B7"/>
    <w:rsid w:val="007345F4"/>
    <w:rsid w:val="00735234"/>
    <w:rsid w:val="007363A5"/>
    <w:rsid w:val="00736A7A"/>
    <w:rsid w:val="00737719"/>
    <w:rsid w:val="00740791"/>
    <w:rsid w:val="00740A1C"/>
    <w:rsid w:val="00741293"/>
    <w:rsid w:val="00741788"/>
    <w:rsid w:val="00741FA3"/>
    <w:rsid w:val="00741FB7"/>
    <w:rsid w:val="00742571"/>
    <w:rsid w:val="007431D3"/>
    <w:rsid w:val="007433E1"/>
    <w:rsid w:val="00745573"/>
    <w:rsid w:val="0074608C"/>
    <w:rsid w:val="00747455"/>
    <w:rsid w:val="00747D0A"/>
    <w:rsid w:val="00750517"/>
    <w:rsid w:val="007518AD"/>
    <w:rsid w:val="00751E46"/>
    <w:rsid w:val="007529FC"/>
    <w:rsid w:val="00752DAF"/>
    <w:rsid w:val="00753C96"/>
    <w:rsid w:val="00754432"/>
    <w:rsid w:val="00755009"/>
    <w:rsid w:val="00755E22"/>
    <w:rsid w:val="0075762A"/>
    <w:rsid w:val="00757965"/>
    <w:rsid w:val="00757CF9"/>
    <w:rsid w:val="00760773"/>
    <w:rsid w:val="0076270D"/>
    <w:rsid w:val="0076272D"/>
    <w:rsid w:val="00762D02"/>
    <w:rsid w:val="0076337C"/>
    <w:rsid w:val="00763458"/>
    <w:rsid w:val="007649B8"/>
    <w:rsid w:val="0076501B"/>
    <w:rsid w:val="00765CEC"/>
    <w:rsid w:val="007662E3"/>
    <w:rsid w:val="00766C4F"/>
    <w:rsid w:val="00767453"/>
    <w:rsid w:val="00767A78"/>
    <w:rsid w:val="00770F55"/>
    <w:rsid w:val="00772149"/>
    <w:rsid w:val="00772EC9"/>
    <w:rsid w:val="0077427A"/>
    <w:rsid w:val="00775312"/>
    <w:rsid w:val="0077543E"/>
    <w:rsid w:val="00776539"/>
    <w:rsid w:val="00776616"/>
    <w:rsid w:val="00777B27"/>
    <w:rsid w:val="00777B7D"/>
    <w:rsid w:val="00781747"/>
    <w:rsid w:val="00781D1F"/>
    <w:rsid w:val="00782F8B"/>
    <w:rsid w:val="007841BE"/>
    <w:rsid w:val="007850DE"/>
    <w:rsid w:val="007867D4"/>
    <w:rsid w:val="00786B90"/>
    <w:rsid w:val="00787173"/>
    <w:rsid w:val="00790CF5"/>
    <w:rsid w:val="007914D3"/>
    <w:rsid w:val="00792B69"/>
    <w:rsid w:val="00792B6C"/>
    <w:rsid w:val="00792D44"/>
    <w:rsid w:val="00793064"/>
    <w:rsid w:val="00793D45"/>
    <w:rsid w:val="00794486"/>
    <w:rsid w:val="0079547D"/>
    <w:rsid w:val="007957C3"/>
    <w:rsid w:val="00795E59"/>
    <w:rsid w:val="00796615"/>
    <w:rsid w:val="0079716F"/>
    <w:rsid w:val="007A0112"/>
    <w:rsid w:val="007A0BED"/>
    <w:rsid w:val="007A1C2F"/>
    <w:rsid w:val="007A245C"/>
    <w:rsid w:val="007A338B"/>
    <w:rsid w:val="007A33BF"/>
    <w:rsid w:val="007A3422"/>
    <w:rsid w:val="007A3457"/>
    <w:rsid w:val="007A3DC4"/>
    <w:rsid w:val="007A55B6"/>
    <w:rsid w:val="007A56A0"/>
    <w:rsid w:val="007A6238"/>
    <w:rsid w:val="007A68DC"/>
    <w:rsid w:val="007A749B"/>
    <w:rsid w:val="007A7E4B"/>
    <w:rsid w:val="007B0F14"/>
    <w:rsid w:val="007B13EC"/>
    <w:rsid w:val="007B22F9"/>
    <w:rsid w:val="007B2A74"/>
    <w:rsid w:val="007B3333"/>
    <w:rsid w:val="007B3A17"/>
    <w:rsid w:val="007B4C5F"/>
    <w:rsid w:val="007B5A3B"/>
    <w:rsid w:val="007B5B0C"/>
    <w:rsid w:val="007B6D66"/>
    <w:rsid w:val="007B72E4"/>
    <w:rsid w:val="007C065A"/>
    <w:rsid w:val="007C13B1"/>
    <w:rsid w:val="007C14E9"/>
    <w:rsid w:val="007C15F8"/>
    <w:rsid w:val="007C3033"/>
    <w:rsid w:val="007C4973"/>
    <w:rsid w:val="007C4A97"/>
    <w:rsid w:val="007C6974"/>
    <w:rsid w:val="007C6BDD"/>
    <w:rsid w:val="007C7185"/>
    <w:rsid w:val="007C71CF"/>
    <w:rsid w:val="007C7209"/>
    <w:rsid w:val="007D016C"/>
    <w:rsid w:val="007D0612"/>
    <w:rsid w:val="007D10D3"/>
    <w:rsid w:val="007D28C8"/>
    <w:rsid w:val="007D3A1B"/>
    <w:rsid w:val="007D3FE7"/>
    <w:rsid w:val="007D4255"/>
    <w:rsid w:val="007D5A4B"/>
    <w:rsid w:val="007D5A80"/>
    <w:rsid w:val="007D69F8"/>
    <w:rsid w:val="007D6C6A"/>
    <w:rsid w:val="007D74D9"/>
    <w:rsid w:val="007E087C"/>
    <w:rsid w:val="007E11C2"/>
    <w:rsid w:val="007E1AF9"/>
    <w:rsid w:val="007E2720"/>
    <w:rsid w:val="007E27CB"/>
    <w:rsid w:val="007E2B71"/>
    <w:rsid w:val="007E3234"/>
    <w:rsid w:val="007E3ACE"/>
    <w:rsid w:val="007E4064"/>
    <w:rsid w:val="007E48E5"/>
    <w:rsid w:val="007E4A03"/>
    <w:rsid w:val="007E56D3"/>
    <w:rsid w:val="007E6E53"/>
    <w:rsid w:val="007E737D"/>
    <w:rsid w:val="007F0E67"/>
    <w:rsid w:val="007F0EF4"/>
    <w:rsid w:val="007F18E7"/>
    <w:rsid w:val="007F20AD"/>
    <w:rsid w:val="007F221D"/>
    <w:rsid w:val="007F2FE9"/>
    <w:rsid w:val="007F3130"/>
    <w:rsid w:val="007F425D"/>
    <w:rsid w:val="007F492E"/>
    <w:rsid w:val="007F4BA5"/>
    <w:rsid w:val="007F5340"/>
    <w:rsid w:val="007F5785"/>
    <w:rsid w:val="007F5F13"/>
    <w:rsid w:val="007F6B32"/>
    <w:rsid w:val="007F6B59"/>
    <w:rsid w:val="007F6D4E"/>
    <w:rsid w:val="007F74DA"/>
    <w:rsid w:val="007F7A91"/>
    <w:rsid w:val="0080045C"/>
    <w:rsid w:val="00802B80"/>
    <w:rsid w:val="00803521"/>
    <w:rsid w:val="00805553"/>
    <w:rsid w:val="0080556E"/>
    <w:rsid w:val="00805947"/>
    <w:rsid w:val="00805C34"/>
    <w:rsid w:val="008062E1"/>
    <w:rsid w:val="00806746"/>
    <w:rsid w:val="00807B65"/>
    <w:rsid w:val="00807C96"/>
    <w:rsid w:val="00810B79"/>
    <w:rsid w:val="008115E3"/>
    <w:rsid w:val="0081181C"/>
    <w:rsid w:val="00812975"/>
    <w:rsid w:val="00812B08"/>
    <w:rsid w:val="00813C57"/>
    <w:rsid w:val="008147C5"/>
    <w:rsid w:val="008149EE"/>
    <w:rsid w:val="00815FA1"/>
    <w:rsid w:val="008174B6"/>
    <w:rsid w:val="00817A24"/>
    <w:rsid w:val="00817F01"/>
    <w:rsid w:val="008202D9"/>
    <w:rsid w:val="00820E34"/>
    <w:rsid w:val="00822234"/>
    <w:rsid w:val="00822307"/>
    <w:rsid w:val="00822BF9"/>
    <w:rsid w:val="00825AAC"/>
    <w:rsid w:val="00825AFE"/>
    <w:rsid w:val="00826E7A"/>
    <w:rsid w:val="00827817"/>
    <w:rsid w:val="0082793C"/>
    <w:rsid w:val="00827D7C"/>
    <w:rsid w:val="00830463"/>
    <w:rsid w:val="0083092E"/>
    <w:rsid w:val="00831A33"/>
    <w:rsid w:val="00831A63"/>
    <w:rsid w:val="00832296"/>
    <w:rsid w:val="00832990"/>
    <w:rsid w:val="0083316D"/>
    <w:rsid w:val="00834C98"/>
    <w:rsid w:val="00835736"/>
    <w:rsid w:val="00835AEE"/>
    <w:rsid w:val="00836C20"/>
    <w:rsid w:val="00836DC7"/>
    <w:rsid w:val="00837477"/>
    <w:rsid w:val="008408D9"/>
    <w:rsid w:val="008424E9"/>
    <w:rsid w:val="00843863"/>
    <w:rsid w:val="008441B5"/>
    <w:rsid w:val="00844610"/>
    <w:rsid w:val="0084646B"/>
    <w:rsid w:val="00846A96"/>
    <w:rsid w:val="00846B32"/>
    <w:rsid w:val="0084728A"/>
    <w:rsid w:val="0084782E"/>
    <w:rsid w:val="00847983"/>
    <w:rsid w:val="008479CC"/>
    <w:rsid w:val="00847D81"/>
    <w:rsid w:val="00850090"/>
    <w:rsid w:val="00850495"/>
    <w:rsid w:val="008520BF"/>
    <w:rsid w:val="008530FC"/>
    <w:rsid w:val="00853761"/>
    <w:rsid w:val="008537C0"/>
    <w:rsid w:val="0085516E"/>
    <w:rsid w:val="00856669"/>
    <w:rsid w:val="008579AF"/>
    <w:rsid w:val="00860060"/>
    <w:rsid w:val="008607AB"/>
    <w:rsid w:val="00860A85"/>
    <w:rsid w:val="00860EDD"/>
    <w:rsid w:val="0086135B"/>
    <w:rsid w:val="00861878"/>
    <w:rsid w:val="00862857"/>
    <w:rsid w:val="008628BF"/>
    <w:rsid w:val="0086345C"/>
    <w:rsid w:val="00863C93"/>
    <w:rsid w:val="00864732"/>
    <w:rsid w:val="00864AA3"/>
    <w:rsid w:val="00864B42"/>
    <w:rsid w:val="00865480"/>
    <w:rsid w:val="008665D4"/>
    <w:rsid w:val="00866EEC"/>
    <w:rsid w:val="008672E1"/>
    <w:rsid w:val="008701BD"/>
    <w:rsid w:val="008706DB"/>
    <w:rsid w:val="008725B4"/>
    <w:rsid w:val="00872CBE"/>
    <w:rsid w:val="00873756"/>
    <w:rsid w:val="00873EB5"/>
    <w:rsid w:val="00874275"/>
    <w:rsid w:val="00874634"/>
    <w:rsid w:val="00875314"/>
    <w:rsid w:val="00875A12"/>
    <w:rsid w:val="00877029"/>
    <w:rsid w:val="00880119"/>
    <w:rsid w:val="00881067"/>
    <w:rsid w:val="0088114D"/>
    <w:rsid w:val="0088150E"/>
    <w:rsid w:val="00882B62"/>
    <w:rsid w:val="00883392"/>
    <w:rsid w:val="008845D1"/>
    <w:rsid w:val="008853A7"/>
    <w:rsid w:val="0088550E"/>
    <w:rsid w:val="00886013"/>
    <w:rsid w:val="00887C68"/>
    <w:rsid w:val="00887EB7"/>
    <w:rsid w:val="008900A9"/>
    <w:rsid w:val="0089046E"/>
    <w:rsid w:val="00891643"/>
    <w:rsid w:val="00891664"/>
    <w:rsid w:val="00892563"/>
    <w:rsid w:val="008929DB"/>
    <w:rsid w:val="0089438C"/>
    <w:rsid w:val="00895558"/>
    <w:rsid w:val="0089583E"/>
    <w:rsid w:val="00897439"/>
    <w:rsid w:val="008975A9"/>
    <w:rsid w:val="00897687"/>
    <w:rsid w:val="008A068F"/>
    <w:rsid w:val="008A06C3"/>
    <w:rsid w:val="008A1C7A"/>
    <w:rsid w:val="008A2E4A"/>
    <w:rsid w:val="008A3743"/>
    <w:rsid w:val="008A40B2"/>
    <w:rsid w:val="008A42CA"/>
    <w:rsid w:val="008A7188"/>
    <w:rsid w:val="008A71F5"/>
    <w:rsid w:val="008A72DC"/>
    <w:rsid w:val="008A763F"/>
    <w:rsid w:val="008A7D55"/>
    <w:rsid w:val="008B06A7"/>
    <w:rsid w:val="008B1EA5"/>
    <w:rsid w:val="008B26E0"/>
    <w:rsid w:val="008B2E9C"/>
    <w:rsid w:val="008B3145"/>
    <w:rsid w:val="008B39D8"/>
    <w:rsid w:val="008B3B6C"/>
    <w:rsid w:val="008B60AD"/>
    <w:rsid w:val="008B61FC"/>
    <w:rsid w:val="008B71D2"/>
    <w:rsid w:val="008B7D62"/>
    <w:rsid w:val="008C0462"/>
    <w:rsid w:val="008C0DD3"/>
    <w:rsid w:val="008C19F5"/>
    <w:rsid w:val="008C1AB8"/>
    <w:rsid w:val="008C26A2"/>
    <w:rsid w:val="008C298B"/>
    <w:rsid w:val="008C2F42"/>
    <w:rsid w:val="008C3088"/>
    <w:rsid w:val="008C336A"/>
    <w:rsid w:val="008C33F2"/>
    <w:rsid w:val="008C3B9D"/>
    <w:rsid w:val="008C50D7"/>
    <w:rsid w:val="008C51E0"/>
    <w:rsid w:val="008C5CBE"/>
    <w:rsid w:val="008C624D"/>
    <w:rsid w:val="008C6574"/>
    <w:rsid w:val="008C6A4E"/>
    <w:rsid w:val="008C7C25"/>
    <w:rsid w:val="008D1571"/>
    <w:rsid w:val="008D20BD"/>
    <w:rsid w:val="008D60B9"/>
    <w:rsid w:val="008D6229"/>
    <w:rsid w:val="008D6438"/>
    <w:rsid w:val="008D6BB6"/>
    <w:rsid w:val="008D7682"/>
    <w:rsid w:val="008D7764"/>
    <w:rsid w:val="008D7B03"/>
    <w:rsid w:val="008D7F9D"/>
    <w:rsid w:val="008E0571"/>
    <w:rsid w:val="008E1A65"/>
    <w:rsid w:val="008E1C50"/>
    <w:rsid w:val="008E1F3C"/>
    <w:rsid w:val="008E2DD1"/>
    <w:rsid w:val="008E348B"/>
    <w:rsid w:val="008E37C0"/>
    <w:rsid w:val="008E3B5A"/>
    <w:rsid w:val="008E3BC6"/>
    <w:rsid w:val="008E4552"/>
    <w:rsid w:val="008E4592"/>
    <w:rsid w:val="008E77BF"/>
    <w:rsid w:val="008E7B48"/>
    <w:rsid w:val="008F0087"/>
    <w:rsid w:val="008F0372"/>
    <w:rsid w:val="008F0A0F"/>
    <w:rsid w:val="008F0B48"/>
    <w:rsid w:val="008F1DBB"/>
    <w:rsid w:val="008F2DE4"/>
    <w:rsid w:val="008F3283"/>
    <w:rsid w:val="008F3337"/>
    <w:rsid w:val="008F3691"/>
    <w:rsid w:val="008F3D17"/>
    <w:rsid w:val="008F5D9E"/>
    <w:rsid w:val="008F626A"/>
    <w:rsid w:val="008F6346"/>
    <w:rsid w:val="008F66A1"/>
    <w:rsid w:val="008F74AA"/>
    <w:rsid w:val="008F7660"/>
    <w:rsid w:val="0090002B"/>
    <w:rsid w:val="009008ED"/>
    <w:rsid w:val="00900BB2"/>
    <w:rsid w:val="00900CD8"/>
    <w:rsid w:val="00900DF2"/>
    <w:rsid w:val="00900E5E"/>
    <w:rsid w:val="009014D3"/>
    <w:rsid w:val="009033C9"/>
    <w:rsid w:val="009034F0"/>
    <w:rsid w:val="0090399F"/>
    <w:rsid w:val="00903E67"/>
    <w:rsid w:val="009051FA"/>
    <w:rsid w:val="009066D7"/>
    <w:rsid w:val="00906E50"/>
    <w:rsid w:val="009078CB"/>
    <w:rsid w:val="009105C2"/>
    <w:rsid w:val="00910713"/>
    <w:rsid w:val="00911AE6"/>
    <w:rsid w:val="009129E3"/>
    <w:rsid w:val="009133EC"/>
    <w:rsid w:val="00913CC1"/>
    <w:rsid w:val="00913ED5"/>
    <w:rsid w:val="00914308"/>
    <w:rsid w:val="0091631D"/>
    <w:rsid w:val="00916544"/>
    <w:rsid w:val="00916ABA"/>
    <w:rsid w:val="00917677"/>
    <w:rsid w:val="00917E68"/>
    <w:rsid w:val="00920314"/>
    <w:rsid w:val="00920546"/>
    <w:rsid w:val="00922081"/>
    <w:rsid w:val="009225CF"/>
    <w:rsid w:val="0092283D"/>
    <w:rsid w:val="0092361B"/>
    <w:rsid w:val="00923734"/>
    <w:rsid w:val="00923994"/>
    <w:rsid w:val="009244BC"/>
    <w:rsid w:val="0092515F"/>
    <w:rsid w:val="00925B1C"/>
    <w:rsid w:val="00925B94"/>
    <w:rsid w:val="00926998"/>
    <w:rsid w:val="00926FB7"/>
    <w:rsid w:val="009276A8"/>
    <w:rsid w:val="00927FEB"/>
    <w:rsid w:val="009309CA"/>
    <w:rsid w:val="00930B43"/>
    <w:rsid w:val="00930F45"/>
    <w:rsid w:val="00931AD2"/>
    <w:rsid w:val="0093221C"/>
    <w:rsid w:val="00932394"/>
    <w:rsid w:val="00932C43"/>
    <w:rsid w:val="00932FD2"/>
    <w:rsid w:val="00934CC1"/>
    <w:rsid w:val="00934EB5"/>
    <w:rsid w:val="0093593A"/>
    <w:rsid w:val="00935998"/>
    <w:rsid w:val="00940180"/>
    <w:rsid w:val="009401E2"/>
    <w:rsid w:val="009409B8"/>
    <w:rsid w:val="00940C1C"/>
    <w:rsid w:val="00940CD4"/>
    <w:rsid w:val="00940DE1"/>
    <w:rsid w:val="00942BF3"/>
    <w:rsid w:val="00942E3B"/>
    <w:rsid w:val="00943B51"/>
    <w:rsid w:val="00944776"/>
    <w:rsid w:val="00944878"/>
    <w:rsid w:val="0094492D"/>
    <w:rsid w:val="009451DE"/>
    <w:rsid w:val="009454F1"/>
    <w:rsid w:val="00945D6E"/>
    <w:rsid w:val="0094605C"/>
    <w:rsid w:val="00946758"/>
    <w:rsid w:val="0094682E"/>
    <w:rsid w:val="009475A5"/>
    <w:rsid w:val="00947A10"/>
    <w:rsid w:val="00947A2F"/>
    <w:rsid w:val="00947C23"/>
    <w:rsid w:val="00947DCF"/>
    <w:rsid w:val="00950A44"/>
    <w:rsid w:val="00951AB5"/>
    <w:rsid w:val="0095220B"/>
    <w:rsid w:val="00953F35"/>
    <w:rsid w:val="0095490A"/>
    <w:rsid w:val="00954960"/>
    <w:rsid w:val="009557E7"/>
    <w:rsid w:val="00955A99"/>
    <w:rsid w:val="00956E3F"/>
    <w:rsid w:val="00957161"/>
    <w:rsid w:val="0095759A"/>
    <w:rsid w:val="009579D6"/>
    <w:rsid w:val="00957E99"/>
    <w:rsid w:val="00960266"/>
    <w:rsid w:val="00960353"/>
    <w:rsid w:val="00960DE9"/>
    <w:rsid w:val="00961146"/>
    <w:rsid w:val="009611F9"/>
    <w:rsid w:val="0096148B"/>
    <w:rsid w:val="009637FE"/>
    <w:rsid w:val="00963BFE"/>
    <w:rsid w:val="0096503F"/>
    <w:rsid w:val="009656C7"/>
    <w:rsid w:val="00965D1C"/>
    <w:rsid w:val="00966179"/>
    <w:rsid w:val="00967676"/>
    <w:rsid w:val="00970475"/>
    <w:rsid w:val="00971401"/>
    <w:rsid w:val="009730D9"/>
    <w:rsid w:val="009737E9"/>
    <w:rsid w:val="00973D2A"/>
    <w:rsid w:val="009740FE"/>
    <w:rsid w:val="00975706"/>
    <w:rsid w:val="00975749"/>
    <w:rsid w:val="00975AC6"/>
    <w:rsid w:val="00975D2B"/>
    <w:rsid w:val="00976613"/>
    <w:rsid w:val="00977C4C"/>
    <w:rsid w:val="00977E89"/>
    <w:rsid w:val="00980343"/>
    <w:rsid w:val="0098116D"/>
    <w:rsid w:val="00982924"/>
    <w:rsid w:val="00983B6F"/>
    <w:rsid w:val="0098450D"/>
    <w:rsid w:val="0098596B"/>
    <w:rsid w:val="009867AA"/>
    <w:rsid w:val="00990C3A"/>
    <w:rsid w:val="00991091"/>
    <w:rsid w:val="00991107"/>
    <w:rsid w:val="00993D52"/>
    <w:rsid w:val="009957C3"/>
    <w:rsid w:val="00995AB0"/>
    <w:rsid w:val="00995CB0"/>
    <w:rsid w:val="00995ED0"/>
    <w:rsid w:val="009964FD"/>
    <w:rsid w:val="0099682C"/>
    <w:rsid w:val="00997F47"/>
    <w:rsid w:val="009A0451"/>
    <w:rsid w:val="009A0B1A"/>
    <w:rsid w:val="009A1EF8"/>
    <w:rsid w:val="009A23B0"/>
    <w:rsid w:val="009A2A1E"/>
    <w:rsid w:val="009A2B7D"/>
    <w:rsid w:val="009A2BF3"/>
    <w:rsid w:val="009A2CEE"/>
    <w:rsid w:val="009A3263"/>
    <w:rsid w:val="009A3DC8"/>
    <w:rsid w:val="009A4257"/>
    <w:rsid w:val="009A63AA"/>
    <w:rsid w:val="009A6721"/>
    <w:rsid w:val="009A6E7F"/>
    <w:rsid w:val="009A710F"/>
    <w:rsid w:val="009A7C2F"/>
    <w:rsid w:val="009B09FF"/>
    <w:rsid w:val="009B0DC6"/>
    <w:rsid w:val="009B1395"/>
    <w:rsid w:val="009B2908"/>
    <w:rsid w:val="009B2977"/>
    <w:rsid w:val="009B2B8A"/>
    <w:rsid w:val="009B33AF"/>
    <w:rsid w:val="009B387C"/>
    <w:rsid w:val="009B3D57"/>
    <w:rsid w:val="009B4CDE"/>
    <w:rsid w:val="009B542D"/>
    <w:rsid w:val="009B5832"/>
    <w:rsid w:val="009B697D"/>
    <w:rsid w:val="009B78F3"/>
    <w:rsid w:val="009C121E"/>
    <w:rsid w:val="009C12BA"/>
    <w:rsid w:val="009C2064"/>
    <w:rsid w:val="009C49AD"/>
    <w:rsid w:val="009C5629"/>
    <w:rsid w:val="009C63BA"/>
    <w:rsid w:val="009C6C5B"/>
    <w:rsid w:val="009C6FD6"/>
    <w:rsid w:val="009C7C9A"/>
    <w:rsid w:val="009C7DE0"/>
    <w:rsid w:val="009D0732"/>
    <w:rsid w:val="009D143A"/>
    <w:rsid w:val="009D1B60"/>
    <w:rsid w:val="009D290D"/>
    <w:rsid w:val="009D2D90"/>
    <w:rsid w:val="009D2E51"/>
    <w:rsid w:val="009D39B3"/>
    <w:rsid w:val="009D4CE9"/>
    <w:rsid w:val="009D53D3"/>
    <w:rsid w:val="009D588A"/>
    <w:rsid w:val="009D60EA"/>
    <w:rsid w:val="009D7449"/>
    <w:rsid w:val="009E200A"/>
    <w:rsid w:val="009E24A0"/>
    <w:rsid w:val="009E3062"/>
    <w:rsid w:val="009E38A4"/>
    <w:rsid w:val="009E3AC0"/>
    <w:rsid w:val="009E3FEB"/>
    <w:rsid w:val="009E4797"/>
    <w:rsid w:val="009F043B"/>
    <w:rsid w:val="009F04B8"/>
    <w:rsid w:val="009F0EA5"/>
    <w:rsid w:val="009F1502"/>
    <w:rsid w:val="009F1627"/>
    <w:rsid w:val="009F1747"/>
    <w:rsid w:val="009F1A8D"/>
    <w:rsid w:val="009F21DA"/>
    <w:rsid w:val="009F3216"/>
    <w:rsid w:val="009F3835"/>
    <w:rsid w:val="009F3862"/>
    <w:rsid w:val="009F4179"/>
    <w:rsid w:val="009F475E"/>
    <w:rsid w:val="009F47D7"/>
    <w:rsid w:val="009F4CD6"/>
    <w:rsid w:val="009F4F47"/>
    <w:rsid w:val="009F53B6"/>
    <w:rsid w:val="009F5768"/>
    <w:rsid w:val="009F57FF"/>
    <w:rsid w:val="009F5BEF"/>
    <w:rsid w:val="009F71FF"/>
    <w:rsid w:val="009F7C94"/>
    <w:rsid w:val="00A0130D"/>
    <w:rsid w:val="00A019A6"/>
    <w:rsid w:val="00A0261F"/>
    <w:rsid w:val="00A040BA"/>
    <w:rsid w:val="00A05F67"/>
    <w:rsid w:val="00A07C00"/>
    <w:rsid w:val="00A10003"/>
    <w:rsid w:val="00A1006F"/>
    <w:rsid w:val="00A10B88"/>
    <w:rsid w:val="00A10F91"/>
    <w:rsid w:val="00A11389"/>
    <w:rsid w:val="00A11439"/>
    <w:rsid w:val="00A11602"/>
    <w:rsid w:val="00A11F00"/>
    <w:rsid w:val="00A1269B"/>
    <w:rsid w:val="00A1296F"/>
    <w:rsid w:val="00A12E25"/>
    <w:rsid w:val="00A134FD"/>
    <w:rsid w:val="00A14CD2"/>
    <w:rsid w:val="00A16844"/>
    <w:rsid w:val="00A175CF"/>
    <w:rsid w:val="00A176E2"/>
    <w:rsid w:val="00A17D3E"/>
    <w:rsid w:val="00A205B1"/>
    <w:rsid w:val="00A209D9"/>
    <w:rsid w:val="00A20C1F"/>
    <w:rsid w:val="00A2162A"/>
    <w:rsid w:val="00A217ED"/>
    <w:rsid w:val="00A21CFC"/>
    <w:rsid w:val="00A21F56"/>
    <w:rsid w:val="00A22F79"/>
    <w:rsid w:val="00A232C9"/>
    <w:rsid w:val="00A237EE"/>
    <w:rsid w:val="00A23BDC"/>
    <w:rsid w:val="00A2404D"/>
    <w:rsid w:val="00A24E1E"/>
    <w:rsid w:val="00A25610"/>
    <w:rsid w:val="00A256A2"/>
    <w:rsid w:val="00A27828"/>
    <w:rsid w:val="00A27867"/>
    <w:rsid w:val="00A30D10"/>
    <w:rsid w:val="00A30EF1"/>
    <w:rsid w:val="00A32BC2"/>
    <w:rsid w:val="00A3323F"/>
    <w:rsid w:val="00A34CDE"/>
    <w:rsid w:val="00A36692"/>
    <w:rsid w:val="00A369FE"/>
    <w:rsid w:val="00A36D92"/>
    <w:rsid w:val="00A4027D"/>
    <w:rsid w:val="00A40289"/>
    <w:rsid w:val="00A402A8"/>
    <w:rsid w:val="00A40B14"/>
    <w:rsid w:val="00A41BE5"/>
    <w:rsid w:val="00A41D0B"/>
    <w:rsid w:val="00A42475"/>
    <w:rsid w:val="00A43286"/>
    <w:rsid w:val="00A436A0"/>
    <w:rsid w:val="00A4393E"/>
    <w:rsid w:val="00A45B6A"/>
    <w:rsid w:val="00A47672"/>
    <w:rsid w:val="00A50F42"/>
    <w:rsid w:val="00A518C7"/>
    <w:rsid w:val="00A51919"/>
    <w:rsid w:val="00A524CF"/>
    <w:rsid w:val="00A530C8"/>
    <w:rsid w:val="00A530E5"/>
    <w:rsid w:val="00A533ED"/>
    <w:rsid w:val="00A534DE"/>
    <w:rsid w:val="00A538AD"/>
    <w:rsid w:val="00A53C99"/>
    <w:rsid w:val="00A5469A"/>
    <w:rsid w:val="00A5658C"/>
    <w:rsid w:val="00A572C6"/>
    <w:rsid w:val="00A60935"/>
    <w:rsid w:val="00A6155C"/>
    <w:rsid w:val="00A61737"/>
    <w:rsid w:val="00A61FBE"/>
    <w:rsid w:val="00A62450"/>
    <w:rsid w:val="00A627AC"/>
    <w:rsid w:val="00A62A7B"/>
    <w:rsid w:val="00A62C63"/>
    <w:rsid w:val="00A63429"/>
    <w:rsid w:val="00A6370F"/>
    <w:rsid w:val="00A63BEC"/>
    <w:rsid w:val="00A63D3E"/>
    <w:rsid w:val="00A64059"/>
    <w:rsid w:val="00A64206"/>
    <w:rsid w:val="00A64DB5"/>
    <w:rsid w:val="00A65606"/>
    <w:rsid w:val="00A66D25"/>
    <w:rsid w:val="00A670BA"/>
    <w:rsid w:val="00A67F55"/>
    <w:rsid w:val="00A73C3C"/>
    <w:rsid w:val="00A74A68"/>
    <w:rsid w:val="00A7577B"/>
    <w:rsid w:val="00A7636E"/>
    <w:rsid w:val="00A76BA5"/>
    <w:rsid w:val="00A7773A"/>
    <w:rsid w:val="00A7785B"/>
    <w:rsid w:val="00A8148B"/>
    <w:rsid w:val="00A8218F"/>
    <w:rsid w:val="00A82396"/>
    <w:rsid w:val="00A8283E"/>
    <w:rsid w:val="00A828E8"/>
    <w:rsid w:val="00A82DBA"/>
    <w:rsid w:val="00A835A0"/>
    <w:rsid w:val="00A83785"/>
    <w:rsid w:val="00A8567A"/>
    <w:rsid w:val="00A86CC3"/>
    <w:rsid w:val="00A871EF"/>
    <w:rsid w:val="00A87212"/>
    <w:rsid w:val="00A900EF"/>
    <w:rsid w:val="00A912E4"/>
    <w:rsid w:val="00A91BBB"/>
    <w:rsid w:val="00A91E95"/>
    <w:rsid w:val="00A92B39"/>
    <w:rsid w:val="00A92FA0"/>
    <w:rsid w:val="00A93CCB"/>
    <w:rsid w:val="00A9453F"/>
    <w:rsid w:val="00A94975"/>
    <w:rsid w:val="00A94FC9"/>
    <w:rsid w:val="00A95A65"/>
    <w:rsid w:val="00A96A47"/>
    <w:rsid w:val="00A97173"/>
    <w:rsid w:val="00A97524"/>
    <w:rsid w:val="00AA0381"/>
    <w:rsid w:val="00AA188D"/>
    <w:rsid w:val="00AA1F0C"/>
    <w:rsid w:val="00AA2171"/>
    <w:rsid w:val="00AA2259"/>
    <w:rsid w:val="00AA4E42"/>
    <w:rsid w:val="00AA6367"/>
    <w:rsid w:val="00AA6F57"/>
    <w:rsid w:val="00AA71F1"/>
    <w:rsid w:val="00AA7666"/>
    <w:rsid w:val="00AA79F6"/>
    <w:rsid w:val="00AB03C1"/>
    <w:rsid w:val="00AB06F9"/>
    <w:rsid w:val="00AB073E"/>
    <w:rsid w:val="00AB0891"/>
    <w:rsid w:val="00AB1CB9"/>
    <w:rsid w:val="00AB239A"/>
    <w:rsid w:val="00AB2E67"/>
    <w:rsid w:val="00AB2E88"/>
    <w:rsid w:val="00AB396E"/>
    <w:rsid w:val="00AB65CC"/>
    <w:rsid w:val="00AB72E1"/>
    <w:rsid w:val="00AB74BC"/>
    <w:rsid w:val="00AC1053"/>
    <w:rsid w:val="00AC13BF"/>
    <w:rsid w:val="00AC1862"/>
    <w:rsid w:val="00AC24FF"/>
    <w:rsid w:val="00AC4658"/>
    <w:rsid w:val="00AC4A1E"/>
    <w:rsid w:val="00AC4C46"/>
    <w:rsid w:val="00AC58B4"/>
    <w:rsid w:val="00AC66ED"/>
    <w:rsid w:val="00AC7518"/>
    <w:rsid w:val="00AD059A"/>
    <w:rsid w:val="00AD08FD"/>
    <w:rsid w:val="00AD0CE8"/>
    <w:rsid w:val="00AD0DA1"/>
    <w:rsid w:val="00AD384D"/>
    <w:rsid w:val="00AD3CDF"/>
    <w:rsid w:val="00AD4309"/>
    <w:rsid w:val="00AD46B7"/>
    <w:rsid w:val="00AD4C6B"/>
    <w:rsid w:val="00AD66CD"/>
    <w:rsid w:val="00AD6BCB"/>
    <w:rsid w:val="00AD76B9"/>
    <w:rsid w:val="00AD7F7A"/>
    <w:rsid w:val="00AE05CC"/>
    <w:rsid w:val="00AE1415"/>
    <w:rsid w:val="00AE14E2"/>
    <w:rsid w:val="00AE2ACC"/>
    <w:rsid w:val="00AE2F9D"/>
    <w:rsid w:val="00AE30A9"/>
    <w:rsid w:val="00AE39D1"/>
    <w:rsid w:val="00AE54E7"/>
    <w:rsid w:val="00AF1EF4"/>
    <w:rsid w:val="00AF204F"/>
    <w:rsid w:val="00AF4141"/>
    <w:rsid w:val="00AF4403"/>
    <w:rsid w:val="00AF44CE"/>
    <w:rsid w:val="00AF45F8"/>
    <w:rsid w:val="00AF4B6A"/>
    <w:rsid w:val="00AF5AC0"/>
    <w:rsid w:val="00AF6414"/>
    <w:rsid w:val="00AF6BA7"/>
    <w:rsid w:val="00AF6F04"/>
    <w:rsid w:val="00AF7F2B"/>
    <w:rsid w:val="00B000E0"/>
    <w:rsid w:val="00B02999"/>
    <w:rsid w:val="00B034E8"/>
    <w:rsid w:val="00B0610F"/>
    <w:rsid w:val="00B062F3"/>
    <w:rsid w:val="00B06BEC"/>
    <w:rsid w:val="00B1068A"/>
    <w:rsid w:val="00B11136"/>
    <w:rsid w:val="00B11748"/>
    <w:rsid w:val="00B12888"/>
    <w:rsid w:val="00B12939"/>
    <w:rsid w:val="00B1324C"/>
    <w:rsid w:val="00B13A81"/>
    <w:rsid w:val="00B13EEE"/>
    <w:rsid w:val="00B1416A"/>
    <w:rsid w:val="00B14A88"/>
    <w:rsid w:val="00B14F42"/>
    <w:rsid w:val="00B154B2"/>
    <w:rsid w:val="00B155E0"/>
    <w:rsid w:val="00B1581D"/>
    <w:rsid w:val="00B1647D"/>
    <w:rsid w:val="00B165D6"/>
    <w:rsid w:val="00B17952"/>
    <w:rsid w:val="00B2076D"/>
    <w:rsid w:val="00B20CD9"/>
    <w:rsid w:val="00B21321"/>
    <w:rsid w:val="00B216D1"/>
    <w:rsid w:val="00B2479E"/>
    <w:rsid w:val="00B247E9"/>
    <w:rsid w:val="00B25464"/>
    <w:rsid w:val="00B26281"/>
    <w:rsid w:val="00B27635"/>
    <w:rsid w:val="00B27D35"/>
    <w:rsid w:val="00B3028D"/>
    <w:rsid w:val="00B31014"/>
    <w:rsid w:val="00B31A1D"/>
    <w:rsid w:val="00B328F0"/>
    <w:rsid w:val="00B34FFB"/>
    <w:rsid w:val="00B36C7A"/>
    <w:rsid w:val="00B37219"/>
    <w:rsid w:val="00B3764F"/>
    <w:rsid w:val="00B410EA"/>
    <w:rsid w:val="00B4195C"/>
    <w:rsid w:val="00B41EE1"/>
    <w:rsid w:val="00B42FAB"/>
    <w:rsid w:val="00B431CC"/>
    <w:rsid w:val="00B435B5"/>
    <w:rsid w:val="00B4392E"/>
    <w:rsid w:val="00B44981"/>
    <w:rsid w:val="00B44CCF"/>
    <w:rsid w:val="00B44F5C"/>
    <w:rsid w:val="00B46458"/>
    <w:rsid w:val="00B46735"/>
    <w:rsid w:val="00B477FB"/>
    <w:rsid w:val="00B50715"/>
    <w:rsid w:val="00B50C9A"/>
    <w:rsid w:val="00B51CF6"/>
    <w:rsid w:val="00B522AA"/>
    <w:rsid w:val="00B52309"/>
    <w:rsid w:val="00B531CD"/>
    <w:rsid w:val="00B547C8"/>
    <w:rsid w:val="00B5505D"/>
    <w:rsid w:val="00B555B1"/>
    <w:rsid w:val="00B5661C"/>
    <w:rsid w:val="00B567FB"/>
    <w:rsid w:val="00B6199B"/>
    <w:rsid w:val="00B61A53"/>
    <w:rsid w:val="00B620BC"/>
    <w:rsid w:val="00B6226B"/>
    <w:rsid w:val="00B64B35"/>
    <w:rsid w:val="00B655CB"/>
    <w:rsid w:val="00B668E9"/>
    <w:rsid w:val="00B66E76"/>
    <w:rsid w:val="00B66E78"/>
    <w:rsid w:val="00B67336"/>
    <w:rsid w:val="00B67B38"/>
    <w:rsid w:val="00B70FAD"/>
    <w:rsid w:val="00B72063"/>
    <w:rsid w:val="00B721EF"/>
    <w:rsid w:val="00B72ADB"/>
    <w:rsid w:val="00B72F0F"/>
    <w:rsid w:val="00B74912"/>
    <w:rsid w:val="00B756B6"/>
    <w:rsid w:val="00B75E97"/>
    <w:rsid w:val="00B7742A"/>
    <w:rsid w:val="00B77CAB"/>
    <w:rsid w:val="00B81821"/>
    <w:rsid w:val="00B81EA0"/>
    <w:rsid w:val="00B8290E"/>
    <w:rsid w:val="00B8351C"/>
    <w:rsid w:val="00B849E9"/>
    <w:rsid w:val="00B84A96"/>
    <w:rsid w:val="00B863A7"/>
    <w:rsid w:val="00B876F5"/>
    <w:rsid w:val="00B8793D"/>
    <w:rsid w:val="00B909F3"/>
    <w:rsid w:val="00B90F11"/>
    <w:rsid w:val="00B9107D"/>
    <w:rsid w:val="00B91899"/>
    <w:rsid w:val="00B91B93"/>
    <w:rsid w:val="00B92EB7"/>
    <w:rsid w:val="00B96824"/>
    <w:rsid w:val="00B96ADA"/>
    <w:rsid w:val="00B96D16"/>
    <w:rsid w:val="00BA1BDA"/>
    <w:rsid w:val="00BA3382"/>
    <w:rsid w:val="00BA3A0B"/>
    <w:rsid w:val="00BA4644"/>
    <w:rsid w:val="00BA52AF"/>
    <w:rsid w:val="00BA5998"/>
    <w:rsid w:val="00BA5D24"/>
    <w:rsid w:val="00BA5FC7"/>
    <w:rsid w:val="00BA68F6"/>
    <w:rsid w:val="00BA6D0B"/>
    <w:rsid w:val="00BA7C2C"/>
    <w:rsid w:val="00BB0074"/>
    <w:rsid w:val="00BB19C4"/>
    <w:rsid w:val="00BB1A15"/>
    <w:rsid w:val="00BB1A23"/>
    <w:rsid w:val="00BB1CD4"/>
    <w:rsid w:val="00BB1E3B"/>
    <w:rsid w:val="00BB2194"/>
    <w:rsid w:val="00BB2552"/>
    <w:rsid w:val="00BB257F"/>
    <w:rsid w:val="00BB43EF"/>
    <w:rsid w:val="00BB49E3"/>
    <w:rsid w:val="00BB4B9D"/>
    <w:rsid w:val="00BB4D8D"/>
    <w:rsid w:val="00BB5021"/>
    <w:rsid w:val="00BB570E"/>
    <w:rsid w:val="00BB5DC4"/>
    <w:rsid w:val="00BB717A"/>
    <w:rsid w:val="00BB7FE6"/>
    <w:rsid w:val="00BC022F"/>
    <w:rsid w:val="00BC051A"/>
    <w:rsid w:val="00BC0769"/>
    <w:rsid w:val="00BC09AA"/>
    <w:rsid w:val="00BC18AF"/>
    <w:rsid w:val="00BC29FA"/>
    <w:rsid w:val="00BC2A44"/>
    <w:rsid w:val="00BC300D"/>
    <w:rsid w:val="00BC396A"/>
    <w:rsid w:val="00BC3C65"/>
    <w:rsid w:val="00BC3DBF"/>
    <w:rsid w:val="00BC55E0"/>
    <w:rsid w:val="00BC6390"/>
    <w:rsid w:val="00BC6DC9"/>
    <w:rsid w:val="00BC73B3"/>
    <w:rsid w:val="00BC7912"/>
    <w:rsid w:val="00BC7D89"/>
    <w:rsid w:val="00BD08EF"/>
    <w:rsid w:val="00BD0CB6"/>
    <w:rsid w:val="00BD2056"/>
    <w:rsid w:val="00BD3AD3"/>
    <w:rsid w:val="00BD47CB"/>
    <w:rsid w:val="00BD4962"/>
    <w:rsid w:val="00BD5501"/>
    <w:rsid w:val="00BD6EB3"/>
    <w:rsid w:val="00BD72D9"/>
    <w:rsid w:val="00BE060B"/>
    <w:rsid w:val="00BE155A"/>
    <w:rsid w:val="00BE1DF0"/>
    <w:rsid w:val="00BE43E1"/>
    <w:rsid w:val="00BE7044"/>
    <w:rsid w:val="00BE7085"/>
    <w:rsid w:val="00BF01FA"/>
    <w:rsid w:val="00BF2784"/>
    <w:rsid w:val="00BF30E1"/>
    <w:rsid w:val="00BF44E3"/>
    <w:rsid w:val="00BF5389"/>
    <w:rsid w:val="00BF54D2"/>
    <w:rsid w:val="00BF5EC6"/>
    <w:rsid w:val="00BF6220"/>
    <w:rsid w:val="00BF62A0"/>
    <w:rsid w:val="00BF6359"/>
    <w:rsid w:val="00BF64BD"/>
    <w:rsid w:val="00BF6DCE"/>
    <w:rsid w:val="00BF77D9"/>
    <w:rsid w:val="00BF7D15"/>
    <w:rsid w:val="00C021F7"/>
    <w:rsid w:val="00C022EF"/>
    <w:rsid w:val="00C02732"/>
    <w:rsid w:val="00C03696"/>
    <w:rsid w:val="00C0379A"/>
    <w:rsid w:val="00C0392F"/>
    <w:rsid w:val="00C039E9"/>
    <w:rsid w:val="00C04529"/>
    <w:rsid w:val="00C0491C"/>
    <w:rsid w:val="00C0575F"/>
    <w:rsid w:val="00C05843"/>
    <w:rsid w:val="00C06C17"/>
    <w:rsid w:val="00C06E16"/>
    <w:rsid w:val="00C07216"/>
    <w:rsid w:val="00C1048F"/>
    <w:rsid w:val="00C10EE9"/>
    <w:rsid w:val="00C123BD"/>
    <w:rsid w:val="00C123DB"/>
    <w:rsid w:val="00C124F1"/>
    <w:rsid w:val="00C1278A"/>
    <w:rsid w:val="00C13745"/>
    <w:rsid w:val="00C13A76"/>
    <w:rsid w:val="00C13C46"/>
    <w:rsid w:val="00C14888"/>
    <w:rsid w:val="00C14963"/>
    <w:rsid w:val="00C1500A"/>
    <w:rsid w:val="00C16209"/>
    <w:rsid w:val="00C165D9"/>
    <w:rsid w:val="00C171FD"/>
    <w:rsid w:val="00C1758C"/>
    <w:rsid w:val="00C20BE4"/>
    <w:rsid w:val="00C20C56"/>
    <w:rsid w:val="00C21356"/>
    <w:rsid w:val="00C2160C"/>
    <w:rsid w:val="00C2177D"/>
    <w:rsid w:val="00C22DDB"/>
    <w:rsid w:val="00C22E49"/>
    <w:rsid w:val="00C22E50"/>
    <w:rsid w:val="00C26EB1"/>
    <w:rsid w:val="00C277F1"/>
    <w:rsid w:val="00C3038C"/>
    <w:rsid w:val="00C3101A"/>
    <w:rsid w:val="00C31978"/>
    <w:rsid w:val="00C319B0"/>
    <w:rsid w:val="00C32CD1"/>
    <w:rsid w:val="00C34FED"/>
    <w:rsid w:val="00C35361"/>
    <w:rsid w:val="00C35389"/>
    <w:rsid w:val="00C35C7B"/>
    <w:rsid w:val="00C366A4"/>
    <w:rsid w:val="00C378B7"/>
    <w:rsid w:val="00C409DE"/>
    <w:rsid w:val="00C40BAD"/>
    <w:rsid w:val="00C42B37"/>
    <w:rsid w:val="00C4373D"/>
    <w:rsid w:val="00C43819"/>
    <w:rsid w:val="00C4381B"/>
    <w:rsid w:val="00C44B71"/>
    <w:rsid w:val="00C453F3"/>
    <w:rsid w:val="00C464B6"/>
    <w:rsid w:val="00C46817"/>
    <w:rsid w:val="00C4695F"/>
    <w:rsid w:val="00C46A11"/>
    <w:rsid w:val="00C475B4"/>
    <w:rsid w:val="00C47EEE"/>
    <w:rsid w:val="00C51730"/>
    <w:rsid w:val="00C51D93"/>
    <w:rsid w:val="00C51DB7"/>
    <w:rsid w:val="00C521E3"/>
    <w:rsid w:val="00C52C9F"/>
    <w:rsid w:val="00C53617"/>
    <w:rsid w:val="00C53AB1"/>
    <w:rsid w:val="00C53DB2"/>
    <w:rsid w:val="00C53F5F"/>
    <w:rsid w:val="00C56080"/>
    <w:rsid w:val="00C562BA"/>
    <w:rsid w:val="00C562DE"/>
    <w:rsid w:val="00C5633C"/>
    <w:rsid w:val="00C56747"/>
    <w:rsid w:val="00C56CE5"/>
    <w:rsid w:val="00C575CF"/>
    <w:rsid w:val="00C57BE7"/>
    <w:rsid w:val="00C60387"/>
    <w:rsid w:val="00C61030"/>
    <w:rsid w:val="00C6137F"/>
    <w:rsid w:val="00C61B51"/>
    <w:rsid w:val="00C64792"/>
    <w:rsid w:val="00C66018"/>
    <w:rsid w:val="00C6652F"/>
    <w:rsid w:val="00C666B0"/>
    <w:rsid w:val="00C702C5"/>
    <w:rsid w:val="00C70434"/>
    <w:rsid w:val="00C708DD"/>
    <w:rsid w:val="00C71CB9"/>
    <w:rsid w:val="00C72310"/>
    <w:rsid w:val="00C72B6A"/>
    <w:rsid w:val="00C7518B"/>
    <w:rsid w:val="00C7613C"/>
    <w:rsid w:val="00C767EB"/>
    <w:rsid w:val="00C769A3"/>
    <w:rsid w:val="00C772B1"/>
    <w:rsid w:val="00C77BCF"/>
    <w:rsid w:val="00C77D53"/>
    <w:rsid w:val="00C82559"/>
    <w:rsid w:val="00C82675"/>
    <w:rsid w:val="00C8286B"/>
    <w:rsid w:val="00C83437"/>
    <w:rsid w:val="00C83DCE"/>
    <w:rsid w:val="00C84056"/>
    <w:rsid w:val="00C84B64"/>
    <w:rsid w:val="00C84E27"/>
    <w:rsid w:val="00C8556B"/>
    <w:rsid w:val="00C855F8"/>
    <w:rsid w:val="00C85638"/>
    <w:rsid w:val="00C85AFA"/>
    <w:rsid w:val="00C85D61"/>
    <w:rsid w:val="00C864B1"/>
    <w:rsid w:val="00C866B4"/>
    <w:rsid w:val="00C86CEE"/>
    <w:rsid w:val="00C86E6F"/>
    <w:rsid w:val="00C87427"/>
    <w:rsid w:val="00C876DF"/>
    <w:rsid w:val="00C877B6"/>
    <w:rsid w:val="00C90956"/>
    <w:rsid w:val="00C92002"/>
    <w:rsid w:val="00C92D13"/>
    <w:rsid w:val="00C93071"/>
    <w:rsid w:val="00C94699"/>
    <w:rsid w:val="00C9551B"/>
    <w:rsid w:val="00C95D2A"/>
    <w:rsid w:val="00C95E05"/>
    <w:rsid w:val="00C961C7"/>
    <w:rsid w:val="00C977A6"/>
    <w:rsid w:val="00C97ACB"/>
    <w:rsid w:val="00C97F57"/>
    <w:rsid w:val="00CA114F"/>
    <w:rsid w:val="00CA505F"/>
    <w:rsid w:val="00CA5953"/>
    <w:rsid w:val="00CA6296"/>
    <w:rsid w:val="00CA63EA"/>
    <w:rsid w:val="00CA6CD0"/>
    <w:rsid w:val="00CB0133"/>
    <w:rsid w:val="00CB05A1"/>
    <w:rsid w:val="00CB24A7"/>
    <w:rsid w:val="00CB38C8"/>
    <w:rsid w:val="00CB394F"/>
    <w:rsid w:val="00CB39F5"/>
    <w:rsid w:val="00CB3AF9"/>
    <w:rsid w:val="00CB3B9F"/>
    <w:rsid w:val="00CB4607"/>
    <w:rsid w:val="00CB461A"/>
    <w:rsid w:val="00CB4C2C"/>
    <w:rsid w:val="00CB5A2A"/>
    <w:rsid w:val="00CB659A"/>
    <w:rsid w:val="00CB7100"/>
    <w:rsid w:val="00CB7478"/>
    <w:rsid w:val="00CB74F9"/>
    <w:rsid w:val="00CC0825"/>
    <w:rsid w:val="00CC2BD6"/>
    <w:rsid w:val="00CC2E4C"/>
    <w:rsid w:val="00CC3903"/>
    <w:rsid w:val="00CC4EB3"/>
    <w:rsid w:val="00CC5144"/>
    <w:rsid w:val="00CC6748"/>
    <w:rsid w:val="00CC72C7"/>
    <w:rsid w:val="00CC760D"/>
    <w:rsid w:val="00CD0BB5"/>
    <w:rsid w:val="00CD2A8F"/>
    <w:rsid w:val="00CD2EDA"/>
    <w:rsid w:val="00CD3478"/>
    <w:rsid w:val="00CD54BD"/>
    <w:rsid w:val="00CD5511"/>
    <w:rsid w:val="00CD55D6"/>
    <w:rsid w:val="00CD5A9E"/>
    <w:rsid w:val="00CD7459"/>
    <w:rsid w:val="00CD75A8"/>
    <w:rsid w:val="00CD7AE3"/>
    <w:rsid w:val="00CD7C4E"/>
    <w:rsid w:val="00CE003E"/>
    <w:rsid w:val="00CE0D0A"/>
    <w:rsid w:val="00CE0D1F"/>
    <w:rsid w:val="00CE2907"/>
    <w:rsid w:val="00CE5074"/>
    <w:rsid w:val="00CF0173"/>
    <w:rsid w:val="00CF0A15"/>
    <w:rsid w:val="00CF0EE0"/>
    <w:rsid w:val="00CF1C6E"/>
    <w:rsid w:val="00CF1D5B"/>
    <w:rsid w:val="00CF2215"/>
    <w:rsid w:val="00CF337D"/>
    <w:rsid w:val="00CF4690"/>
    <w:rsid w:val="00CF5C78"/>
    <w:rsid w:val="00CF6B17"/>
    <w:rsid w:val="00CF70B4"/>
    <w:rsid w:val="00CF71E9"/>
    <w:rsid w:val="00D00E03"/>
    <w:rsid w:val="00D011B3"/>
    <w:rsid w:val="00D02BA9"/>
    <w:rsid w:val="00D03D7D"/>
    <w:rsid w:val="00D03F44"/>
    <w:rsid w:val="00D040E0"/>
    <w:rsid w:val="00D04DC3"/>
    <w:rsid w:val="00D054F9"/>
    <w:rsid w:val="00D06BE9"/>
    <w:rsid w:val="00D07249"/>
    <w:rsid w:val="00D07D8E"/>
    <w:rsid w:val="00D101C6"/>
    <w:rsid w:val="00D107B3"/>
    <w:rsid w:val="00D10CA9"/>
    <w:rsid w:val="00D10EEB"/>
    <w:rsid w:val="00D11D7E"/>
    <w:rsid w:val="00D1318D"/>
    <w:rsid w:val="00D13EC4"/>
    <w:rsid w:val="00D13F67"/>
    <w:rsid w:val="00D14037"/>
    <w:rsid w:val="00D152F1"/>
    <w:rsid w:val="00D174BB"/>
    <w:rsid w:val="00D2081E"/>
    <w:rsid w:val="00D20AC5"/>
    <w:rsid w:val="00D23751"/>
    <w:rsid w:val="00D23AAE"/>
    <w:rsid w:val="00D2525A"/>
    <w:rsid w:val="00D257D3"/>
    <w:rsid w:val="00D25D56"/>
    <w:rsid w:val="00D26008"/>
    <w:rsid w:val="00D26847"/>
    <w:rsid w:val="00D304F1"/>
    <w:rsid w:val="00D31A06"/>
    <w:rsid w:val="00D31B9C"/>
    <w:rsid w:val="00D31EC3"/>
    <w:rsid w:val="00D33861"/>
    <w:rsid w:val="00D33B6B"/>
    <w:rsid w:val="00D33CA6"/>
    <w:rsid w:val="00D3462C"/>
    <w:rsid w:val="00D3477C"/>
    <w:rsid w:val="00D34B28"/>
    <w:rsid w:val="00D34D0A"/>
    <w:rsid w:val="00D3547A"/>
    <w:rsid w:val="00D3737A"/>
    <w:rsid w:val="00D41058"/>
    <w:rsid w:val="00D419DE"/>
    <w:rsid w:val="00D436F5"/>
    <w:rsid w:val="00D442B9"/>
    <w:rsid w:val="00D45373"/>
    <w:rsid w:val="00D46836"/>
    <w:rsid w:val="00D47924"/>
    <w:rsid w:val="00D500C1"/>
    <w:rsid w:val="00D501F0"/>
    <w:rsid w:val="00D5035A"/>
    <w:rsid w:val="00D50746"/>
    <w:rsid w:val="00D5084F"/>
    <w:rsid w:val="00D5118B"/>
    <w:rsid w:val="00D524AB"/>
    <w:rsid w:val="00D525BA"/>
    <w:rsid w:val="00D528FA"/>
    <w:rsid w:val="00D52E05"/>
    <w:rsid w:val="00D52FE5"/>
    <w:rsid w:val="00D531CD"/>
    <w:rsid w:val="00D553A4"/>
    <w:rsid w:val="00D55824"/>
    <w:rsid w:val="00D561EE"/>
    <w:rsid w:val="00D56CE3"/>
    <w:rsid w:val="00D575B9"/>
    <w:rsid w:val="00D60A9B"/>
    <w:rsid w:val="00D60C3A"/>
    <w:rsid w:val="00D6260D"/>
    <w:rsid w:val="00D62AA9"/>
    <w:rsid w:val="00D6347A"/>
    <w:rsid w:val="00D636C1"/>
    <w:rsid w:val="00D64156"/>
    <w:rsid w:val="00D6421A"/>
    <w:rsid w:val="00D65E7A"/>
    <w:rsid w:val="00D6662B"/>
    <w:rsid w:val="00D67E8A"/>
    <w:rsid w:val="00D7062A"/>
    <w:rsid w:val="00D7080D"/>
    <w:rsid w:val="00D717D5"/>
    <w:rsid w:val="00D72D36"/>
    <w:rsid w:val="00D73C26"/>
    <w:rsid w:val="00D74A82"/>
    <w:rsid w:val="00D76279"/>
    <w:rsid w:val="00D76E98"/>
    <w:rsid w:val="00D76F66"/>
    <w:rsid w:val="00D77434"/>
    <w:rsid w:val="00D77641"/>
    <w:rsid w:val="00D80615"/>
    <w:rsid w:val="00D810F5"/>
    <w:rsid w:val="00D81163"/>
    <w:rsid w:val="00D815A2"/>
    <w:rsid w:val="00D81609"/>
    <w:rsid w:val="00D81DA3"/>
    <w:rsid w:val="00D8226A"/>
    <w:rsid w:val="00D830C2"/>
    <w:rsid w:val="00D86726"/>
    <w:rsid w:val="00D87EEA"/>
    <w:rsid w:val="00D9029B"/>
    <w:rsid w:val="00D90FDF"/>
    <w:rsid w:val="00D91426"/>
    <w:rsid w:val="00D9181B"/>
    <w:rsid w:val="00D92EC2"/>
    <w:rsid w:val="00D93C31"/>
    <w:rsid w:val="00D93CAC"/>
    <w:rsid w:val="00D950C7"/>
    <w:rsid w:val="00D95740"/>
    <w:rsid w:val="00D96DEA"/>
    <w:rsid w:val="00DA07D7"/>
    <w:rsid w:val="00DA1510"/>
    <w:rsid w:val="00DA1873"/>
    <w:rsid w:val="00DA1C1F"/>
    <w:rsid w:val="00DA34C9"/>
    <w:rsid w:val="00DA3B72"/>
    <w:rsid w:val="00DA4DE3"/>
    <w:rsid w:val="00DA4FFE"/>
    <w:rsid w:val="00DA5059"/>
    <w:rsid w:val="00DA555C"/>
    <w:rsid w:val="00DA5E00"/>
    <w:rsid w:val="00DA61B1"/>
    <w:rsid w:val="00DA6377"/>
    <w:rsid w:val="00DA751C"/>
    <w:rsid w:val="00DA77A7"/>
    <w:rsid w:val="00DA7D1A"/>
    <w:rsid w:val="00DA7FF1"/>
    <w:rsid w:val="00DB03C7"/>
    <w:rsid w:val="00DB06F2"/>
    <w:rsid w:val="00DB24B4"/>
    <w:rsid w:val="00DB3BB4"/>
    <w:rsid w:val="00DB3DEF"/>
    <w:rsid w:val="00DB465C"/>
    <w:rsid w:val="00DB4C42"/>
    <w:rsid w:val="00DB4DD4"/>
    <w:rsid w:val="00DB5A3E"/>
    <w:rsid w:val="00DB5CB8"/>
    <w:rsid w:val="00DB6B3B"/>
    <w:rsid w:val="00DB6C46"/>
    <w:rsid w:val="00DB7741"/>
    <w:rsid w:val="00DC031C"/>
    <w:rsid w:val="00DC1AF4"/>
    <w:rsid w:val="00DC242D"/>
    <w:rsid w:val="00DC2B77"/>
    <w:rsid w:val="00DC3253"/>
    <w:rsid w:val="00DC4457"/>
    <w:rsid w:val="00DC46AE"/>
    <w:rsid w:val="00DC498D"/>
    <w:rsid w:val="00DC5233"/>
    <w:rsid w:val="00DC5541"/>
    <w:rsid w:val="00DC64CA"/>
    <w:rsid w:val="00DC682C"/>
    <w:rsid w:val="00DC7633"/>
    <w:rsid w:val="00DC7B11"/>
    <w:rsid w:val="00DC7DF3"/>
    <w:rsid w:val="00DC7E0F"/>
    <w:rsid w:val="00DD02C4"/>
    <w:rsid w:val="00DD06BD"/>
    <w:rsid w:val="00DD0A94"/>
    <w:rsid w:val="00DD1204"/>
    <w:rsid w:val="00DD1DAB"/>
    <w:rsid w:val="00DD3924"/>
    <w:rsid w:val="00DD4B9E"/>
    <w:rsid w:val="00DD51BC"/>
    <w:rsid w:val="00DD5FFC"/>
    <w:rsid w:val="00DD6044"/>
    <w:rsid w:val="00DD61B8"/>
    <w:rsid w:val="00DD74A8"/>
    <w:rsid w:val="00DE004A"/>
    <w:rsid w:val="00DE44FC"/>
    <w:rsid w:val="00DE4C75"/>
    <w:rsid w:val="00DE69E9"/>
    <w:rsid w:val="00DE769D"/>
    <w:rsid w:val="00DE7A2A"/>
    <w:rsid w:val="00DE7DA0"/>
    <w:rsid w:val="00DF0114"/>
    <w:rsid w:val="00DF0C27"/>
    <w:rsid w:val="00DF0D60"/>
    <w:rsid w:val="00DF190B"/>
    <w:rsid w:val="00DF190C"/>
    <w:rsid w:val="00DF288A"/>
    <w:rsid w:val="00DF2EFD"/>
    <w:rsid w:val="00DF44A2"/>
    <w:rsid w:val="00DF44D7"/>
    <w:rsid w:val="00DF47F1"/>
    <w:rsid w:val="00DF49BF"/>
    <w:rsid w:val="00DF5695"/>
    <w:rsid w:val="00DF5E21"/>
    <w:rsid w:val="00E030A9"/>
    <w:rsid w:val="00E03384"/>
    <w:rsid w:val="00E03AC3"/>
    <w:rsid w:val="00E0421C"/>
    <w:rsid w:val="00E0426B"/>
    <w:rsid w:val="00E044B8"/>
    <w:rsid w:val="00E065A5"/>
    <w:rsid w:val="00E06C1F"/>
    <w:rsid w:val="00E06EED"/>
    <w:rsid w:val="00E115DF"/>
    <w:rsid w:val="00E1268D"/>
    <w:rsid w:val="00E12A68"/>
    <w:rsid w:val="00E12B51"/>
    <w:rsid w:val="00E12E61"/>
    <w:rsid w:val="00E12F45"/>
    <w:rsid w:val="00E135A6"/>
    <w:rsid w:val="00E14184"/>
    <w:rsid w:val="00E16A8F"/>
    <w:rsid w:val="00E173D2"/>
    <w:rsid w:val="00E20E49"/>
    <w:rsid w:val="00E2112C"/>
    <w:rsid w:val="00E21EBE"/>
    <w:rsid w:val="00E22238"/>
    <w:rsid w:val="00E23929"/>
    <w:rsid w:val="00E23F0F"/>
    <w:rsid w:val="00E2455C"/>
    <w:rsid w:val="00E24DDC"/>
    <w:rsid w:val="00E25DD0"/>
    <w:rsid w:val="00E26380"/>
    <w:rsid w:val="00E26495"/>
    <w:rsid w:val="00E27E0B"/>
    <w:rsid w:val="00E27EB4"/>
    <w:rsid w:val="00E30055"/>
    <w:rsid w:val="00E314C7"/>
    <w:rsid w:val="00E31B6C"/>
    <w:rsid w:val="00E31DE5"/>
    <w:rsid w:val="00E3234E"/>
    <w:rsid w:val="00E3282C"/>
    <w:rsid w:val="00E32A4A"/>
    <w:rsid w:val="00E335FF"/>
    <w:rsid w:val="00E33868"/>
    <w:rsid w:val="00E3429A"/>
    <w:rsid w:val="00E34FDB"/>
    <w:rsid w:val="00E355B9"/>
    <w:rsid w:val="00E3604F"/>
    <w:rsid w:val="00E4055E"/>
    <w:rsid w:val="00E4121B"/>
    <w:rsid w:val="00E420E4"/>
    <w:rsid w:val="00E420F2"/>
    <w:rsid w:val="00E428EB"/>
    <w:rsid w:val="00E42C45"/>
    <w:rsid w:val="00E430D4"/>
    <w:rsid w:val="00E445EF"/>
    <w:rsid w:val="00E46B36"/>
    <w:rsid w:val="00E50865"/>
    <w:rsid w:val="00E50DC1"/>
    <w:rsid w:val="00E51115"/>
    <w:rsid w:val="00E5125F"/>
    <w:rsid w:val="00E512BF"/>
    <w:rsid w:val="00E51543"/>
    <w:rsid w:val="00E522A7"/>
    <w:rsid w:val="00E5537F"/>
    <w:rsid w:val="00E55B06"/>
    <w:rsid w:val="00E56AD1"/>
    <w:rsid w:val="00E57EAA"/>
    <w:rsid w:val="00E6028A"/>
    <w:rsid w:val="00E60DD7"/>
    <w:rsid w:val="00E6105F"/>
    <w:rsid w:val="00E612C6"/>
    <w:rsid w:val="00E620CA"/>
    <w:rsid w:val="00E622A2"/>
    <w:rsid w:val="00E63926"/>
    <w:rsid w:val="00E645E9"/>
    <w:rsid w:val="00E65E18"/>
    <w:rsid w:val="00E66FF6"/>
    <w:rsid w:val="00E706D6"/>
    <w:rsid w:val="00E707BC"/>
    <w:rsid w:val="00E707DC"/>
    <w:rsid w:val="00E70B44"/>
    <w:rsid w:val="00E712EE"/>
    <w:rsid w:val="00E71318"/>
    <w:rsid w:val="00E71449"/>
    <w:rsid w:val="00E718C4"/>
    <w:rsid w:val="00E71F6A"/>
    <w:rsid w:val="00E73310"/>
    <w:rsid w:val="00E73621"/>
    <w:rsid w:val="00E7416C"/>
    <w:rsid w:val="00E74179"/>
    <w:rsid w:val="00E75229"/>
    <w:rsid w:val="00E75E68"/>
    <w:rsid w:val="00E779B9"/>
    <w:rsid w:val="00E77C62"/>
    <w:rsid w:val="00E807AE"/>
    <w:rsid w:val="00E81C69"/>
    <w:rsid w:val="00E82070"/>
    <w:rsid w:val="00E826F4"/>
    <w:rsid w:val="00E82B1C"/>
    <w:rsid w:val="00E838F4"/>
    <w:rsid w:val="00E83952"/>
    <w:rsid w:val="00E83C2B"/>
    <w:rsid w:val="00E84872"/>
    <w:rsid w:val="00E84A97"/>
    <w:rsid w:val="00E84D1B"/>
    <w:rsid w:val="00E85102"/>
    <w:rsid w:val="00E85572"/>
    <w:rsid w:val="00E865BF"/>
    <w:rsid w:val="00E8705E"/>
    <w:rsid w:val="00E8766B"/>
    <w:rsid w:val="00E90A99"/>
    <w:rsid w:val="00E912C1"/>
    <w:rsid w:val="00E91B92"/>
    <w:rsid w:val="00E92376"/>
    <w:rsid w:val="00E9271A"/>
    <w:rsid w:val="00E93B67"/>
    <w:rsid w:val="00E94D82"/>
    <w:rsid w:val="00E95C7D"/>
    <w:rsid w:val="00E964B3"/>
    <w:rsid w:val="00EA068B"/>
    <w:rsid w:val="00EA0C46"/>
    <w:rsid w:val="00EA1BC7"/>
    <w:rsid w:val="00EA2396"/>
    <w:rsid w:val="00EA240E"/>
    <w:rsid w:val="00EA30D4"/>
    <w:rsid w:val="00EA361B"/>
    <w:rsid w:val="00EA3915"/>
    <w:rsid w:val="00EA3E56"/>
    <w:rsid w:val="00EA3E76"/>
    <w:rsid w:val="00EA51ED"/>
    <w:rsid w:val="00EA6BCA"/>
    <w:rsid w:val="00EB0031"/>
    <w:rsid w:val="00EB0641"/>
    <w:rsid w:val="00EB152B"/>
    <w:rsid w:val="00EB1AA7"/>
    <w:rsid w:val="00EB3022"/>
    <w:rsid w:val="00EB351C"/>
    <w:rsid w:val="00EB487E"/>
    <w:rsid w:val="00EB5C26"/>
    <w:rsid w:val="00EB6264"/>
    <w:rsid w:val="00EB7C25"/>
    <w:rsid w:val="00EC06C8"/>
    <w:rsid w:val="00EC0B9F"/>
    <w:rsid w:val="00EC0CF4"/>
    <w:rsid w:val="00EC11BE"/>
    <w:rsid w:val="00EC1426"/>
    <w:rsid w:val="00EC23F0"/>
    <w:rsid w:val="00EC48A8"/>
    <w:rsid w:val="00EC533A"/>
    <w:rsid w:val="00EC5D6B"/>
    <w:rsid w:val="00EC6835"/>
    <w:rsid w:val="00EC6EF8"/>
    <w:rsid w:val="00EC7576"/>
    <w:rsid w:val="00EC7CDA"/>
    <w:rsid w:val="00ED0076"/>
    <w:rsid w:val="00ED0E7B"/>
    <w:rsid w:val="00ED12F1"/>
    <w:rsid w:val="00ED14C4"/>
    <w:rsid w:val="00ED15DE"/>
    <w:rsid w:val="00ED1942"/>
    <w:rsid w:val="00ED2C83"/>
    <w:rsid w:val="00ED37DE"/>
    <w:rsid w:val="00ED398E"/>
    <w:rsid w:val="00ED3B18"/>
    <w:rsid w:val="00ED3B3C"/>
    <w:rsid w:val="00ED3E39"/>
    <w:rsid w:val="00ED4771"/>
    <w:rsid w:val="00ED4844"/>
    <w:rsid w:val="00ED5753"/>
    <w:rsid w:val="00ED6757"/>
    <w:rsid w:val="00ED7B63"/>
    <w:rsid w:val="00ED7F56"/>
    <w:rsid w:val="00EE0F03"/>
    <w:rsid w:val="00EE11F5"/>
    <w:rsid w:val="00EE1603"/>
    <w:rsid w:val="00EE32E1"/>
    <w:rsid w:val="00EE34CA"/>
    <w:rsid w:val="00EE43EE"/>
    <w:rsid w:val="00EE4B62"/>
    <w:rsid w:val="00EE5798"/>
    <w:rsid w:val="00EE59D1"/>
    <w:rsid w:val="00EE5A6E"/>
    <w:rsid w:val="00EE5C7B"/>
    <w:rsid w:val="00EE6CC9"/>
    <w:rsid w:val="00EE7370"/>
    <w:rsid w:val="00EF0AFD"/>
    <w:rsid w:val="00EF1206"/>
    <w:rsid w:val="00EF1670"/>
    <w:rsid w:val="00EF19B0"/>
    <w:rsid w:val="00EF19F8"/>
    <w:rsid w:val="00EF3254"/>
    <w:rsid w:val="00EF36CD"/>
    <w:rsid w:val="00EF4421"/>
    <w:rsid w:val="00EF5748"/>
    <w:rsid w:val="00EF601C"/>
    <w:rsid w:val="00F02882"/>
    <w:rsid w:val="00F032CB"/>
    <w:rsid w:val="00F066F2"/>
    <w:rsid w:val="00F07B93"/>
    <w:rsid w:val="00F113F2"/>
    <w:rsid w:val="00F119E4"/>
    <w:rsid w:val="00F121D9"/>
    <w:rsid w:val="00F12C33"/>
    <w:rsid w:val="00F12D8D"/>
    <w:rsid w:val="00F12ED8"/>
    <w:rsid w:val="00F14C1F"/>
    <w:rsid w:val="00F15844"/>
    <w:rsid w:val="00F15D3C"/>
    <w:rsid w:val="00F17607"/>
    <w:rsid w:val="00F20118"/>
    <w:rsid w:val="00F20D46"/>
    <w:rsid w:val="00F21C9D"/>
    <w:rsid w:val="00F2255F"/>
    <w:rsid w:val="00F22725"/>
    <w:rsid w:val="00F22EF1"/>
    <w:rsid w:val="00F23421"/>
    <w:rsid w:val="00F2380C"/>
    <w:rsid w:val="00F23C66"/>
    <w:rsid w:val="00F23F9B"/>
    <w:rsid w:val="00F24A0F"/>
    <w:rsid w:val="00F24E50"/>
    <w:rsid w:val="00F25D51"/>
    <w:rsid w:val="00F25F1A"/>
    <w:rsid w:val="00F26121"/>
    <w:rsid w:val="00F2697D"/>
    <w:rsid w:val="00F27D31"/>
    <w:rsid w:val="00F309EA"/>
    <w:rsid w:val="00F30EAA"/>
    <w:rsid w:val="00F31350"/>
    <w:rsid w:val="00F32539"/>
    <w:rsid w:val="00F325BB"/>
    <w:rsid w:val="00F3273E"/>
    <w:rsid w:val="00F32A73"/>
    <w:rsid w:val="00F34463"/>
    <w:rsid w:val="00F345D2"/>
    <w:rsid w:val="00F34A60"/>
    <w:rsid w:val="00F3591A"/>
    <w:rsid w:val="00F35D8A"/>
    <w:rsid w:val="00F36240"/>
    <w:rsid w:val="00F40364"/>
    <w:rsid w:val="00F412D8"/>
    <w:rsid w:val="00F4202F"/>
    <w:rsid w:val="00F4220F"/>
    <w:rsid w:val="00F42C0D"/>
    <w:rsid w:val="00F43250"/>
    <w:rsid w:val="00F434C4"/>
    <w:rsid w:val="00F438B0"/>
    <w:rsid w:val="00F4475D"/>
    <w:rsid w:val="00F44C0C"/>
    <w:rsid w:val="00F458BD"/>
    <w:rsid w:val="00F463EB"/>
    <w:rsid w:val="00F464C5"/>
    <w:rsid w:val="00F47DEC"/>
    <w:rsid w:val="00F5000F"/>
    <w:rsid w:val="00F50884"/>
    <w:rsid w:val="00F50D21"/>
    <w:rsid w:val="00F523CA"/>
    <w:rsid w:val="00F52615"/>
    <w:rsid w:val="00F5300C"/>
    <w:rsid w:val="00F536CB"/>
    <w:rsid w:val="00F540A8"/>
    <w:rsid w:val="00F54CC0"/>
    <w:rsid w:val="00F54E66"/>
    <w:rsid w:val="00F55F0B"/>
    <w:rsid w:val="00F60533"/>
    <w:rsid w:val="00F60F72"/>
    <w:rsid w:val="00F610F9"/>
    <w:rsid w:val="00F632CD"/>
    <w:rsid w:val="00F63ABB"/>
    <w:rsid w:val="00F64D8F"/>
    <w:rsid w:val="00F652E3"/>
    <w:rsid w:val="00F65F9B"/>
    <w:rsid w:val="00F66258"/>
    <w:rsid w:val="00F678F1"/>
    <w:rsid w:val="00F67928"/>
    <w:rsid w:val="00F67DE3"/>
    <w:rsid w:val="00F703D7"/>
    <w:rsid w:val="00F71092"/>
    <w:rsid w:val="00F729F9"/>
    <w:rsid w:val="00F7302E"/>
    <w:rsid w:val="00F73194"/>
    <w:rsid w:val="00F74149"/>
    <w:rsid w:val="00F741B7"/>
    <w:rsid w:val="00F74671"/>
    <w:rsid w:val="00F76B1C"/>
    <w:rsid w:val="00F77362"/>
    <w:rsid w:val="00F80B9B"/>
    <w:rsid w:val="00F80CA5"/>
    <w:rsid w:val="00F81227"/>
    <w:rsid w:val="00F81BC3"/>
    <w:rsid w:val="00F83092"/>
    <w:rsid w:val="00F83412"/>
    <w:rsid w:val="00F839A4"/>
    <w:rsid w:val="00F83C8F"/>
    <w:rsid w:val="00F842DE"/>
    <w:rsid w:val="00F84457"/>
    <w:rsid w:val="00F85C7B"/>
    <w:rsid w:val="00F86790"/>
    <w:rsid w:val="00F86D86"/>
    <w:rsid w:val="00F870FF"/>
    <w:rsid w:val="00F877E7"/>
    <w:rsid w:val="00F87C14"/>
    <w:rsid w:val="00F913DC"/>
    <w:rsid w:val="00F91908"/>
    <w:rsid w:val="00F91EEE"/>
    <w:rsid w:val="00F91FE8"/>
    <w:rsid w:val="00F93077"/>
    <w:rsid w:val="00F9309F"/>
    <w:rsid w:val="00F93B06"/>
    <w:rsid w:val="00F93FE8"/>
    <w:rsid w:val="00F94081"/>
    <w:rsid w:val="00F94450"/>
    <w:rsid w:val="00F94598"/>
    <w:rsid w:val="00F95974"/>
    <w:rsid w:val="00F960B6"/>
    <w:rsid w:val="00F96BC7"/>
    <w:rsid w:val="00F9750A"/>
    <w:rsid w:val="00F97CBE"/>
    <w:rsid w:val="00F97D6A"/>
    <w:rsid w:val="00FA0037"/>
    <w:rsid w:val="00FA15B8"/>
    <w:rsid w:val="00FA20DA"/>
    <w:rsid w:val="00FA2329"/>
    <w:rsid w:val="00FA287A"/>
    <w:rsid w:val="00FA2AE7"/>
    <w:rsid w:val="00FA388E"/>
    <w:rsid w:val="00FA4626"/>
    <w:rsid w:val="00FA564A"/>
    <w:rsid w:val="00FA5FAF"/>
    <w:rsid w:val="00FA65B7"/>
    <w:rsid w:val="00FA68C0"/>
    <w:rsid w:val="00FA7CB7"/>
    <w:rsid w:val="00FB0192"/>
    <w:rsid w:val="00FB0ABD"/>
    <w:rsid w:val="00FB20B5"/>
    <w:rsid w:val="00FB3366"/>
    <w:rsid w:val="00FB3EC6"/>
    <w:rsid w:val="00FB44C6"/>
    <w:rsid w:val="00FB461D"/>
    <w:rsid w:val="00FB5792"/>
    <w:rsid w:val="00FB6FE4"/>
    <w:rsid w:val="00FB7197"/>
    <w:rsid w:val="00FB729E"/>
    <w:rsid w:val="00FC03A6"/>
    <w:rsid w:val="00FC04AC"/>
    <w:rsid w:val="00FC0E4C"/>
    <w:rsid w:val="00FC30DE"/>
    <w:rsid w:val="00FC3A84"/>
    <w:rsid w:val="00FC427F"/>
    <w:rsid w:val="00FC4DD5"/>
    <w:rsid w:val="00FC550A"/>
    <w:rsid w:val="00FC5780"/>
    <w:rsid w:val="00FC57D6"/>
    <w:rsid w:val="00FC7A36"/>
    <w:rsid w:val="00FD042B"/>
    <w:rsid w:val="00FD209C"/>
    <w:rsid w:val="00FD2221"/>
    <w:rsid w:val="00FD3180"/>
    <w:rsid w:val="00FD3AF0"/>
    <w:rsid w:val="00FD3B57"/>
    <w:rsid w:val="00FD58E8"/>
    <w:rsid w:val="00FD59D5"/>
    <w:rsid w:val="00FD5CA7"/>
    <w:rsid w:val="00FD5D05"/>
    <w:rsid w:val="00FD5E2C"/>
    <w:rsid w:val="00FD624C"/>
    <w:rsid w:val="00FD65BA"/>
    <w:rsid w:val="00FD6745"/>
    <w:rsid w:val="00FD6E39"/>
    <w:rsid w:val="00FD7089"/>
    <w:rsid w:val="00FD7258"/>
    <w:rsid w:val="00FD76EE"/>
    <w:rsid w:val="00FD7B11"/>
    <w:rsid w:val="00FD7C80"/>
    <w:rsid w:val="00FE0CC6"/>
    <w:rsid w:val="00FE19D7"/>
    <w:rsid w:val="00FE2313"/>
    <w:rsid w:val="00FE26A9"/>
    <w:rsid w:val="00FE46F0"/>
    <w:rsid w:val="00FE472B"/>
    <w:rsid w:val="00FE5D20"/>
    <w:rsid w:val="00FE6E39"/>
    <w:rsid w:val="00FF086A"/>
    <w:rsid w:val="00FF0E20"/>
    <w:rsid w:val="00FF0F42"/>
    <w:rsid w:val="00FF1BC6"/>
    <w:rsid w:val="00FF26BB"/>
    <w:rsid w:val="00FF29EA"/>
    <w:rsid w:val="00FF3604"/>
    <w:rsid w:val="00FF5F9A"/>
    <w:rsid w:val="00FF647D"/>
    <w:rsid w:val="00FF70A3"/>
    <w:rsid w:val="00FF7AEF"/>
    <w:rsid w:val="017F5871"/>
    <w:rsid w:val="01D801C0"/>
    <w:rsid w:val="02241022"/>
    <w:rsid w:val="02657214"/>
    <w:rsid w:val="02B24289"/>
    <w:rsid w:val="02BD2130"/>
    <w:rsid w:val="02BE582C"/>
    <w:rsid w:val="03C23741"/>
    <w:rsid w:val="05416969"/>
    <w:rsid w:val="055C602C"/>
    <w:rsid w:val="05975BBE"/>
    <w:rsid w:val="05F075BE"/>
    <w:rsid w:val="061D4692"/>
    <w:rsid w:val="06D516C2"/>
    <w:rsid w:val="06F35B60"/>
    <w:rsid w:val="07422211"/>
    <w:rsid w:val="07737330"/>
    <w:rsid w:val="07AA2E63"/>
    <w:rsid w:val="07C86022"/>
    <w:rsid w:val="07F21C72"/>
    <w:rsid w:val="0829727B"/>
    <w:rsid w:val="084361B5"/>
    <w:rsid w:val="085F099D"/>
    <w:rsid w:val="08791123"/>
    <w:rsid w:val="096F09C7"/>
    <w:rsid w:val="099059BA"/>
    <w:rsid w:val="09AA0331"/>
    <w:rsid w:val="09C90609"/>
    <w:rsid w:val="0A477FF4"/>
    <w:rsid w:val="0A481E7F"/>
    <w:rsid w:val="0A602FAE"/>
    <w:rsid w:val="0AA33311"/>
    <w:rsid w:val="0BB67046"/>
    <w:rsid w:val="0CED2A64"/>
    <w:rsid w:val="0D03693A"/>
    <w:rsid w:val="0D6B5974"/>
    <w:rsid w:val="0E214CDF"/>
    <w:rsid w:val="0EB24B66"/>
    <w:rsid w:val="0EDD1953"/>
    <w:rsid w:val="0EF36564"/>
    <w:rsid w:val="0F604037"/>
    <w:rsid w:val="0F714932"/>
    <w:rsid w:val="0F9B5DDF"/>
    <w:rsid w:val="100106D5"/>
    <w:rsid w:val="109E4330"/>
    <w:rsid w:val="10C33F8B"/>
    <w:rsid w:val="10E57A32"/>
    <w:rsid w:val="11C1006A"/>
    <w:rsid w:val="11DB2308"/>
    <w:rsid w:val="13180D22"/>
    <w:rsid w:val="131C4981"/>
    <w:rsid w:val="13955CAD"/>
    <w:rsid w:val="13E250F3"/>
    <w:rsid w:val="14CA3B53"/>
    <w:rsid w:val="14DF1632"/>
    <w:rsid w:val="14F47B7C"/>
    <w:rsid w:val="151A5493"/>
    <w:rsid w:val="15850005"/>
    <w:rsid w:val="15D33852"/>
    <w:rsid w:val="16786A81"/>
    <w:rsid w:val="167B0480"/>
    <w:rsid w:val="16D163B7"/>
    <w:rsid w:val="17120B56"/>
    <w:rsid w:val="17AE0489"/>
    <w:rsid w:val="18572650"/>
    <w:rsid w:val="18B666E7"/>
    <w:rsid w:val="19391649"/>
    <w:rsid w:val="19463DF9"/>
    <w:rsid w:val="195C0B3C"/>
    <w:rsid w:val="19742C91"/>
    <w:rsid w:val="199846FB"/>
    <w:rsid w:val="1A032471"/>
    <w:rsid w:val="1A302540"/>
    <w:rsid w:val="1ABC0B84"/>
    <w:rsid w:val="1AEE524A"/>
    <w:rsid w:val="1BF553AD"/>
    <w:rsid w:val="1C1E1E7C"/>
    <w:rsid w:val="1C2B4E02"/>
    <w:rsid w:val="1CCE7A0F"/>
    <w:rsid w:val="1CE948FA"/>
    <w:rsid w:val="1CE96CBB"/>
    <w:rsid w:val="1DF956B2"/>
    <w:rsid w:val="1E405B08"/>
    <w:rsid w:val="1E5D3F29"/>
    <w:rsid w:val="1FEF7E67"/>
    <w:rsid w:val="2065670A"/>
    <w:rsid w:val="2066783C"/>
    <w:rsid w:val="20983C9F"/>
    <w:rsid w:val="20F8423D"/>
    <w:rsid w:val="210743CD"/>
    <w:rsid w:val="222463C0"/>
    <w:rsid w:val="226813A6"/>
    <w:rsid w:val="229203AA"/>
    <w:rsid w:val="24026136"/>
    <w:rsid w:val="24B544EE"/>
    <w:rsid w:val="25A35F8B"/>
    <w:rsid w:val="266476B5"/>
    <w:rsid w:val="267C79C0"/>
    <w:rsid w:val="26A06AFB"/>
    <w:rsid w:val="26EB7623"/>
    <w:rsid w:val="27196716"/>
    <w:rsid w:val="272C2144"/>
    <w:rsid w:val="27530258"/>
    <w:rsid w:val="27762D85"/>
    <w:rsid w:val="27801AEB"/>
    <w:rsid w:val="27EB3977"/>
    <w:rsid w:val="28020A96"/>
    <w:rsid w:val="28BB1716"/>
    <w:rsid w:val="28EE73E7"/>
    <w:rsid w:val="29290519"/>
    <w:rsid w:val="293937C6"/>
    <w:rsid w:val="295C1D69"/>
    <w:rsid w:val="2962747B"/>
    <w:rsid w:val="297B577D"/>
    <w:rsid w:val="29912B59"/>
    <w:rsid w:val="2A117AF5"/>
    <w:rsid w:val="2A777030"/>
    <w:rsid w:val="2AA35D41"/>
    <w:rsid w:val="2AA41911"/>
    <w:rsid w:val="2AAB6B6D"/>
    <w:rsid w:val="2AC63914"/>
    <w:rsid w:val="2C12227B"/>
    <w:rsid w:val="2C385A8A"/>
    <w:rsid w:val="2C7B1692"/>
    <w:rsid w:val="2C904653"/>
    <w:rsid w:val="2CA6293E"/>
    <w:rsid w:val="2D0F75AD"/>
    <w:rsid w:val="2E1C37E6"/>
    <w:rsid w:val="2E344345"/>
    <w:rsid w:val="2E3E085A"/>
    <w:rsid w:val="2E5503C1"/>
    <w:rsid w:val="2EC1761D"/>
    <w:rsid w:val="2F292296"/>
    <w:rsid w:val="2F5D14DA"/>
    <w:rsid w:val="2FDF08E2"/>
    <w:rsid w:val="3036407A"/>
    <w:rsid w:val="307F7A7C"/>
    <w:rsid w:val="318123D7"/>
    <w:rsid w:val="318E6410"/>
    <w:rsid w:val="321F6FB8"/>
    <w:rsid w:val="322F384B"/>
    <w:rsid w:val="32587347"/>
    <w:rsid w:val="32FF7F57"/>
    <w:rsid w:val="33E3795B"/>
    <w:rsid w:val="364E1CB5"/>
    <w:rsid w:val="366A75DD"/>
    <w:rsid w:val="37067B43"/>
    <w:rsid w:val="374D4736"/>
    <w:rsid w:val="37DA1FC4"/>
    <w:rsid w:val="38054525"/>
    <w:rsid w:val="389D6BFC"/>
    <w:rsid w:val="38C2154B"/>
    <w:rsid w:val="38C70B0F"/>
    <w:rsid w:val="3A6170D3"/>
    <w:rsid w:val="3B08528B"/>
    <w:rsid w:val="3B346C58"/>
    <w:rsid w:val="3B3D5495"/>
    <w:rsid w:val="3BC926AB"/>
    <w:rsid w:val="3C2F154C"/>
    <w:rsid w:val="3C82186F"/>
    <w:rsid w:val="3CA42528"/>
    <w:rsid w:val="3CD90387"/>
    <w:rsid w:val="3CEA6C89"/>
    <w:rsid w:val="3D13468E"/>
    <w:rsid w:val="3D5C5F41"/>
    <w:rsid w:val="3EE15558"/>
    <w:rsid w:val="3F9E3173"/>
    <w:rsid w:val="3FA17652"/>
    <w:rsid w:val="3FAD7F92"/>
    <w:rsid w:val="3FB45A85"/>
    <w:rsid w:val="3FF93262"/>
    <w:rsid w:val="40B33112"/>
    <w:rsid w:val="40E8671F"/>
    <w:rsid w:val="414917E6"/>
    <w:rsid w:val="419362CA"/>
    <w:rsid w:val="4273599D"/>
    <w:rsid w:val="42EF4547"/>
    <w:rsid w:val="43534A27"/>
    <w:rsid w:val="43DA63F6"/>
    <w:rsid w:val="43E97A26"/>
    <w:rsid w:val="448D351B"/>
    <w:rsid w:val="44A8255D"/>
    <w:rsid w:val="44C45467"/>
    <w:rsid w:val="44CB19A7"/>
    <w:rsid w:val="44E41927"/>
    <w:rsid w:val="469F44B7"/>
    <w:rsid w:val="46EA4CD5"/>
    <w:rsid w:val="47042ABA"/>
    <w:rsid w:val="47D36A5B"/>
    <w:rsid w:val="48187594"/>
    <w:rsid w:val="48407377"/>
    <w:rsid w:val="48B36B69"/>
    <w:rsid w:val="4945187D"/>
    <w:rsid w:val="4976065D"/>
    <w:rsid w:val="49BB1922"/>
    <w:rsid w:val="4A0751A7"/>
    <w:rsid w:val="4A8A6819"/>
    <w:rsid w:val="4AB54098"/>
    <w:rsid w:val="4B2A5B9E"/>
    <w:rsid w:val="4C4E7967"/>
    <w:rsid w:val="4C5B6652"/>
    <w:rsid w:val="4D3033C7"/>
    <w:rsid w:val="4DB60022"/>
    <w:rsid w:val="4FC819B8"/>
    <w:rsid w:val="50521679"/>
    <w:rsid w:val="510064BD"/>
    <w:rsid w:val="51BB6FB8"/>
    <w:rsid w:val="51ED4C1A"/>
    <w:rsid w:val="5209376B"/>
    <w:rsid w:val="524370EE"/>
    <w:rsid w:val="526A1174"/>
    <w:rsid w:val="52802D79"/>
    <w:rsid w:val="52AB7E2C"/>
    <w:rsid w:val="52E45649"/>
    <w:rsid w:val="52E77665"/>
    <w:rsid w:val="532F47E6"/>
    <w:rsid w:val="53787A0D"/>
    <w:rsid w:val="53E654CE"/>
    <w:rsid w:val="54121BEE"/>
    <w:rsid w:val="544677A1"/>
    <w:rsid w:val="551003FC"/>
    <w:rsid w:val="55694E25"/>
    <w:rsid w:val="566945A8"/>
    <w:rsid w:val="572165EE"/>
    <w:rsid w:val="583E78E3"/>
    <w:rsid w:val="587A4EC7"/>
    <w:rsid w:val="59455285"/>
    <w:rsid w:val="59577881"/>
    <w:rsid w:val="59B17533"/>
    <w:rsid w:val="59FE1FB9"/>
    <w:rsid w:val="5A483DB7"/>
    <w:rsid w:val="5AD153B4"/>
    <w:rsid w:val="5BCE27A6"/>
    <w:rsid w:val="5C642176"/>
    <w:rsid w:val="5CAF519F"/>
    <w:rsid w:val="5D30351D"/>
    <w:rsid w:val="5EA01923"/>
    <w:rsid w:val="5EE66DF7"/>
    <w:rsid w:val="5EF8103C"/>
    <w:rsid w:val="5F6D7309"/>
    <w:rsid w:val="5FC125C4"/>
    <w:rsid w:val="60163327"/>
    <w:rsid w:val="602048EA"/>
    <w:rsid w:val="604B6440"/>
    <w:rsid w:val="61476318"/>
    <w:rsid w:val="61DA6120"/>
    <w:rsid w:val="61ED061F"/>
    <w:rsid w:val="62811BE6"/>
    <w:rsid w:val="62F1428A"/>
    <w:rsid w:val="63374F48"/>
    <w:rsid w:val="63C36C4E"/>
    <w:rsid w:val="63F168D8"/>
    <w:rsid w:val="64770155"/>
    <w:rsid w:val="64790431"/>
    <w:rsid w:val="64B42182"/>
    <w:rsid w:val="6653268E"/>
    <w:rsid w:val="67465231"/>
    <w:rsid w:val="6782521D"/>
    <w:rsid w:val="67E378EC"/>
    <w:rsid w:val="68132CB1"/>
    <w:rsid w:val="683B259C"/>
    <w:rsid w:val="68D72673"/>
    <w:rsid w:val="68D90020"/>
    <w:rsid w:val="69341B87"/>
    <w:rsid w:val="694003DD"/>
    <w:rsid w:val="69A5703B"/>
    <w:rsid w:val="69AD13D0"/>
    <w:rsid w:val="69C04E4A"/>
    <w:rsid w:val="6A0832E6"/>
    <w:rsid w:val="6A566BE2"/>
    <w:rsid w:val="6A80545F"/>
    <w:rsid w:val="6B150D27"/>
    <w:rsid w:val="6B377BB2"/>
    <w:rsid w:val="6BCB3466"/>
    <w:rsid w:val="6C190BEE"/>
    <w:rsid w:val="6C4D5533"/>
    <w:rsid w:val="6C9556DD"/>
    <w:rsid w:val="6CE202D6"/>
    <w:rsid w:val="6CEE301D"/>
    <w:rsid w:val="6D2B639C"/>
    <w:rsid w:val="6D6F5480"/>
    <w:rsid w:val="6E2241C6"/>
    <w:rsid w:val="6E2F2229"/>
    <w:rsid w:val="6E3D3C91"/>
    <w:rsid w:val="6E8833A3"/>
    <w:rsid w:val="6E9543B1"/>
    <w:rsid w:val="6EB45052"/>
    <w:rsid w:val="6F130DE4"/>
    <w:rsid w:val="6F1D03C4"/>
    <w:rsid w:val="6F4C3908"/>
    <w:rsid w:val="6F860AD1"/>
    <w:rsid w:val="6FC535DB"/>
    <w:rsid w:val="70355857"/>
    <w:rsid w:val="70A60BF5"/>
    <w:rsid w:val="71163687"/>
    <w:rsid w:val="717A69BB"/>
    <w:rsid w:val="718B6889"/>
    <w:rsid w:val="726553B4"/>
    <w:rsid w:val="727711B5"/>
    <w:rsid w:val="73313127"/>
    <w:rsid w:val="73D745B3"/>
    <w:rsid w:val="73D83A07"/>
    <w:rsid w:val="746D6C12"/>
    <w:rsid w:val="75620C07"/>
    <w:rsid w:val="759D2552"/>
    <w:rsid w:val="76032465"/>
    <w:rsid w:val="761B33ED"/>
    <w:rsid w:val="763C0BF4"/>
    <w:rsid w:val="767C7F61"/>
    <w:rsid w:val="76894F7E"/>
    <w:rsid w:val="770F58F7"/>
    <w:rsid w:val="778A1A3D"/>
    <w:rsid w:val="77A10C53"/>
    <w:rsid w:val="7828345B"/>
    <w:rsid w:val="789664F5"/>
    <w:rsid w:val="78A562A6"/>
    <w:rsid w:val="79A261C4"/>
    <w:rsid w:val="7A552C46"/>
    <w:rsid w:val="7AA24C0A"/>
    <w:rsid w:val="7ABF27CA"/>
    <w:rsid w:val="7ADD6E20"/>
    <w:rsid w:val="7B0422A9"/>
    <w:rsid w:val="7B0F6699"/>
    <w:rsid w:val="7B916AB1"/>
    <w:rsid w:val="7BA365AD"/>
    <w:rsid w:val="7BEA69FE"/>
    <w:rsid w:val="7C18265F"/>
    <w:rsid w:val="7C1B4897"/>
    <w:rsid w:val="7C5957D4"/>
    <w:rsid w:val="7C681E37"/>
    <w:rsid w:val="7C723345"/>
    <w:rsid w:val="7C8344C5"/>
    <w:rsid w:val="7C8D264B"/>
    <w:rsid w:val="7D070983"/>
    <w:rsid w:val="7DB46DE5"/>
    <w:rsid w:val="7DBC237E"/>
    <w:rsid w:val="7DDE5E6C"/>
    <w:rsid w:val="7E235868"/>
    <w:rsid w:val="7EA55E80"/>
    <w:rsid w:val="7EF1027D"/>
    <w:rsid w:val="7EF713B7"/>
    <w:rsid w:val="7F0B450E"/>
    <w:rsid w:val="7F27666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0" w:semiHidden="0"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qFormat="1" w:unhideWhenUsed="0" w:uiPriority="99" w:semiHidden="0" w:name="List Bullet"/>
    <w:lsdException w:unhideWhenUsed="0" w:uiPriority="0" w:semiHidden="0" w:name="List Number"/>
    <w:lsdException w:uiPriority="99" w:name="List 2" w:locked="1"/>
    <w:lsdException w:uiPriority="99" w:name="List 3" w:locked="1"/>
    <w:lsdException w:unhideWhenUsed="0" w:uiPriority="0" w:semiHidden="0" w:name="List 4"/>
    <w:lsdException w:unhideWhenUsed="0" w:uiPriority="0" w:semiHidden="0" w:name="List 5"/>
    <w:lsdException w:uiPriority="99" w:name="List Bullet 2" w:locked="1"/>
    <w:lsdException w:uiPriority="99" w:name="List Bullet 3" w:locked="1"/>
    <w:lsdException w:qFormat="1" w:unhideWhenUsed="0" w:uiPriority="99" w:semiHidden="0" w:name="List Bullet 4"/>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semiHidden="0" w:name="Document Map"/>
    <w:lsdException w:qFormat="1" w:unhideWhenUsed="0" w:uiPriority="0"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61"/>
    <w:qFormat/>
    <w:uiPriority w:val="99"/>
    <w:pPr>
      <w:keepNext/>
      <w:keepLines/>
      <w:spacing w:before="340" w:after="330" w:line="578" w:lineRule="auto"/>
      <w:outlineLvl w:val="0"/>
    </w:pPr>
    <w:rPr>
      <w:rFonts w:ascii="Calibri" w:hAnsi="Calibri" w:cs="Arial"/>
      <w:b/>
      <w:bCs/>
      <w:kern w:val="44"/>
      <w:sz w:val="44"/>
      <w:szCs w:val="44"/>
    </w:rPr>
  </w:style>
  <w:style w:type="paragraph" w:styleId="4">
    <w:name w:val="heading 2"/>
    <w:basedOn w:val="1"/>
    <w:next w:val="1"/>
    <w:link w:val="62"/>
    <w:qFormat/>
    <w:uiPriority w:val="99"/>
    <w:pPr>
      <w:keepNext/>
      <w:keepLines/>
      <w:spacing w:before="260" w:after="260" w:line="416" w:lineRule="auto"/>
      <w:outlineLvl w:val="1"/>
    </w:pPr>
    <w:rPr>
      <w:rFonts w:ascii="Arial" w:hAnsi="Arial" w:eastAsia="黑体"/>
      <w:b/>
      <w:bCs/>
      <w:sz w:val="32"/>
      <w:szCs w:val="32"/>
    </w:rPr>
  </w:style>
  <w:style w:type="paragraph" w:styleId="5">
    <w:name w:val="heading 3"/>
    <w:basedOn w:val="1"/>
    <w:next w:val="6"/>
    <w:link w:val="63"/>
    <w:qFormat/>
    <w:uiPriority w:val="99"/>
    <w:pPr>
      <w:keepNext/>
      <w:keepLines/>
      <w:spacing w:before="120" w:after="120"/>
      <w:outlineLvl w:val="2"/>
    </w:pPr>
    <w:rPr>
      <w:rFonts w:ascii="Calibri" w:hAnsi="Calibri"/>
      <w:b/>
      <w:bCs/>
      <w:szCs w:val="32"/>
    </w:rPr>
  </w:style>
  <w:style w:type="paragraph" w:styleId="7">
    <w:name w:val="heading 4"/>
    <w:basedOn w:val="1"/>
    <w:next w:val="1"/>
    <w:link w:val="64"/>
    <w:qFormat/>
    <w:uiPriority w:val="99"/>
    <w:pPr>
      <w:keepNext/>
      <w:widowControl/>
      <w:spacing w:before="240" w:after="60"/>
      <w:jc w:val="left"/>
      <w:outlineLvl w:val="3"/>
    </w:pPr>
    <w:rPr>
      <w:rFonts w:ascii="Calibri" w:hAnsi="Calibri" w:cs="Arial"/>
      <w:b/>
      <w:bCs/>
      <w:kern w:val="0"/>
      <w:sz w:val="28"/>
      <w:szCs w:val="28"/>
      <w:lang w:eastAsia="en-US"/>
    </w:rPr>
  </w:style>
  <w:style w:type="paragraph" w:styleId="8">
    <w:name w:val="heading 5"/>
    <w:basedOn w:val="1"/>
    <w:next w:val="1"/>
    <w:link w:val="65"/>
    <w:qFormat/>
    <w:uiPriority w:val="99"/>
    <w:pPr>
      <w:widowControl/>
      <w:spacing w:before="240" w:after="60"/>
      <w:jc w:val="left"/>
      <w:outlineLvl w:val="4"/>
    </w:pPr>
    <w:rPr>
      <w:rFonts w:ascii="Calibri" w:hAnsi="Calibri" w:cs="Arial"/>
      <w:b/>
      <w:bCs/>
      <w:i/>
      <w:iCs/>
      <w:kern w:val="0"/>
      <w:sz w:val="26"/>
      <w:szCs w:val="26"/>
      <w:lang w:eastAsia="en-US"/>
    </w:rPr>
  </w:style>
  <w:style w:type="paragraph" w:styleId="9">
    <w:name w:val="heading 6"/>
    <w:basedOn w:val="1"/>
    <w:next w:val="1"/>
    <w:link w:val="66"/>
    <w:qFormat/>
    <w:uiPriority w:val="99"/>
    <w:pPr>
      <w:widowControl/>
      <w:spacing w:before="240" w:after="60"/>
      <w:jc w:val="left"/>
      <w:outlineLvl w:val="5"/>
    </w:pPr>
    <w:rPr>
      <w:rFonts w:ascii="Calibri" w:hAnsi="Calibri" w:cs="Arial"/>
      <w:b/>
      <w:bCs/>
      <w:kern w:val="0"/>
      <w:sz w:val="22"/>
      <w:szCs w:val="22"/>
      <w:lang w:eastAsia="en-US"/>
    </w:rPr>
  </w:style>
  <w:style w:type="paragraph" w:styleId="10">
    <w:name w:val="heading 7"/>
    <w:basedOn w:val="1"/>
    <w:next w:val="1"/>
    <w:link w:val="67"/>
    <w:qFormat/>
    <w:uiPriority w:val="99"/>
    <w:pPr>
      <w:widowControl/>
      <w:spacing w:before="240" w:after="60"/>
      <w:jc w:val="left"/>
      <w:outlineLvl w:val="6"/>
    </w:pPr>
    <w:rPr>
      <w:rFonts w:ascii="Calibri" w:hAnsi="Calibri" w:cs="Arial"/>
      <w:kern w:val="0"/>
      <w:sz w:val="24"/>
      <w:szCs w:val="24"/>
      <w:lang w:eastAsia="en-US"/>
    </w:rPr>
  </w:style>
  <w:style w:type="paragraph" w:styleId="11">
    <w:name w:val="heading 8"/>
    <w:basedOn w:val="1"/>
    <w:next w:val="1"/>
    <w:link w:val="68"/>
    <w:qFormat/>
    <w:uiPriority w:val="99"/>
    <w:pPr>
      <w:widowControl/>
      <w:spacing w:before="240" w:after="60"/>
      <w:jc w:val="left"/>
      <w:outlineLvl w:val="7"/>
    </w:pPr>
    <w:rPr>
      <w:rFonts w:ascii="Calibri" w:hAnsi="Calibri" w:cs="Arial"/>
      <w:i/>
      <w:iCs/>
      <w:kern w:val="0"/>
      <w:sz w:val="24"/>
      <w:szCs w:val="24"/>
      <w:lang w:eastAsia="en-US"/>
    </w:rPr>
  </w:style>
  <w:style w:type="paragraph" w:styleId="12">
    <w:name w:val="heading 9"/>
    <w:basedOn w:val="1"/>
    <w:next w:val="1"/>
    <w:link w:val="69"/>
    <w:qFormat/>
    <w:uiPriority w:val="99"/>
    <w:pPr>
      <w:widowControl/>
      <w:spacing w:before="240" w:after="60"/>
      <w:jc w:val="left"/>
      <w:outlineLvl w:val="8"/>
    </w:pPr>
    <w:rPr>
      <w:rFonts w:ascii="Cambria" w:hAnsi="Cambria" w:cs="Arial"/>
      <w:kern w:val="0"/>
      <w:sz w:val="22"/>
      <w:szCs w:val="22"/>
      <w:lang w:eastAsia="en-US"/>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link w:val="87"/>
    <w:qFormat/>
    <w:uiPriority w:val="0"/>
    <w:pPr>
      <w:ind w:firstLine="420"/>
    </w:pPr>
    <w:rPr>
      <w:rFonts w:ascii="Calibri" w:hAnsi="Calibri"/>
    </w:rPr>
  </w:style>
  <w:style w:type="paragraph" w:styleId="13">
    <w:name w:val="toc 7"/>
    <w:basedOn w:val="1"/>
    <w:next w:val="1"/>
    <w:qFormat/>
    <w:uiPriority w:val="99"/>
    <w:pPr>
      <w:ind w:left="1260"/>
      <w:jc w:val="left"/>
    </w:pPr>
    <w:rPr>
      <w:rFonts w:ascii="Calibri" w:hAnsi="Calibri" w:cs="Calibri"/>
      <w:sz w:val="18"/>
      <w:szCs w:val="18"/>
    </w:rPr>
  </w:style>
  <w:style w:type="paragraph" w:styleId="14">
    <w:name w:val="List Bullet 4"/>
    <w:basedOn w:val="1"/>
    <w:qFormat/>
    <w:uiPriority w:val="99"/>
    <w:pPr>
      <w:widowControl/>
      <w:numPr>
        <w:ilvl w:val="0"/>
        <w:numId w:val="1"/>
      </w:numPr>
      <w:topLinePunct/>
      <w:adjustRightInd w:val="0"/>
      <w:snapToGrid w:val="0"/>
      <w:spacing w:before="160" w:after="160" w:line="240" w:lineRule="atLeast"/>
      <w:jc w:val="left"/>
    </w:pPr>
    <w:rPr>
      <w:rFonts w:cs="Arial"/>
      <w:szCs w:val="21"/>
    </w:rPr>
  </w:style>
  <w:style w:type="paragraph" w:styleId="15">
    <w:name w:val="caption"/>
    <w:basedOn w:val="1"/>
    <w:next w:val="1"/>
    <w:qFormat/>
    <w:uiPriority w:val="99"/>
    <w:rPr>
      <w:rFonts w:ascii="Arial" w:hAnsi="Arial" w:eastAsia="黑体"/>
      <w:sz w:val="20"/>
    </w:rPr>
  </w:style>
  <w:style w:type="paragraph" w:styleId="16">
    <w:name w:val="List Bullet"/>
    <w:basedOn w:val="17"/>
    <w:qFormat/>
    <w:uiPriority w:val="99"/>
    <w:pPr>
      <w:widowControl/>
      <w:numPr>
        <w:ilvl w:val="1"/>
        <w:numId w:val="1"/>
      </w:numPr>
      <w:spacing w:line="300" w:lineRule="auto"/>
      <w:ind w:firstLine="0" w:firstLineChars="0"/>
    </w:pPr>
    <w:rPr>
      <w:rFonts w:eastAsia="幼圆"/>
      <w:spacing w:val="-5"/>
      <w:kern w:val="0"/>
      <w:sz w:val="24"/>
      <w:szCs w:val="24"/>
      <w:lang w:val="zh-CN"/>
    </w:rPr>
  </w:style>
  <w:style w:type="paragraph" w:styleId="17">
    <w:name w:val="List"/>
    <w:basedOn w:val="1"/>
    <w:qFormat/>
    <w:uiPriority w:val="99"/>
    <w:pPr>
      <w:ind w:left="200" w:hanging="200" w:hangingChars="200"/>
    </w:pPr>
  </w:style>
  <w:style w:type="paragraph" w:styleId="18">
    <w:name w:val="Document Map"/>
    <w:basedOn w:val="1"/>
    <w:link w:val="71"/>
    <w:qFormat/>
    <w:uiPriority w:val="99"/>
    <w:pPr>
      <w:shd w:val="clear" w:color="auto" w:fill="000080"/>
    </w:pPr>
    <w:rPr>
      <w:rFonts w:ascii="Calibri" w:hAnsi="Calibri"/>
    </w:rPr>
  </w:style>
  <w:style w:type="paragraph" w:styleId="19">
    <w:name w:val="annotation text"/>
    <w:basedOn w:val="1"/>
    <w:link w:val="72"/>
    <w:qFormat/>
    <w:uiPriority w:val="99"/>
    <w:pPr>
      <w:jc w:val="left"/>
    </w:pPr>
    <w:rPr>
      <w:rFonts w:ascii="Calibri" w:hAnsi="Calibri" w:cs="Arial"/>
    </w:rPr>
  </w:style>
  <w:style w:type="paragraph" w:styleId="20">
    <w:name w:val="Body Text 3"/>
    <w:basedOn w:val="1"/>
    <w:next w:val="1"/>
    <w:link w:val="73"/>
    <w:qFormat/>
    <w:uiPriority w:val="99"/>
    <w:pPr>
      <w:spacing w:after="120"/>
    </w:pPr>
    <w:rPr>
      <w:sz w:val="16"/>
      <w:szCs w:val="16"/>
    </w:rPr>
  </w:style>
  <w:style w:type="paragraph" w:styleId="21">
    <w:name w:val="Body Text"/>
    <w:basedOn w:val="1"/>
    <w:next w:val="22"/>
    <w:link w:val="70"/>
    <w:qFormat/>
    <w:uiPriority w:val="99"/>
    <w:pPr>
      <w:spacing w:line="360" w:lineRule="auto"/>
    </w:pPr>
    <w:rPr>
      <w:rFonts w:ascii="Calibri" w:hAnsi="Calibri"/>
      <w:sz w:val="24"/>
    </w:rPr>
  </w:style>
  <w:style w:type="paragraph" w:styleId="22">
    <w:name w:val="Body Text First Indent"/>
    <w:basedOn w:val="21"/>
    <w:next w:val="23"/>
    <w:qFormat/>
    <w:uiPriority w:val="0"/>
    <w:pPr>
      <w:spacing w:after="120" w:afterLines="0"/>
      <w:ind w:firstLine="100" w:firstLineChars="100"/>
      <w:jc w:val="both"/>
      <w:textAlignment w:val="auto"/>
    </w:pPr>
    <w:rPr>
      <w:rFonts w:ascii="Calibri"/>
      <w:sz w:val="21"/>
      <w:szCs w:val="24"/>
    </w:rPr>
  </w:style>
  <w:style w:type="paragraph" w:styleId="23">
    <w:name w:val="footer"/>
    <w:basedOn w:val="1"/>
    <w:next w:val="1"/>
    <w:link w:val="79"/>
    <w:qFormat/>
    <w:uiPriority w:val="99"/>
    <w:pPr>
      <w:tabs>
        <w:tab w:val="center" w:pos="4153"/>
        <w:tab w:val="right" w:pos="8306"/>
      </w:tabs>
      <w:snapToGrid w:val="0"/>
      <w:jc w:val="left"/>
    </w:pPr>
    <w:rPr>
      <w:rFonts w:ascii="Calibri" w:hAnsi="Calibri"/>
      <w:sz w:val="18"/>
    </w:rPr>
  </w:style>
  <w:style w:type="paragraph" w:styleId="24">
    <w:name w:val="Body Text Indent"/>
    <w:basedOn w:val="1"/>
    <w:next w:val="22"/>
    <w:link w:val="74"/>
    <w:qFormat/>
    <w:uiPriority w:val="99"/>
    <w:pPr>
      <w:snapToGrid w:val="0"/>
      <w:spacing w:line="400" w:lineRule="exact"/>
      <w:ind w:firstLine="540" w:firstLineChars="225"/>
    </w:pPr>
    <w:rPr>
      <w:rFonts w:ascii="Calibri" w:hAnsi="Calibri" w:eastAsia="仿宋_GB2312"/>
      <w:sz w:val="24"/>
      <w:szCs w:val="24"/>
    </w:rPr>
  </w:style>
  <w:style w:type="paragraph" w:styleId="25">
    <w:name w:val="toc 5"/>
    <w:basedOn w:val="1"/>
    <w:next w:val="1"/>
    <w:qFormat/>
    <w:uiPriority w:val="99"/>
    <w:pPr>
      <w:ind w:left="840"/>
      <w:jc w:val="left"/>
    </w:pPr>
    <w:rPr>
      <w:rFonts w:ascii="Calibri" w:hAnsi="Calibri" w:cs="Calibri"/>
      <w:sz w:val="18"/>
      <w:szCs w:val="18"/>
    </w:rPr>
  </w:style>
  <w:style w:type="paragraph" w:styleId="26">
    <w:name w:val="toc 3"/>
    <w:basedOn w:val="1"/>
    <w:next w:val="1"/>
    <w:qFormat/>
    <w:uiPriority w:val="39"/>
    <w:pPr>
      <w:ind w:left="420"/>
      <w:jc w:val="left"/>
    </w:pPr>
    <w:rPr>
      <w:rFonts w:ascii="Calibri" w:hAnsi="Calibri" w:cs="Calibri"/>
      <w:i/>
      <w:iCs/>
      <w:sz w:val="20"/>
    </w:rPr>
  </w:style>
  <w:style w:type="paragraph" w:styleId="27">
    <w:name w:val="Plain Text"/>
    <w:basedOn w:val="1"/>
    <w:link w:val="75"/>
    <w:qFormat/>
    <w:uiPriority w:val="0"/>
    <w:rPr>
      <w:rFonts w:ascii="宋体" w:hAnsi="Courier New" w:cs="Arial"/>
    </w:rPr>
  </w:style>
  <w:style w:type="paragraph" w:styleId="28">
    <w:name w:val="toc 8"/>
    <w:basedOn w:val="1"/>
    <w:next w:val="1"/>
    <w:qFormat/>
    <w:uiPriority w:val="99"/>
    <w:pPr>
      <w:ind w:left="1470"/>
      <w:jc w:val="left"/>
    </w:pPr>
    <w:rPr>
      <w:rFonts w:ascii="Calibri" w:hAnsi="Calibri" w:cs="Calibri"/>
      <w:sz w:val="18"/>
      <w:szCs w:val="18"/>
    </w:rPr>
  </w:style>
  <w:style w:type="paragraph" w:styleId="29">
    <w:name w:val="Date"/>
    <w:basedOn w:val="1"/>
    <w:next w:val="1"/>
    <w:link w:val="76"/>
    <w:qFormat/>
    <w:uiPriority w:val="99"/>
    <w:rPr>
      <w:rFonts w:ascii="Calibri" w:hAnsi="Calibri"/>
    </w:rPr>
  </w:style>
  <w:style w:type="paragraph" w:styleId="30">
    <w:name w:val="Body Text Indent 2"/>
    <w:basedOn w:val="1"/>
    <w:link w:val="77"/>
    <w:qFormat/>
    <w:uiPriority w:val="99"/>
    <w:pPr>
      <w:spacing w:after="120" w:line="480" w:lineRule="auto"/>
      <w:ind w:left="420" w:leftChars="200"/>
    </w:pPr>
    <w:rPr>
      <w:rFonts w:ascii="Calibri" w:hAnsi="Calibri"/>
    </w:rPr>
  </w:style>
  <w:style w:type="paragraph" w:styleId="31">
    <w:name w:val="Balloon Text"/>
    <w:basedOn w:val="1"/>
    <w:link w:val="78"/>
    <w:qFormat/>
    <w:uiPriority w:val="99"/>
    <w:rPr>
      <w:rFonts w:ascii="Calibri" w:hAnsi="Calibri"/>
      <w:sz w:val="18"/>
      <w:szCs w:val="18"/>
    </w:rPr>
  </w:style>
  <w:style w:type="paragraph" w:styleId="32">
    <w:name w:val="header"/>
    <w:basedOn w:val="1"/>
    <w:link w:val="80"/>
    <w:qFormat/>
    <w:uiPriority w:val="99"/>
    <w:pPr>
      <w:pBdr>
        <w:bottom w:val="single" w:color="auto" w:sz="6" w:space="1"/>
      </w:pBdr>
      <w:tabs>
        <w:tab w:val="center" w:pos="4153"/>
        <w:tab w:val="right" w:pos="8306"/>
      </w:tabs>
      <w:snapToGrid w:val="0"/>
      <w:jc w:val="center"/>
    </w:pPr>
    <w:rPr>
      <w:rFonts w:ascii="Calibri" w:hAnsi="Calibri"/>
      <w:sz w:val="18"/>
    </w:rPr>
  </w:style>
  <w:style w:type="paragraph" w:styleId="33">
    <w:name w:val="toc 1"/>
    <w:basedOn w:val="1"/>
    <w:next w:val="1"/>
    <w:qFormat/>
    <w:uiPriority w:val="39"/>
    <w:pPr>
      <w:spacing w:before="120" w:after="120"/>
      <w:jc w:val="left"/>
    </w:pPr>
    <w:rPr>
      <w:rFonts w:ascii="Calibri" w:hAnsi="Calibri" w:cs="Calibri"/>
      <w:b/>
      <w:bCs/>
      <w:caps/>
      <w:sz w:val="20"/>
    </w:rPr>
  </w:style>
  <w:style w:type="paragraph" w:styleId="34">
    <w:name w:val="toc 4"/>
    <w:basedOn w:val="1"/>
    <w:next w:val="1"/>
    <w:qFormat/>
    <w:uiPriority w:val="39"/>
    <w:pPr>
      <w:ind w:left="630"/>
      <w:jc w:val="left"/>
    </w:pPr>
    <w:rPr>
      <w:rFonts w:ascii="Calibri" w:hAnsi="Calibri" w:cs="Calibri"/>
      <w:sz w:val="18"/>
      <w:szCs w:val="18"/>
    </w:rPr>
  </w:style>
  <w:style w:type="paragraph" w:styleId="35">
    <w:name w:val="Subtitle"/>
    <w:basedOn w:val="1"/>
    <w:next w:val="1"/>
    <w:link w:val="81"/>
    <w:qFormat/>
    <w:uiPriority w:val="99"/>
    <w:pPr>
      <w:widowControl/>
      <w:spacing w:after="60"/>
      <w:jc w:val="center"/>
      <w:outlineLvl w:val="1"/>
    </w:pPr>
    <w:rPr>
      <w:rFonts w:ascii="Cambria" w:hAnsi="Cambria" w:cs="Arial"/>
      <w:kern w:val="0"/>
      <w:sz w:val="24"/>
      <w:szCs w:val="24"/>
      <w:lang w:eastAsia="en-US"/>
    </w:rPr>
  </w:style>
  <w:style w:type="paragraph" w:styleId="36">
    <w:name w:val="footnote text"/>
    <w:basedOn w:val="1"/>
    <w:link w:val="259"/>
    <w:qFormat/>
    <w:locked/>
    <w:uiPriority w:val="0"/>
    <w:pPr>
      <w:adjustRightInd w:val="0"/>
      <w:spacing w:line="312" w:lineRule="atLeast"/>
      <w:jc w:val="left"/>
      <w:textAlignment w:val="baseline"/>
    </w:pPr>
    <w:rPr>
      <w:rFonts w:ascii="Calibri" w:hAnsi="Calibri"/>
      <w:kern w:val="0"/>
      <w:sz w:val="18"/>
    </w:rPr>
  </w:style>
  <w:style w:type="paragraph" w:styleId="37">
    <w:name w:val="toc 6"/>
    <w:basedOn w:val="1"/>
    <w:next w:val="1"/>
    <w:qFormat/>
    <w:uiPriority w:val="99"/>
    <w:pPr>
      <w:ind w:left="1050"/>
      <w:jc w:val="left"/>
    </w:pPr>
    <w:rPr>
      <w:rFonts w:ascii="Calibri" w:hAnsi="Calibri" w:cs="Calibri"/>
      <w:sz w:val="18"/>
      <w:szCs w:val="18"/>
    </w:rPr>
  </w:style>
  <w:style w:type="paragraph" w:styleId="38">
    <w:name w:val="Body Text Indent 3"/>
    <w:basedOn w:val="1"/>
    <w:link w:val="82"/>
    <w:qFormat/>
    <w:uiPriority w:val="99"/>
    <w:pPr>
      <w:spacing w:after="120"/>
      <w:ind w:left="420" w:leftChars="200"/>
    </w:pPr>
    <w:rPr>
      <w:rFonts w:ascii="Calibri" w:hAnsi="Calibri"/>
      <w:sz w:val="16"/>
      <w:szCs w:val="16"/>
    </w:rPr>
  </w:style>
  <w:style w:type="paragraph" w:styleId="39">
    <w:name w:val="toc 2"/>
    <w:basedOn w:val="1"/>
    <w:next w:val="1"/>
    <w:qFormat/>
    <w:uiPriority w:val="39"/>
    <w:pPr>
      <w:ind w:left="210"/>
      <w:jc w:val="left"/>
    </w:pPr>
    <w:rPr>
      <w:rFonts w:ascii="Calibri" w:hAnsi="Calibri" w:cs="Calibri"/>
      <w:smallCaps/>
      <w:sz w:val="20"/>
    </w:rPr>
  </w:style>
  <w:style w:type="paragraph" w:styleId="40">
    <w:name w:val="toc 9"/>
    <w:basedOn w:val="1"/>
    <w:next w:val="1"/>
    <w:qFormat/>
    <w:uiPriority w:val="99"/>
    <w:pPr>
      <w:ind w:left="1680"/>
      <w:jc w:val="left"/>
    </w:pPr>
    <w:rPr>
      <w:rFonts w:ascii="Calibri" w:hAnsi="Calibri" w:cs="Calibri"/>
      <w:sz w:val="18"/>
      <w:szCs w:val="18"/>
    </w:rPr>
  </w:style>
  <w:style w:type="paragraph" w:styleId="41">
    <w:name w:val="Body Text 2"/>
    <w:basedOn w:val="1"/>
    <w:link w:val="83"/>
    <w:qFormat/>
    <w:uiPriority w:val="99"/>
    <w:pPr>
      <w:spacing w:after="120" w:line="480" w:lineRule="auto"/>
    </w:pPr>
    <w:rPr>
      <w:rFonts w:ascii="Calibri" w:hAnsi="Calibri"/>
      <w:szCs w:val="21"/>
    </w:rPr>
  </w:style>
  <w:style w:type="paragraph" w:styleId="42">
    <w:name w:val="HTML Preformatted"/>
    <w:basedOn w:val="1"/>
    <w:link w:val="8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43">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44">
    <w:name w:val="index 1"/>
    <w:basedOn w:val="1"/>
    <w:next w:val="1"/>
    <w:semiHidden/>
    <w:qFormat/>
    <w:uiPriority w:val="99"/>
  </w:style>
  <w:style w:type="paragraph" w:styleId="45">
    <w:name w:val="Title"/>
    <w:basedOn w:val="1"/>
    <w:link w:val="85"/>
    <w:qFormat/>
    <w:uiPriority w:val="99"/>
    <w:pPr>
      <w:spacing w:before="240" w:after="60"/>
      <w:jc w:val="center"/>
      <w:outlineLvl w:val="0"/>
    </w:pPr>
    <w:rPr>
      <w:rFonts w:ascii="Arial" w:hAnsi="Arial"/>
      <w:b/>
      <w:bCs/>
      <w:sz w:val="32"/>
      <w:szCs w:val="32"/>
    </w:rPr>
  </w:style>
  <w:style w:type="paragraph" w:styleId="46">
    <w:name w:val="annotation subject"/>
    <w:basedOn w:val="19"/>
    <w:next w:val="19"/>
    <w:link w:val="86"/>
    <w:qFormat/>
    <w:uiPriority w:val="99"/>
    <w:rPr>
      <w:b/>
      <w:bCs/>
    </w:rPr>
  </w:style>
  <w:style w:type="paragraph" w:styleId="47">
    <w:name w:val="Body Text First Indent 2"/>
    <w:basedOn w:val="24"/>
    <w:next w:val="1"/>
    <w:qFormat/>
    <w:locked/>
    <w:uiPriority w:val="0"/>
    <w:pPr>
      <w:ind w:left="0" w:leftChars="0"/>
    </w:pPr>
    <w:rPr>
      <w:rFonts w:ascii="Times New Roman" w:hAnsi="Times New Roman"/>
      <w:sz w:val="28"/>
    </w:rPr>
  </w:style>
  <w:style w:type="table" w:styleId="49">
    <w:name w:val="Table Grid"/>
    <w:basedOn w:val="4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basedOn w:val="50"/>
    <w:qFormat/>
    <w:uiPriority w:val="99"/>
    <w:rPr>
      <w:rFonts w:cs="Times New Roman"/>
      <w:b/>
      <w:bCs/>
    </w:rPr>
  </w:style>
  <w:style w:type="character" w:styleId="52">
    <w:name w:val="page number"/>
    <w:basedOn w:val="50"/>
    <w:qFormat/>
    <w:uiPriority w:val="99"/>
    <w:rPr>
      <w:rFonts w:cs="Times New Roman"/>
    </w:rPr>
  </w:style>
  <w:style w:type="character" w:styleId="53">
    <w:name w:val="FollowedHyperlink"/>
    <w:basedOn w:val="50"/>
    <w:qFormat/>
    <w:uiPriority w:val="99"/>
    <w:rPr>
      <w:rFonts w:cs="Times New Roman"/>
      <w:color w:val="800080"/>
      <w:u w:val="single"/>
    </w:rPr>
  </w:style>
  <w:style w:type="character" w:styleId="54">
    <w:name w:val="line number"/>
    <w:basedOn w:val="50"/>
    <w:qFormat/>
    <w:uiPriority w:val="99"/>
    <w:rPr>
      <w:rFonts w:cs="Times New Roman"/>
    </w:rPr>
  </w:style>
  <w:style w:type="character" w:styleId="55">
    <w:name w:val="Hyperlink"/>
    <w:basedOn w:val="50"/>
    <w:qFormat/>
    <w:uiPriority w:val="99"/>
    <w:rPr>
      <w:rFonts w:cs="Times New Roman"/>
      <w:color w:val="0000FF"/>
      <w:u w:val="single"/>
    </w:rPr>
  </w:style>
  <w:style w:type="character" w:styleId="56">
    <w:name w:val="annotation reference"/>
    <w:basedOn w:val="50"/>
    <w:qFormat/>
    <w:uiPriority w:val="99"/>
    <w:rPr>
      <w:rFonts w:cs="Times New Roman"/>
      <w:sz w:val="21"/>
    </w:rPr>
  </w:style>
  <w:style w:type="paragraph" w:customStyle="1" w:styleId="57">
    <w:name w:val="Plain Text1"/>
    <w:basedOn w:val="1"/>
    <w:qFormat/>
    <w:uiPriority w:val="0"/>
    <w:rPr>
      <w:rFonts w:ascii="宋体" w:hAnsi="Courier New" w:cs="Courier New"/>
      <w:szCs w:val="21"/>
    </w:rPr>
  </w:style>
  <w:style w:type="paragraph" w:styleId="58">
    <w:name w:val="List Paragraph"/>
    <w:basedOn w:val="1"/>
    <w:link w:val="115"/>
    <w:qFormat/>
    <w:uiPriority w:val="34"/>
    <w:pPr>
      <w:ind w:firstLine="420" w:firstLineChars="200"/>
    </w:pPr>
    <w:rPr>
      <w:rFonts w:ascii="Calibri" w:hAnsi="Calibri"/>
    </w:rPr>
  </w:style>
  <w:style w:type="paragraph" w:customStyle="1" w:styleId="59">
    <w:name w:val="列出段落1"/>
    <w:basedOn w:val="1"/>
    <w:qFormat/>
    <w:uiPriority w:val="99"/>
    <w:pPr>
      <w:spacing w:line="360" w:lineRule="auto"/>
      <w:ind w:firstLine="420" w:firstLineChars="200"/>
    </w:pPr>
    <w:rPr>
      <w:rFonts w:ascii="Calibri" w:hAnsi="Calibri"/>
    </w:rPr>
  </w:style>
  <w:style w:type="paragraph" w:customStyle="1" w:styleId="60">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1">
    <w:name w:val="标题 1 字符"/>
    <w:basedOn w:val="50"/>
    <w:link w:val="3"/>
    <w:qFormat/>
    <w:locked/>
    <w:uiPriority w:val="99"/>
    <w:rPr>
      <w:rFonts w:eastAsia="宋体"/>
      <w:b/>
      <w:kern w:val="44"/>
      <w:sz w:val="44"/>
      <w:lang w:val="en-US" w:eastAsia="zh-CN"/>
    </w:rPr>
  </w:style>
  <w:style w:type="character" w:customStyle="1" w:styleId="62">
    <w:name w:val="标题 2 字符"/>
    <w:basedOn w:val="50"/>
    <w:link w:val="4"/>
    <w:qFormat/>
    <w:locked/>
    <w:uiPriority w:val="99"/>
    <w:rPr>
      <w:rFonts w:ascii="Arial" w:hAnsi="Arial" w:eastAsia="黑体"/>
      <w:b/>
      <w:kern w:val="2"/>
      <w:sz w:val="32"/>
    </w:rPr>
  </w:style>
  <w:style w:type="character" w:customStyle="1" w:styleId="63">
    <w:name w:val="标题 3 字符"/>
    <w:basedOn w:val="50"/>
    <w:link w:val="5"/>
    <w:qFormat/>
    <w:locked/>
    <w:uiPriority w:val="9"/>
    <w:rPr>
      <w:b/>
      <w:kern w:val="2"/>
      <w:sz w:val="32"/>
    </w:rPr>
  </w:style>
  <w:style w:type="character" w:customStyle="1" w:styleId="64">
    <w:name w:val="标题 4 字符"/>
    <w:basedOn w:val="50"/>
    <w:link w:val="7"/>
    <w:qFormat/>
    <w:locked/>
    <w:uiPriority w:val="99"/>
    <w:rPr>
      <w:rFonts w:ascii="Calibri" w:hAnsi="Calibri"/>
      <w:b/>
      <w:sz w:val="28"/>
      <w:lang w:eastAsia="en-US"/>
    </w:rPr>
  </w:style>
  <w:style w:type="character" w:customStyle="1" w:styleId="65">
    <w:name w:val="标题 5 字符"/>
    <w:basedOn w:val="50"/>
    <w:link w:val="8"/>
    <w:qFormat/>
    <w:locked/>
    <w:uiPriority w:val="99"/>
    <w:rPr>
      <w:rFonts w:ascii="Calibri" w:hAnsi="Calibri"/>
      <w:b/>
      <w:i/>
      <w:sz w:val="26"/>
      <w:lang w:eastAsia="en-US"/>
    </w:rPr>
  </w:style>
  <w:style w:type="character" w:customStyle="1" w:styleId="66">
    <w:name w:val="标题 6 字符"/>
    <w:basedOn w:val="50"/>
    <w:link w:val="9"/>
    <w:qFormat/>
    <w:locked/>
    <w:uiPriority w:val="99"/>
    <w:rPr>
      <w:rFonts w:ascii="Calibri" w:hAnsi="Calibri"/>
      <w:b/>
      <w:sz w:val="22"/>
      <w:lang w:eastAsia="en-US"/>
    </w:rPr>
  </w:style>
  <w:style w:type="character" w:customStyle="1" w:styleId="67">
    <w:name w:val="标题 7 字符"/>
    <w:basedOn w:val="50"/>
    <w:link w:val="10"/>
    <w:qFormat/>
    <w:locked/>
    <w:uiPriority w:val="99"/>
    <w:rPr>
      <w:rFonts w:ascii="Calibri" w:hAnsi="Calibri"/>
      <w:sz w:val="24"/>
      <w:lang w:eastAsia="en-US"/>
    </w:rPr>
  </w:style>
  <w:style w:type="character" w:customStyle="1" w:styleId="68">
    <w:name w:val="标题 8 字符"/>
    <w:basedOn w:val="50"/>
    <w:link w:val="11"/>
    <w:qFormat/>
    <w:locked/>
    <w:uiPriority w:val="99"/>
    <w:rPr>
      <w:rFonts w:ascii="Calibri" w:hAnsi="Calibri"/>
      <w:i/>
      <w:sz w:val="24"/>
      <w:lang w:eastAsia="en-US"/>
    </w:rPr>
  </w:style>
  <w:style w:type="character" w:customStyle="1" w:styleId="69">
    <w:name w:val="标题 9 字符"/>
    <w:basedOn w:val="50"/>
    <w:link w:val="12"/>
    <w:qFormat/>
    <w:locked/>
    <w:uiPriority w:val="99"/>
    <w:rPr>
      <w:rFonts w:ascii="Cambria" w:hAnsi="Cambria"/>
      <w:sz w:val="22"/>
      <w:lang w:eastAsia="en-US"/>
    </w:rPr>
  </w:style>
  <w:style w:type="character" w:customStyle="1" w:styleId="70">
    <w:name w:val="正文文本 字符"/>
    <w:basedOn w:val="50"/>
    <w:link w:val="21"/>
    <w:qFormat/>
    <w:locked/>
    <w:uiPriority w:val="99"/>
    <w:rPr>
      <w:kern w:val="2"/>
      <w:sz w:val="24"/>
    </w:rPr>
  </w:style>
  <w:style w:type="character" w:customStyle="1" w:styleId="71">
    <w:name w:val="文档结构图 字符"/>
    <w:basedOn w:val="50"/>
    <w:link w:val="18"/>
    <w:qFormat/>
    <w:locked/>
    <w:uiPriority w:val="99"/>
    <w:rPr>
      <w:kern w:val="2"/>
      <w:sz w:val="21"/>
      <w:shd w:val="clear" w:color="auto" w:fill="000080"/>
    </w:rPr>
  </w:style>
  <w:style w:type="character" w:customStyle="1" w:styleId="72">
    <w:name w:val="批注文字 字符"/>
    <w:basedOn w:val="50"/>
    <w:link w:val="19"/>
    <w:qFormat/>
    <w:locked/>
    <w:uiPriority w:val="99"/>
    <w:rPr>
      <w:rFonts w:eastAsia="宋体"/>
      <w:kern w:val="2"/>
      <w:sz w:val="21"/>
      <w:lang w:val="en-US" w:eastAsia="zh-CN"/>
    </w:rPr>
  </w:style>
  <w:style w:type="character" w:customStyle="1" w:styleId="73">
    <w:name w:val="正文文本 3 字符"/>
    <w:basedOn w:val="50"/>
    <w:link w:val="20"/>
    <w:semiHidden/>
    <w:qFormat/>
    <w:uiPriority w:val="99"/>
    <w:rPr>
      <w:rFonts w:ascii="Times New Roman" w:hAnsi="Times New Roman" w:cs="Times New Roman"/>
      <w:sz w:val="16"/>
      <w:szCs w:val="16"/>
    </w:rPr>
  </w:style>
  <w:style w:type="character" w:customStyle="1" w:styleId="74">
    <w:name w:val="正文文本缩进 字符"/>
    <w:basedOn w:val="50"/>
    <w:link w:val="24"/>
    <w:qFormat/>
    <w:locked/>
    <w:uiPriority w:val="99"/>
    <w:rPr>
      <w:rFonts w:eastAsia="仿宋_GB2312"/>
      <w:kern w:val="2"/>
      <w:sz w:val="24"/>
    </w:rPr>
  </w:style>
  <w:style w:type="character" w:customStyle="1" w:styleId="75">
    <w:name w:val="纯文本 字符"/>
    <w:basedOn w:val="50"/>
    <w:link w:val="27"/>
    <w:qFormat/>
    <w:locked/>
    <w:uiPriority w:val="0"/>
    <w:rPr>
      <w:rFonts w:ascii="宋体" w:hAnsi="Courier New" w:eastAsia="宋体"/>
      <w:kern w:val="2"/>
      <w:sz w:val="21"/>
      <w:lang w:val="en-US" w:eastAsia="zh-CN"/>
    </w:rPr>
  </w:style>
  <w:style w:type="character" w:customStyle="1" w:styleId="76">
    <w:name w:val="日期 字符"/>
    <w:basedOn w:val="50"/>
    <w:link w:val="29"/>
    <w:qFormat/>
    <w:locked/>
    <w:uiPriority w:val="99"/>
    <w:rPr>
      <w:kern w:val="2"/>
      <w:sz w:val="21"/>
    </w:rPr>
  </w:style>
  <w:style w:type="character" w:customStyle="1" w:styleId="77">
    <w:name w:val="正文文本缩进 2 字符"/>
    <w:basedOn w:val="50"/>
    <w:link w:val="30"/>
    <w:qFormat/>
    <w:locked/>
    <w:uiPriority w:val="99"/>
    <w:rPr>
      <w:kern w:val="2"/>
      <w:sz w:val="21"/>
    </w:rPr>
  </w:style>
  <w:style w:type="character" w:customStyle="1" w:styleId="78">
    <w:name w:val="批注框文本 字符"/>
    <w:basedOn w:val="50"/>
    <w:link w:val="31"/>
    <w:qFormat/>
    <w:locked/>
    <w:uiPriority w:val="99"/>
    <w:rPr>
      <w:kern w:val="2"/>
      <w:sz w:val="18"/>
    </w:rPr>
  </w:style>
  <w:style w:type="character" w:customStyle="1" w:styleId="79">
    <w:name w:val="页脚 字符1"/>
    <w:basedOn w:val="50"/>
    <w:link w:val="23"/>
    <w:qFormat/>
    <w:locked/>
    <w:uiPriority w:val="99"/>
    <w:rPr>
      <w:kern w:val="2"/>
      <w:sz w:val="18"/>
    </w:rPr>
  </w:style>
  <w:style w:type="character" w:customStyle="1" w:styleId="80">
    <w:name w:val="页眉 字符1"/>
    <w:basedOn w:val="50"/>
    <w:link w:val="32"/>
    <w:qFormat/>
    <w:locked/>
    <w:uiPriority w:val="99"/>
    <w:rPr>
      <w:kern w:val="2"/>
      <w:sz w:val="18"/>
    </w:rPr>
  </w:style>
  <w:style w:type="character" w:customStyle="1" w:styleId="81">
    <w:name w:val="副标题 字符"/>
    <w:basedOn w:val="50"/>
    <w:link w:val="35"/>
    <w:qFormat/>
    <w:locked/>
    <w:uiPriority w:val="99"/>
    <w:rPr>
      <w:rFonts w:ascii="Cambria" w:hAnsi="Cambria"/>
      <w:sz w:val="24"/>
      <w:lang w:eastAsia="en-US"/>
    </w:rPr>
  </w:style>
  <w:style w:type="character" w:customStyle="1" w:styleId="82">
    <w:name w:val="正文文本缩进 3 字符"/>
    <w:basedOn w:val="50"/>
    <w:link w:val="38"/>
    <w:qFormat/>
    <w:locked/>
    <w:uiPriority w:val="99"/>
    <w:rPr>
      <w:kern w:val="2"/>
      <w:sz w:val="16"/>
    </w:rPr>
  </w:style>
  <w:style w:type="character" w:customStyle="1" w:styleId="83">
    <w:name w:val="正文文本 2 字符"/>
    <w:basedOn w:val="50"/>
    <w:link w:val="41"/>
    <w:qFormat/>
    <w:locked/>
    <w:uiPriority w:val="99"/>
    <w:rPr>
      <w:kern w:val="2"/>
      <w:sz w:val="21"/>
    </w:rPr>
  </w:style>
  <w:style w:type="character" w:customStyle="1" w:styleId="84">
    <w:name w:val="HTML 预设格式 字符"/>
    <w:basedOn w:val="50"/>
    <w:link w:val="42"/>
    <w:semiHidden/>
    <w:qFormat/>
    <w:uiPriority w:val="99"/>
    <w:rPr>
      <w:rFonts w:ascii="Courier New" w:hAnsi="Courier New" w:cs="Courier New"/>
      <w:sz w:val="20"/>
      <w:szCs w:val="20"/>
    </w:rPr>
  </w:style>
  <w:style w:type="character" w:customStyle="1" w:styleId="85">
    <w:name w:val="标题 字符"/>
    <w:basedOn w:val="50"/>
    <w:link w:val="45"/>
    <w:qFormat/>
    <w:locked/>
    <w:uiPriority w:val="99"/>
    <w:rPr>
      <w:rFonts w:ascii="Arial" w:hAnsi="Arial"/>
      <w:b/>
      <w:kern w:val="2"/>
      <w:sz w:val="32"/>
    </w:rPr>
  </w:style>
  <w:style w:type="character" w:customStyle="1" w:styleId="86">
    <w:name w:val="批注主题 字符"/>
    <w:basedOn w:val="72"/>
    <w:link w:val="46"/>
    <w:qFormat/>
    <w:locked/>
    <w:uiPriority w:val="99"/>
    <w:rPr>
      <w:rFonts w:eastAsia="宋体"/>
      <w:b/>
      <w:kern w:val="2"/>
      <w:sz w:val="21"/>
      <w:lang w:val="en-US" w:eastAsia="zh-CN"/>
    </w:rPr>
  </w:style>
  <w:style w:type="character" w:customStyle="1" w:styleId="87">
    <w:name w:val="正文缩进 字符"/>
    <w:link w:val="6"/>
    <w:qFormat/>
    <w:locked/>
    <w:uiPriority w:val="99"/>
    <w:rPr>
      <w:kern w:val="2"/>
      <w:sz w:val="21"/>
    </w:rPr>
  </w:style>
  <w:style w:type="paragraph" w:customStyle="1" w:styleId="88">
    <w:name w:val="标题1"/>
    <w:basedOn w:val="45"/>
    <w:qFormat/>
    <w:uiPriority w:val="99"/>
    <w:pPr>
      <w:spacing w:after="240"/>
    </w:pPr>
    <w:rPr>
      <w:spacing w:val="2"/>
      <w:sz w:val="44"/>
      <w:szCs w:val="44"/>
    </w:rPr>
  </w:style>
  <w:style w:type="paragraph" w:customStyle="1" w:styleId="89">
    <w:name w:val="font8"/>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90">
    <w:name w:val="Char Char Char Char Char Char1 Char Char Char Char Char Char1 Char Char Char Char Char Char Char"/>
    <w:basedOn w:val="1"/>
    <w:qFormat/>
    <w:uiPriority w:val="99"/>
    <w:rPr>
      <w:rFonts w:ascii="Tahoma" w:hAnsi="Tahoma"/>
      <w:sz w:val="24"/>
    </w:rPr>
  </w:style>
  <w:style w:type="paragraph" w:customStyle="1" w:styleId="91">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92">
    <w:name w:val="xl80"/>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93">
    <w:name w:val="xl68"/>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94">
    <w:name w:val="font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5">
    <w:name w:val="xl315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96">
    <w:name w:val="font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7">
    <w:name w:val="Char"/>
    <w:basedOn w:val="1"/>
    <w:qFormat/>
    <w:uiPriority w:val="99"/>
    <w:rPr>
      <w:szCs w:val="24"/>
    </w:rPr>
  </w:style>
  <w:style w:type="paragraph" w:customStyle="1" w:styleId="98">
    <w:name w:val="xl32"/>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99">
    <w:name w:val="font10"/>
    <w:basedOn w:val="1"/>
    <w:qFormat/>
    <w:uiPriority w:val="99"/>
    <w:pPr>
      <w:widowControl/>
      <w:spacing w:before="100" w:beforeAutospacing="1" w:after="100" w:afterAutospacing="1"/>
      <w:jc w:val="left"/>
    </w:pPr>
    <w:rPr>
      <w:rFonts w:ascii="Arial" w:hAnsi="Arial" w:cs="Arial"/>
      <w:color w:val="000000"/>
      <w:kern w:val="0"/>
      <w:sz w:val="20"/>
    </w:rPr>
  </w:style>
  <w:style w:type="paragraph" w:customStyle="1" w:styleId="100">
    <w:name w:val="Char3 Char Char Char"/>
    <w:basedOn w:val="1"/>
    <w:qFormat/>
    <w:uiPriority w:val="99"/>
    <w:rPr>
      <w:rFonts w:ascii="Tahoma" w:hAnsi="Tahoma"/>
      <w:sz w:val="24"/>
    </w:rPr>
  </w:style>
  <w:style w:type="paragraph" w:customStyle="1" w:styleId="101">
    <w:name w:val="xl6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02">
    <w:name w:val="xl28"/>
    <w:basedOn w:val="1"/>
    <w:qFormat/>
    <w:uiPriority w:val="99"/>
    <w:pPr>
      <w:widowControl/>
      <w:spacing w:before="100" w:beforeAutospacing="1" w:after="100" w:afterAutospacing="1"/>
      <w:textAlignment w:val="top"/>
    </w:pPr>
    <w:rPr>
      <w:rFonts w:ascii="宋体" w:hAnsi="宋体"/>
      <w:kern w:val="0"/>
      <w:sz w:val="22"/>
      <w:szCs w:val="22"/>
    </w:rPr>
  </w:style>
  <w:style w:type="paragraph" w:customStyle="1" w:styleId="103">
    <w:name w:val="正文加重首行缩进2字"/>
    <w:basedOn w:val="104"/>
    <w:link w:val="106"/>
    <w:qFormat/>
    <w:uiPriority w:val="99"/>
    <w:rPr>
      <w:b/>
      <w:bCs/>
    </w:rPr>
  </w:style>
  <w:style w:type="paragraph" w:customStyle="1" w:styleId="104">
    <w:name w:val="正文首行缩进2字"/>
    <w:basedOn w:val="1"/>
    <w:link w:val="105"/>
    <w:qFormat/>
    <w:uiPriority w:val="99"/>
    <w:pPr>
      <w:ind w:firstLine="560" w:firstLineChars="200"/>
    </w:pPr>
    <w:rPr>
      <w:rFonts w:ascii="Calibri" w:hAnsi="Calibri" w:eastAsia="楷体_GB2312" w:cs="Arial"/>
      <w:kern w:val="0"/>
      <w:sz w:val="28"/>
      <w:szCs w:val="24"/>
    </w:rPr>
  </w:style>
  <w:style w:type="character" w:customStyle="1" w:styleId="105">
    <w:name w:val="正文首行缩进2字 Char"/>
    <w:link w:val="104"/>
    <w:qFormat/>
    <w:locked/>
    <w:uiPriority w:val="99"/>
    <w:rPr>
      <w:rFonts w:eastAsia="楷体_GB2312"/>
      <w:sz w:val="24"/>
      <w:lang w:val="en-US" w:eastAsia="zh-CN"/>
    </w:rPr>
  </w:style>
  <w:style w:type="character" w:customStyle="1" w:styleId="106">
    <w:name w:val="正文加重首行缩进2字 Char"/>
    <w:link w:val="103"/>
    <w:qFormat/>
    <w:locked/>
    <w:uiPriority w:val="99"/>
    <w:rPr>
      <w:rFonts w:eastAsia="楷体_GB2312"/>
      <w:b/>
      <w:sz w:val="24"/>
      <w:lang w:val="en-US" w:eastAsia="zh-CN"/>
    </w:rPr>
  </w:style>
  <w:style w:type="paragraph" w:customStyle="1" w:styleId="107">
    <w:name w:val="xl31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08">
    <w:name w:val="xl36"/>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09">
    <w:name w:val="Char Char Char1 Char Char Char Char Char Char Char Char Char Char"/>
    <w:basedOn w:val="1"/>
    <w:qFormat/>
    <w:uiPriority w:val="99"/>
    <w:rPr>
      <w:rFonts w:ascii="Tahoma" w:hAnsi="Tahoma"/>
      <w:sz w:val="24"/>
    </w:rPr>
  </w:style>
  <w:style w:type="paragraph" w:customStyle="1" w:styleId="110">
    <w:name w:val="xl314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11">
    <w:name w:val="xl81"/>
    <w:basedOn w:val="1"/>
    <w:qFormat/>
    <w:uiPriority w:val="99"/>
    <w:pPr>
      <w:widowControl/>
      <w:shd w:val="clear" w:color="000000" w:fill="FFFF00"/>
      <w:spacing w:before="100" w:beforeAutospacing="1" w:after="100" w:afterAutospacing="1"/>
      <w:jc w:val="center"/>
    </w:pPr>
    <w:rPr>
      <w:rFonts w:ascii="宋体" w:hAnsi="宋体" w:cs="宋体"/>
      <w:kern w:val="0"/>
      <w:sz w:val="24"/>
      <w:szCs w:val="24"/>
    </w:rPr>
  </w:style>
  <w:style w:type="paragraph" w:customStyle="1" w:styleId="112">
    <w:name w:val="Char Char Char Char Char Char1 Char Char Char Char Char Char1 Char Char Char Char"/>
    <w:basedOn w:val="1"/>
    <w:qFormat/>
    <w:uiPriority w:val="99"/>
    <w:rPr>
      <w:rFonts w:ascii="Tahoma" w:hAnsi="Tahoma"/>
      <w:sz w:val="24"/>
    </w:rPr>
  </w:style>
  <w:style w:type="paragraph" w:customStyle="1" w:styleId="113">
    <w:name w:val="Char Char Char Char Char Char Char Char Char Char Char Char Char"/>
    <w:basedOn w:val="1"/>
    <w:qFormat/>
    <w:uiPriority w:val="99"/>
    <w:pPr>
      <w:tabs>
        <w:tab w:val="left" w:pos="360"/>
      </w:tabs>
      <w:ind w:firstLine="420" w:firstLineChars="150"/>
    </w:pPr>
    <w:rPr>
      <w:rFonts w:ascii="Arial" w:hAnsi="Arial" w:cs="Arial"/>
      <w:sz w:val="20"/>
    </w:rPr>
  </w:style>
  <w:style w:type="paragraph" w:customStyle="1" w:styleId="114">
    <w:name w:val="Char Char Char"/>
    <w:basedOn w:val="1"/>
    <w:qFormat/>
    <w:uiPriority w:val="99"/>
    <w:rPr>
      <w:rFonts w:ascii="Tahoma" w:hAnsi="Tahoma"/>
      <w:sz w:val="24"/>
    </w:rPr>
  </w:style>
  <w:style w:type="character" w:customStyle="1" w:styleId="115">
    <w:name w:val="列表段落 字符"/>
    <w:link w:val="58"/>
    <w:qFormat/>
    <w:locked/>
    <w:uiPriority w:val="34"/>
    <w:rPr>
      <w:kern w:val="2"/>
      <w:sz w:val="21"/>
    </w:rPr>
  </w:style>
  <w:style w:type="paragraph" w:customStyle="1" w:styleId="116">
    <w:name w:val="xl3158"/>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top"/>
    </w:pPr>
    <w:rPr>
      <w:rFonts w:ascii="宋体" w:hAnsi="宋体" w:cs="宋体"/>
      <w:kern w:val="0"/>
      <w:sz w:val="24"/>
      <w:szCs w:val="24"/>
    </w:rPr>
  </w:style>
  <w:style w:type="paragraph" w:customStyle="1" w:styleId="117">
    <w:name w:val="xl29"/>
    <w:basedOn w:val="1"/>
    <w:qFormat/>
    <w:uiPriority w:val="99"/>
    <w:pPr>
      <w:widowControl/>
      <w:spacing w:before="100" w:beforeAutospacing="1" w:after="100" w:afterAutospacing="1"/>
      <w:textAlignment w:val="top"/>
    </w:pPr>
    <w:rPr>
      <w:rFonts w:ascii="宋体" w:hAnsi="宋体"/>
      <w:b/>
      <w:bCs/>
      <w:kern w:val="0"/>
      <w:sz w:val="22"/>
      <w:szCs w:val="22"/>
    </w:rPr>
  </w:style>
  <w:style w:type="paragraph" w:customStyle="1" w:styleId="118">
    <w:name w:val="节2"/>
    <w:basedOn w:val="1"/>
    <w:qFormat/>
    <w:uiPriority w:val="99"/>
    <w:rPr>
      <w:rFonts w:eastAsia="黑体"/>
      <w:bCs/>
      <w:sz w:val="28"/>
      <w:szCs w:val="24"/>
    </w:rPr>
  </w:style>
  <w:style w:type="paragraph" w:customStyle="1" w:styleId="119">
    <w:name w:val="xl79"/>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rPr>
  </w:style>
  <w:style w:type="paragraph" w:customStyle="1" w:styleId="120">
    <w:name w:val="font7"/>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21">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122">
    <w:name w:val="xl3140"/>
    <w:basedOn w:val="1"/>
    <w:qFormat/>
    <w:uiPriority w:val="99"/>
    <w:pPr>
      <w:widowControl/>
      <w:spacing w:before="100" w:beforeAutospacing="1" w:after="100" w:afterAutospacing="1"/>
      <w:jc w:val="center"/>
      <w:textAlignment w:val="center"/>
    </w:pPr>
    <w:rPr>
      <w:rFonts w:ascii="宋体" w:hAnsi="宋体" w:cs="宋体"/>
      <w:kern w:val="0"/>
      <w:sz w:val="24"/>
      <w:szCs w:val="24"/>
    </w:rPr>
  </w:style>
  <w:style w:type="paragraph" w:customStyle="1" w:styleId="123">
    <w:name w:val="正文样式"/>
    <w:basedOn w:val="124"/>
    <w:qFormat/>
    <w:uiPriority w:val="99"/>
    <w:pPr>
      <w:ind w:firstLine="420"/>
    </w:pPr>
  </w:style>
  <w:style w:type="paragraph" w:customStyle="1" w:styleId="124">
    <w:name w:val="文"/>
    <w:basedOn w:val="1"/>
    <w:qFormat/>
    <w:uiPriority w:val="99"/>
    <w:pPr>
      <w:adjustRightInd w:val="0"/>
      <w:ind w:firstLine="200" w:firstLineChars="200"/>
      <w:jc w:val="left"/>
    </w:pPr>
    <w:rPr>
      <w:szCs w:val="21"/>
    </w:rPr>
  </w:style>
  <w:style w:type="paragraph" w:customStyle="1" w:styleId="125">
    <w:name w:val="xl3153"/>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126">
    <w:name w:val="xl3162"/>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127">
    <w:name w:val="xl30"/>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28">
    <w:name w:val="xl35"/>
    <w:basedOn w:val="1"/>
    <w:qFormat/>
    <w:uiPriority w:val="99"/>
    <w:pPr>
      <w:widowControl/>
      <w:spacing w:before="100" w:beforeAutospacing="1" w:after="100" w:afterAutospacing="1"/>
      <w:jc w:val="left"/>
    </w:pPr>
    <w:rPr>
      <w:rFonts w:ascii="宋体" w:hAnsi="宋体"/>
      <w:b/>
      <w:bCs/>
      <w:kern w:val="0"/>
      <w:sz w:val="22"/>
      <w:szCs w:val="22"/>
    </w:rPr>
  </w:style>
  <w:style w:type="paragraph" w:customStyle="1" w:styleId="129">
    <w:name w:val="xl31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30">
    <w:name w:val="font5"/>
    <w:basedOn w:val="1"/>
    <w:qFormat/>
    <w:uiPriority w:val="99"/>
    <w:pPr>
      <w:widowControl/>
      <w:spacing w:before="100" w:beforeAutospacing="1" w:after="100" w:afterAutospacing="1"/>
      <w:jc w:val="left"/>
    </w:pPr>
    <w:rPr>
      <w:rFonts w:ascii="宋体" w:hAnsi="宋体"/>
      <w:kern w:val="0"/>
      <w:sz w:val="18"/>
      <w:szCs w:val="18"/>
    </w:rPr>
  </w:style>
  <w:style w:type="paragraph" w:customStyle="1" w:styleId="131">
    <w:name w:val="Char Char Char Char"/>
    <w:basedOn w:val="1"/>
    <w:qFormat/>
    <w:uiPriority w:val="0"/>
    <w:pPr>
      <w:widowControl/>
      <w:spacing w:after="160" w:line="240" w:lineRule="exact"/>
      <w:jc w:val="left"/>
    </w:pPr>
    <w:rPr>
      <w:rFonts w:ascii="Verdana" w:hAnsi="Verdana"/>
      <w:kern w:val="0"/>
      <w:lang w:eastAsia="en-US"/>
    </w:rPr>
  </w:style>
  <w:style w:type="paragraph" w:customStyle="1" w:styleId="132">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33">
    <w:name w:val="xl3166"/>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34">
    <w:name w:val="font12"/>
    <w:basedOn w:val="1"/>
    <w:qFormat/>
    <w:uiPriority w:val="99"/>
    <w:pPr>
      <w:widowControl/>
      <w:spacing w:before="100" w:beforeAutospacing="1" w:after="100" w:afterAutospacing="1"/>
      <w:jc w:val="left"/>
    </w:pPr>
    <w:rPr>
      <w:rFonts w:ascii="Arial" w:hAnsi="Arial" w:cs="Arial"/>
      <w:kern w:val="0"/>
      <w:sz w:val="20"/>
    </w:rPr>
  </w:style>
  <w:style w:type="paragraph" w:customStyle="1" w:styleId="135">
    <w:name w:val="xl3160"/>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ascii="宋体" w:hAnsi="宋体" w:cs="宋体"/>
      <w:kern w:val="0"/>
      <w:sz w:val="24"/>
      <w:szCs w:val="24"/>
    </w:rPr>
  </w:style>
  <w:style w:type="paragraph" w:customStyle="1" w:styleId="136">
    <w:name w:val="xl33"/>
    <w:basedOn w:val="1"/>
    <w:qFormat/>
    <w:uiPriority w:val="99"/>
    <w:pPr>
      <w:widowControl/>
      <w:shd w:val="clear" w:color="auto" w:fill="FFFF00"/>
      <w:spacing w:before="100" w:beforeAutospacing="1" w:after="100" w:afterAutospacing="1"/>
      <w:jc w:val="left"/>
      <w:textAlignment w:val="top"/>
    </w:pPr>
    <w:rPr>
      <w:rFonts w:ascii="宋体" w:hAnsi="宋体"/>
      <w:color w:val="FF0000"/>
      <w:kern w:val="0"/>
      <w:sz w:val="22"/>
      <w:szCs w:val="22"/>
    </w:rPr>
  </w:style>
  <w:style w:type="paragraph" w:customStyle="1" w:styleId="137">
    <w:name w:val="xl3147"/>
    <w:basedOn w:val="1"/>
    <w:qFormat/>
    <w:uiPriority w:val="99"/>
    <w:pPr>
      <w:widowControl/>
      <w:spacing w:before="100" w:beforeAutospacing="1" w:after="100" w:afterAutospacing="1"/>
      <w:jc w:val="left"/>
      <w:textAlignment w:val="center"/>
    </w:pPr>
    <w:rPr>
      <w:rFonts w:ascii="宋体" w:hAnsi="宋体" w:cs="宋体"/>
      <w:kern w:val="0"/>
      <w:sz w:val="24"/>
      <w:szCs w:val="24"/>
    </w:rPr>
  </w:style>
  <w:style w:type="paragraph" w:customStyle="1" w:styleId="138">
    <w:name w:val="Char Char1 Char Char Char Char Char Char"/>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39">
    <w:name w:val="xl3165"/>
    <w:basedOn w:val="1"/>
    <w:qFormat/>
    <w:uiPriority w:val="99"/>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40">
    <w:name w:val="Balloon Text1"/>
    <w:basedOn w:val="1"/>
    <w:qFormat/>
    <w:uiPriority w:val="99"/>
    <w:rPr>
      <w:sz w:val="18"/>
      <w:szCs w:val="18"/>
    </w:rPr>
  </w:style>
  <w:style w:type="paragraph" w:customStyle="1" w:styleId="141">
    <w:name w:val="xl3146"/>
    <w:basedOn w:val="1"/>
    <w:qFormat/>
    <w:uiPriority w:val="99"/>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ascii="宋体" w:hAnsi="宋体" w:cs="宋体"/>
      <w:color w:val="000000"/>
      <w:kern w:val="0"/>
      <w:sz w:val="24"/>
      <w:szCs w:val="24"/>
    </w:rPr>
  </w:style>
  <w:style w:type="paragraph" w:customStyle="1" w:styleId="142">
    <w:name w:val="引用1"/>
    <w:basedOn w:val="1"/>
    <w:next w:val="1"/>
    <w:link w:val="143"/>
    <w:qFormat/>
    <w:uiPriority w:val="99"/>
    <w:pPr>
      <w:widowControl/>
      <w:jc w:val="left"/>
    </w:pPr>
    <w:rPr>
      <w:rFonts w:ascii="Calibri" w:hAnsi="Calibri" w:cs="Arial"/>
      <w:i/>
      <w:kern w:val="0"/>
      <w:sz w:val="24"/>
      <w:szCs w:val="24"/>
      <w:lang w:eastAsia="en-US"/>
    </w:rPr>
  </w:style>
  <w:style w:type="character" w:customStyle="1" w:styleId="143">
    <w:name w:val="引用 Char"/>
    <w:link w:val="142"/>
    <w:qFormat/>
    <w:locked/>
    <w:uiPriority w:val="99"/>
    <w:rPr>
      <w:rFonts w:ascii="Calibri" w:hAnsi="Calibri"/>
      <w:i/>
      <w:sz w:val="24"/>
      <w:lang w:eastAsia="en-US"/>
    </w:rPr>
  </w:style>
  <w:style w:type="paragraph" w:customStyle="1" w:styleId="144">
    <w:name w:val="xl82"/>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45">
    <w:name w:val="xl78"/>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46">
    <w:name w:val="无间隔1"/>
    <w:basedOn w:val="1"/>
    <w:link w:val="147"/>
    <w:qFormat/>
    <w:uiPriority w:val="99"/>
    <w:pPr>
      <w:widowControl/>
      <w:jc w:val="left"/>
    </w:pPr>
    <w:rPr>
      <w:rFonts w:ascii="Calibri" w:hAnsi="Calibri" w:cs="Arial"/>
      <w:kern w:val="0"/>
      <w:sz w:val="24"/>
      <w:szCs w:val="32"/>
      <w:lang w:eastAsia="en-US"/>
    </w:rPr>
  </w:style>
  <w:style w:type="character" w:customStyle="1" w:styleId="147">
    <w:name w:val="无间隔 Char"/>
    <w:link w:val="146"/>
    <w:qFormat/>
    <w:locked/>
    <w:uiPriority w:val="99"/>
    <w:rPr>
      <w:rFonts w:ascii="Calibri" w:hAnsi="Calibri"/>
      <w:sz w:val="32"/>
      <w:lang w:eastAsia="en-US"/>
    </w:rPr>
  </w:style>
  <w:style w:type="paragraph" w:customStyle="1" w:styleId="148">
    <w:name w:val="Char Char Char Char Char Char Char Char Char Char Char Char Char1"/>
    <w:basedOn w:val="1"/>
    <w:qFormat/>
    <w:uiPriority w:val="99"/>
    <w:pPr>
      <w:tabs>
        <w:tab w:val="left" w:pos="360"/>
      </w:tabs>
      <w:ind w:firstLine="420" w:firstLineChars="150"/>
    </w:pPr>
    <w:rPr>
      <w:rFonts w:ascii="Arial" w:hAnsi="Arial" w:cs="Arial"/>
      <w:sz w:val="20"/>
    </w:rPr>
  </w:style>
  <w:style w:type="paragraph" w:customStyle="1" w:styleId="149">
    <w:name w:val="1 Char Char Char Char"/>
    <w:basedOn w:val="1"/>
    <w:qFormat/>
    <w:uiPriority w:val="99"/>
    <w:rPr>
      <w:rFonts w:ascii="Tahoma" w:hAnsi="Tahoma"/>
      <w:sz w:val="24"/>
    </w:rPr>
  </w:style>
  <w:style w:type="paragraph" w:customStyle="1" w:styleId="150">
    <w:name w:val="font11"/>
    <w:basedOn w:val="1"/>
    <w:qFormat/>
    <w:uiPriority w:val="99"/>
    <w:pPr>
      <w:widowControl/>
      <w:spacing w:before="100" w:beforeAutospacing="1" w:after="100" w:afterAutospacing="1"/>
      <w:jc w:val="left"/>
    </w:pPr>
    <w:rPr>
      <w:rFonts w:ascii="华文细黑" w:hAnsi="华文细黑" w:eastAsia="华文细黑" w:cs="宋体"/>
      <w:color w:val="000000"/>
      <w:kern w:val="0"/>
      <w:sz w:val="20"/>
    </w:rPr>
  </w:style>
  <w:style w:type="paragraph" w:customStyle="1" w:styleId="151">
    <w:name w:val="正文符号1"/>
    <w:basedOn w:val="104"/>
    <w:link w:val="152"/>
    <w:qFormat/>
    <w:uiPriority w:val="99"/>
    <w:pPr>
      <w:numPr>
        <w:ilvl w:val="0"/>
        <w:numId w:val="2"/>
      </w:numPr>
      <w:tabs>
        <w:tab w:val="left" w:pos="960"/>
        <w:tab w:val="left" w:pos="1080"/>
        <w:tab w:val="clear" w:pos="1500"/>
      </w:tabs>
      <w:ind w:left="960" w:firstLine="0" w:firstLineChars="0"/>
    </w:pPr>
  </w:style>
  <w:style w:type="character" w:customStyle="1" w:styleId="152">
    <w:name w:val="正文符号1 Char"/>
    <w:link w:val="151"/>
    <w:qFormat/>
    <w:locked/>
    <w:uiPriority w:val="99"/>
    <w:rPr>
      <w:rFonts w:eastAsia="楷体_GB2312"/>
      <w:kern w:val="0"/>
      <w:sz w:val="28"/>
      <w:szCs w:val="24"/>
    </w:rPr>
  </w:style>
  <w:style w:type="paragraph" w:customStyle="1" w:styleId="153">
    <w:name w:val="xl76"/>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54">
    <w:name w:val="xl77"/>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55">
    <w:name w:val="正文 首行缩进:  2 字符"/>
    <w:basedOn w:val="1"/>
    <w:link w:val="156"/>
    <w:qFormat/>
    <w:uiPriority w:val="99"/>
    <w:pPr>
      <w:ind w:firstLine="560" w:firstLineChars="200"/>
    </w:pPr>
    <w:rPr>
      <w:rFonts w:ascii="Arial" w:hAnsi="Arial" w:eastAsia="楷体_GB2312" w:cs="Arial"/>
      <w:sz w:val="28"/>
    </w:rPr>
  </w:style>
  <w:style w:type="character" w:customStyle="1" w:styleId="156">
    <w:name w:val="正文 首行缩进:  2 字符 Char1"/>
    <w:link w:val="155"/>
    <w:qFormat/>
    <w:locked/>
    <w:uiPriority w:val="99"/>
    <w:rPr>
      <w:rFonts w:ascii="Arial" w:hAnsi="Arial" w:eastAsia="楷体_GB2312"/>
      <w:kern w:val="2"/>
      <w:sz w:val="28"/>
      <w:lang w:val="en-US" w:eastAsia="zh-CN"/>
    </w:rPr>
  </w:style>
  <w:style w:type="paragraph" w:customStyle="1" w:styleId="157">
    <w:name w:val="xl3167"/>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58">
    <w:name w:val="style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59">
    <w:name w:val="xl315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cs="宋体"/>
      <w:color w:val="000000"/>
      <w:kern w:val="0"/>
      <w:sz w:val="24"/>
      <w:szCs w:val="24"/>
    </w:rPr>
  </w:style>
  <w:style w:type="paragraph" w:customStyle="1" w:styleId="160">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b/>
      <w:bCs/>
      <w:kern w:val="0"/>
      <w:sz w:val="20"/>
    </w:rPr>
  </w:style>
  <w:style w:type="paragraph" w:customStyle="1" w:styleId="161">
    <w:name w:val="font6"/>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62">
    <w:name w:val="xl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163">
    <w:name w:val="xl3155"/>
    <w:basedOn w:val="1"/>
    <w:qFormat/>
    <w:uiPriority w:val="99"/>
    <w:pPr>
      <w:widowControl/>
      <w:pBdr>
        <w:top w:val="single" w:color="auto" w:sz="4" w:space="0"/>
        <w:left w:val="single" w:color="auto" w:sz="4" w:space="0"/>
        <w:right w:val="single" w:color="auto" w:sz="4" w:space="0"/>
      </w:pBdr>
      <w:shd w:val="clear" w:color="000000" w:fill="FFFF00"/>
      <w:spacing w:before="100" w:beforeAutospacing="1" w:after="100" w:afterAutospacing="1"/>
      <w:jc w:val="right"/>
      <w:textAlignment w:val="center"/>
    </w:pPr>
    <w:rPr>
      <w:rFonts w:ascii="宋体" w:hAnsi="宋体" w:cs="宋体"/>
      <w:color w:val="000000"/>
      <w:kern w:val="0"/>
      <w:sz w:val="24"/>
      <w:szCs w:val="24"/>
    </w:rPr>
  </w:style>
  <w:style w:type="paragraph" w:customStyle="1" w:styleId="164">
    <w:name w:val="contentlabel"/>
    <w:basedOn w:val="1"/>
    <w:qFormat/>
    <w:uiPriority w:val="99"/>
    <w:pPr>
      <w:widowControl/>
      <w:spacing w:before="30" w:after="100" w:afterAutospacing="1"/>
      <w:ind w:left="90"/>
      <w:jc w:val="left"/>
    </w:pPr>
    <w:rPr>
      <w:rFonts w:ascii="Arial Unicode MS" w:hAnsi="Arial Unicode MS" w:cs="Arial Unicode MS"/>
      <w:color w:val="336666"/>
      <w:kern w:val="0"/>
      <w:sz w:val="18"/>
      <w:szCs w:val="18"/>
    </w:rPr>
  </w:style>
  <w:style w:type="paragraph" w:customStyle="1" w:styleId="165">
    <w:name w:val="xl25"/>
    <w:basedOn w:val="1"/>
    <w:qFormat/>
    <w:uiPriority w:val="99"/>
    <w:pPr>
      <w:widowControl/>
      <w:spacing w:before="100" w:beforeAutospacing="1" w:after="100" w:afterAutospacing="1"/>
      <w:jc w:val="left"/>
      <w:textAlignment w:val="center"/>
    </w:pPr>
    <w:rPr>
      <w:rFonts w:ascii="宋体" w:hAnsi="宋体"/>
      <w:b/>
      <w:bCs/>
      <w:kern w:val="0"/>
      <w:sz w:val="22"/>
      <w:szCs w:val="22"/>
    </w:rPr>
  </w:style>
  <w:style w:type="paragraph" w:customStyle="1" w:styleId="166">
    <w:name w:val="p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67">
    <w:name w:val="xl3151"/>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cs="宋体"/>
      <w:color w:val="000000"/>
      <w:kern w:val="0"/>
      <w:sz w:val="24"/>
      <w:szCs w:val="24"/>
    </w:rPr>
  </w:style>
  <w:style w:type="paragraph" w:customStyle="1" w:styleId="168">
    <w:name w:val="xl314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69">
    <w:name w:val="Char1"/>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70">
    <w:name w:val="xl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171">
    <w:name w:val="font9"/>
    <w:basedOn w:val="1"/>
    <w:qFormat/>
    <w:uiPriority w:val="99"/>
    <w:pPr>
      <w:widowControl/>
      <w:spacing w:before="100" w:beforeAutospacing="1" w:after="100" w:afterAutospacing="1"/>
      <w:jc w:val="left"/>
    </w:pPr>
    <w:rPr>
      <w:kern w:val="0"/>
      <w:sz w:val="20"/>
    </w:rPr>
  </w:style>
  <w:style w:type="paragraph" w:customStyle="1" w:styleId="172">
    <w:name w:val="xl83"/>
    <w:basedOn w:val="1"/>
    <w:qFormat/>
    <w:uiPriority w:val="99"/>
    <w:pPr>
      <w:widowControl/>
      <w:shd w:val="clear" w:color="000000" w:fill="FFFF00"/>
      <w:spacing w:before="100" w:beforeAutospacing="1" w:after="100" w:afterAutospacing="1"/>
      <w:jc w:val="center"/>
    </w:pPr>
    <w:rPr>
      <w:rFonts w:ascii="宋体" w:hAnsi="宋体" w:cs="宋体"/>
      <w:kern w:val="0"/>
      <w:sz w:val="24"/>
      <w:szCs w:val="24"/>
    </w:rPr>
  </w:style>
  <w:style w:type="paragraph" w:customStyle="1" w:styleId="173">
    <w:name w:val="xl31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174">
    <w:name w:val="_Style 132"/>
    <w:semiHidden/>
    <w:qFormat/>
    <w:uiPriority w:val="99"/>
    <w:rPr>
      <w:rFonts w:ascii="Times New Roman" w:hAnsi="Times New Roman" w:eastAsia="宋体" w:cs="Times New Roman"/>
      <w:kern w:val="2"/>
      <w:sz w:val="21"/>
      <w:lang w:val="en-US" w:eastAsia="zh-CN" w:bidi="ar-SA"/>
    </w:rPr>
  </w:style>
  <w:style w:type="paragraph" w:customStyle="1" w:styleId="175">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76">
    <w:name w:val="xl3152"/>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177">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78">
    <w:name w:val="xl31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79">
    <w:name w:val="he"/>
    <w:basedOn w:val="1"/>
    <w:next w:val="6"/>
    <w:qFormat/>
    <w:uiPriority w:val="99"/>
    <w:pPr>
      <w:keepNext/>
      <w:keepLines/>
      <w:autoSpaceDE w:val="0"/>
      <w:autoSpaceDN w:val="0"/>
      <w:adjustRightInd w:val="0"/>
      <w:spacing w:before="120" w:line="300" w:lineRule="auto"/>
      <w:jc w:val="center"/>
    </w:pPr>
    <w:rPr>
      <w:rFonts w:ascii="Arial" w:hAnsi="Arial" w:eastAsia="黑体"/>
      <w:b/>
      <w:bCs/>
      <w:kern w:val="0"/>
      <w:sz w:val="30"/>
      <w:szCs w:val="30"/>
    </w:rPr>
  </w:style>
  <w:style w:type="paragraph" w:customStyle="1" w:styleId="180">
    <w:name w:val="xl7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1">
    <w:name w:val="节"/>
    <w:basedOn w:val="1"/>
    <w:qFormat/>
    <w:uiPriority w:val="99"/>
    <w:pPr>
      <w:adjustRightInd w:val="0"/>
      <w:spacing w:before="100" w:beforeAutospacing="1"/>
    </w:pPr>
    <w:rPr>
      <w:rFonts w:eastAsia="仿宋_GB2312"/>
      <w:b/>
      <w:sz w:val="32"/>
      <w:szCs w:val="32"/>
    </w:rPr>
  </w:style>
  <w:style w:type="paragraph" w:customStyle="1" w:styleId="182">
    <w:name w:val="xl24"/>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83">
    <w:name w:val="xl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184">
    <w:name w:val="正文 A"/>
    <w:next w:val="185"/>
    <w:qFormat/>
    <w:uiPriority w:val="99"/>
    <w:pPr>
      <w:widowControl w:val="0"/>
      <w:jc w:val="both"/>
    </w:pPr>
    <w:rPr>
      <w:rFonts w:ascii="Arial Unicode MS" w:hAnsi="Arial Unicode MS" w:eastAsia="宋体" w:cs="Arial Unicode MS"/>
      <w:color w:val="000000"/>
      <w:kern w:val="2"/>
      <w:sz w:val="21"/>
      <w:szCs w:val="21"/>
      <w:u w:color="000000"/>
      <w:lang w:val="en-US" w:eastAsia="zh-CN" w:bidi="ar-SA"/>
    </w:rPr>
  </w:style>
  <w:style w:type="paragraph" w:customStyle="1" w:styleId="185">
    <w:name w:val="段"/>
    <w:next w:val="184"/>
    <w:qFormat/>
    <w:uiPriority w:val="99"/>
    <w:pPr>
      <w:widowControl w:val="0"/>
      <w:ind w:firstLine="200"/>
      <w:jc w:val="both"/>
    </w:pPr>
    <w:rPr>
      <w:rFonts w:ascii="宋体" w:hAnsi="宋体" w:eastAsia="宋体" w:cs="宋体"/>
      <w:color w:val="000000"/>
      <w:sz w:val="21"/>
      <w:szCs w:val="21"/>
      <w:lang w:val="en-US" w:eastAsia="zh-CN" w:bidi="ar-SA"/>
    </w:rPr>
  </w:style>
  <w:style w:type="paragraph" w:customStyle="1" w:styleId="186">
    <w:name w:val="font13"/>
    <w:basedOn w:val="1"/>
    <w:qFormat/>
    <w:uiPriority w:val="99"/>
    <w:pPr>
      <w:widowControl/>
      <w:spacing w:before="100" w:beforeAutospacing="1" w:after="100" w:afterAutospacing="1"/>
      <w:jc w:val="left"/>
    </w:pPr>
    <w:rPr>
      <w:rFonts w:ascii="华文细黑" w:hAnsi="华文细黑" w:eastAsia="华文细黑" w:cs="宋体"/>
      <w:kern w:val="0"/>
      <w:sz w:val="20"/>
    </w:rPr>
  </w:style>
  <w:style w:type="paragraph" w:customStyle="1" w:styleId="187">
    <w:name w:val="xl316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188">
    <w:name w:val="Char Char Char Char Char Char1 Char Char Char Char Char Char1 Char Char Char Char1"/>
    <w:basedOn w:val="1"/>
    <w:qFormat/>
    <w:uiPriority w:val="99"/>
    <w:rPr>
      <w:rFonts w:ascii="Tahoma" w:hAnsi="Tahoma"/>
      <w:sz w:val="24"/>
    </w:rPr>
  </w:style>
  <w:style w:type="paragraph" w:customStyle="1" w:styleId="189">
    <w:name w:val="xl31"/>
    <w:basedOn w:val="1"/>
    <w:qFormat/>
    <w:uiPriority w:val="99"/>
    <w:pPr>
      <w:widowControl/>
      <w:spacing w:before="100" w:beforeAutospacing="1" w:after="100" w:afterAutospacing="1"/>
      <w:jc w:val="left"/>
      <w:textAlignment w:val="top"/>
    </w:pPr>
    <w:rPr>
      <w:rFonts w:ascii="宋体" w:hAnsi="宋体"/>
      <w:b/>
      <w:bCs/>
      <w:kern w:val="0"/>
      <w:sz w:val="22"/>
      <w:szCs w:val="22"/>
    </w:rPr>
  </w:style>
  <w:style w:type="paragraph" w:customStyle="1" w:styleId="190">
    <w:name w:val="Char Char Char Char Char Char1 Char Char Char Char Char Char1 Char Char Char Char Char Char Char1"/>
    <w:basedOn w:val="1"/>
    <w:qFormat/>
    <w:uiPriority w:val="99"/>
    <w:rPr>
      <w:rFonts w:ascii="Tahoma" w:hAnsi="Tahoma"/>
      <w:sz w:val="24"/>
    </w:rPr>
  </w:style>
  <w:style w:type="paragraph" w:customStyle="1" w:styleId="191">
    <w:name w:val="图中文字"/>
    <w:basedOn w:val="1"/>
    <w:qFormat/>
    <w:uiPriority w:val="99"/>
    <w:pPr>
      <w:adjustRightInd w:val="0"/>
      <w:snapToGrid w:val="0"/>
      <w:spacing w:line="240" w:lineRule="atLeast"/>
      <w:jc w:val="center"/>
    </w:pPr>
    <w:rPr>
      <w:sz w:val="24"/>
      <w:szCs w:val="24"/>
    </w:rPr>
  </w:style>
  <w:style w:type="paragraph" w:customStyle="1" w:styleId="192">
    <w:name w:val="font14"/>
    <w:basedOn w:val="1"/>
    <w:qFormat/>
    <w:uiPriority w:val="99"/>
    <w:pPr>
      <w:widowControl/>
      <w:spacing w:before="100" w:beforeAutospacing="1" w:after="100" w:afterAutospacing="1"/>
      <w:jc w:val="left"/>
    </w:pPr>
    <w:rPr>
      <w:rFonts w:ascii="Calibri" w:hAnsi="Calibri" w:cs="宋体"/>
      <w:kern w:val="0"/>
      <w:sz w:val="20"/>
    </w:rPr>
  </w:style>
  <w:style w:type="paragraph" w:customStyle="1" w:styleId="193">
    <w:name w:val="xl27"/>
    <w:basedOn w:val="1"/>
    <w:qFormat/>
    <w:uiPriority w:val="99"/>
    <w:pPr>
      <w:widowControl/>
      <w:spacing w:before="100" w:beforeAutospacing="1" w:after="100" w:afterAutospacing="1"/>
      <w:jc w:val="left"/>
    </w:pPr>
    <w:rPr>
      <w:rFonts w:ascii="宋体" w:hAnsi="宋体"/>
      <w:b/>
      <w:bCs/>
      <w:kern w:val="0"/>
      <w:sz w:val="22"/>
      <w:szCs w:val="22"/>
    </w:rPr>
  </w:style>
  <w:style w:type="paragraph" w:customStyle="1" w:styleId="194">
    <w:name w:val="xl31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95">
    <w:name w:val="xl26"/>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96">
    <w:name w:val="xl3161"/>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hAnsi="宋体" w:cs="宋体"/>
      <w:kern w:val="0"/>
      <w:sz w:val="24"/>
      <w:szCs w:val="24"/>
    </w:rPr>
  </w:style>
  <w:style w:type="paragraph" w:customStyle="1" w:styleId="197">
    <w:name w:val="style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98">
    <w:name w:val="xl3159"/>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hAnsi="宋体" w:cs="宋体"/>
      <w:kern w:val="0"/>
      <w:sz w:val="24"/>
      <w:szCs w:val="24"/>
    </w:rPr>
  </w:style>
  <w:style w:type="paragraph" w:customStyle="1" w:styleId="199">
    <w:name w:val="xl34"/>
    <w:basedOn w:val="1"/>
    <w:qFormat/>
    <w:uiPriority w:val="99"/>
    <w:pPr>
      <w:widowControl/>
      <w:shd w:val="clear" w:color="auto" w:fill="FFFF00"/>
      <w:spacing w:before="100" w:beforeAutospacing="1" w:after="100" w:afterAutospacing="1"/>
      <w:jc w:val="left"/>
      <w:textAlignment w:val="center"/>
    </w:pPr>
    <w:rPr>
      <w:rFonts w:ascii="宋体" w:hAnsi="宋体"/>
      <w:kern w:val="0"/>
      <w:sz w:val="22"/>
      <w:szCs w:val="22"/>
    </w:rPr>
  </w:style>
  <w:style w:type="paragraph" w:customStyle="1" w:styleId="200">
    <w:name w:val="Char2"/>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201">
    <w:name w:val="明显引用1"/>
    <w:basedOn w:val="1"/>
    <w:next w:val="1"/>
    <w:link w:val="202"/>
    <w:qFormat/>
    <w:uiPriority w:val="99"/>
    <w:pPr>
      <w:widowControl/>
      <w:ind w:left="720" w:right="720"/>
      <w:jc w:val="left"/>
    </w:pPr>
    <w:rPr>
      <w:rFonts w:ascii="Calibri" w:hAnsi="Calibri" w:cs="Arial"/>
      <w:b/>
      <w:i/>
      <w:kern w:val="0"/>
      <w:sz w:val="24"/>
      <w:szCs w:val="22"/>
      <w:lang w:eastAsia="en-US"/>
    </w:rPr>
  </w:style>
  <w:style w:type="character" w:customStyle="1" w:styleId="202">
    <w:name w:val="明显引用 Char"/>
    <w:link w:val="201"/>
    <w:qFormat/>
    <w:locked/>
    <w:uiPriority w:val="99"/>
    <w:rPr>
      <w:rFonts w:ascii="Calibri" w:hAnsi="Calibri"/>
      <w:b/>
      <w:i/>
      <w:sz w:val="22"/>
      <w:lang w:eastAsia="en-US"/>
    </w:rPr>
  </w:style>
  <w:style w:type="paragraph" w:customStyle="1" w:styleId="203">
    <w:name w:val="style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04">
    <w:name w:val="xl3154"/>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cs="宋体"/>
      <w:color w:val="000000"/>
      <w:kern w:val="0"/>
      <w:sz w:val="24"/>
      <w:szCs w:val="24"/>
    </w:rPr>
  </w:style>
  <w:style w:type="paragraph" w:customStyle="1" w:styleId="205">
    <w:name w:val="xl3156"/>
    <w:basedOn w:val="1"/>
    <w:qFormat/>
    <w:uiPriority w:val="99"/>
    <w:pPr>
      <w:widowControl/>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206">
    <w:name w:val="xl3141"/>
    <w:basedOn w:val="1"/>
    <w:qFormat/>
    <w:uiPriority w:val="99"/>
    <w:pPr>
      <w:widowControl/>
      <w:spacing w:before="100" w:beforeAutospacing="1" w:after="100" w:afterAutospacing="1"/>
      <w:jc w:val="center"/>
      <w:textAlignment w:val="center"/>
    </w:pPr>
    <w:rPr>
      <w:rFonts w:ascii="宋体" w:hAnsi="宋体" w:cs="宋体"/>
      <w:kern w:val="0"/>
      <w:sz w:val="24"/>
      <w:szCs w:val="24"/>
    </w:rPr>
  </w:style>
  <w:style w:type="paragraph" w:customStyle="1" w:styleId="207">
    <w:name w:val="xl314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08">
    <w:name w:val="List Paragraph1"/>
    <w:basedOn w:val="1"/>
    <w:qFormat/>
    <w:uiPriority w:val="99"/>
    <w:pPr>
      <w:ind w:firstLine="420" w:firstLineChars="200"/>
    </w:pPr>
    <w:rPr>
      <w:szCs w:val="24"/>
    </w:rPr>
  </w:style>
  <w:style w:type="paragraph" w:customStyle="1" w:styleId="209">
    <w:name w:val="*正文"/>
    <w:basedOn w:val="1"/>
    <w:qFormat/>
    <w:uiPriority w:val="99"/>
    <w:pPr>
      <w:spacing w:line="360" w:lineRule="auto"/>
      <w:ind w:firstLine="480" w:firstLineChars="200"/>
    </w:pPr>
    <w:rPr>
      <w:rFonts w:ascii="宋体" w:hAnsi="宋体"/>
      <w:kern w:val="0"/>
      <w:sz w:val="24"/>
      <w:szCs w:val="24"/>
      <w:lang w:val="zh-CN"/>
    </w:rPr>
  </w:style>
  <w:style w:type="paragraph" w:customStyle="1" w:styleId="210">
    <w:name w:val="标准文本"/>
    <w:basedOn w:val="1"/>
    <w:link w:val="211"/>
    <w:qFormat/>
    <w:uiPriority w:val="99"/>
    <w:pPr>
      <w:spacing w:line="360" w:lineRule="auto"/>
      <w:ind w:firstLine="480" w:firstLineChars="200"/>
    </w:pPr>
    <w:rPr>
      <w:rFonts w:ascii="Calibri" w:hAnsi="Calibri"/>
    </w:rPr>
  </w:style>
  <w:style w:type="character" w:customStyle="1" w:styleId="211">
    <w:name w:val="标准文本 Char"/>
    <w:link w:val="210"/>
    <w:qFormat/>
    <w:locked/>
    <w:uiPriority w:val="99"/>
    <w:rPr>
      <w:kern w:val="2"/>
      <w:sz w:val="21"/>
    </w:rPr>
  </w:style>
  <w:style w:type="character" w:customStyle="1" w:styleId="212">
    <w:name w:val="locspan"/>
    <w:basedOn w:val="50"/>
    <w:qFormat/>
    <w:uiPriority w:val="99"/>
    <w:rPr>
      <w:rFonts w:cs="Times New Roman"/>
    </w:rPr>
  </w:style>
  <w:style w:type="character" w:customStyle="1" w:styleId="213">
    <w:name w:val="font31"/>
    <w:basedOn w:val="50"/>
    <w:qFormat/>
    <w:uiPriority w:val="99"/>
    <w:rPr>
      <w:rFonts w:ascii="Arial" w:hAnsi="Arial"/>
      <w:color w:val="000000"/>
      <w:sz w:val="20"/>
      <w:u w:val="none"/>
    </w:rPr>
  </w:style>
  <w:style w:type="character" w:customStyle="1" w:styleId="214">
    <w:name w:val="apple-converted-space"/>
    <w:basedOn w:val="50"/>
    <w:qFormat/>
    <w:uiPriority w:val="99"/>
    <w:rPr>
      <w:rFonts w:cs="Times New Roman"/>
    </w:rPr>
  </w:style>
  <w:style w:type="character" w:customStyle="1" w:styleId="215">
    <w:name w:val="style41"/>
    <w:qFormat/>
    <w:uiPriority w:val="99"/>
    <w:rPr>
      <w:sz w:val="18"/>
    </w:rPr>
  </w:style>
  <w:style w:type="character" w:customStyle="1" w:styleId="216">
    <w:name w:val="标题 Char1"/>
    <w:qFormat/>
    <w:uiPriority w:val="99"/>
    <w:rPr>
      <w:rFonts w:ascii="Cambria" w:hAnsi="Cambria"/>
      <w:b/>
      <w:kern w:val="2"/>
      <w:sz w:val="32"/>
    </w:rPr>
  </w:style>
  <w:style w:type="character" w:customStyle="1" w:styleId="217">
    <w:name w:val="text1"/>
    <w:qFormat/>
    <w:uiPriority w:val="99"/>
    <w:rPr>
      <w:rFonts w:ascii="Arial" w:hAnsi="Arial"/>
      <w:color w:val="333333"/>
      <w:sz w:val="18"/>
    </w:rPr>
  </w:style>
  <w:style w:type="character" w:customStyle="1" w:styleId="218">
    <w:name w:val="Char Char2"/>
    <w:qFormat/>
    <w:uiPriority w:val="99"/>
    <w:rPr>
      <w:kern w:val="2"/>
      <w:sz w:val="21"/>
    </w:rPr>
  </w:style>
  <w:style w:type="character" w:customStyle="1" w:styleId="219">
    <w:name w:val="副标题 Char1"/>
    <w:qFormat/>
    <w:uiPriority w:val="99"/>
    <w:rPr>
      <w:rFonts w:ascii="Cambria" w:hAnsi="Cambria"/>
      <w:b/>
      <w:kern w:val="28"/>
      <w:sz w:val="32"/>
    </w:rPr>
  </w:style>
  <w:style w:type="character" w:customStyle="1" w:styleId="220">
    <w:name w:val="style11"/>
    <w:qFormat/>
    <w:uiPriority w:val="99"/>
    <w:rPr>
      <w:color w:val="000000"/>
      <w:sz w:val="18"/>
    </w:rPr>
  </w:style>
  <w:style w:type="character" w:customStyle="1" w:styleId="221">
    <w:name w:val="Char Char1"/>
    <w:qFormat/>
    <w:uiPriority w:val="99"/>
    <w:rPr>
      <w:kern w:val="2"/>
      <w:sz w:val="24"/>
    </w:rPr>
  </w:style>
  <w:style w:type="character" w:customStyle="1" w:styleId="222">
    <w:name w:val="powerlab_title_model1"/>
    <w:qFormat/>
    <w:uiPriority w:val="99"/>
    <w:rPr>
      <w:b/>
      <w:sz w:val="21"/>
    </w:rPr>
  </w:style>
  <w:style w:type="character" w:customStyle="1" w:styleId="223">
    <w:name w:val="font71"/>
    <w:qFormat/>
    <w:uiPriority w:val="99"/>
    <w:rPr>
      <w:rFonts w:ascii="宋体" w:hAnsi="宋体" w:eastAsia="宋体"/>
      <w:color w:val="000000"/>
      <w:sz w:val="20"/>
      <w:u w:val="none"/>
    </w:rPr>
  </w:style>
  <w:style w:type="character" w:customStyle="1" w:styleId="224">
    <w:name w:val="xdrichtextbox2"/>
    <w:qFormat/>
    <w:uiPriority w:val="99"/>
    <w:rPr>
      <w:color w:val="0000FF"/>
      <w:sz w:val="18"/>
      <w:u w:val="none"/>
      <w:bdr w:val="single" w:color="DCDCDC" w:sz="8" w:space="0"/>
      <w:shd w:val="clear" w:color="auto" w:fill="9FFDDC"/>
    </w:rPr>
  </w:style>
  <w:style w:type="paragraph" w:customStyle="1" w:styleId="225">
    <w:name w:val="样式2"/>
    <w:basedOn w:val="1"/>
    <w:qFormat/>
    <w:uiPriority w:val="99"/>
    <w:pPr>
      <w:spacing w:line="300" w:lineRule="auto"/>
      <w:jc w:val="center"/>
      <w:outlineLvl w:val="0"/>
    </w:pPr>
    <w:rPr>
      <w:rFonts w:ascii="宋体" w:hAnsi="宋体" w:cs="宋体"/>
      <w:b/>
      <w:bCs/>
      <w:sz w:val="24"/>
      <w:szCs w:val="24"/>
    </w:rPr>
  </w:style>
  <w:style w:type="character" w:customStyle="1" w:styleId="226">
    <w:name w:val="Table Text Char"/>
    <w:link w:val="227"/>
    <w:qFormat/>
    <w:locked/>
    <w:uiPriority w:val="99"/>
    <w:rPr>
      <w:rFonts w:ascii="Arial" w:hAnsi="Arial" w:eastAsia="宋体"/>
      <w:sz w:val="18"/>
      <w:lang w:val="en-US" w:eastAsia="zh-CN"/>
    </w:rPr>
  </w:style>
  <w:style w:type="paragraph" w:customStyle="1" w:styleId="227">
    <w:name w:val="Table Text"/>
    <w:link w:val="226"/>
    <w:qFormat/>
    <w:uiPriority w:val="99"/>
    <w:pPr>
      <w:snapToGrid w:val="0"/>
      <w:spacing w:before="80" w:after="80"/>
    </w:pPr>
    <w:rPr>
      <w:rFonts w:ascii="Arial" w:hAnsi="Arial" w:eastAsia="宋体" w:cs="Arial"/>
      <w:sz w:val="18"/>
      <w:szCs w:val="18"/>
      <w:lang w:val="en-US" w:eastAsia="zh-CN" w:bidi="ar-SA"/>
    </w:rPr>
  </w:style>
  <w:style w:type="character" w:customStyle="1" w:styleId="228">
    <w:name w:val="Table Heading Char"/>
    <w:link w:val="229"/>
    <w:qFormat/>
    <w:locked/>
    <w:uiPriority w:val="99"/>
    <w:rPr>
      <w:rFonts w:ascii="Arial" w:hAnsi="Arial" w:eastAsia="黑体"/>
      <w:sz w:val="18"/>
      <w:lang w:val="en-US" w:eastAsia="zh-CN"/>
    </w:rPr>
  </w:style>
  <w:style w:type="paragraph" w:customStyle="1" w:styleId="229">
    <w:name w:val="Table Heading"/>
    <w:link w:val="228"/>
    <w:qFormat/>
    <w:uiPriority w:val="99"/>
    <w:pPr>
      <w:keepNext/>
      <w:snapToGrid w:val="0"/>
      <w:spacing w:before="80" w:after="80"/>
      <w:jc w:val="center"/>
    </w:pPr>
    <w:rPr>
      <w:rFonts w:ascii="Arial" w:hAnsi="Arial" w:eastAsia="黑体" w:cs="Times New Roman"/>
      <w:sz w:val="18"/>
      <w:szCs w:val="18"/>
      <w:lang w:val="en-US" w:eastAsia="zh-CN" w:bidi="ar-SA"/>
    </w:rPr>
  </w:style>
  <w:style w:type="character" w:customStyle="1" w:styleId="230">
    <w:name w:val="Item List Char"/>
    <w:link w:val="231"/>
    <w:qFormat/>
    <w:locked/>
    <w:uiPriority w:val="99"/>
    <w:rPr>
      <w:rFonts w:ascii="Arial" w:hAnsi="Arial" w:cs="Times New Roman"/>
      <w:kern w:val="0"/>
      <w:sz w:val="20"/>
      <w:szCs w:val="21"/>
    </w:rPr>
  </w:style>
  <w:style w:type="paragraph" w:customStyle="1" w:styleId="231">
    <w:name w:val="Item List"/>
    <w:link w:val="230"/>
    <w:qFormat/>
    <w:uiPriority w:val="99"/>
    <w:pPr>
      <w:numPr>
        <w:ilvl w:val="0"/>
        <w:numId w:val="3"/>
      </w:numPr>
      <w:tabs>
        <w:tab w:val="left" w:pos="992"/>
      </w:tabs>
      <w:spacing w:line="300" w:lineRule="auto"/>
      <w:jc w:val="both"/>
    </w:pPr>
    <w:rPr>
      <w:rFonts w:ascii="Arial" w:hAnsi="Arial" w:eastAsia="宋体" w:cs="Times New Roman"/>
      <w:szCs w:val="21"/>
      <w:lang w:val="en-US" w:eastAsia="zh-CN" w:bidi="ar-SA"/>
    </w:rPr>
  </w:style>
  <w:style w:type="character" w:customStyle="1" w:styleId="232">
    <w:name w:val="表格文本 Char"/>
    <w:link w:val="233"/>
    <w:qFormat/>
    <w:locked/>
    <w:uiPriority w:val="99"/>
    <w:rPr>
      <w:rFonts w:ascii="Arial" w:hAnsi="Arial" w:eastAsia="宋体"/>
      <w:sz w:val="21"/>
      <w:lang w:val="en-US" w:eastAsia="zh-CN"/>
    </w:rPr>
  </w:style>
  <w:style w:type="paragraph" w:customStyle="1" w:styleId="233">
    <w:name w:val="表格文本"/>
    <w:link w:val="232"/>
    <w:qFormat/>
    <w:uiPriority w:val="99"/>
    <w:pPr>
      <w:tabs>
        <w:tab w:val="decimal" w:pos="0"/>
      </w:tabs>
    </w:pPr>
    <w:rPr>
      <w:rFonts w:ascii="Arial" w:hAnsi="Arial" w:eastAsia="宋体" w:cs="Times New Roman"/>
      <w:szCs w:val="21"/>
      <w:lang w:val="en-US" w:eastAsia="zh-CN" w:bidi="ar-SA"/>
    </w:rPr>
  </w:style>
  <w:style w:type="character" w:customStyle="1" w:styleId="234">
    <w:name w:val="Sub Item List Char"/>
    <w:link w:val="235"/>
    <w:qFormat/>
    <w:locked/>
    <w:uiPriority w:val="99"/>
    <w:rPr>
      <w:rFonts w:ascii="Arial" w:hAnsi="Arial" w:cs="Times New Roman"/>
      <w:kern w:val="0"/>
      <w:sz w:val="20"/>
      <w:szCs w:val="21"/>
    </w:rPr>
  </w:style>
  <w:style w:type="paragraph" w:customStyle="1" w:styleId="235">
    <w:name w:val="Sub Item List"/>
    <w:basedOn w:val="1"/>
    <w:link w:val="234"/>
    <w:qFormat/>
    <w:uiPriority w:val="99"/>
    <w:pPr>
      <w:widowControl/>
      <w:numPr>
        <w:ilvl w:val="0"/>
        <w:numId w:val="4"/>
      </w:numPr>
      <w:topLinePunct/>
      <w:adjustRightInd w:val="0"/>
      <w:snapToGrid w:val="0"/>
      <w:spacing w:before="80" w:after="80" w:line="240" w:lineRule="atLeast"/>
      <w:jc w:val="left"/>
    </w:pPr>
    <w:rPr>
      <w:rFonts w:ascii="Arial" w:hAnsi="Arial"/>
      <w:kern w:val="0"/>
      <w:sz w:val="20"/>
      <w:szCs w:val="21"/>
    </w:rPr>
  </w:style>
  <w:style w:type="paragraph" w:customStyle="1" w:styleId="236">
    <w:name w:val="Item List in Table"/>
    <w:basedOn w:val="1"/>
    <w:qFormat/>
    <w:uiPriority w:val="99"/>
    <w:pPr>
      <w:widowControl/>
      <w:tabs>
        <w:tab w:val="left" w:pos="1500"/>
      </w:tabs>
      <w:topLinePunct/>
      <w:adjustRightInd w:val="0"/>
      <w:snapToGrid w:val="0"/>
      <w:spacing w:before="80" w:after="80" w:line="240" w:lineRule="atLeast"/>
      <w:ind w:left="1500" w:hanging="420"/>
      <w:jc w:val="left"/>
    </w:pPr>
    <w:rPr>
      <w:rFonts w:cs="Arial"/>
      <w:kern w:val="0"/>
      <w:szCs w:val="21"/>
    </w:rPr>
  </w:style>
  <w:style w:type="paragraph" w:customStyle="1" w:styleId="237">
    <w:name w:val="二级条标题"/>
    <w:basedOn w:val="1"/>
    <w:next w:val="1"/>
    <w:qFormat/>
    <w:uiPriority w:val="99"/>
    <w:pPr>
      <w:widowControl/>
      <w:numPr>
        <w:ilvl w:val="3"/>
        <w:numId w:val="5"/>
      </w:numPr>
      <w:tabs>
        <w:tab w:val="left" w:pos="2100"/>
      </w:tabs>
      <w:outlineLvl w:val="3"/>
    </w:pPr>
    <w:rPr>
      <w:rFonts w:ascii="黑体" w:eastAsia="黑体"/>
      <w:kern w:val="0"/>
    </w:rPr>
  </w:style>
  <w:style w:type="paragraph" w:customStyle="1" w:styleId="238">
    <w:name w:val="样式3"/>
    <w:basedOn w:val="1"/>
    <w:qFormat/>
    <w:uiPriority w:val="99"/>
    <w:pPr>
      <w:widowControl/>
      <w:spacing w:line="520" w:lineRule="exact"/>
      <w:ind w:firstLine="567"/>
      <w:jc w:val="left"/>
    </w:pPr>
    <w:rPr>
      <w:rFonts w:ascii="Calibri" w:hAnsi="Calibri" w:eastAsia="仿宋_GB2312"/>
      <w:kern w:val="0"/>
      <w:sz w:val="28"/>
      <w:szCs w:val="24"/>
      <w:lang w:eastAsia="en-US"/>
    </w:rPr>
  </w:style>
  <w:style w:type="paragraph" w:customStyle="1" w:styleId="239">
    <w:name w:val="表头文本"/>
    <w:qFormat/>
    <w:uiPriority w:val="99"/>
    <w:pPr>
      <w:jc w:val="center"/>
    </w:pPr>
    <w:rPr>
      <w:rFonts w:ascii="Arial" w:hAnsi="Arial" w:eastAsia="宋体" w:cs="Times New Roman"/>
      <w:b/>
      <w:sz w:val="21"/>
      <w:szCs w:val="21"/>
      <w:lang w:val="en-US" w:eastAsia="zh-CN" w:bidi="ar-SA"/>
    </w:rPr>
  </w:style>
  <w:style w:type="character" w:customStyle="1" w:styleId="240">
    <w:name w:val="正文缩进 Char1"/>
    <w:qFormat/>
    <w:uiPriority w:val="99"/>
    <w:rPr>
      <w:rFonts w:eastAsia="宋体"/>
      <w:kern w:val="2"/>
      <w:sz w:val="21"/>
      <w:lang w:val="en-US" w:eastAsia="zh-CN"/>
    </w:rPr>
  </w:style>
  <w:style w:type="paragraph" w:customStyle="1" w:styleId="241">
    <w:name w:val="TOC 标题1"/>
    <w:basedOn w:val="3"/>
    <w:next w:val="1"/>
    <w:qFormat/>
    <w:uiPriority w:val="9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242">
    <w:name w:val="4"/>
    <w:basedOn w:val="1"/>
    <w:next w:val="1"/>
    <w:qFormat/>
    <w:uiPriority w:val="99"/>
    <w:pPr>
      <w:ind w:left="420" w:leftChars="200"/>
    </w:pPr>
    <w:rPr>
      <w:rFonts w:ascii="Calibri" w:hAnsi="Calibri"/>
      <w:szCs w:val="22"/>
    </w:rPr>
  </w:style>
  <w:style w:type="character" w:customStyle="1" w:styleId="243">
    <w:name w:val="页眉 字符"/>
    <w:qFormat/>
    <w:uiPriority w:val="99"/>
  </w:style>
  <w:style w:type="character" w:customStyle="1" w:styleId="244">
    <w:name w:val="页脚 字符"/>
    <w:qFormat/>
    <w:uiPriority w:val="99"/>
  </w:style>
  <w:style w:type="paragraph" w:customStyle="1" w:styleId="245">
    <w:name w:val="倪芳"/>
    <w:basedOn w:val="1"/>
    <w:qFormat/>
    <w:uiPriority w:val="99"/>
    <w:pPr>
      <w:spacing w:beforeLines="25" w:line="400" w:lineRule="exact"/>
    </w:pPr>
    <w:rPr>
      <w:rFonts w:ascii="宋体" w:hAnsi="Courier New" w:cs="Courier New"/>
      <w:szCs w:val="21"/>
    </w:rPr>
  </w:style>
  <w:style w:type="character" w:customStyle="1" w:styleId="246">
    <w:name w:val="正文文本缩进 2 Char1"/>
    <w:basedOn w:val="50"/>
    <w:semiHidden/>
    <w:qFormat/>
    <w:uiPriority w:val="99"/>
    <w:rPr>
      <w:rFonts w:ascii="Calibri" w:hAnsi="Calibri" w:eastAsia="宋体" w:cs="Times New Roman"/>
      <w:sz w:val="24"/>
    </w:rPr>
  </w:style>
  <w:style w:type="paragraph" w:customStyle="1" w:styleId="247">
    <w:name w:val="TOC 标题2"/>
    <w:basedOn w:val="3"/>
    <w:next w:val="1"/>
    <w:qFormat/>
    <w:uiPriority w:val="99"/>
    <w:pPr>
      <w:widowControl/>
      <w:spacing w:before="240" w:after="0" w:line="259" w:lineRule="auto"/>
      <w:jc w:val="left"/>
      <w:outlineLvl w:val="9"/>
    </w:pPr>
    <w:rPr>
      <w:rFonts w:ascii="Cambria" w:hAnsi="Cambria" w:cs="Times New Roman"/>
      <w:b w:val="0"/>
      <w:bCs w:val="0"/>
      <w:color w:val="365F91"/>
      <w:kern w:val="0"/>
      <w:sz w:val="32"/>
      <w:szCs w:val="32"/>
    </w:rPr>
  </w:style>
  <w:style w:type="character" w:customStyle="1" w:styleId="248">
    <w:name w:val="redfilefwwh"/>
    <w:basedOn w:val="50"/>
    <w:qFormat/>
    <w:uiPriority w:val="99"/>
    <w:rPr>
      <w:rFonts w:cs="Times New Roman"/>
      <w:color w:val="BA2636"/>
      <w:sz w:val="18"/>
      <w:szCs w:val="18"/>
    </w:rPr>
  </w:style>
  <w:style w:type="character" w:customStyle="1" w:styleId="249">
    <w:name w:val="gjfg"/>
    <w:basedOn w:val="50"/>
    <w:qFormat/>
    <w:uiPriority w:val="99"/>
    <w:rPr>
      <w:rFonts w:cs="Times New Roman"/>
    </w:rPr>
  </w:style>
  <w:style w:type="character" w:customStyle="1" w:styleId="250">
    <w:name w:val="displayarti"/>
    <w:basedOn w:val="50"/>
    <w:qFormat/>
    <w:uiPriority w:val="99"/>
    <w:rPr>
      <w:rFonts w:cs="Times New Roman"/>
      <w:color w:val="FFFFFF"/>
      <w:shd w:val="clear" w:color="auto" w:fill="A00000"/>
    </w:rPr>
  </w:style>
  <w:style w:type="character" w:customStyle="1" w:styleId="251">
    <w:name w:val="qxdate"/>
    <w:basedOn w:val="50"/>
    <w:qFormat/>
    <w:uiPriority w:val="99"/>
    <w:rPr>
      <w:rFonts w:cs="Times New Roman"/>
      <w:color w:val="333333"/>
      <w:sz w:val="18"/>
      <w:szCs w:val="18"/>
    </w:rPr>
  </w:style>
  <w:style w:type="character" w:customStyle="1" w:styleId="252">
    <w:name w:val="cfdate"/>
    <w:basedOn w:val="50"/>
    <w:qFormat/>
    <w:uiPriority w:val="99"/>
    <w:rPr>
      <w:rFonts w:cs="Times New Roman"/>
      <w:color w:val="333333"/>
      <w:sz w:val="18"/>
      <w:szCs w:val="18"/>
    </w:rPr>
  </w:style>
  <w:style w:type="character" w:customStyle="1" w:styleId="253">
    <w:name w:val="redfilenumber"/>
    <w:basedOn w:val="50"/>
    <w:qFormat/>
    <w:uiPriority w:val="99"/>
    <w:rPr>
      <w:rFonts w:cs="Times New Roman"/>
      <w:color w:val="BA2636"/>
      <w:sz w:val="18"/>
      <w:szCs w:val="18"/>
    </w:rPr>
  </w:style>
  <w:style w:type="paragraph" w:customStyle="1" w:styleId="254">
    <w:name w:val="TOC 标题3"/>
    <w:basedOn w:val="3"/>
    <w:next w:val="1"/>
    <w:qFormat/>
    <w:uiPriority w:val="99"/>
    <w:pPr>
      <w:widowControl/>
      <w:spacing w:before="480" w:after="0" w:line="276" w:lineRule="auto"/>
      <w:jc w:val="left"/>
      <w:outlineLvl w:val="9"/>
    </w:pPr>
    <w:rPr>
      <w:rFonts w:ascii="Cambria" w:hAnsi="Cambria" w:cs="Times New Roman"/>
      <w:color w:val="365F91"/>
      <w:kern w:val="0"/>
      <w:sz w:val="28"/>
      <w:szCs w:val="28"/>
    </w:rPr>
  </w:style>
  <w:style w:type="paragraph" w:customStyle="1" w:styleId="255">
    <w:name w:val="1"/>
    <w:basedOn w:val="1"/>
    <w:next w:val="1"/>
    <w:qFormat/>
    <w:uiPriority w:val="0"/>
    <w:pPr>
      <w:tabs>
        <w:tab w:val="left" w:pos="0"/>
      </w:tabs>
      <w:spacing w:line="360" w:lineRule="auto"/>
    </w:pPr>
    <w:rPr>
      <w:rFonts w:ascii="宋体" w:hAnsi="宋体"/>
      <w:bCs/>
      <w:sz w:val="24"/>
    </w:rPr>
  </w:style>
  <w:style w:type="table" w:customStyle="1" w:styleId="256">
    <w:name w:val="网格型1"/>
    <w:basedOn w:val="48"/>
    <w:qFormat/>
    <w:uiPriority w:val="0"/>
    <w:pPr>
      <w:widowControl w:val="0"/>
      <w:jc w:val="both"/>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57">
    <w:name w:val="正文缩进 Char"/>
    <w:qFormat/>
    <w:uiPriority w:val="0"/>
    <w:rPr>
      <w:rFonts w:eastAsia="宋体"/>
      <w:kern w:val="2"/>
      <w:sz w:val="24"/>
      <w:lang w:val="en-US" w:eastAsia="zh-CN" w:bidi="ar-SA"/>
    </w:rPr>
  </w:style>
  <w:style w:type="character" w:customStyle="1" w:styleId="258">
    <w:name w:val="脚注文本 字符"/>
    <w:basedOn w:val="50"/>
    <w:semiHidden/>
    <w:qFormat/>
    <w:uiPriority w:val="99"/>
    <w:rPr>
      <w:rFonts w:ascii="Times New Roman" w:hAnsi="Times New Roman" w:cs="Times New Roman"/>
      <w:kern w:val="2"/>
      <w:sz w:val="18"/>
      <w:szCs w:val="18"/>
    </w:rPr>
  </w:style>
  <w:style w:type="character" w:customStyle="1" w:styleId="259">
    <w:name w:val="脚注文本 字符1"/>
    <w:link w:val="36"/>
    <w:qFormat/>
    <w:uiPriority w:val="0"/>
    <w:rPr>
      <w:rFonts w:cs="Times New Roman"/>
      <w:sz w:val="18"/>
    </w:rPr>
  </w:style>
  <w:style w:type="character" w:customStyle="1" w:styleId="260">
    <w:name w:val="font51"/>
    <w:basedOn w:val="50"/>
    <w:qFormat/>
    <w:uiPriority w:val="0"/>
    <w:rPr>
      <w:rFonts w:hint="eastAsia" w:ascii="宋体" w:hAnsi="宋体" w:eastAsia="宋体" w:cs="宋体"/>
      <w:color w:val="000000"/>
      <w:sz w:val="20"/>
      <w:szCs w:val="20"/>
      <w:u w:val="none"/>
    </w:rPr>
  </w:style>
  <w:style w:type="character" w:customStyle="1" w:styleId="261">
    <w:name w:val="font01"/>
    <w:basedOn w:val="50"/>
    <w:qFormat/>
    <w:uiPriority w:val="0"/>
    <w:rPr>
      <w:rFonts w:hint="eastAsia" w:ascii="宋体" w:hAnsi="宋体" w:eastAsia="宋体" w:cs="宋体"/>
      <w:color w:val="000000"/>
      <w:sz w:val="20"/>
      <w:szCs w:val="20"/>
      <w:u w:val="none"/>
    </w:rPr>
  </w:style>
  <w:style w:type="character" w:customStyle="1" w:styleId="262">
    <w:name w:val="font81"/>
    <w:basedOn w:val="50"/>
    <w:qFormat/>
    <w:uiPriority w:val="0"/>
    <w:rPr>
      <w:rFonts w:hint="eastAsia" w:ascii="宋体" w:hAnsi="宋体" w:eastAsia="宋体" w:cs="宋体"/>
      <w:b/>
      <w:bCs/>
      <w:color w:val="800080"/>
      <w:sz w:val="20"/>
      <w:szCs w:val="20"/>
      <w:u w:val="none"/>
    </w:rPr>
  </w:style>
  <w:style w:type="character" w:customStyle="1" w:styleId="263">
    <w:name w:val="font41"/>
    <w:basedOn w:val="50"/>
    <w:qFormat/>
    <w:uiPriority w:val="0"/>
    <w:rPr>
      <w:rFonts w:hint="eastAsia" w:ascii="微软雅黑" w:hAnsi="微软雅黑" w:eastAsia="微软雅黑" w:cs="微软雅黑"/>
      <w:color w:val="231F20"/>
      <w:sz w:val="20"/>
      <w:szCs w:val="20"/>
      <w:u w:val="none"/>
    </w:rPr>
  </w:style>
  <w:style w:type="character" w:customStyle="1" w:styleId="264">
    <w:name w:val="font21"/>
    <w:basedOn w:val="50"/>
    <w:qFormat/>
    <w:uiPriority w:val="0"/>
    <w:rPr>
      <w:rFonts w:hint="eastAsia" w:ascii="宋体" w:hAnsi="宋体" w:eastAsia="宋体" w:cs="宋体"/>
      <w:color w:val="000000"/>
      <w:sz w:val="22"/>
      <w:szCs w:val="22"/>
      <w:u w:val="none"/>
    </w:rPr>
  </w:style>
  <w:style w:type="paragraph" w:customStyle="1" w:styleId="265">
    <w:name w:val="NormalIndent"/>
    <w:basedOn w:val="1"/>
    <w:qFormat/>
    <w:uiPriority w:val="0"/>
    <w:pPr>
      <w:ind w:firstLine="420"/>
      <w:jc w:val="left"/>
    </w:pPr>
    <w:rPr>
      <w:rFonts w:ascii="宋体" w:hAnsi="Calibri"/>
      <w:kern w:val="0"/>
      <w:sz w:val="24"/>
      <w:szCs w:val="20"/>
    </w:rPr>
  </w:style>
  <w:style w:type="paragraph" w:styleId="266">
    <w:name w:val="No Spacing"/>
    <w:basedOn w:val="1"/>
    <w:qFormat/>
    <w:uiPriority w:val="1"/>
    <w:pPr>
      <w:widowControl w:val="0"/>
      <w:jc w:val="both"/>
    </w:pPr>
    <w:rPr>
      <w:kern w:val="2"/>
      <w:sz w:val="21"/>
      <w:lang w:val="en-US" w:eastAsia="zh-CN" w:bidi="ar-SA"/>
    </w:rPr>
  </w:style>
  <w:style w:type="paragraph" w:customStyle="1" w:styleId="267">
    <w:name w:val="首行缩进"/>
    <w:basedOn w:val="1"/>
    <w:autoRedefine/>
    <w:qFormat/>
    <w:uiPriority w:val="0"/>
    <w:rPr>
      <w:lang w:val="zh-CN"/>
    </w:rPr>
  </w:style>
  <w:style w:type="character" w:customStyle="1" w:styleId="268">
    <w:name w:val="font101"/>
    <w:basedOn w:val="50"/>
    <w:qFormat/>
    <w:uiPriority w:val="0"/>
    <w:rPr>
      <w:rFonts w:ascii="Wingdings 2" w:hAnsi="Wingdings 2" w:eastAsia="Wingdings 2" w:cs="Wingdings 2"/>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06EC3-E005-4DA9-B2EA-9437EE2250D5}">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90</Pages>
  <Words>18460</Words>
  <Characters>19789</Characters>
  <Lines>384</Lines>
  <Paragraphs>108</Paragraphs>
  <TotalTime>0</TotalTime>
  <ScaleCrop>false</ScaleCrop>
  <LinksUpToDate>false</LinksUpToDate>
  <CharactersWithSpaces>20437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2020-11-24T10:30:00Z</dcterms:created>
  <dc:creator>dufangyu</dc:creator>
  <cp:lastModifiedBy>无心</cp:lastModifiedBy>
  <cp:lastPrinted>2024-08-20T03:56:00Z</cp:lastPrinted>
  <dcterms:modified xsi:type="dcterms:W3CDTF">2025-04-15T05:52:07Z</dcterms:modified>
  <dc:title>招标文件</dc:title>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EF882714B2DB46C1801DD6FEC8E2BC9E_13</vt:lpwstr>
  </property>
  <property fmtid="{D5CDD505-2E9C-101B-9397-08002B2CF9AE}" pid="4" name="commondata">
    <vt:lpwstr>eyJoZGlkIjoiNWJhYzEwYzljODIzNDc3NzY5OWUzZWI3ZmNlYjI3M2YifQ==</vt:lpwstr>
  </property>
  <property fmtid="{D5CDD505-2E9C-101B-9397-08002B2CF9AE}" pid="5" name="KSOTemplateDocerSaveRecord">
    <vt:lpwstr>eyJoZGlkIjoiZGMxNzgyZTg2MWZlM2Y3YjA2YjE2MjNmNTFlMDdlOGEiLCJ1c2VySWQiOiIyODE5NjcwODIifQ==</vt:lpwstr>
  </property>
</Properties>
</file>